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3025" w14:textId="77777777" w:rsidR="00000000" w:rsidRDefault="00E614A4">
      <w:pPr>
        <w:divId w:val="801070919"/>
        <w:rPr>
          <w:rFonts w:eastAsia="Times New Roman"/>
          <w:vanish/>
        </w:rPr>
      </w:pPr>
      <w:r>
        <w:rPr>
          <w:rFonts w:eastAsia="Times New Roman"/>
          <w:vanish/>
        </w:rPr>
        <w:t>false2020FY0001158172us-gaap:AccountingStandardsUpdate201409Memberus-gaap:AccountingStandardsUpdate201602Member1P1YP1YP1YP3Y00011581722020-01-012020-12-31iso4217:USD00011581722020-06-30xbrli:shares00011581722021-03-0500011581722020-12-31</w:t>
      </w:r>
      <w:r>
        <w:rPr>
          <w:rFonts w:eastAsia="Times New Roman"/>
          <w:vanish/>
        </w:rPr>
        <w:t>00011581722019-12-310001158172us-gaap:InvestorMember2020-12-310001158172us-gaap:InvestorMember2019-12-31iso4217:USDxbrli:shares00011581722019-01-012019-12-3100011581722018-01-012018-12-310001158172us-gaap:InvestorMember2020-01-012020-12-310001158172us-gaap</w:t>
      </w:r>
      <w:r>
        <w:rPr>
          <w:rFonts w:eastAsia="Times New Roman"/>
          <w:vanish/>
        </w:rPr>
        <w:t>:InvestorMember2019-01-012019-12-310001158172us-gaap:InvestorMember2018-01-012018-12-310001158172us-gaap:InvestorMemberus-gaap:CostOfSalesMember2020-01-012020-12-310001158172us-gaap:InvestorMemberus-gaap:CostOfSalesMember2019-01-012019-12-310001158172us-ga</w:t>
      </w:r>
      <w:r>
        <w:rPr>
          <w:rFonts w:eastAsia="Times New Roman"/>
          <w:vanish/>
        </w:rPr>
        <w:t>ap:InvestorMemberus-gaap:CostOfSalesMember2018-01-012018-12-310001158172us-gaap:InvestorMemberus-gaap:GeneralAndAdministrativeExpenseMember2020-01-012020-12-310001158172us-gaap:InvestorMemberus-gaap:GeneralAndAdministrativeExpenseMember2019-01-012019-12-31</w:t>
      </w:r>
      <w:r>
        <w:rPr>
          <w:rFonts w:eastAsia="Times New Roman"/>
          <w:vanish/>
        </w:rPr>
        <w:t>0001158172us-gaap:InvestorMemberus-gaap:GeneralAndAdministrativeExpenseMember2018-01-012018-12-310001158172us-gaap:CostOfSalesMember2020-01-012020-12-310001158172us-gaap:CostOfSalesMember2019-01-012019-12-310001158172us-gaap:CostOfSalesMember2018-01-012018</w:t>
      </w:r>
      <w:r>
        <w:rPr>
          <w:rFonts w:eastAsia="Times New Roman"/>
          <w:vanish/>
        </w:rPr>
        <w:t>-12-310001158172us-gaap:SellingAndMarketingExpenseMember2020-01-012020-12-310001158172us-gaap:SellingAndMarketingExpenseMember2019-01-012019-12-310001158172us-gaap:SellingAndMarketingExpenseMember2018-01-012018-12-310001158172us-gaap:ResearchAndDevelopment</w:t>
      </w:r>
      <w:r>
        <w:rPr>
          <w:rFonts w:eastAsia="Times New Roman"/>
          <w:vanish/>
        </w:rPr>
        <w:t>ExpenseMember2020-01-012020-12-310001158172us-gaap:ResearchAndDevelopmentExpenseMember2019-01-012019-12-310001158172us-gaap:ResearchAndDevelopmentExpenseMember2018-01-012018-12-310001158172us-gaap:GeneralAndAdministrativeExpenseMember2020-01-012020-12-3100</w:t>
      </w:r>
      <w:r>
        <w:rPr>
          <w:rFonts w:eastAsia="Times New Roman"/>
          <w:vanish/>
        </w:rPr>
        <w:t>01158172us-gaap:GeneralAndAdministrativeExpenseMember2019-01-012019-12-310001158172us-gaap:GeneralAndAdministrativeExpenseMember2018-01-012018-12-310001158172us-gaap:RestructuringChargesMember2020-01-012020-12-310001158172us-gaap:RestructuringChargesMember</w:t>
      </w:r>
      <w:r>
        <w:rPr>
          <w:rFonts w:eastAsia="Times New Roman"/>
          <w:vanish/>
        </w:rPr>
        <w:t>2019-01-012019-12-310001158172us-gaap:RestructuringChargesMember2018-01-012018-12-310001158172us-gaap:CommonStockMember2017-12-310001158172us-gaap:AdditionalPaidInCapitalMember2017-12-310001158172us-gaap:AccumulatedOtherComprehensiveIncomeMember2017-12-310</w:t>
      </w:r>
      <w:r>
        <w:rPr>
          <w:rFonts w:eastAsia="Times New Roman"/>
          <w:vanish/>
        </w:rPr>
        <w:t>001158172us-gaap:RetainedEarningsMember2017-12-310001158172us-gaap:TreasuryStockMember2017-12-3100011581722017-12-3100011581722017-01-012017-12-310001158172us-gaap:RetainedEarningsMembersrt:CumulativeEffectPeriodOfAdoptionAdjustmentMember2017-12-3100011581</w:t>
      </w:r>
      <w:r>
        <w:rPr>
          <w:rFonts w:eastAsia="Times New Roman"/>
          <w:vanish/>
        </w:rPr>
        <w:t>72srt:CumulativeEffectPeriodOfAdoptionAdjustmentMember2017-12-310001158172us-gaap:RetainedEarningsMember2018-01-012018-12-310001158172us-gaap:AccumulatedOtherComprehensiveIncomeMember2018-01-012018-12-310001158172us-gaap:AdditionalPaidInCapitalMember2018-0</w:t>
      </w:r>
      <w:r>
        <w:rPr>
          <w:rFonts w:eastAsia="Times New Roman"/>
          <w:vanish/>
        </w:rPr>
        <w:t>1-012018-12-310001158172us-gaap:CommonStockMember2018-01-012018-12-310001158172us-gaap:TreasuryStockMember2018-01-012018-12-310001158172us-gaap:CommonStockMember2018-12-310001158172us-gaap:AdditionalPaidInCapitalMember2018-12-310001158172us-gaap:Accumulate</w:t>
      </w:r>
      <w:r>
        <w:rPr>
          <w:rFonts w:eastAsia="Times New Roman"/>
          <w:vanish/>
        </w:rPr>
        <w:t>dOtherComprehensiveIncomeMember2018-12-310001158172us-gaap:RetainedEarningsMember2018-12-310001158172us-gaap:TreasuryStockMember2018-12-3100011581722018-12-310001158172us-gaap:RetainedEarningsMembersrt:CumulativeEffectPeriodOfAdoptionAdjustmentMember2018-1</w:t>
      </w:r>
      <w:r>
        <w:rPr>
          <w:rFonts w:eastAsia="Times New Roman"/>
          <w:vanish/>
        </w:rPr>
        <w:t>2-310001158172srt:CumulativeEffectPeriodOfAdoptionAdjustmentMember2018-12-310001158172us-gaap:RetainedEarningsMember2019-01-012019-12-310001158172us-gaap:AccumulatedOtherComprehensiveIncomeMember2019-01-012019-12-310001158172us-gaap:CommonStockMember2019-0</w:t>
      </w:r>
      <w:r>
        <w:rPr>
          <w:rFonts w:eastAsia="Times New Roman"/>
          <w:vanish/>
        </w:rPr>
        <w:t>1-012019-12-310001158172us-gaap:AdditionalPaidInCapitalMember2019-01-012019-12-310001158172scor:StarboardValueLPMemberus-gaap:CommonStockMember2019-01-012019-12-310001158172us-gaap:CommonStockMemberscor:CVIInvestmentsInc.Member2019-01-012019-12-31000115817</w:t>
      </w:r>
      <w:r>
        <w:rPr>
          <w:rFonts w:eastAsia="Times New Roman"/>
          <w:vanish/>
        </w:rPr>
        <w:t>2us-gaap:AdditionalPaidInCapitalMemberscor:CVIInvestmentsInc.Member2019-01-012019-12-310001158172scor:CVIInvestmentsInc.Member2019-01-012019-12-310001158172us-gaap:CommonStockMember2019-12-310001158172us-gaap:AdditionalPaidInCapitalMember2019-12-3100011581</w:t>
      </w:r>
      <w:r>
        <w:rPr>
          <w:rFonts w:eastAsia="Times New Roman"/>
          <w:vanish/>
        </w:rPr>
        <w:t>72us-gaap:AccumulatedOtherComprehensiveIncomeMember2019-12-310001158172us-gaap:RetainedEarningsMember2019-12-310001158172us-gaap:TreasuryStockMember2019-12-310001158172us-gaap:RetainedEarningsMember2020-01-012020-12-310001158172us-gaap:AccumulatedOtherComp</w:t>
      </w:r>
      <w:r>
        <w:rPr>
          <w:rFonts w:eastAsia="Times New Roman"/>
          <w:vanish/>
        </w:rPr>
        <w:t>rehensiveIncomeMember2020-01-012020-12-310001158172us-gaap:CommonStockMember2020-01-012020-12-310001158172us-gaap:AdditionalPaidInCapitalMember2020-01-012020-12-310001158172us-gaap:CommonStockMember2020-12-310001158172us-gaap:AdditionalPaidInCapitalMember2</w:t>
      </w:r>
      <w:r>
        <w:rPr>
          <w:rFonts w:eastAsia="Times New Roman"/>
          <w:vanish/>
        </w:rPr>
        <w:t>020-12-310001158172us-gaap:AccumulatedOtherComprehensiveIncomeMember2020-12-310001158172us-gaap:RetainedEarningsMember2020-12-310001158172us-gaap:TreasuryStockMember2020-12-31scor:segment0001158172scor:StarboardValueLPMemberscor:StarboardNotesMemberus-gaap</w:t>
      </w:r>
      <w:r>
        <w:rPr>
          <w:rFonts w:eastAsia="Times New Roman"/>
          <w:vanish/>
        </w:rPr>
        <w:t>:ConvertibleNotesPayableMember2018-12-310001158172scor:StarboardValueLPMemberscor:StarboardNotesMemberus-gaap:ConvertibleNotesPayableMember2018-01-012018-12-310001158172us-gaap:PrivatePlacementMember2019-06-262019-06-26scor:series_of_warrant00011581722019-</w:t>
      </w:r>
      <w:r>
        <w:rPr>
          <w:rFonts w:eastAsia="Times New Roman"/>
          <w:vanish/>
        </w:rPr>
        <w:t>10-142019-10-140001158172scor:SecuredTermNoteMemberus-gaap:NotesPayableOtherPayablesMember2019-12-31xbrli:pure0001158172scor:CharterCommunicationsHoldingCompanyLLCMemberus-gaap:ConvertiblePreferredStockMembersrt:ScenarioForecastMemberus-gaap:SubsequentEven</w:t>
      </w:r>
      <w:r>
        <w:rPr>
          <w:rFonts w:eastAsia="Times New Roman"/>
          <w:vanish/>
        </w:rPr>
        <w:t>tMemberus-gaap:PrivatePlacementMember2021-01-072021-03-100001158172scor:QurateRetailIncMemberus-gaap:ConvertiblePreferredStockMembersrt:ScenarioForecastMemberus-gaap:SubsequentEventMemberus-gaap:PrivatePlacementMember2021-01-072021-03-100001158172scor:Pine</w:t>
      </w:r>
      <w:r>
        <w:rPr>
          <w:rFonts w:eastAsia="Times New Roman"/>
          <w:vanish/>
        </w:rPr>
        <w:t>InvestorLLCMemberus-gaap:ConvertiblePreferredStockMembersrt:ScenarioForecastMemberus-gaap:SubsequentEventMemberus-gaap:PrivatePlacementMember2021-01-072021-03-100001158172scor:StarboardValueLPMemberscor:StarboardNotesMemberus-gaap:ConvertibleNotesPayableMe</w:t>
      </w:r>
      <w:r>
        <w:rPr>
          <w:rFonts w:eastAsia="Times New Roman"/>
          <w:vanish/>
        </w:rPr>
        <w:t>mber2020-12-310001158172us-gaap:CertificatesOfDepositMember2020-12-310001158172us-gaap:CertificatesOfDepositMember2019-12-310001158172srt:MinimumMember2020-01-012020-12-310001158172srt:MaximumMember2020-01-012020-12-310001158172srt:MinimumMemberus-gaap:Sof</w:t>
      </w:r>
      <w:r>
        <w:rPr>
          <w:rFonts w:eastAsia="Times New Roman"/>
          <w:vanish/>
        </w:rPr>
        <w:t>twareAndSoftwareDevelopmentCostsMember2020-01-012020-12-310001158172srt:MaximumMemberus-gaap:SoftwareAndSoftwareDevelopmentCostsMember2020-01-012020-12-3100011581722020-10-012020-10-010001158172scor:AcquiredMethodologiesTechnologyMembersrt:MinimumMember202</w:t>
      </w:r>
      <w:r>
        <w:rPr>
          <w:rFonts w:eastAsia="Times New Roman"/>
          <w:vanish/>
        </w:rPr>
        <w:t>0-01-012020-12-310001158172srt:MaximumMemberscor:AcquiredMethodologiesTechnologyMember2020-01-012020-12-310001158172scor:AcquiredSoftwareMember2020-01-012020-12-310001158172srt:MinimumMemberus-gaap:CustomerRelationshipsMember2020-01-012020-12-310001158172s</w:t>
      </w:r>
      <w:r>
        <w:rPr>
          <w:rFonts w:eastAsia="Times New Roman"/>
          <w:vanish/>
        </w:rPr>
        <w:t>rt:MaximumMemberus-gaap:CustomerRelationshipsMember2020-01-012020-12-310001158172us-gaap:IntellectualPropertyMembersrt:MinimumMember2020-01-012020-12-310001158172us-gaap:IntellectualPropertyMembersrt:MaximumMember2020-01-012020-12-310001158172srt:MinimumMe</w:t>
      </w:r>
      <w:r>
        <w:rPr>
          <w:rFonts w:eastAsia="Times New Roman"/>
          <w:vanish/>
        </w:rPr>
        <w:t>mberscor:PanelMember2020-01-012020-12-310001158172srt:MaximumMemberscor:PanelMember2020-01-012020-12-310001158172us-gaap:TradeNamesMembersrt:MinimumMember2020-01-012020-12-310001158172us-gaap:TradeNamesMembersrt:MaximumMember2020-01-012020-12-310001158172s</w:t>
      </w:r>
      <w:r>
        <w:rPr>
          <w:rFonts w:eastAsia="Times New Roman"/>
          <w:vanish/>
        </w:rPr>
        <w:t>rt:MinimumMemberus-gaap:OtherIntangibleAssetsMember2020-01-012020-12-310001158172srt:MaximumMemberus-gaap:OtherIntangibleAssetsMember2020-01-012020-12-310001158172us-gaap:MeasurementInputDiscountRateMemberus-gaap:IncomeApproachValuationTechniqueMember2020-</w:t>
      </w:r>
      <w:r>
        <w:rPr>
          <w:rFonts w:eastAsia="Times New Roman"/>
          <w:vanish/>
        </w:rPr>
        <w:t>06-300001158172srt:MinimumMember2020-12-310001158172srt:MaximumMember2020-12-310001158172scor:SubscriptionBasedRevenuesMemberus-gaap:TransferredOverTimeMembersrt:MinimumMember2020-01-012020-12-310001158172scor:SubscriptionBasedRevenuesMembersrt:MaximumMemb</w:t>
      </w:r>
      <w:r>
        <w:rPr>
          <w:rFonts w:eastAsia="Times New Roman"/>
          <w:vanish/>
        </w:rPr>
        <w:t>erus-gaap:TransferredOverTimeMember2020-01-012020-12-31scor:reporting_unit0001158172scor:RatingsandPlanningMember2020-01-012020-12-310001158172scor:RatingsandPlanningMember2019-01-012019-12-310001158172scor:RatingsandPlanningMember2018-01-012018-12-3100011</w:t>
      </w:r>
      <w:r>
        <w:rPr>
          <w:rFonts w:eastAsia="Times New Roman"/>
          <w:vanish/>
        </w:rPr>
        <w:t>58172scor:AnalyticsandOptimizationMember2020-01-012020-12-310001158172scor:AnalyticsandOptimizationMember2019-01-012019-12-310001158172scor:AnalyticsandOptimizationMember2018-01-012018-12-310001158172scor:MoviesReportingandAnalyticsMember2020-01-012020-12-</w:t>
      </w:r>
      <w:r>
        <w:rPr>
          <w:rFonts w:eastAsia="Times New Roman"/>
          <w:vanish/>
        </w:rPr>
        <w:t>310001158172scor:MoviesReportingandAnalyticsMember2019-01-012019-12-310001158172scor:MoviesReportingandAnalyticsMember2018-01-012018-12-310001158172srt:ReportableGeographicalComponentsMembercountry:US2020-01-012020-12-310001158172srt:ReportableGeographical</w:t>
      </w:r>
      <w:r>
        <w:rPr>
          <w:rFonts w:eastAsia="Times New Roman"/>
          <w:vanish/>
        </w:rPr>
        <w:t>ComponentsMembercountry:US2019-01-012019-12-310001158172srt:ReportableGeographicalComponentsMembercountry:US2018-01-012018-12-310001158172srt:ReportableGeographicalComponentsMembersrt:EuropeMember2020-01-012020-12-310001158172srt:ReportableGeographicalComp</w:t>
      </w:r>
      <w:r>
        <w:rPr>
          <w:rFonts w:eastAsia="Times New Roman"/>
          <w:vanish/>
        </w:rPr>
        <w:t>onentsMembersrt:EuropeMember2019-01-012019-12-310001158172srt:ReportableGeographicalComponentsMembersrt:EuropeMember2018-01-012018-12-310001158172srt:ReportableGeographicalComponentsMembersrt:LatinAmericaMember2020-01-012020-12-310001158172srt:ReportableGe</w:t>
      </w:r>
      <w:r>
        <w:rPr>
          <w:rFonts w:eastAsia="Times New Roman"/>
          <w:vanish/>
        </w:rPr>
        <w:t>ographicalComponentsMembersrt:LatinAmericaMember2019-01-012019-12-310001158172srt:ReportableGeographicalComponentsMembersrt:LatinAmericaMember2018-01-012018-12-310001158172srt:ReportableGeographicalComponentsMembercountry:CA2020-01-012020-12-310001158172sr</w:t>
      </w:r>
      <w:r>
        <w:rPr>
          <w:rFonts w:eastAsia="Times New Roman"/>
          <w:vanish/>
        </w:rPr>
        <w:t>t:ReportableGeographicalComponentsMembercountry:CA2019-01-012019-12-310001158172srt:ReportableGeographicalComponentsMembercountry:CA2018-01-012018-12-310001158172srt:ReportableGeographicalComponentsMemberscor:OtherCountryMember2020-01-012020-12-31000115817</w:t>
      </w:r>
      <w:r>
        <w:rPr>
          <w:rFonts w:eastAsia="Times New Roman"/>
          <w:vanish/>
        </w:rPr>
        <w:t>2srt:ReportableGeographicalComponentsMemberscor:OtherCountryMember2019-01-012019-12-310001158172srt:ReportableGeographicalComponentsMemberscor:OtherCountryMember2018-01-012018-12-310001158172us-gaap:TransferredAtPointInTimeMember2020-01-012020-12-310001158</w:t>
      </w:r>
      <w:r>
        <w:rPr>
          <w:rFonts w:eastAsia="Times New Roman"/>
          <w:vanish/>
        </w:rPr>
        <w:t>172us-gaap:TransferredAtPointInTimeMember2019-01-012019-12-310001158172us-gaap:TransferredAtPointInTimeMember2018-01-012018-12-310001158172us-gaap:TransferredOverTimeMember2020-01-012020-12-310001158172us-gaap:TransferredOverTimeMember2019-01-012019-12-310</w:t>
      </w:r>
      <w:r>
        <w:rPr>
          <w:rFonts w:eastAsia="Times New Roman"/>
          <w:vanish/>
        </w:rPr>
        <w:t>001158172us-gaap:TransferredOverTimeMember2018-01-012018-12-310001158172scor:ContractwithCustomerLiabilityCurrentMember2020-01-012020-12-310001158172scor:ContractwithCustomerLiabilityCurrentMember2019-01-012019-12-3100011581722021-01-012020-12-310001158172</w:t>
      </w:r>
      <w:r>
        <w:rPr>
          <w:rFonts w:eastAsia="Times New Roman"/>
          <w:vanish/>
        </w:rPr>
        <w:t>2022-01-012020-12-310001158172scor:StarboardValueLPMemberscor:InitialNotesIssuedJanuary162018Memberus-gaap:ConvertibleNotesPayableMember2018-01-160001158172scor:StarboardValueLPMemberscor:InitialNotesIssuedJanuary162018Memberus-gaap:ConvertibleNotesPayable</w:t>
      </w:r>
      <w:r>
        <w:rPr>
          <w:rFonts w:eastAsia="Times New Roman"/>
          <w:vanish/>
        </w:rPr>
        <w:t>Member2018-01-162018-01-160001158172scor:StarboardValueLPMemberscor:InitialNotesIssuedJanuary162018Memberus-gaap:ConvertibleNotesPayableMember2019-04-03scor:day0001158172scor:StarboardValueLPMemberscor:InitialNotesIssuedJanuary162018Membersrt:MinimumMember</w:t>
      </w:r>
      <w:r>
        <w:rPr>
          <w:rFonts w:eastAsia="Times New Roman"/>
          <w:vanish/>
        </w:rPr>
        <w:t>us-gaap:ConvertibleNotesPayableMember2018-01-160001158172scor:StarboardValueLPMembersrt:MaximumMemberscor:InitialNotesIssuedJanuary162018Memberus-gaap:ConvertibleNotesPayableMember2019-01-300001158172scor:StarboardValueLPMembersrt:MaximumMemberscor:Initial</w:t>
      </w:r>
      <w:r>
        <w:rPr>
          <w:rFonts w:eastAsia="Times New Roman"/>
          <w:vanish/>
        </w:rPr>
        <w:t>NotesIssuedJanuary162018Memberus-gaap:ConvertibleNotesPayableMember2020-01-300001158172scor:StarboardValueLPMembersrt:MaximumMemberscor:InitialNotesIssuedJanuary162018Memberus-gaap:ConvertibleNotesPayableMemberus-gaap:SubsequentEventMember2021-02-010001158</w:t>
      </w:r>
      <w:r>
        <w:rPr>
          <w:rFonts w:eastAsia="Times New Roman"/>
          <w:vanish/>
        </w:rPr>
        <w:t>172scor:StarboardValueLPMemberscor:ConvertibleBondModelValuationTechniqueMemberscor:InitialNotesIssuedJanuary162018Memberus-gaap:ConvertibleNotesPayableMemberus-gaap:MeasurementInputDiscountRateMember2018-01-160001158172scor:StarboardValueLPMemberscor:Conv</w:t>
      </w:r>
      <w:r>
        <w:rPr>
          <w:rFonts w:eastAsia="Times New Roman"/>
          <w:vanish/>
        </w:rPr>
        <w:t>ertibleBondModelValuationTechniqueMemberscor:InitialNotesIssuedJanuary162018Memberus-gaap:ConvertibleNotesPayableMember2018-01-160001158172us-gaap:MeasurementInputOptionVolatilityMemberscor:StarboardValueLPMemberscor:ConvertibleBondModelValuationTechniqueM</w:t>
      </w:r>
      <w:r>
        <w:rPr>
          <w:rFonts w:eastAsia="Times New Roman"/>
          <w:vanish/>
        </w:rPr>
        <w:t>emberscor:InitialNotesIssuedJanuary162018Memberus-gaap:ConvertibleNotesPayableMember2018-01-16utr:Y0001158172us-gaap:MeasurementInputExpectedTermMemberscor:StarboardValueLPMemberscor:ConvertibleBondModelValuationTechniqueMemberscor:InitialNotesIssuedJanuar</w:t>
      </w:r>
      <w:r>
        <w:rPr>
          <w:rFonts w:eastAsia="Times New Roman"/>
          <w:vanish/>
        </w:rPr>
        <w:t>y162018Memberus-gaap:ConvertibleNotesPayableMember2018-01-160001158172scor:StarboardValueLPMemberscor:ConvertibleBondModelValuationTechniqueMemberscor:InitialNotesIssuedJanuary162018Memberus-gaap:MeasurementInputRiskFreeInterestRateMemberus-gaap:Convertibl</w:t>
      </w:r>
      <w:r>
        <w:rPr>
          <w:rFonts w:eastAsia="Times New Roman"/>
          <w:vanish/>
        </w:rPr>
        <w:t>eNotesPayableMember2018-01-160001158172scor:StarboardValueLPMemberscor:InitialNotesIssuedJanuary162018Memberus-gaap:ConvertibleNotesPayableMember2020-07-012020-07-010001158172scor:StarboardValueLPMemberscor:InitialNotesIssuedJanuary162018Memberus-gaap:Conv</w:t>
      </w:r>
      <w:r>
        <w:rPr>
          <w:rFonts w:eastAsia="Times New Roman"/>
          <w:vanish/>
        </w:rPr>
        <w:t>ertibleNotesPayableMember2020-04-012020-04-010001158172scor:StarboardValueLPMemberscor:InitialNotesIssuedJanuary162018Memberus-gaap:ConvertibleNotesPayableMember2020-01-022020-01-020001158172scor:StarboardValueLPMemberscor:InitialNotesIssuedJanuary162018Me</w:t>
      </w:r>
      <w:r>
        <w:rPr>
          <w:rFonts w:eastAsia="Times New Roman"/>
          <w:vanish/>
        </w:rPr>
        <w:t>mberus-gaap:ConvertibleNotesPayableMember2020-12-310001158172scor:StarboardValueLPMemberscor:InitialNotesIssuedJanuary162018Memberus-gaap:ConvertibleNotesPayableMember2020-10-012020-10-010001158172scor:StarboardValueLPMemberscor:InitialNotesIssuedJanuary16</w:t>
      </w:r>
      <w:r>
        <w:rPr>
          <w:rFonts w:eastAsia="Times New Roman"/>
          <w:vanish/>
        </w:rPr>
        <w:t>2018Memberus-gaap:ConvertibleNotesPayableMemberus-gaap:SubsequentEventMember2021-01-252021-01-250001158172scor:StarboardValueLPMemberscor:OptionPricingModelValuationTechniqueMemberscor:InitialNotesIssuedJanuary162018Memberus-gaap:ConvertibleNotesPayableMem</w:t>
      </w:r>
      <w:r>
        <w:rPr>
          <w:rFonts w:eastAsia="Times New Roman"/>
          <w:vanish/>
        </w:rPr>
        <w:t>ber2018-01-160001158172us-gaap:MeasurementInputOptionVolatilityMemberscor:StarboardValueLPMemberscor:OptionPricingModelValuationTechniqueMemberscor:InitialNotesIssuedJanuary162018Memberus-gaap:ConvertibleNotesPayableMember2018-01-16scor:Month0001158172us-g</w:t>
      </w:r>
      <w:r>
        <w:rPr>
          <w:rFonts w:eastAsia="Times New Roman"/>
          <w:vanish/>
        </w:rPr>
        <w:t>aap:MeasurementInputExpectedTermMemberscor:StarboardValueLPMemberscor:OptionPricingModelValuationTechniqueMemberscor:InitialNotesIssuedJanuary162018Memberus-gaap:ConvertibleNotesPayableMember2018-01-160001158172scor:StarboardValueLPMemberscor:OptionPricing</w:t>
      </w:r>
      <w:r>
        <w:rPr>
          <w:rFonts w:eastAsia="Times New Roman"/>
          <w:vanish/>
        </w:rPr>
        <w:t>ModelValuationTechniqueMemberscor:InitialNotesIssuedJanuary162018Memberus-gaap:MeasurementInputRiskFreeInterestRateMemberus-gaap:ConvertibleNotesPayableMember2018-01-160001158172scor:StarboardValueLPMemberscor:MeasurementInputProbabilityRateMemberscor:Init</w:t>
      </w:r>
      <w:r>
        <w:rPr>
          <w:rFonts w:eastAsia="Times New Roman"/>
          <w:vanish/>
        </w:rPr>
        <w:t>ialNotesIssuedJanuary162018Membersrt:MinimumMemberus-gaap:ConvertibleNotesPayableMemberscor:ProbabilityAdjustedBinomialLatticeModelValuationTechniqueMember2018-01-160001158172scor:StarboardValueLPMemberscor:MeasurementInputProbabilityRateMembersrt:MaximumM</w:t>
      </w:r>
      <w:r>
        <w:rPr>
          <w:rFonts w:eastAsia="Times New Roman"/>
          <w:vanish/>
        </w:rPr>
        <w:t>emberscor:InitialNotesIssuedJanuary162018Memberus-gaap:ConvertibleNotesPayableMemberscor:ProbabilityAdjustedBinomialLatticeModelValuationTechniqueMember2018-01-160001158172us-gaap:MeasurementInputExpectedTermMemberscor:StarboardValueLPMemberscor:InitialNot</w:t>
      </w:r>
      <w:r>
        <w:rPr>
          <w:rFonts w:eastAsia="Times New Roman"/>
          <w:vanish/>
        </w:rPr>
        <w:t>esIssuedJanuary162018Memberus-gaap:ConvertibleNotesPayableMemberscor:ProbabilityAdjustedBinomialLatticeModelValuationTechniqueMember2018-01-160001158172scor:StarboardValueLPMemberscor:InitialNotesIssuedJanuary162018Memberus-gaap:MeasurementInputRiskFreeInt</w:t>
      </w:r>
      <w:r>
        <w:rPr>
          <w:rFonts w:eastAsia="Times New Roman"/>
          <w:vanish/>
        </w:rPr>
        <w:t>erestRateMemberus-gaap:ConvertibleNotesPayableMemberscor:ProbabilityAdjustedBinomialLatticeModelValuationTechniqueMember2018-01-160001158172scor:StarboardValueLPMemberscor:InitialNotesIssuedJanuary162018Memberus-gaap:ConvertibleNotesPayableMemberscor:Proba</w:t>
      </w:r>
      <w:r>
        <w:rPr>
          <w:rFonts w:eastAsia="Times New Roman"/>
          <w:vanish/>
        </w:rPr>
        <w:t>bilityAdjustedBinomialLatticeModelValuationTechniqueMember2018-01-160001158172scor:StarboardValueLPMemberscor:StarboardNotesMemberscor:DebtInstrumentCovenantPeriodTwoMemberus-gaap:ConvertibleNotesPayableMember2018-01-160001158172scor:StarboardValueLPMember</w:t>
      </w:r>
      <w:r>
        <w:rPr>
          <w:rFonts w:eastAsia="Times New Roman"/>
          <w:vanish/>
        </w:rPr>
        <w:t>scor:InitialNotesIssuedJanuary162018Memberus-gaap:ConvertibleNotesPayableMember2018-10-122018-10-120001158172scor:StarboardValueLPMemberscor:BlackScholesModelValuationTechniqueMemberscor:InitialNotesIssuedJanuary162018Memberus-gaap:ConvertibleNotesPayableM</w:t>
      </w:r>
      <w:r>
        <w:rPr>
          <w:rFonts w:eastAsia="Times New Roman"/>
          <w:vanish/>
        </w:rPr>
        <w:t>ember2018-01-160001158172us-gaap:MeasurementInputOptionVolatilityMemberscor:StarboardValueLPMemberscor:BlackScholesModelValuationTechniqueMemberscor:InitialNotesIssuedJanuary162018Memberus-gaap:ConvertibleNotesPayableMember2018-01-160001158172scor:Starboar</w:t>
      </w:r>
      <w:r>
        <w:rPr>
          <w:rFonts w:eastAsia="Times New Roman"/>
          <w:vanish/>
        </w:rPr>
        <w:t>dValueLPMemberscor:BlackScholesModelValuationTechniqueMemberscor:InitialNotesIssuedJanuary162018Memberus-gaap:MeasurementInputRiskFreeInterestRateMemberus-gaap:ConvertibleNotesPayableMember2018-01-160001158172us-gaap:MeasurementInputExpectedTermMemberscor:</w:t>
      </w:r>
      <w:r>
        <w:rPr>
          <w:rFonts w:eastAsia="Times New Roman"/>
          <w:vanish/>
        </w:rPr>
        <w:t>StarboardValueLPMemberscor:BlackScholesModelValuationTechniqueMemberscor:InitialNotesIssuedJanuary162018Memberus-gaap:ConvertibleNotesPayableMember2018-01-160001158172scor:StarboardValueLPMemberscor:BlackScholesModelValuationTechniqueMemberscor:InitialNote</w:t>
      </w:r>
      <w:r>
        <w:rPr>
          <w:rFonts w:eastAsia="Times New Roman"/>
          <w:vanish/>
        </w:rPr>
        <w:t>sIssuedJanuary162018Memberus-gaap:ConvertibleNotesPayableMemberus-gaap:MeasurementInputExpectedDividendPaymentMember2018-01-160001158172scor:StarboardValueLPMemberscor:BlackScholesModelValuationTechniqueMemberscor:InitialNotesIssuedJanuary162018Memberus-ga</w:t>
      </w:r>
      <w:r>
        <w:rPr>
          <w:rFonts w:eastAsia="Times New Roman"/>
          <w:vanish/>
        </w:rPr>
        <w:t>ap:ConvertibleNotesPayableMember2018-01-162018-01-160001158172scor:StarboardValueLPMemberscor:AdditionalNotesIssuedAugust82018Memberus-gaap:ConvertibleNotesPayableMember2018-08-080001158172scor:StarboardValueLPMemberscor:AdditionalInitialNotesIssuedAugust8</w:t>
      </w:r>
      <w:r>
        <w:rPr>
          <w:rFonts w:eastAsia="Times New Roman"/>
          <w:vanish/>
        </w:rPr>
        <w:t>2018Memberus-gaap:ConvertibleNotesPayableMember2018-08-080001158172scor:StarboardValueLPMemberscor:DebtInstrumentCovenantPeriodOneMemberscor:StarboardNotesMemberus-gaap:ConvertibleNotesPayableMember2018-11-130001158172scor:StarboardValueLPMemberscor:Initia</w:t>
      </w:r>
      <w:r>
        <w:rPr>
          <w:rFonts w:eastAsia="Times New Roman"/>
          <w:vanish/>
        </w:rPr>
        <w:t>lNotesIssuedJanuary162018Memberus-gaap:ConvertibleNotesPayableMember2018-11-130001158172scor:StarboardValueLPMemberscor:OptionNotesIssuedMay172018Memberus-gaap:ConvertibleNotesPayableMember2018-05-170001158172scor:StarboardValueLPMemberscor:OptionNotesIssu</w:t>
      </w:r>
      <w:r>
        <w:rPr>
          <w:rFonts w:eastAsia="Times New Roman"/>
          <w:vanish/>
        </w:rPr>
        <w:t>edMay172018Memberus-gaap:ConvertibleNotesPayableMember2018-05-172018-05-170001158172scor:StarboardValueLPMemberscor:OptionPricingModelValuationTechniqueMemberscor:OptionNotesIssuedMay172018Memberus-gaap:ConvertibleNotesPayableMember2018-05-170001158172us-g</w:t>
      </w:r>
      <w:r>
        <w:rPr>
          <w:rFonts w:eastAsia="Times New Roman"/>
          <w:vanish/>
        </w:rPr>
        <w:t>aap:MeasurementInputOptionVolatilityMemberscor:StarboardValueLPMemberscor:OptionPricingModelValuationTechniqueMemberscor:OptionNotesIssuedMay172018Memberus-gaap:ConvertibleNotesPayableMember2018-05-170001158172us-gaap:MeasurementInputExpectedTermMemberscor</w:t>
      </w:r>
      <w:r>
        <w:rPr>
          <w:rFonts w:eastAsia="Times New Roman"/>
          <w:vanish/>
        </w:rPr>
        <w:t>:StarboardValueLPMemberscor:OptionPricingModelValuationTechniqueMemberscor:OptionNotesIssuedMay172018Memberus-gaap:ConvertibleNotesPayableMember2018-05-170001158172scor:StarboardValueLPMemberscor:OptionPricingModelValuationTechniqueMemberscor:OptionNotesIs</w:t>
      </w:r>
      <w:r>
        <w:rPr>
          <w:rFonts w:eastAsia="Times New Roman"/>
          <w:vanish/>
        </w:rPr>
        <w:t>suedMay172018Memberus-gaap:MeasurementInputRiskFreeInterestRateMemberus-gaap:ConvertibleNotesPayableMember2018-05-170001158172scor:StarboardValueLPMemberscor:ConvertibleBondModelValuationTechniqueMemberscor:OptionNotesIssuedMay172018Memberus-gaap:Convertib</w:t>
      </w:r>
      <w:r>
        <w:rPr>
          <w:rFonts w:eastAsia="Times New Roman"/>
          <w:vanish/>
        </w:rPr>
        <w:t>leNotesPayableMemberus-gaap:MeasurementInputDiscountRateMember2018-05-170001158172scor:StarboardValueLPMemberscor:ConvertibleBondModelValuationTechniqueMemberscor:OptionNotesIssuedMay172018Memberus-gaap:ConvertibleNotesPayableMember2018-05-170001158172us-g</w:t>
      </w:r>
      <w:r>
        <w:rPr>
          <w:rFonts w:eastAsia="Times New Roman"/>
          <w:vanish/>
        </w:rPr>
        <w:t>aap:MeasurementInputOptionVolatilityMemberscor:StarboardValueLPMemberscor:ConvertibleBondModelValuationTechniqueMemberscor:OptionNotesIssuedMay172018Memberus-gaap:ConvertibleNotesPayableMember2018-05-170001158172us-gaap:MeasurementInputExpectedTermMembersc</w:t>
      </w:r>
      <w:r>
        <w:rPr>
          <w:rFonts w:eastAsia="Times New Roman"/>
          <w:vanish/>
        </w:rPr>
        <w:t>or:StarboardValueLPMemberscor:ConvertibleBondModelValuationTechniqueMemberscor:OptionNotesIssuedMay172018Memberus-gaap:ConvertibleNotesPayableMember2018-05-170001158172scor:StarboardValueLPMemberscor:ConvertibleBondModelValuationTechniqueMemberscor:OptionN</w:t>
      </w:r>
      <w:r>
        <w:rPr>
          <w:rFonts w:eastAsia="Times New Roman"/>
          <w:vanish/>
        </w:rPr>
        <w:t>otesIssuedMay172018Memberus-gaap:MeasurementInputRiskFreeInterestRateMemberus-gaap:ConvertibleNotesPayableMember2018-05-170001158172scor:StarboardValueLPMemberscor:MeasurementInputProbabilityRateMemberscor:OptionNotesIssuedMay172018Membersrt:MinimumMemberu</w:t>
      </w:r>
      <w:r>
        <w:rPr>
          <w:rFonts w:eastAsia="Times New Roman"/>
          <w:vanish/>
        </w:rPr>
        <w:t>s-gaap:ConvertibleNotesPayableMemberscor:ProbabilityAdjustedBinomialLatticeModelValuationTechniqueMember2018-05-170001158172scor:StarboardValueLPMemberscor:MeasurementInputProbabilityRateMemberscor:OptionNotesIssuedMay172018Membersrt:MaximumMemberus-gaap:C</w:t>
      </w:r>
      <w:r>
        <w:rPr>
          <w:rFonts w:eastAsia="Times New Roman"/>
          <w:vanish/>
        </w:rPr>
        <w:t>onvertibleNotesPayableMemberscor:ProbabilityAdjustedBinomialLatticeModelValuationTechniqueMember2018-05-170001158172us-gaap:MeasurementInputExpectedTermMemberscor:StarboardValueLPMemberscor:OptionNotesIssuedMay172018Memberus-gaap:ConvertibleNotesPayableMem</w:t>
      </w:r>
      <w:r>
        <w:rPr>
          <w:rFonts w:eastAsia="Times New Roman"/>
          <w:vanish/>
        </w:rPr>
        <w:t>berscor:ProbabilityAdjustedBinomialLatticeModelValuationTechniqueMember2018-05-170001158172scor:StarboardValueLPMemberscor:OptionNotesIssuedMay172018Memberus-gaap:MeasurementInputRiskFreeInterestRateMemberus-gaap:ConvertibleNotesPayableMemberscor:Probabili</w:t>
      </w:r>
      <w:r>
        <w:rPr>
          <w:rFonts w:eastAsia="Times New Roman"/>
          <w:vanish/>
        </w:rPr>
        <w:t>tyAdjustedBinomialLatticeModelValuationTechniqueMember2018-05-170001158172scor:StarboardValueLPMemberscor:OptionNotesIssuedMay172018Memberus-gaap:ConvertibleNotesPayableMemberscor:ProbabilityAdjustedBinomialLatticeModelValuationTechniqueMember2018-05-17000</w:t>
      </w:r>
      <w:r>
        <w:rPr>
          <w:rFonts w:eastAsia="Times New Roman"/>
          <w:vanish/>
        </w:rPr>
        <w:t>1158172scor:AdditionalOptionNotesIssuedAugust82018Memberscor:StarboardValueLPMemberus-gaap:ConvertibleNotesPayableMember2018-08-080001158172scor:StarboardValueLPMemberscor:StarboardNotesMemberscor:DebtInstrumentCovenantPeriodTwoMemberus-gaap:ConvertibleNot</w:t>
      </w:r>
      <w:r>
        <w:rPr>
          <w:rFonts w:eastAsia="Times New Roman"/>
          <w:vanish/>
        </w:rPr>
        <w:t>esPayableMember2019-08-060001158172scor:StarboardValueLPMemberscor:InitialNotesIssuedJanuary162018Memberscor:DebtInstrumentCovenantPeriodTwoMemberus-gaap:ConvertibleNotesPayableMember2019-11-062019-11-060001158172scor:StarboardValueLPMemberscor:InitialNote</w:t>
      </w:r>
      <w:r>
        <w:rPr>
          <w:rFonts w:eastAsia="Times New Roman"/>
          <w:vanish/>
        </w:rPr>
        <w:t>sIssuedJanuary162018Memberscor:DebtInstrumentCovenantPeriodTwoMemberus-gaap:ConvertibleNotesPayableMember2019-11-060001158172scor:StarboardValueLPMemberscor:InitialNotesIssuedJanuary162018Memberscor:DebtInstrumentCovenantPeriodOneMemberus-gaap:ConvertibleN</w:t>
      </w:r>
      <w:r>
        <w:rPr>
          <w:rFonts w:eastAsia="Times New Roman"/>
          <w:vanish/>
        </w:rPr>
        <w:t>otesPayableMember2019-11-060001158172scor:StarboardValueLPMemberscor:MeasurementInputProbabilityRateMemberus-gaap:ValuationTechniqueDiscountedCashFlowMemberscor:InitialNotesIssuedJanuary162018Membersrt:MinimumMemberus-gaap:ConvertibleNotesPayableMember2019</w:t>
      </w:r>
      <w:r>
        <w:rPr>
          <w:rFonts w:eastAsia="Times New Roman"/>
          <w:vanish/>
        </w:rPr>
        <w:t>-11-060001158172scor:StarboardValueLPMemberscor:MeasurementInputProbabilityRateMemberus-gaap:ValuationTechniqueDiscountedCashFlowMembersrt:MaximumMemberscor:InitialNotesIssuedJanuary162018Memberus-gaap:ConvertibleNotesPayableMember2019-11-060001158172us-ga</w:t>
      </w:r>
      <w:r>
        <w:rPr>
          <w:rFonts w:eastAsia="Times New Roman"/>
          <w:vanish/>
        </w:rPr>
        <w:t>ap:MeasurementInputExpectedTermMemberscor:StarboardValueLPMemberus-gaap:ValuationTechniqueDiscountedCashFlowMemberscor:InitialNotesIssuedJanuary162018Memberus-gaap:ConvertibleNotesPayableMember2019-11-060001158172scor:StarboardValueLPMemberus-gaap:Valuatio</w:t>
      </w:r>
      <w:r>
        <w:rPr>
          <w:rFonts w:eastAsia="Times New Roman"/>
          <w:vanish/>
        </w:rPr>
        <w:t>nTechniqueDiscountedCashFlowMemberscor:InitialNotesIssuedJanuary162018Memberus-gaap:ConvertibleNotesPayableMemberus-gaap:MeasurementInputDiscountRateMember2019-11-060001158172scor:StarboardValueLPMemberus-gaap:ValuationTechniqueDiscountedCashFlowMemberscor</w:t>
      </w:r>
      <w:r>
        <w:rPr>
          <w:rFonts w:eastAsia="Times New Roman"/>
          <w:vanish/>
        </w:rPr>
        <w:t>:InitialNotesIssuedJanuary162018Memberus-gaap:ConvertibleNotesPayableMember2019-11-060001158172scor:StarboardValueLPMemberscor:MakeWholeChangeOfControlMemberscor:InitialNotesIssuedJanuary162018Memberus-gaap:ConvertibleNotesPayableMember2019-11-060001158172</w:t>
      </w:r>
      <w:r>
        <w:rPr>
          <w:rFonts w:eastAsia="Times New Roman"/>
          <w:vanish/>
        </w:rPr>
        <w:t>scor:StarboardValueLPMemberscor:CombinedValueMakeWholeAndQualifyingChangeOfControlRedemptionMemberscor:InitialNotesIssuedJanuary162018Memberus-gaap:ConvertibleNotesPayableMember2019-11-060001158172scor:StarboardValueLPMemberscor:InitialNotesIssuedJanuary16</w:t>
      </w:r>
      <w:r>
        <w:rPr>
          <w:rFonts w:eastAsia="Times New Roman"/>
          <w:vanish/>
        </w:rPr>
        <w:t>2018Memberus-gaap:ConvertibleNotesPayableMember2019-11-060001158172scor:InitialNotesIssuedJanuary162018Memberus-gaap:ConvertibleNotesPayableMember2020-12-310001158172scor:OptionNotesIssuedMay172018Memberus-gaap:ConvertibleNotesPayableMember2020-12-31000115</w:t>
      </w:r>
      <w:r>
        <w:rPr>
          <w:rFonts w:eastAsia="Times New Roman"/>
          <w:vanish/>
        </w:rPr>
        <w:t>8172us-gaap:ConvertibleNotesPayableMember2020-12-310001158172scor:InitialNotesIssuedJanuary162018Memberus-gaap:ConvertibleNotesPayableMember2019-12-310001158172scor:OptionNotesIssuedMay172018Memberus-gaap:ConvertibleNotesPayableMember2019-12-310001158172us</w:t>
      </w:r>
      <w:r>
        <w:rPr>
          <w:rFonts w:eastAsia="Times New Roman"/>
          <w:vanish/>
        </w:rPr>
        <w:t>-gaap:ConvertibleNotesPayableMember2019-12-310001158172us-gaap:ConvertibleNotesPayableMember2020-01-012020-12-310001158172us-gaap:ConvertibleNotesPayableMember2019-01-012019-12-310001158172us-gaap:ConvertibleNotesPayableMemberus-gaap:FairValueInputsLevel3M</w:t>
      </w:r>
      <w:r>
        <w:rPr>
          <w:rFonts w:eastAsia="Times New Roman"/>
          <w:vanish/>
        </w:rPr>
        <w:t>ember2020-12-310001158172scor:StarboardValueLPMembersrt:MaximumMemberscor:StarboardRightsOfferingMemberus-gaap:ConvertibleNotesPayableMember2018-01-160001158172scor:StarboardValueLPMemberscor:StarboardRightsOfferingMemberus-gaap:ConvertibleNotesPayableMemb</w:t>
      </w:r>
      <w:r>
        <w:rPr>
          <w:rFonts w:eastAsia="Times New Roman"/>
          <w:vanish/>
        </w:rPr>
        <w:t>er2018-01-162018-01-160001158172scor:StarboardValueLPMemberscor:StarboardRightsOfferingMembersrt:MinimumMemberus-gaap:ConvertibleNotesPayableMember2018-01-160001158172scor:StarboardValueLPMemberscor:StarboardRightsOfferingMemberus-gaap:ConvertibleNotesPaya</w:t>
      </w:r>
      <w:r>
        <w:rPr>
          <w:rFonts w:eastAsia="Times New Roman"/>
          <w:vanish/>
        </w:rPr>
        <w:t>bleMember2018-01-160001158172scor:SecuredTermNoteMemberus-gaap:NotesPayableOtherPayablesMember2020-12-310001158172scor:SecuredTermNoteMemberus-gaap:NotesPayableOtherPayablesMember2020-01-012020-12-310001158172scor:SecuredTermNoteMemberus-gaap:FairValueInpu</w:t>
      </w:r>
      <w:r>
        <w:rPr>
          <w:rFonts w:eastAsia="Times New Roman"/>
          <w:vanish/>
        </w:rPr>
        <w:t>tsLevel3Memberus-gaap:NotesPayableOtherPayablesMember2020-12-310001158172scor:InterestMakeWholeDerivativeLiabilityMemberus-gaap:FairValueInputsLevel3Member2020-12-310001158172scor:WellsFargoBankN.A.Memberus-gaap:LetterOfCreditMember2020-12-310001158172scor</w:t>
      </w:r>
      <w:r>
        <w:rPr>
          <w:rFonts w:eastAsia="Times New Roman"/>
          <w:vanish/>
        </w:rPr>
        <w:t>:SaleLeasebackTransactionMember2019-06-012019-06-300001158172scor:SaleLeasebackTransactionMember2020-12-310001158172us-gaap:PrivatePlacementMember2019-06-260001158172scor:SeriesB1WarrantMemberus-gaap:PrivatePlacementMember2019-06-262019-06-260001158172scor</w:t>
      </w:r>
      <w:r>
        <w:rPr>
          <w:rFonts w:eastAsia="Times New Roman"/>
          <w:vanish/>
        </w:rPr>
        <w:t>:SeriesB1WarrantMemberus-gaap:PrivatePlacementMember2019-06-260001158172scor:SeriesB2WarrantMemberus-gaap:PrivatePlacementMember2019-06-262019-06-260001158172scor:SeriesB2WarrantMemberus-gaap:PrivatePlacementMember2019-06-260001158172scor:SeriesCWarrantMem</w:t>
      </w:r>
      <w:r>
        <w:rPr>
          <w:rFonts w:eastAsia="Times New Roman"/>
          <w:vanish/>
        </w:rPr>
        <w:t>berus-gaap:PrivatePlacementMember2019-06-262019-06-260001158172scor:SeriesCWarrantMemberus-gaap:PrivatePlacementMember2019-06-260001158172scor:SeriesAWarrantMember2019-10-142019-10-140001158172scor:SeriesAWarrantMemberus-gaap:PrivatePlacementMember2019-06-</w:t>
      </w:r>
      <w:r>
        <w:rPr>
          <w:rFonts w:eastAsia="Times New Roman"/>
          <w:vanish/>
        </w:rPr>
        <w:t>262019-06-260001158172scor:SeriesAWarrantMemberus-gaap:PrivatePlacementMember2019-06-260001158172us-gaap:MeasurementInputPriceVolatilityMemberus-gaap:PrivatePlacementMember2019-06-260001158172srt:MinimumMemberus-gaap:PrivatePlacementMember2019-06-260001158</w:t>
      </w:r>
      <w:r>
        <w:rPr>
          <w:rFonts w:eastAsia="Times New Roman"/>
          <w:vanish/>
        </w:rPr>
        <w:t>172srt:MaximumMemberus-gaap:PrivatePlacementMember2019-06-260001158172scor:MeasurementInputChangeOfControlProbabilityRateMembersrt:MinimumMemberus-gaap:PrivatePlacementMember2019-06-260001158172scor:MeasurementInputChangeOfControlProbabilityRateMembersrt:M</w:t>
      </w:r>
      <w:r>
        <w:rPr>
          <w:rFonts w:eastAsia="Times New Roman"/>
          <w:vanish/>
        </w:rPr>
        <w:t>aximumMemberus-gaap:PrivatePlacementMember2019-06-260001158172srt:MinimumMemberus-gaap:MeasurementInputRiskFreeInterestRateMemberus-gaap:PrivatePlacementMember2019-06-260001158172srt:MaximumMemberus-gaap:MeasurementInputRiskFreeInterestRateMemberus-gaap:Pr</w:t>
      </w:r>
      <w:r>
        <w:rPr>
          <w:rFonts w:eastAsia="Times New Roman"/>
          <w:vanish/>
        </w:rPr>
        <w:t>ivatePlacementMember2019-06-260001158172scor:MeasurementInputCostOfDebtMembersrt:MinimumMemberus-gaap:PrivatePlacementMember2019-06-260001158172scor:MeasurementInputCostOfDebtMembersrt:MaximumMemberus-gaap:PrivatePlacementMember2019-06-260001158172us-gaap:</w:t>
      </w:r>
      <w:r>
        <w:rPr>
          <w:rFonts w:eastAsia="Times New Roman"/>
          <w:vanish/>
        </w:rPr>
        <w:t>PrivatePlacementMemberus-gaap:MeasurementInputExpectedDividendPaymentMember2019-06-260001158172scor:SeriesAWarrantMember2019-06-260001158172scor:SeriesB1WarrantMember2019-06-260001158172scor:SeriesB2WarrantMember2019-06-260001158172scor:SeriesCWarrantMembe</w:t>
      </w:r>
      <w:r>
        <w:rPr>
          <w:rFonts w:eastAsia="Times New Roman"/>
          <w:vanish/>
        </w:rPr>
        <w:t>r2019-06-2600011581722019-06-260001158172us-gaap:PrivatePlacementMember2019-01-012019-12-310001158172us-gaap:GeneralAndAdministrativeExpenseMemberus-gaap:PrivatePlacementMember2019-01-012019-12-310001158172us-gaap:AdditionalPaidInCapitalMemberus-gaap:Priva</w:t>
      </w:r>
      <w:r>
        <w:rPr>
          <w:rFonts w:eastAsia="Times New Roman"/>
          <w:vanish/>
        </w:rPr>
        <w:t>tePlacementMember2019-01-012019-12-310001158172scor:EquityandIncentiveCompensationPlan2018Memberus-gaap:StockCompensationPlanMember2018-06-040001158172scor:EquityandIncentiveCompensationPlan2018Membersrt:MaximumMemberus-gaap:StockCompensationPlanMember2020</w:t>
      </w:r>
      <w:r>
        <w:rPr>
          <w:rFonts w:eastAsia="Times New Roman"/>
          <w:vanish/>
        </w:rPr>
        <w:t>-12-310001158172us-gaap:EmployeeStockOptionMember2020-01-012020-12-310001158172us-gaap:EmployeeStockOptionMember2019-01-012019-12-310001158172srt:MinimumMemberus-gaap:EmployeeStockOptionMember2019-01-012019-12-310001158172srt:MaximumMemberus-gaap:EmployeeS</w:t>
      </w:r>
      <w:r>
        <w:rPr>
          <w:rFonts w:eastAsia="Times New Roman"/>
          <w:vanish/>
        </w:rPr>
        <w:t>tockOptionMember2019-01-012019-12-310001158172scor:ExercisePriceOneMember2020-01-012020-12-310001158172scor:ExercisePriceOneMember2020-12-310001158172scor:ExercisePriceTwoMember2020-01-012020-12-310001158172scor:ExercisePriceTwoMember2020-12-310001158172sc</w:t>
      </w:r>
      <w:r>
        <w:rPr>
          <w:rFonts w:eastAsia="Times New Roman"/>
          <w:vanish/>
        </w:rPr>
        <w:t>or:ExercisePriceThreeMember2020-01-012020-12-310001158172scor:ExercisePriceThreeMember2020-12-310001158172scor:ExercisePriceFourMember2020-01-012020-12-310001158172scor:ExercisePriceFourMember2020-12-310001158172scor:EquityAndIncentiveCompensationPlan2019M</w:t>
      </w:r>
      <w:r>
        <w:rPr>
          <w:rFonts w:eastAsia="Times New Roman"/>
          <w:vanish/>
        </w:rPr>
        <w:t>emberscor:EmployeesDirectorsandCertainConsultantsMemberscor:TimebasedRestrictedStockUnitsMember2020-01-012020-12-310001158172scor:EquityandIncentiveCompensationPlan2018Memberscor:EmployeesDirectorsandCertainConsultantsMemberscor:TimebasedRestrictedStockUni</w:t>
      </w:r>
      <w:r>
        <w:rPr>
          <w:rFonts w:eastAsia="Times New Roman"/>
          <w:vanish/>
        </w:rPr>
        <w:t>tsMember2019-01-012019-12-310001158172scor:EquityandIncentiveCompensationPlan2018Memberscor:EmployeesDirectorsandCertainConsultantsMemberscor:MarketBasedRestrictedStockUnitsMember2019-01-012019-12-310001158172scor:EmployeesDirectorsandCertainConsultantsMem</w:t>
      </w:r>
      <w:r>
        <w:rPr>
          <w:rFonts w:eastAsia="Times New Roman"/>
          <w:vanish/>
        </w:rPr>
        <w:t>berscor:TimebasedRestrictedStockUnitsMember2019-01-012019-12-310001158172scor:EquityandIncentiveCompensationPlan2018Memberscor:EmployeesDirectorsandCertainConsultantsMembersrt:MinimumMemberscor:TimebasedRestrictedStockUnitsMember2019-01-012019-12-310001158</w:t>
      </w:r>
      <w:r>
        <w:rPr>
          <w:rFonts w:eastAsia="Times New Roman"/>
          <w:vanish/>
        </w:rPr>
        <w:t>172scor:EquityandIncentiveCompensationPlan2018Membersrt:MaximumMemberscor:EmployeesDirectorsandCertainConsultantsMemberscor:TimebasedRestrictedStockUnitsMember2019-01-012019-12-310001158172scor:EquityandIncentiveCompensationPlan2018Memberscor:EmployeesDire</w:t>
      </w:r>
      <w:r>
        <w:rPr>
          <w:rFonts w:eastAsia="Times New Roman"/>
          <w:vanish/>
        </w:rPr>
        <w:t>ctorsandCertainConsultantsMemberscor:TimebasedRestrictedStockUnitsMember2018-01-012018-12-310001158172scor:EquityandIncentiveCompensationPlan2018Memberscor:PerformancebasedRestrictedStockUnitsMemberscor:EmployeesDirectorsandCertainConsultantsMember2018-01-</w:t>
      </w:r>
      <w:r>
        <w:rPr>
          <w:rFonts w:eastAsia="Times New Roman"/>
          <w:vanish/>
        </w:rPr>
        <w:t>012018-12-310001158172scor:EquityandIncentiveCompensationPlan2018Memberscor:EmployeesDirectorsandCertainConsultantsMemberscor:MarketBasedRestrictedStockUnitsMember2018-01-012018-12-310001158172scor:EmployeesDirectorsandCertainConsultantsMemberscor:Timebase</w:t>
      </w:r>
      <w:r>
        <w:rPr>
          <w:rFonts w:eastAsia="Times New Roman"/>
          <w:vanish/>
        </w:rPr>
        <w:t>dRestrictedStockUnitsMember2018-01-012018-12-310001158172srt:ChiefExecutiveOfficerMemberscor:TimebasedRestrictedStockUnitsMember2018-01-012018-12-310001158172scor:EquityandIncentiveCompensationPlan2018Memberscor:EmployeesDirectorsandCertainConsultantsMembe</w:t>
      </w:r>
      <w:r>
        <w:rPr>
          <w:rFonts w:eastAsia="Times New Roman"/>
          <w:vanish/>
        </w:rPr>
        <w:t>rsrt:MinimumMemberscor:TimebasedRestrictedStockUnitsMember2018-01-012018-12-310001158172scor:EquityandIncentiveCompensationPlan2018Membersrt:MaximumMemberscor:EmployeesDirectorsandCertainConsultantsMemberscor:TimebasedRestrictedStockUnitsMember2018-01-0120</w:t>
      </w:r>
      <w:r>
        <w:rPr>
          <w:rFonts w:eastAsia="Times New Roman"/>
          <w:vanish/>
        </w:rPr>
        <w:t>18-12-310001158172us-gaap:RestrictedStockUnitsRSUMemberscor:EmployeesDirectorsandCertainConsultantsMember2019-01-012019-12-310001158172us-gaap:RestrictedStockUnitsRSUMemberscor:EmployeesDirectorsandCertainConsultantsMember2018-01-012018-12-310001158172us-g</w:t>
      </w:r>
      <w:r>
        <w:rPr>
          <w:rFonts w:eastAsia="Times New Roman"/>
          <w:vanish/>
        </w:rPr>
        <w:t>aap:RestrictedStockUnitsRSUMemberscor:EmployeesDirectorsandCertainConsultantsMember2020-01-012020-12-310001158172us-gaap:RestrictedStockUnitsRSUMembersrt:ExecutiveOfficerMember2020-01-012020-12-310001158172us-gaap:RestrictedStockUnitsRSUMembersrt:Executive</w:t>
      </w:r>
      <w:r>
        <w:rPr>
          <w:rFonts w:eastAsia="Times New Roman"/>
          <w:vanish/>
        </w:rPr>
        <w:t>OfficerMember2019-01-012019-12-310001158172us-gaap:RestrictedStockUnitsRSUMembersrt:ExecutiveOfficerMember2018-01-012018-12-310001158172us-gaap:RestrictedStockUnitsRSUMember2017-12-310001158172us-gaap:RestrictedStockUnitsRSUMember2018-01-012018-12-31000115</w:t>
      </w:r>
      <w:r>
        <w:rPr>
          <w:rFonts w:eastAsia="Times New Roman"/>
          <w:vanish/>
        </w:rPr>
        <w:t>8172us-gaap:RestrictedStockUnitsRSUMember2018-12-310001158172us-gaap:RestrictedStockUnitsRSUMember2019-01-012019-12-310001158172us-gaap:RestrictedStockUnitsRSUMember2019-12-310001158172us-gaap:RestrictedStockUnitsRSUMember2020-01-012020-12-310001158172us-g</w:t>
      </w:r>
      <w:r>
        <w:rPr>
          <w:rFonts w:eastAsia="Times New Roman"/>
          <w:vanish/>
        </w:rPr>
        <w:t>aap:RestrictedStockUnitsRSUMember2020-12-310001158172scor:RestrictedStockAndRestrictedStockUnitsMember2020-12-310001158172scor:RestrictedStockAndRestrictedStockUnitsMember2019-12-310001158172scor:RestrictedStockAndRestrictedStockUnitsMember2018-12-31000115</w:t>
      </w:r>
      <w:r>
        <w:rPr>
          <w:rFonts w:eastAsia="Times New Roman"/>
          <w:vanish/>
        </w:rPr>
        <w:t>8172scor:RestrictedStockAndRestrictedStockUnitsMember2020-01-012020-12-310001158172us-gaap:FairValueMeasurementsRecurringMemberus-gaap:FairValueInputsLevel1Memberus-gaap:MoneyMarketFundsMember2020-12-310001158172us-gaap:FairValueMeasurementsRecurringMember</w:t>
      </w:r>
      <w:r>
        <w:rPr>
          <w:rFonts w:eastAsia="Times New Roman"/>
          <w:vanish/>
        </w:rPr>
        <w:t>us-gaap:FairValueInputsLevel2Memberus-gaap:MoneyMarketFundsMember2020-12-310001158172us-gaap:FairValueMeasurementsRecurringMemberus-gaap:MoneyMarketFundsMemberus-gaap:FairValueInputsLevel3Member2020-12-310001158172us-gaap:FairValueMeasurementsRecurringMemb</w:t>
      </w:r>
      <w:r>
        <w:rPr>
          <w:rFonts w:eastAsia="Times New Roman"/>
          <w:vanish/>
        </w:rPr>
        <w:t>erus-gaap:MoneyMarketFundsMember2020-12-310001158172us-gaap:FairValueMeasurementsRecurringMemberus-gaap:FairValueInputsLevel1Memberus-gaap:MoneyMarketFundsMember2019-12-310001158172us-gaap:FairValueMeasurementsRecurringMemberus-gaap:FairValueInputsLevel2Me</w:t>
      </w:r>
      <w:r>
        <w:rPr>
          <w:rFonts w:eastAsia="Times New Roman"/>
          <w:vanish/>
        </w:rPr>
        <w:t>mberus-gaap:MoneyMarketFundsMember2019-12-310001158172us-gaap:FairValueMeasurementsRecurringMemberus-gaap:MoneyMarketFundsMemberus-gaap:FairValueInputsLevel3Member2019-12-310001158172us-gaap:FairValueMeasurementsRecurringMemberus-gaap:MoneyMarketFundsMembe</w:t>
      </w:r>
      <w:r>
        <w:rPr>
          <w:rFonts w:eastAsia="Times New Roman"/>
          <w:vanish/>
        </w:rPr>
        <w:t>r2019-12-310001158172us-gaap:FairValueMeasurementsRecurringMemberus-gaap:FairValueInputsLevel1Memberus-gaap:CertificatesOfDepositMember2020-12-310001158172us-gaap:FairValueMeasurementsRecurringMemberus-gaap:FairValueInputsLevel2Memberus-gaap:CertificatesOf</w:t>
      </w:r>
      <w:r>
        <w:rPr>
          <w:rFonts w:eastAsia="Times New Roman"/>
          <w:vanish/>
        </w:rPr>
        <w:t>DepositMember2020-12-310001158172us-gaap:FairValueMeasurementsRecurringMemberus-gaap:CertificatesOfDepositMemberus-gaap:FairValueInputsLevel3Member2020-12-310001158172us-gaap:FairValueMeasurementsRecurringMemberus-gaap:CertificatesOfDepositMember2020-12-31</w:t>
      </w:r>
      <w:r>
        <w:rPr>
          <w:rFonts w:eastAsia="Times New Roman"/>
          <w:vanish/>
        </w:rPr>
        <w:t>0001158172us-gaap:FairValueMeasurementsRecurringMemberus-gaap:FairValueInputsLevel1Memberus-gaap:CertificatesOfDepositMember2019-12-310001158172us-gaap:FairValueMeasurementsRecurringMemberus-gaap:FairValueInputsLevel2Memberus-gaap:CertificatesOfDepositMemb</w:t>
      </w:r>
      <w:r>
        <w:rPr>
          <w:rFonts w:eastAsia="Times New Roman"/>
          <w:vanish/>
        </w:rPr>
        <w:t>er2019-12-310001158172us-gaap:FairValueMeasurementsRecurringMemberus-gaap:CertificatesOfDepositMemberus-gaap:FairValueInputsLevel3Member2019-12-310001158172us-gaap:FairValueMeasurementsRecurringMemberus-gaap:CertificatesOfDepositMember2019-12-310001158172u</w:t>
      </w:r>
      <w:r>
        <w:rPr>
          <w:rFonts w:eastAsia="Times New Roman"/>
          <w:vanish/>
        </w:rPr>
        <w:t>s-gaap:FairValueMeasurementsRecurringMemberus-gaap:FairValueInputsLevel1Member2020-12-310001158172us-gaap:FairValueMeasurementsRecurringMemberus-gaap:FairValueInputsLevel2Member2020-12-310001158172us-gaap:FairValueMeasurementsRecurringMemberus-gaap:FairVal</w:t>
      </w:r>
      <w:r>
        <w:rPr>
          <w:rFonts w:eastAsia="Times New Roman"/>
          <w:vanish/>
        </w:rPr>
        <w:t>ueInputsLevel3Member2020-12-310001158172us-gaap:FairValueMeasurementsRecurringMember2020-12-310001158172us-gaap:FairValueMeasurementsRecurringMemberus-gaap:FairValueInputsLevel1Member2019-12-310001158172us-gaap:FairValueMeasurementsRecurringMemberus-gaap:F</w:t>
      </w:r>
      <w:r>
        <w:rPr>
          <w:rFonts w:eastAsia="Times New Roman"/>
          <w:vanish/>
        </w:rPr>
        <w:t>airValueInputsLevel2Member2019-12-310001158172us-gaap:FairValueMeasurementsRecurringMemberus-gaap:FairValueInputsLevel3Member2019-12-310001158172us-gaap:FairValueMeasurementsRecurringMember2019-12-310001158172us-gaap:FairValueMeasurementsRecurringMemberus-</w:t>
      </w:r>
      <w:r>
        <w:rPr>
          <w:rFonts w:eastAsia="Times New Roman"/>
          <w:vanish/>
        </w:rPr>
        <w:t>gaap:FairValueInputsLevel1Memberus-gaap:InterestRateContractMemberus-gaap:NondesignatedMember2020-12-310001158172us-gaap:FairValueMeasurementsRecurringMemberus-gaap:FairValueInputsLevel2Memberus-gaap:InterestRateContractMemberus-gaap:NondesignatedMember202</w:t>
      </w:r>
      <w:r>
        <w:rPr>
          <w:rFonts w:eastAsia="Times New Roman"/>
          <w:vanish/>
        </w:rPr>
        <w:t>0-12-310001158172us-gaap:FairValueMeasurementsRecurringMemberus-gaap:InterestRateContractMemberus-gaap:NondesignatedMemberus-gaap:FairValueInputsLevel3Member2020-12-310001158172us-gaap:FairValueMeasurementsRecurringMemberus-gaap:InterestRateContractMemberu</w:t>
      </w:r>
      <w:r>
        <w:rPr>
          <w:rFonts w:eastAsia="Times New Roman"/>
          <w:vanish/>
        </w:rPr>
        <w:t>s-gaap:NondesignatedMember2020-12-310001158172us-gaap:FairValueMeasurementsRecurringMemberus-gaap:FairValueInputsLevel1Memberus-gaap:InterestRateContractMemberus-gaap:NondesignatedMember2019-12-310001158172us-gaap:FairValueMeasurementsRecurringMemberus-gaa</w:t>
      </w:r>
      <w:r>
        <w:rPr>
          <w:rFonts w:eastAsia="Times New Roman"/>
          <w:vanish/>
        </w:rPr>
        <w:t>p:FairValueInputsLevel2Memberus-gaap:InterestRateContractMemberus-gaap:NondesignatedMember2019-12-310001158172us-gaap:FairValueMeasurementsRecurringMemberus-gaap:InterestRateContractMemberus-gaap:NondesignatedMemberus-gaap:FairValueInputsLevel3Member2019-1</w:t>
      </w:r>
      <w:r>
        <w:rPr>
          <w:rFonts w:eastAsia="Times New Roman"/>
          <w:vanish/>
        </w:rPr>
        <w:t>2-310001158172us-gaap:FairValueMeasurementsRecurringMemberus-gaap:InterestRateContractMemberus-gaap:NondesignatedMember2019-12-310001158172us-gaap:FairValueMeasurementsRecurringMemberus-gaap:FairValueInputsLevel1Memberscor:MakeWholeChangeOfControlMemberus-</w:t>
      </w:r>
      <w:r>
        <w:rPr>
          <w:rFonts w:eastAsia="Times New Roman"/>
          <w:vanish/>
        </w:rPr>
        <w:t>gaap:NondesignatedMember2020-12-310001158172us-gaap:FairValueMeasurementsRecurringMemberscor:MakeWholeChangeOfControlMemberus-gaap:FairValueInputsLevel2Memberus-gaap:NondesignatedMember2020-12-310001158172us-gaap:FairValueMeasurementsRecurringMemberscor:Ma</w:t>
      </w:r>
      <w:r>
        <w:rPr>
          <w:rFonts w:eastAsia="Times New Roman"/>
          <w:vanish/>
        </w:rPr>
        <w:t>keWholeChangeOfControlMemberus-gaap:NondesignatedMemberus-gaap:FairValueInputsLevel3Member2020-12-310001158172us-gaap:FairValueMeasurementsRecurringMemberscor:MakeWholeChangeOfControlMemberus-gaap:NondesignatedMember2020-12-310001158172us-gaap:FairValueMea</w:t>
      </w:r>
      <w:r>
        <w:rPr>
          <w:rFonts w:eastAsia="Times New Roman"/>
          <w:vanish/>
        </w:rPr>
        <w:t>surementsRecurringMemberus-gaap:FairValueInputsLevel1Memberscor:MakeWholeChangeOfControlMemberus-gaap:NondesignatedMember2019-12-310001158172us-gaap:FairValueMeasurementsRecurringMemberscor:MakeWholeChangeOfControlMemberus-gaap:FairValueInputsLevel2Memberu</w:t>
      </w:r>
      <w:r>
        <w:rPr>
          <w:rFonts w:eastAsia="Times New Roman"/>
          <w:vanish/>
        </w:rPr>
        <w:t>s-gaap:NondesignatedMember2019-12-310001158172us-gaap:FairValueMeasurementsRecurringMemberscor:MakeWholeChangeOfControlMemberus-gaap:NondesignatedMemberus-gaap:FairValueInputsLevel3Member2019-12-310001158172us-gaap:FairValueMeasurementsRecurringMemberscor:</w:t>
      </w:r>
      <w:r>
        <w:rPr>
          <w:rFonts w:eastAsia="Times New Roman"/>
          <w:vanish/>
        </w:rPr>
        <w:t>MakeWholeChangeOfControlMemberus-gaap:NondesignatedMember2019-12-310001158172us-gaap:FairValueMeasurementsRecurringMemberus-gaap:FairValueInputsLevel1Memberscor:QualifyingChangeOfControlMemberus-gaap:NondesignatedMember2020-12-310001158172us-gaap:FairValue</w:t>
      </w:r>
      <w:r>
        <w:rPr>
          <w:rFonts w:eastAsia="Times New Roman"/>
          <w:vanish/>
        </w:rPr>
        <w:t>MeasurementsRecurringMemberus-gaap:FairValueInputsLevel2Memberscor:QualifyingChangeOfControlMemberus-gaap:NondesignatedMember2020-12-310001158172us-gaap:FairValueMeasurementsRecurringMemberscor:QualifyingChangeOfControlMemberus-gaap:NondesignatedMemberus-g</w:t>
      </w:r>
      <w:r>
        <w:rPr>
          <w:rFonts w:eastAsia="Times New Roman"/>
          <w:vanish/>
        </w:rPr>
        <w:t>aap:FairValueInputsLevel3Member2020-12-310001158172us-gaap:FairValueMeasurementsRecurringMemberscor:QualifyingChangeOfControlMemberus-gaap:NondesignatedMember2020-12-310001158172us-gaap:FairValueMeasurementsRecurringMemberus-gaap:FairValueInputsLevel1Membe</w:t>
      </w:r>
      <w:r>
        <w:rPr>
          <w:rFonts w:eastAsia="Times New Roman"/>
          <w:vanish/>
        </w:rPr>
        <w:t>rscor:QualifyingChangeOfControlMemberus-gaap:NondesignatedMember2019-12-310001158172us-gaap:FairValueMeasurementsRecurringMemberus-gaap:FairValueInputsLevel2Memberscor:QualifyingChangeOfControlMemberus-gaap:NondesignatedMember2019-12-310001158172us-gaap:Fa</w:t>
      </w:r>
      <w:r>
        <w:rPr>
          <w:rFonts w:eastAsia="Times New Roman"/>
          <w:vanish/>
        </w:rPr>
        <w:t>irValueMeasurementsRecurringMemberscor:QualifyingChangeOfControlMemberus-gaap:NondesignatedMemberus-gaap:FairValueInputsLevel3Member2019-12-310001158172us-gaap:FairValueMeasurementsRecurringMemberscor:QualifyingChangeOfControlMemberus-gaap:NondesignatedMem</w:t>
      </w:r>
      <w:r>
        <w:rPr>
          <w:rFonts w:eastAsia="Times New Roman"/>
          <w:vanish/>
        </w:rPr>
        <w:t>ber2019-12-310001158172us-gaap:FairValueMeasurementsRecurringMemberus-gaap:FairValueInputsLevel1Memberscor:SeriesAWarrantMember2020-12-310001158172us-gaap:FairValueMeasurementsRecurringMemberscor:SeriesAWarrantMemberus-gaap:FairValueInputsLevel2Member2020-</w:t>
      </w:r>
      <w:r>
        <w:rPr>
          <w:rFonts w:eastAsia="Times New Roman"/>
          <w:vanish/>
        </w:rPr>
        <w:t>12-310001158172us-gaap:FairValueMeasurementsRecurringMemberscor:SeriesAWarrantMemberus-gaap:FairValueInputsLevel3Member2020-12-310001158172us-gaap:FairValueMeasurementsRecurringMemberscor:SeriesAWarrantMember2020-12-310001158172us-gaap:FairValueMeasurement</w:t>
      </w:r>
      <w:r>
        <w:rPr>
          <w:rFonts w:eastAsia="Times New Roman"/>
          <w:vanish/>
        </w:rPr>
        <w:t>sRecurringMemberus-gaap:FairValueInputsLevel1Memberscor:SeriesAWarrantMember2019-12-310001158172us-gaap:FairValueMeasurementsRecurringMemberscor:SeriesAWarrantMemberus-gaap:FairValueInputsLevel2Member2019-12-310001158172us-gaap:FairValueMeasurementsRecurri</w:t>
      </w:r>
      <w:r>
        <w:rPr>
          <w:rFonts w:eastAsia="Times New Roman"/>
          <w:vanish/>
        </w:rPr>
        <w:t>ngMemberscor:SeriesAWarrantMemberus-gaap:FairValueInputsLevel3Member2019-12-310001158172us-gaap:FairValueMeasurementsRecurringMemberscor:SeriesAWarrantMember2019-12-310001158172us-gaap:FairValueMeasurementsRecurringMemberus-gaap:FairValueInputsLevel1Member</w:t>
      </w:r>
      <w:r>
        <w:rPr>
          <w:rFonts w:eastAsia="Times New Roman"/>
          <w:vanish/>
        </w:rPr>
        <w:t>scor:SeriesB2WarrantMember2020-12-310001158172us-gaap:FairValueMeasurementsRecurringMemberus-gaap:FairValueInputsLevel2Memberscor:SeriesB2WarrantMember2020-12-310001158172us-gaap:FairValueMeasurementsRecurringMemberscor:SeriesB2WarrantMemberus-gaap:FairVal</w:t>
      </w:r>
      <w:r>
        <w:rPr>
          <w:rFonts w:eastAsia="Times New Roman"/>
          <w:vanish/>
        </w:rPr>
        <w:t>ueInputsLevel3Member2020-12-310001158172us-gaap:FairValueMeasurementsRecurringMemberscor:SeriesB2WarrantMember2020-12-310001158172us-gaap:FairValueMeasurementsRecurringMemberus-gaap:FairValueInputsLevel1Memberscor:SeriesB2WarrantMember2019-12-310001158172u</w:t>
      </w:r>
      <w:r>
        <w:rPr>
          <w:rFonts w:eastAsia="Times New Roman"/>
          <w:vanish/>
        </w:rPr>
        <w:t>s-gaap:FairValueMeasurementsRecurringMemberus-gaap:FairValueInputsLevel2Memberscor:SeriesB2WarrantMember2019-12-310001158172us-gaap:FairValueMeasurementsRecurringMemberscor:SeriesB2WarrantMemberus-gaap:FairValueInputsLevel3Member2019-12-310001158172us-gaap</w:t>
      </w:r>
      <w:r>
        <w:rPr>
          <w:rFonts w:eastAsia="Times New Roman"/>
          <w:vanish/>
        </w:rPr>
        <w:t>:FairValueMeasurementsRecurringMemberscor:SeriesB2WarrantMember2019-12-310001158172us-gaap:FairValueMeasurementsRecurringMemberus-gaap:FairValueInputsLevel1Memberscor:InterestMakeWholeDerivativeLiabilityMember2020-12-310001158172us-gaap:FairValueMeasuremen</w:t>
      </w:r>
      <w:r>
        <w:rPr>
          <w:rFonts w:eastAsia="Times New Roman"/>
          <w:vanish/>
        </w:rPr>
        <w:t>tsRecurringMemberus-gaap:FairValueInputsLevel2Memberscor:InterestMakeWholeDerivativeLiabilityMember2020-12-310001158172us-gaap:FairValueMeasurementsRecurringMemberscor:InterestMakeWholeDerivativeLiabilityMemberus-gaap:FairValueInputsLevel3Member2020-12-310</w:t>
      </w:r>
      <w:r>
        <w:rPr>
          <w:rFonts w:eastAsia="Times New Roman"/>
          <w:vanish/>
        </w:rPr>
        <w:t>001158172us-gaap:FairValueMeasurementsRecurringMemberscor:InterestMakeWholeDerivativeLiabilityMember2020-12-310001158172us-gaap:FairValueMeasurementsRecurringMemberus-gaap:FairValueInputsLevel1Memberscor:InterestMakeWholeDerivativeLiabilityMember2019-12-31</w:t>
      </w:r>
      <w:r>
        <w:rPr>
          <w:rFonts w:eastAsia="Times New Roman"/>
          <w:vanish/>
        </w:rPr>
        <w:t>0001158172us-gaap:FairValueMeasurementsRecurringMemberus-gaap:FairValueInputsLevel2Memberscor:InterestMakeWholeDerivativeLiabilityMember2019-12-310001158172us-gaap:FairValueMeasurementsRecurringMemberscor:InterestMakeWholeDerivativeLiabilityMemberus-gaap:F</w:t>
      </w:r>
      <w:r>
        <w:rPr>
          <w:rFonts w:eastAsia="Times New Roman"/>
          <w:vanish/>
        </w:rPr>
        <w:t>airValueInputsLevel3Member2019-12-310001158172us-gaap:FairValueMeasurementsRecurringMemberscor:InterestMakeWholeDerivativeLiabilityMember2019-12-310001158172us-gaap:FairValueInputsLevel1Member2020-12-310001158172us-gaap:DerivativeFinancialInstrumentsLiabil</w:t>
      </w:r>
      <w:r>
        <w:rPr>
          <w:rFonts w:eastAsia="Times New Roman"/>
          <w:vanish/>
        </w:rPr>
        <w:t>itiesMemberus-gaap:FairValueInputsLevel3Member2018-12-310001158172us-gaap:WarrantMemberus-gaap:FairValueInputsLevel3Member2018-12-310001158172scor:InterestMakeWholeDerivativeLiabilityMemberus-gaap:FairValueInputsLevel3Member2018-12-310001158172us-gaap:Deri</w:t>
      </w:r>
      <w:r>
        <w:rPr>
          <w:rFonts w:eastAsia="Times New Roman"/>
          <w:vanish/>
        </w:rPr>
        <w:t>vativeFinancialInstrumentsLiabilitiesMemberus-gaap:FairValueInputsLevel3Member2019-01-012019-12-310001158172us-gaap:WarrantMemberus-gaap:FairValueInputsLevel3Member2019-01-012019-12-310001158172scor:InterestMakeWholeDerivativeLiabilityMemberus-gaap:FairVal</w:t>
      </w:r>
      <w:r>
        <w:rPr>
          <w:rFonts w:eastAsia="Times New Roman"/>
          <w:vanish/>
        </w:rPr>
        <w:t>ueInputsLevel3Member2019-01-012019-12-310001158172us-gaap:DerivativeFinancialInstrumentsLiabilitiesMemberus-gaap:FairValueInputsLevel3Member2019-12-310001158172us-gaap:WarrantMemberus-gaap:FairValueInputsLevel3Member2019-12-310001158172scor:InterestMakeWho</w:t>
      </w:r>
      <w:r>
        <w:rPr>
          <w:rFonts w:eastAsia="Times New Roman"/>
          <w:vanish/>
        </w:rPr>
        <w:t>leDerivativeLiabilityMemberus-gaap:FairValueInputsLevel3Member2019-12-310001158172us-gaap:DerivativeFinancialInstrumentsLiabilitiesMemberus-gaap:FairValueInputsLevel3Member2020-01-012020-12-310001158172us-gaap:WarrantMemberus-gaap:FairValueInputsLevel3Memb</w:t>
      </w:r>
      <w:r>
        <w:rPr>
          <w:rFonts w:eastAsia="Times New Roman"/>
          <w:vanish/>
        </w:rPr>
        <w:t>er2020-01-012020-12-310001158172scor:InterestMakeWholeDerivativeLiabilityMemberus-gaap:FairValueInputsLevel3Member2020-01-012020-12-310001158172us-gaap:DerivativeFinancialInstrumentsLiabilitiesMemberus-gaap:FairValueInputsLevel3Member2020-12-310001158172us</w:t>
      </w:r>
      <w:r>
        <w:rPr>
          <w:rFonts w:eastAsia="Times New Roman"/>
          <w:vanish/>
        </w:rPr>
        <w:t>-gaap:WarrantMemberus-gaap:FairValueInputsLevel3Member2020-12-310001158172us-gaap:InterestRateContractMemberus-gaap:FairValueInputsLevel3Member2019-01-012019-12-310001158172scor:ChangeinControlMemberus-gaap:FairValueInputsLevel3Member2019-01-012019-12-3100</w:t>
      </w:r>
      <w:r>
        <w:rPr>
          <w:rFonts w:eastAsia="Times New Roman"/>
          <w:vanish/>
        </w:rPr>
        <w:t>01158172us-gaap:WarrantMemberscor:SeriesAWarrantMemberus-gaap:FairValueInputsLevel3Member2019-01-012019-12-310001158172us-gaap:WarrantMemberscor:SeriesB1WarrantMemberus-gaap:FairValueInputsLevel3Member2019-01-012019-12-310001158172us-gaap:WarrantMemberscor</w:t>
      </w:r>
      <w:r>
        <w:rPr>
          <w:rFonts w:eastAsia="Times New Roman"/>
          <w:vanish/>
        </w:rPr>
        <w:t>:SeriesB2WarrantMemberus-gaap:FairValueInputsLevel3Member2019-01-012019-12-310001158172us-gaap:WarrantMemberscor:SeriesCWarrantMemberus-gaap:FairValueInputsLevel3Member2019-01-012019-12-310001158172us-gaap:InterestRateContractMemberus-gaap:FairValueInputsL</w:t>
      </w:r>
      <w:r>
        <w:rPr>
          <w:rFonts w:eastAsia="Times New Roman"/>
          <w:vanish/>
        </w:rPr>
        <w:t>evel3Member2020-01-012020-12-310001158172scor:ChangeinControlMemberus-gaap:FairValueInputsLevel3Member2020-01-012020-12-310001158172scor:QualifyingChangeOfControlMemberus-gaap:FairValueInputsLevel3Member2020-01-012020-12-310001158172us-gaap:WarrantMembersc</w:t>
      </w:r>
      <w:r>
        <w:rPr>
          <w:rFonts w:eastAsia="Times New Roman"/>
          <w:vanish/>
        </w:rPr>
        <w:t>or:SeriesAWarrantMemberus-gaap:FairValueInputsLevel3Member2020-01-012020-12-310001158172us-gaap:WarrantMemberscor:SeriesB2WarrantMemberus-gaap:FairValueInputsLevel3Member2020-01-012020-12-310001158172us-gaap:ValuationTechniqueDiscountedCashFlowMemberus-gaa</w:t>
      </w:r>
      <w:r>
        <w:rPr>
          <w:rFonts w:eastAsia="Times New Roman"/>
          <w:vanish/>
        </w:rPr>
        <w:t>p:InterestRateContractMemberus-gaap:FairValueInputsLevel3Memberus-gaap:MeasurementInputDiscountRateMember2020-12-310001158172us-gaap:ValuationTechniqueDiscountedCashFlowMemberus-gaap:InterestRateContractMemberus-gaap:FairValueInputsLevel3Memberus-gaap:Meas</w:t>
      </w:r>
      <w:r>
        <w:rPr>
          <w:rFonts w:eastAsia="Times New Roman"/>
          <w:vanish/>
        </w:rPr>
        <w:t>urementInputDiscountRateMember2019-12-310001158172us-gaap:MeasurementInputSharePriceMemberus-gaap:ValuationTechniqueDiscountedCashFlowMemberus-gaap:InterestRateContractMemberus-gaap:FairValueInputsLevel3Member2020-12-310001158172us-gaap:MeasurementInputSha</w:t>
      </w:r>
      <w:r>
        <w:rPr>
          <w:rFonts w:eastAsia="Times New Roman"/>
          <w:vanish/>
        </w:rPr>
        <w:t>rePriceMemberus-gaap:ValuationTechniqueDiscountedCashFlowMemberus-gaap:InterestRateContractMemberus-gaap:FairValueInputsLevel3Member2019-12-310001158172us-gaap:MeasurementInputPriceVolatilityMemberus-gaap:ValuationTechniqueDiscountedCashFlowMemberus-gaap:I</w:t>
      </w:r>
      <w:r>
        <w:rPr>
          <w:rFonts w:eastAsia="Times New Roman"/>
          <w:vanish/>
        </w:rPr>
        <w:t>nterestRateContractMemberus-gaap:FairValueInputsLevel3Member2020-12-310001158172us-gaap:MeasurementInputPriceVolatilityMemberus-gaap:ValuationTechniqueDiscountedCashFlowMemberus-gaap:InterestRateContractMemberus-gaap:FairValueInputsLevel3Member2019-12-3100</w:t>
      </w:r>
      <w:r>
        <w:rPr>
          <w:rFonts w:eastAsia="Times New Roman"/>
          <w:vanish/>
        </w:rPr>
        <w:t>01158172us-gaap:MeasurementInputExpectedTermMemberus-gaap:ValuationTechniqueDiscountedCashFlowMemberus-gaap:InterestRateContractMemberus-gaap:FairValueInputsLevel3Member2020-12-310001158172us-gaap:MeasurementInputExpectedTermMemberus-gaap:ValuationTechniqu</w:t>
      </w:r>
      <w:r>
        <w:rPr>
          <w:rFonts w:eastAsia="Times New Roman"/>
          <w:vanish/>
        </w:rPr>
        <w:t>eDiscountedCashFlowMemberus-gaap:InterestRateContractMemberus-gaap:FairValueInputsLevel3Member2019-12-310001158172us-gaap:ValuationTechniqueDiscountedCashFlowMemberus-gaap:InterestRateContractMemberus-gaap:MeasurementInputRiskFreeInterestRateMemberus-gaap:</w:t>
      </w:r>
      <w:r>
        <w:rPr>
          <w:rFonts w:eastAsia="Times New Roman"/>
          <w:vanish/>
        </w:rPr>
        <w:t>FairValueInputsLevel3Member2020-12-310001158172us-gaap:ValuationTechniqueDiscountedCashFlowMemberus-gaap:InterestRateContractMemberus-gaap:MeasurementInputRiskFreeInterestRateMemberus-gaap:FairValueInputsLevel3Member2019-12-310001158172scor:OptionPricingMo</w:t>
      </w:r>
      <w:r>
        <w:rPr>
          <w:rFonts w:eastAsia="Times New Roman"/>
          <w:vanish/>
        </w:rPr>
        <w:t>delValuationTechniqueMemberscor:MakeWholeChangeOfControlMemberscor:MeasurementInputChangeOfControlProbabilityRateMemberus-gaap:FairValueInputsLevel3Member2020-12-310001158172scor:OptionPricingModelValuationTechniqueMemberscor:MakeWholeChangeOfControlMember</w:t>
      </w:r>
      <w:r>
        <w:rPr>
          <w:rFonts w:eastAsia="Times New Roman"/>
          <w:vanish/>
        </w:rPr>
        <w:t>scor:MeasurementInputChangeOfControlProbabilityRateMembersrt:MinimumMemberus-gaap:FairValueInputsLevel3Member2019-12-310001158172scor:OptionPricingModelValuationTechniqueMemberscor:MakeWholeChangeOfControlMemberscor:MeasurementInputChangeOfControlProbabili</w:t>
      </w:r>
      <w:r>
        <w:rPr>
          <w:rFonts w:eastAsia="Times New Roman"/>
          <w:vanish/>
        </w:rPr>
        <w:t>tyRateMembersrt:MaximumMemberus-gaap:FairValueInputsLevel3Member2019-12-310001158172us-gaap:MeasurementInputExpectedTermMemberscor:OptionPricingModelValuationTechniqueMemberscor:MakeWholeChangeOfControlMemberus-gaap:FairValueInputsLevel3Member2020-12-31000</w:t>
      </w:r>
      <w:r>
        <w:rPr>
          <w:rFonts w:eastAsia="Times New Roman"/>
          <w:vanish/>
        </w:rPr>
        <w:t>1158172us-gaap:MeasurementInputExpectedTermMemberscor:OptionPricingModelValuationTechniqueMemberscor:MakeWholeChangeOfControlMemberus-gaap:FairValueInputsLevel3Member2019-12-310001158172scor:OptionPricingModelValuationTechniqueMemberscor:MakeWholeChangeOfC</w:t>
      </w:r>
      <w:r>
        <w:rPr>
          <w:rFonts w:eastAsia="Times New Roman"/>
          <w:vanish/>
        </w:rPr>
        <w:t>ontrolMemberus-gaap:MeasurementInputRiskFreeInterestRateMemberus-gaap:FairValueInputsLevel3Member2020-12-310001158172scor:OptionPricingModelValuationTechniqueMemberscor:MakeWholeChangeOfControlMemberus-gaap:MeasurementInputRiskFreeInterestRateMemberus-gaap</w:t>
      </w:r>
      <w:r>
        <w:rPr>
          <w:rFonts w:eastAsia="Times New Roman"/>
          <w:vanish/>
        </w:rPr>
        <w:t>:FairValueInputsLevel3Member2019-12-310001158172scor:MeasurementInputChangeOfControlProbabilityRateMemberus-gaap:ValuationTechniqueDiscountedCashFlowMemberscor:QualifyingChangeOfControlMemberus-gaap:FairValueInputsLevel3Member2020-12-310001158172scor:Measu</w:t>
      </w:r>
      <w:r>
        <w:rPr>
          <w:rFonts w:eastAsia="Times New Roman"/>
          <w:vanish/>
        </w:rPr>
        <w:t>rementInputChangeOfControlProbabilityRateMemberus-gaap:ValuationTechniqueDiscountedCashFlowMemberscor:QualifyingChangeOfControlMemberus-gaap:FairValueInputsLevel3Member2019-12-310001158172us-gaap:MeasurementInputExpectedTermMemberus-gaap:ValuationTechnique</w:t>
      </w:r>
      <w:r>
        <w:rPr>
          <w:rFonts w:eastAsia="Times New Roman"/>
          <w:vanish/>
        </w:rPr>
        <w:t>DiscountedCashFlowMemberscor:QualifyingChangeOfControlMemberus-gaap:FairValueInputsLevel3Member2020-12-310001158172us-gaap:MeasurementInputExpectedTermMemberus-gaap:ValuationTechniqueDiscountedCashFlowMemberscor:QualifyingChangeOfControlMemberus-gaap:FairV</w:t>
      </w:r>
      <w:r>
        <w:rPr>
          <w:rFonts w:eastAsia="Times New Roman"/>
          <w:vanish/>
        </w:rPr>
        <w:t>alueInputsLevel3Member2019-12-310001158172us-gaap:ValuationTechniqueDiscountedCashFlowMemberscor:QualifyingChangeOfControlMemberus-gaap:FairValueInputsLevel3Memberus-gaap:MeasurementInputDiscountRateMember2020-12-310001158172us-gaap:ValuationTechniqueDisco</w:t>
      </w:r>
      <w:r>
        <w:rPr>
          <w:rFonts w:eastAsia="Times New Roman"/>
          <w:vanish/>
        </w:rPr>
        <w:t>untedCashFlowMemberscor:QualifyingChangeOfControlMemberus-gaap:FairValueInputsLevel3Memberus-gaap:MeasurementInputDiscountRateMember2019-12-310001158172us-gaap:MeasurementInputSharePriceMemberscor:OptionPricingModelValuationTechniqueMemberus-gaap:FairValue</w:t>
      </w:r>
      <w:r>
        <w:rPr>
          <w:rFonts w:eastAsia="Times New Roman"/>
          <w:vanish/>
        </w:rPr>
        <w:t>InputsLevel3Member2020-12-310001158172us-gaap:MeasurementInputSharePriceMemberscor:OptionPricingModelValuationTechniqueMemberus-gaap:FairValueInputsLevel3Member2019-12-310001158172us-gaap:MeasurementInputPriceVolatilityMemberscor:OptionPricingModelValuatio</w:t>
      </w:r>
      <w:r>
        <w:rPr>
          <w:rFonts w:eastAsia="Times New Roman"/>
          <w:vanish/>
        </w:rPr>
        <w:t>nTechniqueMemberus-gaap:FairValueInputsLevel3Member2020-12-310001158172us-gaap:MeasurementInputPriceVolatilityMemberscor:OptionPricingModelValuationTechniqueMemberus-gaap:FairValueInputsLevel3Member2019-12-310001158172us-gaap:MeasurementInputExpectedTermMe</w:t>
      </w:r>
      <w:r>
        <w:rPr>
          <w:rFonts w:eastAsia="Times New Roman"/>
          <w:vanish/>
        </w:rPr>
        <w:t>mberscor:OptionPricingModelValuationTechniqueMemberus-gaap:FairValueInputsLevel3Member2020-12-310001158172us-gaap:MeasurementInputExpectedTermMemberscor:OptionPricingModelValuationTechniqueMembersrt:MinimumMemberus-gaap:FairValueInputsLevel3Member2019-12-3</w:t>
      </w:r>
      <w:r>
        <w:rPr>
          <w:rFonts w:eastAsia="Times New Roman"/>
          <w:vanish/>
        </w:rPr>
        <w:t>10001158172us-gaap:MeasurementInputExpectedTermMemberscor:OptionPricingModelValuationTechniqueMembersrt:MaximumMemberus-gaap:FairValueInputsLevel3Member2019-12-310001158172scor:OptionPricingModelValuationTechniqueMemberscor:MeasurementInputChangeOfControlP</w:t>
      </w:r>
      <w:r>
        <w:rPr>
          <w:rFonts w:eastAsia="Times New Roman"/>
          <w:vanish/>
        </w:rPr>
        <w:t>robabilityRateMemberus-gaap:FairValueInputsLevel3Member2020-12-310001158172scor:OptionPricingModelValuationTechniqueMemberscor:MeasurementInputChangeOfControlProbabilityRateMembersrt:MinimumMemberus-gaap:FairValueInputsLevel3Member2019-12-310001158172scor:</w:t>
      </w:r>
      <w:r>
        <w:rPr>
          <w:rFonts w:eastAsia="Times New Roman"/>
          <w:vanish/>
        </w:rPr>
        <w:t>OptionPricingModelValuationTechniqueMemberscor:MeasurementInputChangeOfControlProbabilityRateMembersrt:MaximumMemberus-gaap:FairValueInputsLevel3Member2019-12-310001158172scor:OptionPricingModelValuationTechniqueMemberus-gaap:MeasurementInputRiskFreeIntere</w:t>
      </w:r>
      <w:r>
        <w:rPr>
          <w:rFonts w:eastAsia="Times New Roman"/>
          <w:vanish/>
        </w:rPr>
        <w:t>stRateMemberus-gaap:FairValueInputsLevel3Member2020-12-310001158172scor:OptionPricingModelValuationTechniqueMembersrt:MinimumMemberus-gaap:MeasurementInputRiskFreeInterestRateMemberus-gaap:FairValueInputsLevel3Member2019-12-310001158172scor:OptionPricingMo</w:t>
      </w:r>
      <w:r>
        <w:rPr>
          <w:rFonts w:eastAsia="Times New Roman"/>
          <w:vanish/>
        </w:rPr>
        <w:t>delValuationTechniqueMembersrt:MaximumMemberus-gaap:MeasurementInputRiskFreeInterestRateMemberus-gaap:FairValueInputsLevel3Member2019-12-310001158172scor:MeasurementInputCostOfDebtMemberscor:OptionPricingModelValuationTechniqueMemberus-gaap:FairValueInputs</w:t>
      </w:r>
      <w:r>
        <w:rPr>
          <w:rFonts w:eastAsia="Times New Roman"/>
          <w:vanish/>
        </w:rPr>
        <w:t>Level3Member2020-12-310001158172scor:MeasurementInputCostOfDebtMemberscor:OptionPricingModelValuationTechniqueMembersrt:MinimumMemberus-gaap:FairValueInputsLevel3Member2019-12-310001158172scor:MeasurementInputCostOfDebtMemberscor:OptionPricingModelValuatio</w:t>
      </w:r>
      <w:r>
        <w:rPr>
          <w:rFonts w:eastAsia="Times New Roman"/>
          <w:vanish/>
        </w:rPr>
        <w:t>nTechniqueMembersrt:MaximumMemberus-gaap:FairValueInputsLevel3Member2019-12-310001158172scor:MeasurementInputRecapitalizationProbabilityMemberus-gaap:ValuationTechniqueDiscountedCashFlowMemberscor:InterestMakeWholeDerivativeLiabilityMemberus-gaap:FairValue</w:t>
      </w:r>
      <w:r>
        <w:rPr>
          <w:rFonts w:eastAsia="Times New Roman"/>
          <w:vanish/>
        </w:rPr>
        <w:t>InputsLevel3Member2020-12-310001158172scor:MeasurementInputRecapitalizationProbabilityMemberus-gaap:ValuationTechniqueDiscountedCashFlowMemberscor:InterestMakeWholeDerivativeLiabilityMemberus-gaap:FairValueInputsLevel3Member2019-12-310001158172us-gaap:Meas</w:t>
      </w:r>
      <w:r>
        <w:rPr>
          <w:rFonts w:eastAsia="Times New Roman"/>
          <w:vanish/>
        </w:rPr>
        <w:t>urementInputExpectedTermMemberus-gaap:ValuationTechniqueDiscountedCashFlowMemberscor:InterestMakeWholeDerivativeLiabilityMemberus-gaap:FairValueInputsLevel3Member2020-12-310001158172us-gaap:MeasurementInputExpectedTermMemberus-gaap:ValuationTechniqueDiscou</w:t>
      </w:r>
      <w:r>
        <w:rPr>
          <w:rFonts w:eastAsia="Times New Roman"/>
          <w:vanish/>
        </w:rPr>
        <w:t>ntedCashFlowMemberscor:InterestMakeWholeDerivativeLiabilityMemberus-gaap:FairValueInputsLevel3Member2019-12-310001158172us-gaap:ValuationTechniqueDiscountedCashFlowMemberscor:InterestMakeWholeDerivativeLiabilityMemberus-gaap:MeasurementInputRiskFreeInteres</w:t>
      </w:r>
      <w:r>
        <w:rPr>
          <w:rFonts w:eastAsia="Times New Roman"/>
          <w:vanish/>
        </w:rPr>
        <w:t>tRateMemberus-gaap:FairValueInputsLevel3Member2020-12-310001158172us-gaap:ValuationTechniqueDiscountedCashFlowMemberscor:InterestMakeWholeDerivativeLiabilityMemberus-gaap:MeasurementInputRiskFreeInterestRateMemberus-gaap:FairValueInputsLevel3Member2019-12-</w:t>
      </w:r>
      <w:r>
        <w:rPr>
          <w:rFonts w:eastAsia="Times New Roman"/>
          <w:vanish/>
        </w:rPr>
        <w:t>310001158172us-gaap:ComputerEquipmentMember2020-12-310001158172us-gaap:ComputerEquipmentMember2019-12-310001158172scor:CapitalizedInternalUseSoftwareMember2020-12-310001158172scor:CapitalizedInternalUseSoftwareMember2019-12-310001158172us-gaap:LeaseholdImp</w:t>
      </w:r>
      <w:r>
        <w:rPr>
          <w:rFonts w:eastAsia="Times New Roman"/>
          <w:vanish/>
        </w:rPr>
        <w:t>rovementsMember2020-12-310001158172us-gaap:LeaseholdImprovementsMember2019-12-310001158172us-gaap:SoftwareDevelopmentMember2020-12-310001158172us-gaap:SoftwareDevelopmentMember2019-12-310001158172us-gaap:SoftwareAndSoftwareDevelopmentCostsMember2020-12-310</w:t>
      </w:r>
      <w:r>
        <w:rPr>
          <w:rFonts w:eastAsia="Times New Roman"/>
          <w:vanish/>
        </w:rPr>
        <w:t>001158172us-gaap:SoftwareAndSoftwareDevelopmentCostsMember2019-12-310001158172scor:OfficeEquipmentAndFurnitureMember2020-12-310001158172scor:OfficeEquipmentAndFurnitureMember2019-12-310001158172country:US2020-12-310001158172country:US2019-12-310001158172sr</w:t>
      </w:r>
      <w:r>
        <w:rPr>
          <w:rFonts w:eastAsia="Times New Roman"/>
          <w:vanish/>
        </w:rPr>
        <w:t>t:LatinAmericaMember2020-12-310001158172srt:LatinAmericaMember2019-12-310001158172srt:EuropeMember2020-12-310001158172srt:EuropeMember2019-12-310001158172scor:OtherCountryMember2020-12-310001158172scor:OtherCountryMember2019-12-31scor:subleased_propertysco</w:t>
      </w:r>
      <w:r>
        <w:rPr>
          <w:rFonts w:eastAsia="Times New Roman"/>
          <w:vanish/>
        </w:rPr>
        <w:t>r:sublease0001158172scor:AcquiredMethodologiesTechnologyMember2020-12-310001158172scor:AcquiredMethodologiesTechnologyMember2019-12-310001158172us-gaap:CustomerRelationshipsMember2020-12-310001158172us-gaap:CustomerRelationshipsMember2019-12-310001158172us</w:t>
      </w:r>
      <w:r>
        <w:rPr>
          <w:rFonts w:eastAsia="Times New Roman"/>
          <w:vanish/>
        </w:rPr>
        <w:t>-gaap:IntellectualPropertyMember2020-12-310001158172us-gaap:IntellectualPropertyMember2019-12-310001158172us-gaap:ComputerSoftwareIntangibleAssetMember2020-12-310001158172us-gaap:ComputerSoftwareIntangibleAssetMember2019-12-310001158172scor:PanelMember2020</w:t>
      </w:r>
      <w:r>
        <w:rPr>
          <w:rFonts w:eastAsia="Times New Roman"/>
          <w:vanish/>
        </w:rPr>
        <w:t>-12-310001158172scor:PanelMember2019-12-310001158172us-gaap:TradeNamesMember2020-12-310001158172us-gaap:TradeNamesMember2019-12-310001158172scor:AcquiredRelationshipTechnologyMember2020-12-310001158172scor:AcquiredRelationshipTechnologyMember2019-12-310001</w:t>
      </w:r>
      <w:r>
        <w:rPr>
          <w:rFonts w:eastAsia="Times New Roman"/>
          <w:vanish/>
        </w:rPr>
        <w:t>158172us-gaap:OtherIntangibleAssetsMember2020-12-310001158172us-gaap:OtherIntangibleAssetsMember2019-12-310001158172us-gaap:IntellectualPropertyMember2020-01-012020-12-310001158172us-gaap:CustomerRelationshipsMember2020-01-012020-12-310001158172scor:Acquir</w:t>
      </w:r>
      <w:r>
        <w:rPr>
          <w:rFonts w:eastAsia="Times New Roman"/>
          <w:vanish/>
        </w:rPr>
        <w:t>edMethodologiesTechnologyMember2020-01-012020-12-310001158172us-gaap:TradeNamesMember2020-01-012020-12-310001158172us-gaap:ComputerSoftwareIntangibleAssetMember2020-01-012020-12-310001158172us-gaap:OtherIntangibleAssetsMember2020-01-012020-12-310001158172u</w:t>
      </w:r>
      <w:r>
        <w:rPr>
          <w:rFonts w:eastAsia="Times New Roman"/>
          <w:vanish/>
        </w:rPr>
        <w:t>s-gaap:SettledLitigationMemberscor:PrivacyClassActionLitigationMember2018-06-042018-06-040001158172us-gaap:DomesticCountryMember2020-12-310001158172us-gaap:StateAndLocalJurisdictionMember2020-12-310001158172us-gaap:ForeignCountryMember2020-12-310001158172u</w:t>
      </w:r>
      <w:r>
        <w:rPr>
          <w:rFonts w:eastAsia="Times New Roman"/>
          <w:vanish/>
        </w:rPr>
        <w:t>s-gaap:ResearchMember2020-12-310001158172scor:WPPplcMemberus-gaap:InvestorMember2020-12-310001158172scor:WPPplcMemberus-gaap:InvestorMember2020-01-012020-12-310001158172srt:AffiliatedEntityMemberscor:SubscriptionReceivableMember2020-01-012020-12-3100011581</w:t>
      </w:r>
      <w:r>
        <w:rPr>
          <w:rFonts w:eastAsia="Times New Roman"/>
          <w:vanish/>
        </w:rPr>
        <w:t>72srt:AffiliatedEntityMemberscor:SubscriptionReceivableMember2019-01-012019-12-310001158172srt:AffiliatedEntityMemberscor:SubscriptionReceivableMember2018-01-012018-12-310001158172srt:AffiliatedEntityMemberscor:LightspeedMember2020-01-012020-12-31000115817</w:t>
      </w:r>
      <w:r>
        <w:rPr>
          <w:rFonts w:eastAsia="Times New Roman"/>
          <w:vanish/>
        </w:rPr>
        <w:t>2srt:AffiliatedEntityMemberscor:LightspeedMember2020-12-310001158172scor:WPPplcMemberus-gaap:InvestorMember2019-01-012019-12-310001158172scor:WPPplcMemberus-gaap:InvestorMember2018-01-012018-12-310001158172scor:WPPplcMemberus-gaap:InvestorMemberus-gaap:Cos</w:t>
      </w:r>
      <w:r>
        <w:rPr>
          <w:rFonts w:eastAsia="Times New Roman"/>
          <w:vanish/>
        </w:rPr>
        <w:t>tOfSalesMember2020-01-012020-12-310001158172scor:WPPplcMemberus-gaap:InvestorMemberus-gaap:CostOfSalesMember2019-01-012019-12-310001158172scor:WPPplcMemberus-gaap:InvestorMemberus-gaap:CostOfSalesMember2018-01-012018-12-310001158172scor:WPPplcMemberus-gaap</w:t>
      </w:r>
      <w:r>
        <w:rPr>
          <w:rFonts w:eastAsia="Times New Roman"/>
          <w:vanish/>
        </w:rPr>
        <w:t>:GeneralAndAdministrativeExpenseMemberus-gaap:InvestorMember2020-01-012020-12-310001158172scor:WPPplcMemberus-gaap:GeneralAndAdministrativeExpenseMemberus-gaap:InvestorMember2019-01-012019-12-310001158172scor:WPPplcMemberus-gaap:GeneralAndAdministrativeExp</w:t>
      </w:r>
      <w:r>
        <w:rPr>
          <w:rFonts w:eastAsia="Times New Roman"/>
          <w:vanish/>
        </w:rPr>
        <w:t>enseMemberus-gaap:InvestorMember2018-01-012018-12-310001158172scor:WPPplcMemberus-gaap:InvestorMember2019-12-310001158172scor:StarboardValueLPMemberus-gaap:BeneficialOwnerMember2018-01-162018-01-16scor:member00011581722018-05-300001158172scor:StarboardValu</w:t>
      </w:r>
      <w:r>
        <w:rPr>
          <w:rFonts w:eastAsia="Times New Roman"/>
          <w:vanish/>
        </w:rPr>
        <w:t>eLPMemberus-gaap:InvestorMember2020-01-012020-12-310001158172scor:StarboardValueLPMemberus-gaap:InvestorMember2019-01-012019-12-310001158172scor:StarboardValueLPMemberus-gaap:InvestorMember2018-01-012018-12-310001158172scor:StarboardValueLPMemberus-gaap:In</w:t>
      </w:r>
      <w:r>
        <w:rPr>
          <w:rFonts w:eastAsia="Times New Roman"/>
          <w:vanish/>
        </w:rPr>
        <w:t>vestorMember2020-12-310001158172scor:StarboardValueLPMemberus-gaap:InvestorMember2019-12-310001158172scor:A2018RestructuringPlanMember2018-01-012018-12-31scor:lease0001158172scor:A2018RestructuringPlanMember2018-12-310001158172scor:A2018RestructuringPlanMe</w:t>
      </w:r>
      <w:r>
        <w:rPr>
          <w:rFonts w:eastAsia="Times New Roman"/>
          <w:vanish/>
        </w:rPr>
        <w:t>mber2019-01-012019-12-310001158172scor:May2019RestructuringPlanMember2019-01-012019-12-310001158172scor:August2019RestructuringPlanMember2019-01-012019-12-310001158172us-gaap:EmployeeSeveranceMemberscor:A2018RestructuringPlanMember2018-01-012018-12-3100011</w:t>
      </w:r>
      <w:r>
        <w:rPr>
          <w:rFonts w:eastAsia="Times New Roman"/>
          <w:vanish/>
        </w:rPr>
        <w:t>58172scor:A2018RestructuringPlanMemberscor:ContractTerminationandOtherDirectCostsMember2018-01-012018-12-310001158172scor:LongTermContractTerminationandOtherDirectCostsMemberscor:A2018RestructuringPlanMember2018-01-012018-12-310001158172us-gaap:EmployeeSev</w:t>
      </w:r>
      <w:r>
        <w:rPr>
          <w:rFonts w:eastAsia="Times New Roman"/>
          <w:vanish/>
        </w:rPr>
        <w:t>eranceMemberscor:A2018RestructuringPlanMember2018-12-310001158172scor:A2018RestructuringPlanMemberscor:ContractTerminationandOtherDirectCostsMember2018-12-310001158172scor:LongTermContractTerminationandOtherDirectCostsMemberscor:A2018RestructuringPlanMembe</w:t>
      </w:r>
      <w:r>
        <w:rPr>
          <w:rFonts w:eastAsia="Times New Roman"/>
          <w:vanish/>
        </w:rPr>
        <w:t>r2018-12-310001158172us-gaap:EmployeeSeveranceMemberscor:A2018RestructuringPlanMember2019-01-012019-12-310001158172scor:A2018RestructuringPlanMemberscor:ContractTerminationandOtherDirectCostsMember2019-01-012019-12-310001158172scor:LongTermContractTerminat</w:t>
      </w:r>
      <w:r>
        <w:rPr>
          <w:rFonts w:eastAsia="Times New Roman"/>
          <w:vanish/>
        </w:rPr>
        <w:t>ionandOtherDirectCostsMemberscor:A2018RestructuringPlanMember2019-01-012019-12-310001158172us-gaap:EmployeeSeveranceMemberscor:A2018RestructuringPlanMember2019-12-310001158172scor:A2018RestructuringPlanMemberscor:ContractTerminationandOtherDirectCostsMembe</w:t>
      </w:r>
      <w:r>
        <w:rPr>
          <w:rFonts w:eastAsia="Times New Roman"/>
          <w:vanish/>
        </w:rPr>
        <w:t>r2019-12-310001158172scor:LongTermContractTerminationandOtherDirectCostsMemberscor:A2018RestructuringPlanMember2019-12-310001158172scor:A2018RestructuringPlanMember2019-12-310001158172us-gaap:EmployeeSeveranceMemberscor:May2019RestructuringPlanMember2019-0</w:t>
      </w:r>
      <w:r>
        <w:rPr>
          <w:rFonts w:eastAsia="Times New Roman"/>
          <w:vanish/>
        </w:rPr>
        <w:t>1-012019-12-310001158172us-gaap:EmployeeSeveranceMemberscor:August2019RestructuringPlanMember2019-01-012019-12-310001158172scor:May2019RestructuringPlanMember2019-12-310001158172scor:August2019RestructuringPlanMember2019-12-310001158172scor:May2019Restruct</w:t>
      </w:r>
      <w:r>
        <w:rPr>
          <w:rFonts w:eastAsia="Times New Roman"/>
          <w:vanish/>
        </w:rPr>
        <w:t>uringPlanMember2020-01-012020-12-310001158172scor:August2019RestructuringPlanMember2020-01-012020-12-310001158172scor:May2019RestructuringPlanMember2020-12-310001158172scor:August2019RestructuringPlanMember2020-12-3100011581722020-01-012020-03-310001158172</w:t>
      </w:r>
      <w:r>
        <w:rPr>
          <w:rFonts w:eastAsia="Times New Roman"/>
          <w:vanish/>
        </w:rPr>
        <w:t>2020-04-012020-06-3000011581722020-07-012020-09-3000011581722020-10-012020-12-310001158172us-gaap:CostOfSalesMember2020-01-012020-03-310001158172us-gaap:CostOfSalesMember2020-04-012020-06-300001158172us-gaap:CostOfSalesMember2020-07-012020-09-300001158172u</w:t>
      </w:r>
      <w:r>
        <w:rPr>
          <w:rFonts w:eastAsia="Times New Roman"/>
          <w:vanish/>
        </w:rPr>
        <w:t>s-gaap:CostOfSalesMember2020-10-012020-12-310001158172us-gaap:SellingAndMarketingExpenseMember2020-01-012020-03-310001158172us-gaap:SellingAndMarketingExpenseMember2020-04-012020-06-300001158172us-gaap:SellingAndMarketingExpenseMember2020-07-012020-09-3000</w:t>
      </w:r>
      <w:r>
        <w:rPr>
          <w:rFonts w:eastAsia="Times New Roman"/>
          <w:vanish/>
        </w:rPr>
        <w:t>01158172us-gaap:SellingAndMarketingExpenseMember2020-10-012020-12-310001158172us-gaap:ResearchAndDevelopmentExpenseMember2020-01-012020-03-310001158172us-gaap:ResearchAndDevelopmentExpenseMember2020-04-012020-06-300001158172us-gaap:ResearchAndDevelopmentEx</w:t>
      </w:r>
      <w:r>
        <w:rPr>
          <w:rFonts w:eastAsia="Times New Roman"/>
          <w:vanish/>
        </w:rPr>
        <w:t>penseMember2020-07-012020-09-300001158172us-gaap:ResearchAndDevelopmentExpenseMember2020-10-012020-12-310001158172us-gaap:GeneralAndAdministrativeExpenseMember2020-01-012020-03-310001158172us-gaap:GeneralAndAdministrativeExpenseMember2020-04-012020-06-3000</w:t>
      </w:r>
      <w:r>
        <w:rPr>
          <w:rFonts w:eastAsia="Times New Roman"/>
          <w:vanish/>
        </w:rPr>
        <w:t>01158172us-gaap:GeneralAndAdministrativeExpenseMember2020-07-012020-09-300001158172us-gaap:GeneralAndAdministrativeExpenseMember2020-10-012020-12-3100011581722019-01-012019-03-3100011581722019-04-012019-06-3000011581722019-07-012019-09-3000011581722019-10-</w:t>
      </w:r>
      <w:r>
        <w:rPr>
          <w:rFonts w:eastAsia="Times New Roman"/>
          <w:vanish/>
        </w:rPr>
        <w:t>012019-12-310001158172us-gaap:CostOfSalesMember2019-01-012019-03-310001158172us-gaap:CostOfSalesMember2019-04-012019-06-300001158172us-gaap:CostOfSalesMember2019-07-012019-09-300001158172us-gaap:CostOfSalesMember2019-10-012019-12-310001158172us-gaap:Sellin</w:t>
      </w:r>
      <w:r>
        <w:rPr>
          <w:rFonts w:eastAsia="Times New Roman"/>
          <w:vanish/>
        </w:rPr>
        <w:t>gAndMarketingExpenseMember2019-01-012019-03-310001158172us-gaap:SellingAndMarketingExpenseMember2019-04-012019-06-300001158172us-gaap:SellingAndMarketingExpenseMember2019-07-012019-09-300001158172us-gaap:SellingAndMarketingExpenseMember2019-10-012019-12-31</w:t>
      </w:r>
      <w:r>
        <w:rPr>
          <w:rFonts w:eastAsia="Times New Roman"/>
          <w:vanish/>
        </w:rPr>
        <w:t>0001158172us-gaap:ResearchAndDevelopmentExpenseMember2019-01-012019-03-310001158172us-gaap:ResearchAndDevelopmentExpenseMember2019-04-012019-06-300001158172us-gaap:ResearchAndDevelopmentExpenseMember2019-07-012019-09-300001158172us-gaap:ResearchAndDevelopm</w:t>
      </w:r>
      <w:r>
        <w:rPr>
          <w:rFonts w:eastAsia="Times New Roman"/>
          <w:vanish/>
        </w:rPr>
        <w:t>entExpenseMember2019-10-012019-12-310001158172us-gaap:GeneralAndAdministrativeExpenseMember2019-01-012019-03-310001158172us-gaap:GeneralAndAdministrativeExpenseMember2019-04-012019-06-300001158172us-gaap:GeneralAndAdministrativeExpenseMember2019-07-012019-</w:t>
      </w:r>
      <w:r>
        <w:rPr>
          <w:rFonts w:eastAsia="Times New Roman"/>
          <w:vanish/>
        </w:rPr>
        <w:t>09-300001158172us-gaap:GeneralAndAdministrativeExpenseMember2019-10-012019-12-310001158172us-gaap:RestructuringChargesMember2019-01-012019-03-310001158172us-gaap:RestructuringChargesMember2019-04-012019-06-300001158172us-gaap:RestructuringChargesMember2019</w:t>
      </w:r>
      <w:r>
        <w:rPr>
          <w:rFonts w:eastAsia="Times New Roman"/>
          <w:vanish/>
        </w:rPr>
        <w:t>-07-012019-09-300001158172us-gaap:RestructuringChargesMember2019-10-012019-12-310001158172scor:StarboardValueLPMembersrt:ScenarioForecastMemberus-gaap:SubsequentEventMember2021-01-072021-03-100001158172srt:MinimumMembersrt:ScenarioForecastMemberus-gaap:Sub</w:t>
      </w:r>
      <w:r>
        <w:rPr>
          <w:rFonts w:eastAsia="Times New Roman"/>
          <w:vanish/>
        </w:rPr>
        <w:t>sequentEventMember2021-01-072021-03-100001158172srt:MaximumMembersrt:ScenarioForecastMemberus-gaap:SubsequentEventMember2021-01-072021-03-10</w:t>
      </w:r>
    </w:p>
    <w:p w14:paraId="3740FA72" w14:textId="77777777" w:rsidR="00000000" w:rsidRDefault="00E614A4">
      <w:pPr>
        <w:divId w:val="1066533960"/>
        <w:rPr>
          <w:rFonts w:eastAsia="Times New Roman"/>
        </w:rPr>
      </w:pPr>
    </w:p>
    <w:p w14:paraId="52D4BCC2" w14:textId="77777777" w:rsidR="00000000" w:rsidRDefault="00E614A4">
      <w:pPr>
        <w:divId w:val="115483417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4FCD1B40" w14:textId="77777777">
        <w:trPr>
          <w:divId w:val="1688949175"/>
          <w:jc w:val="center"/>
        </w:trPr>
        <w:tc>
          <w:tcPr>
            <w:tcW w:w="50" w:type="pct"/>
            <w:vAlign w:val="center"/>
            <w:hideMark/>
          </w:tcPr>
          <w:p w14:paraId="465A340B" w14:textId="77777777" w:rsidR="00000000" w:rsidRDefault="00E614A4">
            <w:pPr>
              <w:rPr>
                <w:rFonts w:eastAsia="Times New Roman"/>
              </w:rPr>
            </w:pPr>
          </w:p>
        </w:tc>
        <w:tc>
          <w:tcPr>
            <w:tcW w:w="945" w:type="pct"/>
            <w:vAlign w:val="center"/>
            <w:hideMark/>
          </w:tcPr>
          <w:p w14:paraId="0D8B7479" w14:textId="77777777" w:rsidR="00000000" w:rsidRDefault="00E614A4">
            <w:pPr>
              <w:rPr>
                <w:rFonts w:eastAsia="Times New Roman"/>
                <w:sz w:val="20"/>
                <w:szCs w:val="20"/>
              </w:rPr>
            </w:pPr>
          </w:p>
        </w:tc>
        <w:tc>
          <w:tcPr>
            <w:tcW w:w="5" w:type="pct"/>
            <w:vAlign w:val="center"/>
            <w:hideMark/>
          </w:tcPr>
          <w:p w14:paraId="39FFFDB4" w14:textId="77777777" w:rsidR="00000000" w:rsidRDefault="00E614A4">
            <w:pPr>
              <w:rPr>
                <w:rFonts w:eastAsia="Times New Roman"/>
                <w:sz w:val="20"/>
                <w:szCs w:val="20"/>
              </w:rPr>
            </w:pPr>
          </w:p>
        </w:tc>
        <w:tc>
          <w:tcPr>
            <w:tcW w:w="50" w:type="pct"/>
            <w:vAlign w:val="center"/>
            <w:hideMark/>
          </w:tcPr>
          <w:p w14:paraId="2CB4C1A0" w14:textId="77777777" w:rsidR="00000000" w:rsidRDefault="00E614A4">
            <w:pPr>
              <w:rPr>
                <w:rFonts w:eastAsia="Times New Roman"/>
                <w:sz w:val="20"/>
                <w:szCs w:val="20"/>
              </w:rPr>
            </w:pPr>
          </w:p>
        </w:tc>
        <w:tc>
          <w:tcPr>
            <w:tcW w:w="945" w:type="pct"/>
            <w:vAlign w:val="center"/>
            <w:hideMark/>
          </w:tcPr>
          <w:p w14:paraId="2D74EBCC" w14:textId="77777777" w:rsidR="00000000" w:rsidRDefault="00E614A4">
            <w:pPr>
              <w:rPr>
                <w:rFonts w:eastAsia="Times New Roman"/>
                <w:sz w:val="20"/>
                <w:szCs w:val="20"/>
              </w:rPr>
            </w:pPr>
          </w:p>
        </w:tc>
        <w:tc>
          <w:tcPr>
            <w:tcW w:w="5" w:type="pct"/>
            <w:vAlign w:val="center"/>
            <w:hideMark/>
          </w:tcPr>
          <w:p w14:paraId="7986AE53" w14:textId="77777777" w:rsidR="00000000" w:rsidRDefault="00E614A4">
            <w:pPr>
              <w:rPr>
                <w:rFonts w:eastAsia="Times New Roman"/>
                <w:sz w:val="20"/>
                <w:szCs w:val="20"/>
              </w:rPr>
            </w:pPr>
          </w:p>
        </w:tc>
        <w:tc>
          <w:tcPr>
            <w:tcW w:w="50" w:type="pct"/>
            <w:vAlign w:val="center"/>
            <w:hideMark/>
          </w:tcPr>
          <w:p w14:paraId="3EDA8F5A" w14:textId="77777777" w:rsidR="00000000" w:rsidRDefault="00E614A4">
            <w:pPr>
              <w:rPr>
                <w:rFonts w:eastAsia="Times New Roman"/>
                <w:sz w:val="20"/>
                <w:szCs w:val="20"/>
              </w:rPr>
            </w:pPr>
          </w:p>
        </w:tc>
        <w:tc>
          <w:tcPr>
            <w:tcW w:w="945" w:type="pct"/>
            <w:vAlign w:val="center"/>
            <w:hideMark/>
          </w:tcPr>
          <w:p w14:paraId="61BA4A6F" w14:textId="77777777" w:rsidR="00000000" w:rsidRDefault="00E614A4">
            <w:pPr>
              <w:rPr>
                <w:rFonts w:eastAsia="Times New Roman"/>
                <w:sz w:val="20"/>
                <w:szCs w:val="20"/>
              </w:rPr>
            </w:pPr>
          </w:p>
        </w:tc>
        <w:tc>
          <w:tcPr>
            <w:tcW w:w="5" w:type="pct"/>
            <w:vAlign w:val="center"/>
            <w:hideMark/>
          </w:tcPr>
          <w:p w14:paraId="42C65CE4" w14:textId="77777777" w:rsidR="00000000" w:rsidRDefault="00E614A4">
            <w:pPr>
              <w:rPr>
                <w:rFonts w:eastAsia="Times New Roman"/>
                <w:sz w:val="20"/>
                <w:szCs w:val="20"/>
              </w:rPr>
            </w:pPr>
          </w:p>
        </w:tc>
        <w:tc>
          <w:tcPr>
            <w:tcW w:w="50" w:type="pct"/>
            <w:vAlign w:val="center"/>
            <w:hideMark/>
          </w:tcPr>
          <w:p w14:paraId="4EE66521" w14:textId="77777777" w:rsidR="00000000" w:rsidRDefault="00E614A4">
            <w:pPr>
              <w:rPr>
                <w:rFonts w:eastAsia="Times New Roman"/>
                <w:sz w:val="20"/>
                <w:szCs w:val="20"/>
              </w:rPr>
            </w:pPr>
          </w:p>
        </w:tc>
        <w:tc>
          <w:tcPr>
            <w:tcW w:w="945" w:type="pct"/>
            <w:vAlign w:val="center"/>
            <w:hideMark/>
          </w:tcPr>
          <w:p w14:paraId="77C275B5" w14:textId="77777777" w:rsidR="00000000" w:rsidRDefault="00E614A4">
            <w:pPr>
              <w:rPr>
                <w:rFonts w:eastAsia="Times New Roman"/>
                <w:sz w:val="20"/>
                <w:szCs w:val="20"/>
              </w:rPr>
            </w:pPr>
          </w:p>
        </w:tc>
        <w:tc>
          <w:tcPr>
            <w:tcW w:w="5" w:type="pct"/>
            <w:vAlign w:val="center"/>
            <w:hideMark/>
          </w:tcPr>
          <w:p w14:paraId="7A2A8EF8" w14:textId="77777777" w:rsidR="00000000" w:rsidRDefault="00E614A4">
            <w:pPr>
              <w:rPr>
                <w:rFonts w:eastAsia="Times New Roman"/>
                <w:sz w:val="20"/>
                <w:szCs w:val="20"/>
              </w:rPr>
            </w:pPr>
          </w:p>
        </w:tc>
        <w:tc>
          <w:tcPr>
            <w:tcW w:w="50" w:type="pct"/>
            <w:vAlign w:val="center"/>
            <w:hideMark/>
          </w:tcPr>
          <w:p w14:paraId="4DBBC7CA" w14:textId="77777777" w:rsidR="00000000" w:rsidRDefault="00E614A4">
            <w:pPr>
              <w:rPr>
                <w:rFonts w:eastAsia="Times New Roman"/>
                <w:sz w:val="20"/>
                <w:szCs w:val="20"/>
              </w:rPr>
            </w:pPr>
          </w:p>
        </w:tc>
        <w:tc>
          <w:tcPr>
            <w:tcW w:w="945" w:type="pct"/>
            <w:vAlign w:val="center"/>
            <w:hideMark/>
          </w:tcPr>
          <w:p w14:paraId="37EC686D" w14:textId="77777777" w:rsidR="00000000" w:rsidRDefault="00E614A4">
            <w:pPr>
              <w:rPr>
                <w:rFonts w:eastAsia="Times New Roman"/>
                <w:sz w:val="20"/>
                <w:szCs w:val="20"/>
              </w:rPr>
            </w:pPr>
          </w:p>
        </w:tc>
        <w:tc>
          <w:tcPr>
            <w:tcW w:w="5" w:type="pct"/>
            <w:vAlign w:val="center"/>
            <w:hideMark/>
          </w:tcPr>
          <w:p w14:paraId="036EE17D" w14:textId="77777777" w:rsidR="00000000" w:rsidRDefault="00E614A4">
            <w:pPr>
              <w:rPr>
                <w:rFonts w:eastAsia="Times New Roman"/>
                <w:sz w:val="20"/>
                <w:szCs w:val="20"/>
              </w:rPr>
            </w:pPr>
          </w:p>
        </w:tc>
      </w:tr>
      <w:tr w:rsidR="00000000" w14:paraId="039FC562" w14:textId="77777777">
        <w:trPr>
          <w:divId w:val="1688949175"/>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0A9B51DA" w14:textId="77777777" w:rsidR="00000000" w:rsidRDefault="00E614A4">
            <w:pPr>
              <w:rPr>
                <w:rFonts w:eastAsia="Times New Roman"/>
                <w:sz w:val="20"/>
                <w:szCs w:val="20"/>
              </w:rPr>
            </w:pPr>
          </w:p>
        </w:tc>
      </w:tr>
    </w:tbl>
    <w:p w14:paraId="2363E206" w14:textId="77777777" w:rsidR="00000000" w:rsidRDefault="00E614A4">
      <w:pPr>
        <w:jc w:val="center"/>
        <w:divId w:val="1761676989"/>
        <w:rPr>
          <w:rFonts w:eastAsia="Times New Roman"/>
        </w:rPr>
      </w:pPr>
      <w:r>
        <w:rPr>
          <w:rFonts w:eastAsia="Times New Roman"/>
          <w:b/>
          <w:bCs/>
          <w:color w:val="000000"/>
          <w:sz w:val="32"/>
          <w:szCs w:val="32"/>
        </w:rPr>
        <w:t>UNITED STATES SECURITIES AND EXCHANGE COMMISSION</w:t>
      </w:r>
    </w:p>
    <w:p w14:paraId="49E2B41B" w14:textId="77777777" w:rsidR="00000000" w:rsidRDefault="00E614A4">
      <w:pPr>
        <w:jc w:val="center"/>
        <w:rPr>
          <w:rFonts w:eastAsia="Times New Roman"/>
        </w:rPr>
      </w:pPr>
      <w:r>
        <w:rPr>
          <w:rFonts w:eastAsia="Times New Roman"/>
          <w:b/>
          <w:bCs/>
          <w:color w:val="000000"/>
          <w:sz w:val="20"/>
          <w:szCs w:val="20"/>
        </w:rPr>
        <w:t>Washington, D.C. 20549</w:t>
      </w:r>
    </w:p>
    <w:p w14:paraId="192444EE" w14:textId="77777777" w:rsidR="00000000" w:rsidRDefault="00E614A4">
      <w:pPr>
        <w:jc w:val="center"/>
        <w:divId w:val="117460222"/>
        <w:rPr>
          <w:rFonts w:eastAsia="Times New Roman"/>
        </w:rPr>
      </w:pPr>
      <w:r>
        <w:rPr>
          <w:rFonts w:eastAsia="Times New Roman"/>
          <w:color w:val="000000"/>
          <w:sz w:val="12"/>
          <w:szCs w:val="12"/>
        </w:rPr>
        <w:t>__________________________________________________________________ </w:t>
      </w:r>
    </w:p>
    <w:p w14:paraId="1F751F20" w14:textId="77777777" w:rsidR="00000000" w:rsidRDefault="00E614A4">
      <w:pPr>
        <w:jc w:val="center"/>
        <w:divId w:val="1323856313"/>
        <w:rPr>
          <w:rFonts w:eastAsia="Times New Roman"/>
        </w:rPr>
      </w:pPr>
      <w:r>
        <w:rPr>
          <w:rFonts w:eastAsia="Times New Roman"/>
          <w:b/>
          <w:bCs/>
          <w:color w:val="000000"/>
          <w:sz w:val="32"/>
          <w:szCs w:val="32"/>
        </w:rPr>
        <w:t>Form 10-K</w:t>
      </w:r>
    </w:p>
    <w:p w14:paraId="6B37DF18" w14:textId="77777777" w:rsidR="00000000" w:rsidRDefault="00E614A4">
      <w:pPr>
        <w:jc w:val="center"/>
        <w:rPr>
          <w:rFonts w:eastAsia="Times New Roman"/>
        </w:rPr>
      </w:pPr>
      <w:r>
        <w:rPr>
          <w:rFonts w:eastAsia="Times New Roman"/>
          <w:color w:val="000000"/>
          <w:sz w:val="12"/>
          <w:szCs w:val="12"/>
        </w:rPr>
        <w:t>__________________________________________________________________</w:t>
      </w:r>
    </w:p>
    <w:p w14:paraId="59769F11" w14:textId="77777777" w:rsidR="00000000" w:rsidRDefault="00E614A4">
      <w:pPr>
        <w:divId w:val="1705012643"/>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4923" w:type="pct"/>
        <w:tblCellMar>
          <w:top w:w="15" w:type="dxa"/>
          <w:left w:w="15" w:type="dxa"/>
          <w:bottom w:w="15" w:type="dxa"/>
          <w:right w:w="15" w:type="dxa"/>
        </w:tblCellMar>
        <w:tblLook w:val="04A0" w:firstRow="1" w:lastRow="0" w:firstColumn="1" w:lastColumn="0" w:noHBand="0" w:noVBand="1"/>
      </w:tblPr>
      <w:tblGrid>
        <w:gridCol w:w="68"/>
        <w:gridCol w:w="275"/>
        <w:gridCol w:w="36"/>
        <w:gridCol w:w="68"/>
        <w:gridCol w:w="7695"/>
        <w:gridCol w:w="36"/>
      </w:tblGrid>
      <w:tr w:rsidR="00000000" w14:paraId="586FEAB0" w14:textId="77777777">
        <w:trPr>
          <w:divId w:val="1585723877"/>
        </w:trPr>
        <w:tc>
          <w:tcPr>
            <w:tcW w:w="50" w:type="pct"/>
            <w:vAlign w:val="center"/>
            <w:hideMark/>
          </w:tcPr>
          <w:p w14:paraId="36C1390D" w14:textId="77777777" w:rsidR="00000000" w:rsidRDefault="00E614A4">
            <w:pPr>
              <w:rPr>
                <w:rFonts w:eastAsia="Times New Roman"/>
              </w:rPr>
            </w:pPr>
          </w:p>
        </w:tc>
        <w:tc>
          <w:tcPr>
            <w:tcW w:w="177" w:type="pct"/>
            <w:vAlign w:val="center"/>
            <w:hideMark/>
          </w:tcPr>
          <w:p w14:paraId="2DB67473" w14:textId="77777777" w:rsidR="00000000" w:rsidRDefault="00E614A4">
            <w:pPr>
              <w:rPr>
                <w:rFonts w:eastAsia="Times New Roman"/>
                <w:sz w:val="20"/>
                <w:szCs w:val="20"/>
              </w:rPr>
            </w:pPr>
          </w:p>
        </w:tc>
        <w:tc>
          <w:tcPr>
            <w:tcW w:w="5" w:type="pct"/>
            <w:vAlign w:val="center"/>
            <w:hideMark/>
          </w:tcPr>
          <w:p w14:paraId="4B9E399E" w14:textId="77777777" w:rsidR="00000000" w:rsidRDefault="00E614A4">
            <w:pPr>
              <w:rPr>
                <w:rFonts w:eastAsia="Times New Roman"/>
                <w:sz w:val="20"/>
                <w:szCs w:val="20"/>
              </w:rPr>
            </w:pPr>
          </w:p>
        </w:tc>
        <w:tc>
          <w:tcPr>
            <w:tcW w:w="50" w:type="pct"/>
            <w:vAlign w:val="center"/>
            <w:hideMark/>
          </w:tcPr>
          <w:p w14:paraId="10153413" w14:textId="77777777" w:rsidR="00000000" w:rsidRDefault="00E614A4">
            <w:pPr>
              <w:rPr>
                <w:rFonts w:eastAsia="Times New Roman"/>
                <w:sz w:val="20"/>
                <w:szCs w:val="20"/>
              </w:rPr>
            </w:pPr>
          </w:p>
        </w:tc>
        <w:tc>
          <w:tcPr>
            <w:tcW w:w="4712" w:type="pct"/>
            <w:vAlign w:val="center"/>
            <w:hideMark/>
          </w:tcPr>
          <w:p w14:paraId="187B6FEE" w14:textId="77777777" w:rsidR="00000000" w:rsidRDefault="00E614A4">
            <w:pPr>
              <w:rPr>
                <w:rFonts w:eastAsia="Times New Roman"/>
                <w:sz w:val="20"/>
                <w:szCs w:val="20"/>
              </w:rPr>
            </w:pPr>
          </w:p>
        </w:tc>
        <w:tc>
          <w:tcPr>
            <w:tcW w:w="5" w:type="pct"/>
            <w:vAlign w:val="center"/>
            <w:hideMark/>
          </w:tcPr>
          <w:p w14:paraId="5281CBAF" w14:textId="77777777" w:rsidR="00000000" w:rsidRDefault="00E614A4">
            <w:pPr>
              <w:rPr>
                <w:rFonts w:eastAsia="Times New Roman"/>
                <w:sz w:val="20"/>
                <w:szCs w:val="20"/>
              </w:rPr>
            </w:pPr>
          </w:p>
        </w:tc>
      </w:tr>
      <w:tr w:rsidR="00000000" w14:paraId="7EB2A95D" w14:textId="77777777">
        <w:trPr>
          <w:divId w:val="1585723877"/>
        </w:trPr>
        <w:tc>
          <w:tcPr>
            <w:tcW w:w="0" w:type="auto"/>
            <w:gridSpan w:val="3"/>
            <w:tcMar>
              <w:top w:w="30" w:type="dxa"/>
              <w:left w:w="20" w:type="dxa"/>
              <w:bottom w:w="30" w:type="dxa"/>
              <w:right w:w="20" w:type="dxa"/>
            </w:tcMar>
            <w:hideMark/>
          </w:tcPr>
          <w:p w14:paraId="588B5447" w14:textId="77777777" w:rsidR="00000000" w:rsidRDefault="00E614A4">
            <w:pP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14:paraId="742D08AC" w14:textId="77777777" w:rsidR="00000000" w:rsidRDefault="00E614A4">
            <w:pPr>
              <w:rPr>
                <w:rFonts w:eastAsia="Times New Roman"/>
              </w:rPr>
            </w:pPr>
            <w:r>
              <w:rPr>
                <w:rFonts w:eastAsia="Times New Roman"/>
                <w:b/>
                <w:bCs/>
                <w:color w:val="000000"/>
                <w:sz w:val="20"/>
                <w:szCs w:val="20"/>
              </w:rPr>
              <w:t>ANNUAL REPORT PURSUANT TO SECTION 13 OR 15(d) OF THE SECURITIES EXCHANGE ACT OF 1934</w:t>
            </w:r>
          </w:p>
        </w:tc>
      </w:tr>
    </w:tbl>
    <w:p w14:paraId="271850CB" w14:textId="77777777" w:rsidR="00000000" w:rsidRDefault="00E614A4">
      <w:pPr>
        <w:jc w:val="center"/>
        <w:divId w:val="212891595"/>
        <w:rPr>
          <w:rFonts w:eastAsia="Times New Roman"/>
        </w:rPr>
      </w:pPr>
      <w:r>
        <w:rPr>
          <w:rFonts w:eastAsia="Times New Roman"/>
          <w:b/>
          <w:bCs/>
          <w:color w:val="000000"/>
          <w:sz w:val="20"/>
          <w:szCs w:val="20"/>
        </w:rPr>
        <w:t xml:space="preserve">For the fiscal year ended December 31, 2020 </w:t>
      </w:r>
    </w:p>
    <w:p w14:paraId="6AE046E6" w14:textId="77777777" w:rsidR="00000000" w:rsidRDefault="00E614A4">
      <w:pPr>
        <w:jc w:val="center"/>
        <w:divId w:val="1312558175"/>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275"/>
        <w:gridCol w:w="36"/>
        <w:gridCol w:w="69"/>
        <w:gridCol w:w="7821"/>
        <w:gridCol w:w="36"/>
      </w:tblGrid>
      <w:tr w:rsidR="00000000" w14:paraId="428C9D98" w14:textId="77777777">
        <w:trPr>
          <w:divId w:val="1023477586"/>
        </w:trPr>
        <w:tc>
          <w:tcPr>
            <w:tcW w:w="50" w:type="pct"/>
            <w:vAlign w:val="center"/>
            <w:hideMark/>
          </w:tcPr>
          <w:p w14:paraId="390CC683" w14:textId="77777777" w:rsidR="00000000" w:rsidRDefault="00E614A4">
            <w:pPr>
              <w:jc w:val="center"/>
              <w:rPr>
                <w:rFonts w:eastAsia="Times New Roman"/>
              </w:rPr>
            </w:pPr>
          </w:p>
        </w:tc>
        <w:tc>
          <w:tcPr>
            <w:tcW w:w="174" w:type="pct"/>
            <w:vAlign w:val="center"/>
            <w:hideMark/>
          </w:tcPr>
          <w:p w14:paraId="3A286B3A" w14:textId="77777777" w:rsidR="00000000" w:rsidRDefault="00E614A4">
            <w:pPr>
              <w:rPr>
                <w:rFonts w:eastAsia="Times New Roman"/>
                <w:sz w:val="20"/>
                <w:szCs w:val="20"/>
              </w:rPr>
            </w:pPr>
          </w:p>
        </w:tc>
        <w:tc>
          <w:tcPr>
            <w:tcW w:w="5" w:type="pct"/>
            <w:vAlign w:val="center"/>
            <w:hideMark/>
          </w:tcPr>
          <w:p w14:paraId="3BA66F88" w14:textId="77777777" w:rsidR="00000000" w:rsidRDefault="00E614A4">
            <w:pPr>
              <w:rPr>
                <w:rFonts w:eastAsia="Times New Roman"/>
                <w:sz w:val="20"/>
                <w:szCs w:val="20"/>
              </w:rPr>
            </w:pPr>
          </w:p>
        </w:tc>
        <w:tc>
          <w:tcPr>
            <w:tcW w:w="50" w:type="pct"/>
            <w:vAlign w:val="center"/>
            <w:hideMark/>
          </w:tcPr>
          <w:p w14:paraId="7B11779D" w14:textId="77777777" w:rsidR="00000000" w:rsidRDefault="00E614A4">
            <w:pPr>
              <w:rPr>
                <w:rFonts w:eastAsia="Times New Roman"/>
                <w:sz w:val="20"/>
                <w:szCs w:val="20"/>
              </w:rPr>
            </w:pPr>
          </w:p>
        </w:tc>
        <w:tc>
          <w:tcPr>
            <w:tcW w:w="4715" w:type="pct"/>
            <w:vAlign w:val="center"/>
            <w:hideMark/>
          </w:tcPr>
          <w:p w14:paraId="6826BF9D" w14:textId="77777777" w:rsidR="00000000" w:rsidRDefault="00E614A4">
            <w:pPr>
              <w:rPr>
                <w:rFonts w:eastAsia="Times New Roman"/>
                <w:sz w:val="20"/>
                <w:szCs w:val="20"/>
              </w:rPr>
            </w:pPr>
          </w:p>
        </w:tc>
        <w:tc>
          <w:tcPr>
            <w:tcW w:w="5" w:type="pct"/>
            <w:vAlign w:val="center"/>
            <w:hideMark/>
          </w:tcPr>
          <w:p w14:paraId="3191D45C" w14:textId="77777777" w:rsidR="00000000" w:rsidRDefault="00E614A4">
            <w:pPr>
              <w:rPr>
                <w:rFonts w:eastAsia="Times New Roman"/>
                <w:sz w:val="20"/>
                <w:szCs w:val="20"/>
              </w:rPr>
            </w:pPr>
          </w:p>
        </w:tc>
      </w:tr>
      <w:tr w:rsidR="00000000" w14:paraId="5C5D6DC0" w14:textId="77777777">
        <w:trPr>
          <w:divId w:val="1023477586"/>
        </w:trPr>
        <w:tc>
          <w:tcPr>
            <w:tcW w:w="0" w:type="auto"/>
            <w:gridSpan w:val="3"/>
            <w:tcMar>
              <w:top w:w="30" w:type="dxa"/>
              <w:left w:w="20" w:type="dxa"/>
              <w:bottom w:w="30" w:type="dxa"/>
              <w:right w:w="20" w:type="dxa"/>
            </w:tcMar>
            <w:hideMark/>
          </w:tcPr>
          <w:p w14:paraId="2786B7B2" w14:textId="77777777" w:rsidR="00000000" w:rsidRDefault="00E614A4">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7641FB95" w14:textId="77777777" w:rsidR="00000000" w:rsidRDefault="00E614A4">
            <w:pPr>
              <w:divId w:val="521284585"/>
              <w:rPr>
                <w:rFonts w:eastAsia="Times New Roman"/>
              </w:rPr>
            </w:pPr>
            <w:r>
              <w:rPr>
                <w:rFonts w:eastAsia="Times New Roman"/>
                <w:b/>
                <w:bCs/>
                <w:color w:val="000000"/>
                <w:sz w:val="20"/>
                <w:szCs w:val="20"/>
              </w:rPr>
              <w:t xml:space="preserve">TRANSITION REPORT PURSUANT TO SECTION 13 OR 15(d) OF THE SECURITIES EXCHANGE ACT OF 1934 FOR THE TRANSITION PERIOD FROM TO </w:t>
            </w:r>
          </w:p>
        </w:tc>
      </w:tr>
    </w:tbl>
    <w:p w14:paraId="07484AE0" w14:textId="77777777" w:rsidR="00000000" w:rsidRDefault="00E614A4">
      <w:pPr>
        <w:jc w:val="center"/>
        <w:rPr>
          <w:rFonts w:eastAsia="Times New Roman"/>
        </w:rPr>
      </w:pPr>
      <w:r>
        <w:rPr>
          <w:rFonts w:eastAsia="Times New Roman"/>
          <w:b/>
          <w:bCs/>
          <w:color w:val="000000"/>
          <w:sz w:val="20"/>
          <w:szCs w:val="20"/>
        </w:rPr>
        <w:t xml:space="preserve">Commission File Number 001-33520 </w:t>
      </w:r>
    </w:p>
    <w:p w14:paraId="7B6D2AF8" w14:textId="77777777" w:rsidR="00000000" w:rsidRDefault="00E614A4">
      <w:pPr>
        <w:jc w:val="center"/>
        <w:rPr>
          <w:rFonts w:eastAsia="Times New Roman"/>
        </w:rPr>
      </w:pPr>
      <w:r>
        <w:rPr>
          <w:rFonts w:eastAsia="Times New Roman"/>
          <w:color w:val="000000"/>
          <w:sz w:val="12"/>
          <w:szCs w:val="12"/>
        </w:rPr>
        <w:t>___________________________________________________________________</w:t>
      </w:r>
    </w:p>
    <w:p w14:paraId="261663C2" w14:textId="77777777" w:rsidR="00000000" w:rsidRDefault="00E614A4">
      <w:pPr>
        <w:jc w:val="center"/>
        <w:divId w:val="1502355372"/>
        <w:rPr>
          <w:rFonts w:eastAsia="Times New Roman"/>
        </w:rPr>
      </w:pPr>
      <w:r>
        <w:rPr>
          <w:rFonts w:eastAsia="Times New Roman"/>
          <w:b/>
          <w:bCs/>
          <w:color w:val="000000"/>
          <w:sz w:val="36"/>
          <w:szCs w:val="36"/>
        </w:rPr>
        <w:t>COMSCORE, INC.</w:t>
      </w:r>
    </w:p>
    <w:p w14:paraId="43FDC019" w14:textId="77777777" w:rsidR="00000000" w:rsidRDefault="00E614A4">
      <w:pPr>
        <w:jc w:val="center"/>
        <w:rPr>
          <w:rFonts w:eastAsia="Times New Roman"/>
        </w:rPr>
      </w:pPr>
      <w:r>
        <w:rPr>
          <w:rFonts w:eastAsia="Times New Roman"/>
          <w:b/>
          <w:bCs/>
          <w:i/>
          <w:iCs/>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4005"/>
        <w:gridCol w:w="36"/>
        <w:gridCol w:w="36"/>
        <w:gridCol w:w="36"/>
        <w:gridCol w:w="36"/>
        <w:gridCol w:w="54"/>
        <w:gridCol w:w="4005"/>
        <w:gridCol w:w="37"/>
      </w:tblGrid>
      <w:tr w:rsidR="00000000" w14:paraId="706DAE18" w14:textId="77777777">
        <w:trPr>
          <w:divId w:val="300890398"/>
          <w:jc w:val="center"/>
        </w:trPr>
        <w:tc>
          <w:tcPr>
            <w:tcW w:w="50" w:type="pct"/>
            <w:vAlign w:val="center"/>
            <w:hideMark/>
          </w:tcPr>
          <w:p w14:paraId="78BF68E1" w14:textId="77777777" w:rsidR="00000000" w:rsidRDefault="00E614A4">
            <w:pPr>
              <w:jc w:val="center"/>
              <w:rPr>
                <w:rFonts w:eastAsia="Times New Roman"/>
              </w:rPr>
            </w:pPr>
          </w:p>
        </w:tc>
        <w:tc>
          <w:tcPr>
            <w:tcW w:w="2424" w:type="pct"/>
            <w:vAlign w:val="center"/>
            <w:hideMark/>
          </w:tcPr>
          <w:p w14:paraId="62276BDC" w14:textId="77777777" w:rsidR="00000000" w:rsidRDefault="00E614A4">
            <w:pPr>
              <w:rPr>
                <w:rFonts w:eastAsia="Times New Roman"/>
                <w:sz w:val="20"/>
                <w:szCs w:val="20"/>
              </w:rPr>
            </w:pPr>
          </w:p>
        </w:tc>
        <w:tc>
          <w:tcPr>
            <w:tcW w:w="5" w:type="pct"/>
            <w:vAlign w:val="center"/>
            <w:hideMark/>
          </w:tcPr>
          <w:p w14:paraId="1D61B4F6" w14:textId="77777777" w:rsidR="00000000" w:rsidRDefault="00E614A4">
            <w:pPr>
              <w:rPr>
                <w:rFonts w:eastAsia="Times New Roman"/>
                <w:sz w:val="20"/>
                <w:szCs w:val="20"/>
              </w:rPr>
            </w:pPr>
          </w:p>
        </w:tc>
        <w:tc>
          <w:tcPr>
            <w:tcW w:w="5" w:type="pct"/>
            <w:vAlign w:val="center"/>
            <w:hideMark/>
          </w:tcPr>
          <w:p w14:paraId="4867F345" w14:textId="77777777" w:rsidR="00000000" w:rsidRDefault="00E614A4">
            <w:pPr>
              <w:rPr>
                <w:rFonts w:eastAsia="Times New Roman"/>
                <w:sz w:val="20"/>
                <w:szCs w:val="20"/>
              </w:rPr>
            </w:pPr>
          </w:p>
        </w:tc>
        <w:tc>
          <w:tcPr>
            <w:tcW w:w="31" w:type="pct"/>
            <w:vAlign w:val="center"/>
            <w:hideMark/>
          </w:tcPr>
          <w:p w14:paraId="56EC76DB" w14:textId="77777777" w:rsidR="00000000" w:rsidRDefault="00E614A4">
            <w:pPr>
              <w:rPr>
                <w:rFonts w:eastAsia="Times New Roman"/>
                <w:sz w:val="20"/>
                <w:szCs w:val="20"/>
              </w:rPr>
            </w:pPr>
          </w:p>
        </w:tc>
        <w:tc>
          <w:tcPr>
            <w:tcW w:w="5" w:type="pct"/>
            <w:vAlign w:val="center"/>
            <w:hideMark/>
          </w:tcPr>
          <w:p w14:paraId="489892C3" w14:textId="77777777" w:rsidR="00000000" w:rsidRDefault="00E614A4">
            <w:pPr>
              <w:rPr>
                <w:rFonts w:eastAsia="Times New Roman"/>
                <w:sz w:val="20"/>
                <w:szCs w:val="20"/>
              </w:rPr>
            </w:pPr>
          </w:p>
        </w:tc>
        <w:tc>
          <w:tcPr>
            <w:tcW w:w="50" w:type="pct"/>
            <w:vAlign w:val="center"/>
            <w:hideMark/>
          </w:tcPr>
          <w:p w14:paraId="20432F90" w14:textId="77777777" w:rsidR="00000000" w:rsidRDefault="00E614A4">
            <w:pPr>
              <w:rPr>
                <w:rFonts w:eastAsia="Times New Roman"/>
                <w:sz w:val="20"/>
                <w:szCs w:val="20"/>
              </w:rPr>
            </w:pPr>
          </w:p>
        </w:tc>
        <w:tc>
          <w:tcPr>
            <w:tcW w:w="2424" w:type="pct"/>
            <w:vAlign w:val="center"/>
            <w:hideMark/>
          </w:tcPr>
          <w:p w14:paraId="4C84704B" w14:textId="77777777" w:rsidR="00000000" w:rsidRDefault="00E614A4">
            <w:pPr>
              <w:rPr>
                <w:rFonts w:eastAsia="Times New Roman"/>
                <w:sz w:val="20"/>
                <w:szCs w:val="20"/>
              </w:rPr>
            </w:pPr>
          </w:p>
        </w:tc>
        <w:tc>
          <w:tcPr>
            <w:tcW w:w="5" w:type="pct"/>
            <w:vAlign w:val="center"/>
            <w:hideMark/>
          </w:tcPr>
          <w:p w14:paraId="0FD4C3F1" w14:textId="77777777" w:rsidR="00000000" w:rsidRDefault="00E614A4">
            <w:pPr>
              <w:rPr>
                <w:rFonts w:eastAsia="Times New Roman"/>
                <w:sz w:val="20"/>
                <w:szCs w:val="20"/>
              </w:rPr>
            </w:pPr>
          </w:p>
        </w:tc>
      </w:tr>
      <w:tr w:rsidR="00000000" w14:paraId="3BFFDC58" w14:textId="77777777">
        <w:trPr>
          <w:divId w:val="300890398"/>
          <w:jc w:val="center"/>
        </w:trPr>
        <w:tc>
          <w:tcPr>
            <w:tcW w:w="0" w:type="auto"/>
            <w:gridSpan w:val="3"/>
            <w:tcBorders>
              <w:top w:val="single" w:sz="8" w:space="0" w:color="000000"/>
            </w:tcBorders>
            <w:tcMar>
              <w:top w:w="30" w:type="dxa"/>
              <w:left w:w="20" w:type="dxa"/>
              <w:bottom w:w="30" w:type="dxa"/>
              <w:right w:w="20" w:type="dxa"/>
            </w:tcMar>
            <w:vAlign w:val="center"/>
            <w:hideMark/>
          </w:tcPr>
          <w:p w14:paraId="3ABCBBBD" w14:textId="77777777" w:rsidR="00000000" w:rsidRDefault="00E614A4">
            <w:pPr>
              <w:jc w:val="center"/>
              <w:rPr>
                <w:rFonts w:eastAsia="Times New Roman"/>
              </w:rPr>
            </w:pPr>
            <w:r>
              <w:rPr>
                <w:rFonts w:eastAsia="Times New Roman"/>
                <w:b/>
                <w:bCs/>
                <w:color w:val="000000"/>
                <w:sz w:val="20"/>
                <w:szCs w:val="20"/>
              </w:rPr>
              <w:t>Delaware</w:t>
            </w:r>
          </w:p>
        </w:tc>
        <w:tc>
          <w:tcPr>
            <w:tcW w:w="0" w:type="auto"/>
            <w:gridSpan w:val="3"/>
            <w:tcBorders>
              <w:top w:val="single" w:sz="8" w:space="0" w:color="000000"/>
            </w:tcBorders>
            <w:tcMar>
              <w:top w:w="30" w:type="dxa"/>
              <w:left w:w="20" w:type="dxa"/>
              <w:bottom w:w="30" w:type="dxa"/>
              <w:right w:w="20" w:type="dxa"/>
            </w:tcMar>
            <w:vAlign w:val="center"/>
            <w:hideMark/>
          </w:tcPr>
          <w:p w14:paraId="757B2696" w14:textId="77777777" w:rsidR="00000000" w:rsidRDefault="00E614A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14:paraId="10843C09" w14:textId="77777777" w:rsidR="00000000" w:rsidRDefault="00E614A4">
            <w:pPr>
              <w:jc w:val="center"/>
              <w:rPr>
                <w:rFonts w:eastAsia="Times New Roman"/>
              </w:rPr>
            </w:pPr>
            <w:r>
              <w:rPr>
                <w:rFonts w:eastAsia="Times New Roman"/>
                <w:b/>
                <w:bCs/>
                <w:color w:val="000000"/>
                <w:sz w:val="20"/>
                <w:szCs w:val="20"/>
              </w:rPr>
              <w:t>54-1955550</w:t>
            </w:r>
          </w:p>
        </w:tc>
      </w:tr>
      <w:tr w:rsidR="00000000" w14:paraId="29F17D58" w14:textId="77777777">
        <w:trPr>
          <w:divId w:val="300890398"/>
          <w:jc w:val="center"/>
        </w:trPr>
        <w:tc>
          <w:tcPr>
            <w:tcW w:w="0" w:type="auto"/>
            <w:gridSpan w:val="3"/>
            <w:tcBorders>
              <w:bottom w:val="single" w:sz="8" w:space="0" w:color="000000"/>
            </w:tcBorders>
            <w:tcMar>
              <w:top w:w="30" w:type="dxa"/>
              <w:left w:w="20" w:type="dxa"/>
              <w:bottom w:w="30" w:type="dxa"/>
              <w:right w:w="20" w:type="dxa"/>
            </w:tcMar>
            <w:vAlign w:val="center"/>
            <w:hideMark/>
          </w:tcPr>
          <w:p w14:paraId="61B4E2D9" w14:textId="77777777" w:rsidR="00000000" w:rsidRDefault="00E614A4">
            <w:pPr>
              <w:jc w:val="center"/>
              <w:rPr>
                <w:rFonts w:eastAsia="Times New Roman"/>
              </w:rPr>
            </w:pPr>
            <w:r>
              <w:rPr>
                <w:rFonts w:eastAsia="Times New Roman"/>
                <w:i/>
                <w:iCs/>
                <w:color w:val="000000"/>
                <w:sz w:val="16"/>
                <w:szCs w:val="16"/>
              </w:rPr>
              <w:t>(State or Other Jurisdiction of Incorporation or Organization)</w:t>
            </w:r>
          </w:p>
        </w:tc>
        <w:tc>
          <w:tcPr>
            <w:tcW w:w="0" w:type="auto"/>
            <w:gridSpan w:val="3"/>
            <w:tcBorders>
              <w:bottom w:val="single" w:sz="8" w:space="0" w:color="000000"/>
            </w:tcBorders>
            <w:tcMar>
              <w:top w:w="30" w:type="dxa"/>
              <w:left w:w="20" w:type="dxa"/>
              <w:bottom w:w="30" w:type="dxa"/>
              <w:right w:w="20" w:type="dxa"/>
            </w:tcMar>
            <w:vAlign w:val="center"/>
            <w:hideMark/>
          </w:tcPr>
          <w:p w14:paraId="736F9896" w14:textId="77777777" w:rsidR="00000000" w:rsidRDefault="00E614A4">
            <w:pPr>
              <w:rPr>
                <w:rFonts w:eastAsia="Times New Roman"/>
              </w:rPr>
            </w:pPr>
            <w:r>
              <w:rPr>
                <w:rFonts w:eastAsia="Times New Roman"/>
                <w:color w:val="000000"/>
                <w:sz w:val="16"/>
                <w:szCs w:val="16"/>
              </w:rPr>
              <w:t> </w:t>
            </w:r>
          </w:p>
        </w:tc>
        <w:tc>
          <w:tcPr>
            <w:tcW w:w="0" w:type="auto"/>
            <w:gridSpan w:val="3"/>
            <w:tcBorders>
              <w:bottom w:val="single" w:sz="8" w:space="0" w:color="000000"/>
            </w:tcBorders>
            <w:tcMar>
              <w:top w:w="30" w:type="dxa"/>
              <w:left w:w="20" w:type="dxa"/>
              <w:bottom w:w="30" w:type="dxa"/>
              <w:right w:w="20" w:type="dxa"/>
            </w:tcMar>
            <w:vAlign w:val="center"/>
            <w:hideMark/>
          </w:tcPr>
          <w:p w14:paraId="1B3DB911" w14:textId="77777777" w:rsidR="00000000" w:rsidRDefault="00E614A4">
            <w:pPr>
              <w:jc w:val="center"/>
              <w:rPr>
                <w:rFonts w:eastAsia="Times New Roman"/>
              </w:rPr>
            </w:pPr>
            <w:r>
              <w:rPr>
                <w:rFonts w:eastAsia="Times New Roman"/>
                <w:i/>
                <w:iCs/>
                <w:color w:val="000000"/>
                <w:sz w:val="16"/>
                <w:szCs w:val="16"/>
              </w:rPr>
              <w:t>(I.R.S. Employer Identification Number)</w:t>
            </w:r>
          </w:p>
        </w:tc>
      </w:tr>
    </w:tbl>
    <w:p w14:paraId="30626D57" w14:textId="77777777" w:rsidR="00000000" w:rsidRDefault="00E614A4">
      <w:pPr>
        <w:jc w:val="center"/>
        <w:rPr>
          <w:rFonts w:eastAsia="Times New Roman"/>
        </w:rPr>
      </w:pPr>
      <w:r>
        <w:rPr>
          <w:rFonts w:eastAsia="Times New Roman"/>
          <w:b/>
          <w:bCs/>
          <w:color w:val="000000"/>
          <w:sz w:val="20"/>
          <w:szCs w:val="20"/>
        </w:rPr>
        <w:t xml:space="preserve">11950 Democracy Drive, Suite 600 </w:t>
      </w:r>
    </w:p>
    <w:p w14:paraId="4B096A50" w14:textId="77777777" w:rsidR="00000000" w:rsidRDefault="00E614A4">
      <w:pPr>
        <w:jc w:val="center"/>
        <w:rPr>
          <w:rFonts w:eastAsia="Times New Roman"/>
        </w:rPr>
      </w:pPr>
      <w:r>
        <w:rPr>
          <w:rFonts w:eastAsia="Times New Roman"/>
          <w:b/>
          <w:bCs/>
          <w:color w:val="000000"/>
          <w:sz w:val="20"/>
          <w:szCs w:val="20"/>
        </w:rPr>
        <w:t xml:space="preserve">Reston, Virginia 20190 </w:t>
      </w:r>
    </w:p>
    <w:p w14:paraId="43405262" w14:textId="77777777" w:rsidR="00000000" w:rsidRDefault="00E614A4">
      <w:pPr>
        <w:jc w:val="center"/>
        <w:rPr>
          <w:rFonts w:eastAsia="Times New Roman"/>
        </w:rPr>
      </w:pPr>
      <w:r>
        <w:rPr>
          <w:rFonts w:eastAsia="Times New Roman"/>
          <w:i/>
          <w:iCs/>
          <w:color w:val="000000"/>
          <w:sz w:val="16"/>
          <w:szCs w:val="16"/>
        </w:rPr>
        <w:t>(Address of Principal Executive Offices)</w:t>
      </w:r>
    </w:p>
    <w:p w14:paraId="15A552D8" w14:textId="77777777" w:rsidR="00000000" w:rsidRDefault="00E614A4">
      <w:pPr>
        <w:jc w:val="center"/>
        <w:divId w:val="1326981110"/>
        <w:rPr>
          <w:rFonts w:eastAsia="Times New Roman"/>
        </w:rPr>
      </w:pPr>
      <w:r>
        <w:rPr>
          <w:rFonts w:eastAsia="Times New Roman"/>
          <w:b/>
          <w:bCs/>
          <w:color w:val="000000"/>
          <w:sz w:val="20"/>
          <w:szCs w:val="20"/>
        </w:rPr>
        <w:t>(703) 438-2000</w:t>
      </w:r>
      <w:r>
        <w:rPr>
          <w:rFonts w:eastAsia="Times New Roman"/>
          <w:i/>
          <w:iCs/>
          <w:color w:val="000000"/>
          <w:sz w:val="16"/>
          <w:szCs w:val="16"/>
        </w:rPr>
        <w:t xml:space="preserve"> </w:t>
      </w:r>
    </w:p>
    <w:p w14:paraId="0267E8C3" w14:textId="77777777" w:rsidR="00000000" w:rsidRDefault="00E614A4">
      <w:pPr>
        <w:jc w:val="center"/>
        <w:rPr>
          <w:rFonts w:eastAsia="Times New Roman"/>
        </w:rPr>
      </w:pPr>
      <w:r>
        <w:rPr>
          <w:rFonts w:eastAsia="Times New Roman"/>
          <w:i/>
          <w:iCs/>
          <w:color w:val="000000"/>
          <w:sz w:val="16"/>
          <w:szCs w:val="16"/>
        </w:rPr>
        <w:t>(Registrant's Telephone Number, Including Area Code)</w:t>
      </w:r>
    </w:p>
    <w:p w14:paraId="67592E78" w14:textId="77777777" w:rsidR="00000000" w:rsidRDefault="00E614A4">
      <w:pPr>
        <w:jc w:val="center"/>
        <w:divId w:val="1030883437"/>
        <w:rPr>
          <w:rFonts w:eastAsia="Times New Roman"/>
        </w:rPr>
      </w:pPr>
      <w:r>
        <w:rPr>
          <w:rFonts w:eastAsia="Times New Roman"/>
          <w:b/>
          <w:bCs/>
          <w:color w:val="000000"/>
          <w:sz w:val="20"/>
          <w:szCs w:val="20"/>
        </w:rPr>
        <w:t>Securities registered pursuant to Section 12(b) of the Act</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3219"/>
        <w:gridCol w:w="37"/>
        <w:gridCol w:w="36"/>
        <w:gridCol w:w="36"/>
        <w:gridCol w:w="36"/>
        <w:gridCol w:w="48"/>
        <w:gridCol w:w="1397"/>
        <w:gridCol w:w="36"/>
        <w:gridCol w:w="36"/>
        <w:gridCol w:w="36"/>
        <w:gridCol w:w="36"/>
        <w:gridCol w:w="48"/>
        <w:gridCol w:w="3221"/>
        <w:gridCol w:w="37"/>
      </w:tblGrid>
      <w:tr w:rsidR="00000000" w14:paraId="25E08D93" w14:textId="77777777">
        <w:trPr>
          <w:divId w:val="1395204919"/>
          <w:jc w:val="center"/>
        </w:trPr>
        <w:tc>
          <w:tcPr>
            <w:tcW w:w="50" w:type="pct"/>
            <w:vAlign w:val="center"/>
            <w:hideMark/>
          </w:tcPr>
          <w:p w14:paraId="6358A330" w14:textId="77777777" w:rsidR="00000000" w:rsidRDefault="00E614A4">
            <w:pPr>
              <w:jc w:val="center"/>
              <w:rPr>
                <w:rFonts w:eastAsia="Times New Roman"/>
              </w:rPr>
            </w:pPr>
          </w:p>
        </w:tc>
        <w:tc>
          <w:tcPr>
            <w:tcW w:w="1958" w:type="pct"/>
            <w:vAlign w:val="center"/>
            <w:hideMark/>
          </w:tcPr>
          <w:p w14:paraId="5A794100" w14:textId="77777777" w:rsidR="00000000" w:rsidRDefault="00E614A4">
            <w:pPr>
              <w:rPr>
                <w:rFonts w:eastAsia="Times New Roman"/>
                <w:sz w:val="20"/>
                <w:szCs w:val="20"/>
              </w:rPr>
            </w:pPr>
          </w:p>
        </w:tc>
        <w:tc>
          <w:tcPr>
            <w:tcW w:w="5" w:type="pct"/>
            <w:vAlign w:val="center"/>
            <w:hideMark/>
          </w:tcPr>
          <w:p w14:paraId="78BF91A9" w14:textId="77777777" w:rsidR="00000000" w:rsidRDefault="00E614A4">
            <w:pPr>
              <w:rPr>
                <w:rFonts w:eastAsia="Times New Roman"/>
                <w:sz w:val="20"/>
                <w:szCs w:val="20"/>
              </w:rPr>
            </w:pPr>
          </w:p>
        </w:tc>
        <w:tc>
          <w:tcPr>
            <w:tcW w:w="5" w:type="pct"/>
            <w:vAlign w:val="center"/>
            <w:hideMark/>
          </w:tcPr>
          <w:p w14:paraId="6843F97A" w14:textId="77777777" w:rsidR="00000000" w:rsidRDefault="00E614A4">
            <w:pPr>
              <w:rPr>
                <w:rFonts w:eastAsia="Times New Roman"/>
                <w:sz w:val="20"/>
                <w:szCs w:val="20"/>
              </w:rPr>
            </w:pPr>
          </w:p>
        </w:tc>
        <w:tc>
          <w:tcPr>
            <w:tcW w:w="17" w:type="pct"/>
            <w:vAlign w:val="center"/>
            <w:hideMark/>
          </w:tcPr>
          <w:p w14:paraId="12C6AB8B" w14:textId="77777777" w:rsidR="00000000" w:rsidRDefault="00E614A4">
            <w:pPr>
              <w:rPr>
                <w:rFonts w:eastAsia="Times New Roman"/>
                <w:sz w:val="20"/>
                <w:szCs w:val="20"/>
              </w:rPr>
            </w:pPr>
          </w:p>
        </w:tc>
        <w:tc>
          <w:tcPr>
            <w:tcW w:w="5" w:type="pct"/>
            <w:vAlign w:val="center"/>
            <w:hideMark/>
          </w:tcPr>
          <w:p w14:paraId="6AAFAE63" w14:textId="77777777" w:rsidR="00000000" w:rsidRDefault="00E614A4">
            <w:pPr>
              <w:rPr>
                <w:rFonts w:eastAsia="Times New Roman"/>
                <w:sz w:val="20"/>
                <w:szCs w:val="20"/>
              </w:rPr>
            </w:pPr>
          </w:p>
        </w:tc>
        <w:tc>
          <w:tcPr>
            <w:tcW w:w="50" w:type="pct"/>
            <w:vAlign w:val="center"/>
            <w:hideMark/>
          </w:tcPr>
          <w:p w14:paraId="70C20353" w14:textId="77777777" w:rsidR="00000000" w:rsidRDefault="00E614A4">
            <w:pPr>
              <w:rPr>
                <w:rFonts w:eastAsia="Times New Roman"/>
                <w:sz w:val="20"/>
                <w:szCs w:val="20"/>
              </w:rPr>
            </w:pPr>
          </w:p>
        </w:tc>
        <w:tc>
          <w:tcPr>
            <w:tcW w:w="861" w:type="pct"/>
            <w:vAlign w:val="center"/>
            <w:hideMark/>
          </w:tcPr>
          <w:p w14:paraId="5E066E8D" w14:textId="77777777" w:rsidR="00000000" w:rsidRDefault="00E614A4">
            <w:pPr>
              <w:rPr>
                <w:rFonts w:eastAsia="Times New Roman"/>
                <w:sz w:val="20"/>
                <w:szCs w:val="20"/>
              </w:rPr>
            </w:pPr>
          </w:p>
        </w:tc>
        <w:tc>
          <w:tcPr>
            <w:tcW w:w="5" w:type="pct"/>
            <w:vAlign w:val="center"/>
            <w:hideMark/>
          </w:tcPr>
          <w:p w14:paraId="37CC0A8A" w14:textId="77777777" w:rsidR="00000000" w:rsidRDefault="00E614A4">
            <w:pPr>
              <w:rPr>
                <w:rFonts w:eastAsia="Times New Roman"/>
                <w:sz w:val="20"/>
                <w:szCs w:val="20"/>
              </w:rPr>
            </w:pPr>
          </w:p>
        </w:tc>
        <w:tc>
          <w:tcPr>
            <w:tcW w:w="5" w:type="pct"/>
            <w:vAlign w:val="center"/>
            <w:hideMark/>
          </w:tcPr>
          <w:p w14:paraId="29BD1884" w14:textId="77777777" w:rsidR="00000000" w:rsidRDefault="00E614A4">
            <w:pPr>
              <w:rPr>
                <w:rFonts w:eastAsia="Times New Roman"/>
                <w:sz w:val="20"/>
                <w:szCs w:val="20"/>
              </w:rPr>
            </w:pPr>
          </w:p>
        </w:tc>
        <w:tc>
          <w:tcPr>
            <w:tcW w:w="17" w:type="pct"/>
            <w:vAlign w:val="center"/>
            <w:hideMark/>
          </w:tcPr>
          <w:p w14:paraId="56624543" w14:textId="77777777" w:rsidR="00000000" w:rsidRDefault="00E614A4">
            <w:pPr>
              <w:rPr>
                <w:rFonts w:eastAsia="Times New Roman"/>
                <w:sz w:val="20"/>
                <w:szCs w:val="20"/>
              </w:rPr>
            </w:pPr>
          </w:p>
        </w:tc>
        <w:tc>
          <w:tcPr>
            <w:tcW w:w="5" w:type="pct"/>
            <w:vAlign w:val="center"/>
            <w:hideMark/>
          </w:tcPr>
          <w:p w14:paraId="1307F5DB" w14:textId="77777777" w:rsidR="00000000" w:rsidRDefault="00E614A4">
            <w:pPr>
              <w:rPr>
                <w:rFonts w:eastAsia="Times New Roman"/>
                <w:sz w:val="20"/>
                <w:szCs w:val="20"/>
              </w:rPr>
            </w:pPr>
          </w:p>
        </w:tc>
        <w:tc>
          <w:tcPr>
            <w:tcW w:w="50" w:type="pct"/>
            <w:vAlign w:val="center"/>
            <w:hideMark/>
          </w:tcPr>
          <w:p w14:paraId="336F9638" w14:textId="77777777" w:rsidR="00000000" w:rsidRDefault="00E614A4">
            <w:pPr>
              <w:rPr>
                <w:rFonts w:eastAsia="Times New Roman"/>
                <w:sz w:val="20"/>
                <w:szCs w:val="20"/>
              </w:rPr>
            </w:pPr>
          </w:p>
        </w:tc>
        <w:tc>
          <w:tcPr>
            <w:tcW w:w="1959" w:type="pct"/>
            <w:vAlign w:val="center"/>
            <w:hideMark/>
          </w:tcPr>
          <w:p w14:paraId="5AE2BD01" w14:textId="77777777" w:rsidR="00000000" w:rsidRDefault="00E614A4">
            <w:pPr>
              <w:rPr>
                <w:rFonts w:eastAsia="Times New Roman"/>
                <w:sz w:val="20"/>
                <w:szCs w:val="20"/>
              </w:rPr>
            </w:pPr>
          </w:p>
        </w:tc>
        <w:tc>
          <w:tcPr>
            <w:tcW w:w="5" w:type="pct"/>
            <w:vAlign w:val="center"/>
            <w:hideMark/>
          </w:tcPr>
          <w:p w14:paraId="4779C753" w14:textId="77777777" w:rsidR="00000000" w:rsidRDefault="00E614A4">
            <w:pPr>
              <w:rPr>
                <w:rFonts w:eastAsia="Times New Roman"/>
                <w:sz w:val="20"/>
                <w:szCs w:val="20"/>
              </w:rPr>
            </w:pPr>
          </w:p>
        </w:tc>
      </w:tr>
      <w:tr w:rsidR="00000000" w14:paraId="0EBFA5C3" w14:textId="77777777">
        <w:trPr>
          <w:divId w:val="1395204919"/>
          <w:jc w:val="center"/>
        </w:trPr>
        <w:tc>
          <w:tcPr>
            <w:tcW w:w="0" w:type="auto"/>
            <w:gridSpan w:val="3"/>
            <w:tcMar>
              <w:top w:w="30" w:type="dxa"/>
              <w:left w:w="20" w:type="dxa"/>
              <w:bottom w:w="30" w:type="dxa"/>
              <w:right w:w="20" w:type="dxa"/>
            </w:tcMar>
            <w:vAlign w:val="center"/>
            <w:hideMark/>
          </w:tcPr>
          <w:p w14:paraId="32A412C0" w14:textId="77777777" w:rsidR="00000000" w:rsidRDefault="00E614A4">
            <w:pPr>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14:paraId="5B701B20"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center"/>
            <w:hideMark/>
          </w:tcPr>
          <w:p w14:paraId="76CD907C" w14:textId="77777777" w:rsidR="00000000" w:rsidRDefault="00E614A4">
            <w:pPr>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14:paraId="472CDA89"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center"/>
            <w:hideMark/>
          </w:tcPr>
          <w:p w14:paraId="1EC88C6B" w14:textId="77777777" w:rsidR="00000000" w:rsidRDefault="00E614A4">
            <w:pPr>
              <w:jc w:val="center"/>
              <w:rPr>
                <w:rFonts w:eastAsia="Times New Roman"/>
              </w:rPr>
            </w:pPr>
            <w:r>
              <w:rPr>
                <w:rFonts w:eastAsia="Times New Roman"/>
                <w:color w:val="000000"/>
                <w:sz w:val="16"/>
                <w:szCs w:val="16"/>
              </w:rPr>
              <w:t>Name of Each Exchange on Which Registered</w:t>
            </w:r>
          </w:p>
        </w:tc>
      </w:tr>
      <w:tr w:rsidR="00000000" w14:paraId="6A1094A8" w14:textId="77777777">
        <w:trPr>
          <w:divId w:val="1395204919"/>
          <w:jc w:val="center"/>
        </w:trPr>
        <w:tc>
          <w:tcPr>
            <w:tcW w:w="0" w:type="auto"/>
            <w:gridSpan w:val="3"/>
            <w:tcBorders>
              <w:top w:val="single" w:sz="8" w:space="0" w:color="000000"/>
            </w:tcBorders>
            <w:tcMar>
              <w:top w:w="30" w:type="dxa"/>
              <w:left w:w="20" w:type="dxa"/>
              <w:bottom w:w="30" w:type="dxa"/>
              <w:right w:w="20" w:type="dxa"/>
            </w:tcMar>
            <w:vAlign w:val="center"/>
            <w:hideMark/>
          </w:tcPr>
          <w:p w14:paraId="6946E8DA" w14:textId="77777777" w:rsidR="00000000" w:rsidRDefault="00E614A4">
            <w:pPr>
              <w:jc w:val="center"/>
              <w:rPr>
                <w:rFonts w:eastAsia="Times New Roman"/>
              </w:rPr>
            </w:pPr>
            <w:r>
              <w:rPr>
                <w:rFonts w:eastAsia="Times New Roman"/>
                <w:color w:val="000000"/>
                <w:sz w:val="20"/>
                <w:szCs w:val="20"/>
              </w:rPr>
              <w:t>Common Stock, par value $0.001 per share</w:t>
            </w:r>
          </w:p>
        </w:tc>
        <w:tc>
          <w:tcPr>
            <w:tcW w:w="0" w:type="auto"/>
            <w:gridSpan w:val="3"/>
            <w:tcMar>
              <w:top w:w="0" w:type="dxa"/>
              <w:left w:w="20" w:type="dxa"/>
              <w:bottom w:w="0" w:type="dxa"/>
              <w:right w:w="20" w:type="dxa"/>
            </w:tcMar>
            <w:vAlign w:val="center"/>
            <w:hideMark/>
          </w:tcPr>
          <w:p w14:paraId="605FEA2E"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5AA7D1A2" w14:textId="77777777" w:rsidR="00000000" w:rsidRDefault="00E614A4">
            <w:pPr>
              <w:jc w:val="center"/>
              <w:rPr>
                <w:rFonts w:eastAsia="Times New Roman"/>
              </w:rPr>
            </w:pPr>
            <w:r>
              <w:rPr>
                <w:rFonts w:eastAsia="Times New Roman"/>
                <w:color w:val="000000"/>
                <w:sz w:val="20"/>
                <w:szCs w:val="20"/>
              </w:rPr>
              <w:t>SCOR</w:t>
            </w:r>
          </w:p>
        </w:tc>
        <w:tc>
          <w:tcPr>
            <w:tcW w:w="0" w:type="auto"/>
            <w:gridSpan w:val="3"/>
            <w:tcMar>
              <w:top w:w="0" w:type="dxa"/>
              <w:left w:w="20" w:type="dxa"/>
              <w:bottom w:w="0" w:type="dxa"/>
              <w:right w:w="20" w:type="dxa"/>
            </w:tcMar>
            <w:vAlign w:val="center"/>
            <w:hideMark/>
          </w:tcPr>
          <w:p w14:paraId="73221568"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D9C23A6" w14:textId="77777777" w:rsidR="00000000" w:rsidRDefault="00E614A4">
            <w:pPr>
              <w:jc w:val="center"/>
              <w:divId w:val="1058355865"/>
              <w:rPr>
                <w:rFonts w:eastAsia="Times New Roman"/>
              </w:rPr>
            </w:pPr>
            <w:r>
              <w:rPr>
                <w:rFonts w:eastAsia="Times New Roman"/>
                <w:color w:val="000000"/>
                <w:sz w:val="20"/>
                <w:szCs w:val="20"/>
              </w:rPr>
              <w:t>NASDAQ Global Select Market</w:t>
            </w:r>
          </w:p>
        </w:tc>
      </w:tr>
    </w:tbl>
    <w:p w14:paraId="1923ECE4" w14:textId="77777777" w:rsidR="00000000" w:rsidRDefault="00E614A4">
      <w:pPr>
        <w:jc w:val="center"/>
        <w:rPr>
          <w:rFonts w:eastAsia="Times New Roman"/>
        </w:rPr>
      </w:pPr>
      <w:r>
        <w:rPr>
          <w:rFonts w:eastAsia="Times New Roman"/>
          <w:b/>
          <w:bCs/>
          <w:color w:val="000000"/>
          <w:sz w:val="20"/>
          <w:szCs w:val="20"/>
        </w:rPr>
        <w:t>Securities registered pursuant to Section 12(g) of the Act</w:t>
      </w:r>
      <w:r>
        <w:rPr>
          <w:rFonts w:eastAsia="Times New Roman"/>
          <w:color w:val="000000"/>
          <w:sz w:val="20"/>
          <w:szCs w:val="20"/>
        </w:rPr>
        <w:t>: None.</w:t>
      </w:r>
    </w:p>
    <w:p w14:paraId="1243A3F9" w14:textId="77777777" w:rsidR="00000000" w:rsidRDefault="00E614A4">
      <w:pPr>
        <w:jc w:val="center"/>
        <w:rPr>
          <w:rFonts w:eastAsia="Times New Roman"/>
        </w:rPr>
      </w:pPr>
      <w:r>
        <w:rPr>
          <w:rFonts w:eastAsia="Times New Roman"/>
          <w:color w:val="000000"/>
          <w:sz w:val="12"/>
          <w:szCs w:val="12"/>
        </w:rPr>
        <w:t> </w:t>
      </w:r>
      <w:r>
        <w:rPr>
          <w:rFonts w:eastAsia="Times New Roman"/>
          <w:color w:val="000000"/>
          <w:sz w:val="12"/>
          <w:szCs w:val="12"/>
        </w:rPr>
        <w:t>___________________________________________________________________</w:t>
      </w:r>
    </w:p>
    <w:p w14:paraId="47F64353" w14:textId="77777777" w:rsidR="00000000" w:rsidRDefault="00E614A4">
      <w:pPr>
        <w:jc w:val="both"/>
        <w:divId w:val="362171852"/>
        <w:rPr>
          <w:rFonts w:eastAsia="Times New Roman"/>
        </w:rPr>
      </w:pPr>
      <w:r>
        <w:rPr>
          <w:rFonts w:eastAsia="Times New Roman"/>
          <w:color w:val="000000"/>
          <w:sz w:val="18"/>
          <w:szCs w:val="18"/>
        </w:rPr>
        <w:t>Indicate by check mark if the registrant is a well-known seasoned issuer, as defined in Rule 405 of the Securities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14:paraId="4D81A603" w14:textId="77777777" w:rsidR="00000000" w:rsidRDefault="00E614A4">
      <w:pPr>
        <w:jc w:val="both"/>
        <w:divId w:val="608859341"/>
        <w:rPr>
          <w:rFonts w:eastAsia="Times New Roman"/>
        </w:rPr>
      </w:pPr>
      <w:r>
        <w:rPr>
          <w:rFonts w:eastAsia="Times New Roman"/>
          <w:color w:val="000000"/>
          <w:sz w:val="18"/>
          <w:szCs w:val="18"/>
        </w:rPr>
        <w:t>Indicate by check mark if the registrant is not require</w:t>
      </w:r>
      <w:r>
        <w:rPr>
          <w:rFonts w:eastAsia="Times New Roman"/>
          <w:color w:val="000000"/>
          <w:sz w:val="18"/>
          <w:szCs w:val="18"/>
        </w:rPr>
        <w:t>d to file reports pursuant to Section 13 or Section 15(d) of the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14:paraId="01CA9949" w14:textId="77777777" w:rsidR="00000000" w:rsidRDefault="00E614A4">
      <w:pPr>
        <w:jc w:val="both"/>
        <w:divId w:val="344289659"/>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546730FA" w14:textId="77777777" w:rsidR="00000000" w:rsidRDefault="00E614A4">
      <w:pPr>
        <w:jc w:val="both"/>
        <w:divId w:val="494145322"/>
        <w:rPr>
          <w:rFonts w:eastAsia="Times New Roman"/>
        </w:rPr>
      </w:pPr>
      <w:r>
        <w:rPr>
          <w:rFonts w:eastAsia="Times New Roman"/>
          <w:color w:val="000000"/>
          <w:sz w:val="18"/>
          <w:szCs w:val="18"/>
        </w:rPr>
        <w:t>In</w:t>
      </w:r>
      <w:r>
        <w:rPr>
          <w:rFonts w:eastAsia="Times New Roman"/>
          <w:color w:val="000000"/>
          <w:sz w:val="18"/>
          <w:szCs w:val="18"/>
        </w:rPr>
        <w:t>dicate by check mark whether the registrant has submitted electronically every Interactive Data File required to be submitted pursuant to Rule 405 of Regulation S-T (§ 232.405 of this chapter) during the preceding 12 months (or for such shorter period that</w:t>
      </w:r>
      <w:r>
        <w:rPr>
          <w:rFonts w:eastAsia="Times New Roman"/>
          <w:color w:val="000000"/>
          <w:sz w:val="18"/>
          <w:szCs w:val="18"/>
        </w:rPr>
        <w:t xml:space="preserve"> the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15CECE27" w14:textId="77777777" w:rsidR="00000000" w:rsidRDefault="00E614A4">
      <w:pPr>
        <w:divId w:val="1416122504"/>
        <w:rPr>
          <w:rFonts w:eastAsia="Times New Roman"/>
        </w:rPr>
      </w:pPr>
      <w:r>
        <w:rPr>
          <w:rFonts w:eastAsia="Times New Roman"/>
          <w:color w:val="000000"/>
          <w:sz w:val="18"/>
          <w:szCs w:val="18"/>
        </w:rPr>
        <w:t xml:space="preserve">Indicate by check mark whether the registrant is a large accelerated filer, an accelerated filer, a non-accelerated filer, a smaller reporting company, or an emerging growth company. See the </w:t>
      </w:r>
      <w:r>
        <w:rPr>
          <w:rFonts w:eastAsia="Times New Roman"/>
          <w:color w:val="000000"/>
          <w:sz w:val="18"/>
          <w:szCs w:val="18"/>
        </w:rPr>
        <w:t>definitions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2321"/>
        <w:gridCol w:w="36"/>
        <w:gridCol w:w="37"/>
        <w:gridCol w:w="181"/>
        <w:gridCol w:w="36"/>
        <w:gridCol w:w="43"/>
        <w:gridCol w:w="2803"/>
        <w:gridCol w:w="36"/>
        <w:gridCol w:w="68"/>
        <w:gridCol w:w="2312"/>
        <w:gridCol w:w="36"/>
        <w:gridCol w:w="37"/>
        <w:gridCol w:w="267"/>
        <w:gridCol w:w="36"/>
      </w:tblGrid>
      <w:tr w:rsidR="00000000" w14:paraId="2383E293" w14:textId="77777777">
        <w:trPr>
          <w:divId w:val="440106286"/>
          <w:jc w:val="center"/>
        </w:trPr>
        <w:tc>
          <w:tcPr>
            <w:tcW w:w="50" w:type="pct"/>
            <w:vAlign w:val="center"/>
            <w:hideMark/>
          </w:tcPr>
          <w:p w14:paraId="39C764CB" w14:textId="77777777" w:rsidR="00000000" w:rsidRDefault="00E614A4">
            <w:pPr>
              <w:rPr>
                <w:rFonts w:eastAsia="Times New Roman"/>
              </w:rPr>
            </w:pPr>
          </w:p>
        </w:tc>
        <w:tc>
          <w:tcPr>
            <w:tcW w:w="1424" w:type="pct"/>
            <w:vAlign w:val="center"/>
            <w:hideMark/>
          </w:tcPr>
          <w:p w14:paraId="3172832F" w14:textId="77777777" w:rsidR="00000000" w:rsidRDefault="00E614A4">
            <w:pPr>
              <w:rPr>
                <w:rFonts w:eastAsia="Times New Roman"/>
                <w:sz w:val="20"/>
                <w:szCs w:val="20"/>
              </w:rPr>
            </w:pPr>
          </w:p>
        </w:tc>
        <w:tc>
          <w:tcPr>
            <w:tcW w:w="5" w:type="pct"/>
            <w:vAlign w:val="center"/>
            <w:hideMark/>
          </w:tcPr>
          <w:p w14:paraId="111F67D6" w14:textId="77777777" w:rsidR="00000000" w:rsidRDefault="00E614A4">
            <w:pPr>
              <w:rPr>
                <w:rFonts w:eastAsia="Times New Roman"/>
                <w:sz w:val="20"/>
                <w:szCs w:val="20"/>
              </w:rPr>
            </w:pPr>
          </w:p>
        </w:tc>
        <w:tc>
          <w:tcPr>
            <w:tcW w:w="5" w:type="pct"/>
            <w:vAlign w:val="center"/>
            <w:hideMark/>
          </w:tcPr>
          <w:p w14:paraId="7CDF3456" w14:textId="77777777" w:rsidR="00000000" w:rsidRDefault="00E614A4">
            <w:pPr>
              <w:rPr>
                <w:rFonts w:eastAsia="Times New Roman"/>
                <w:sz w:val="20"/>
                <w:szCs w:val="20"/>
              </w:rPr>
            </w:pPr>
          </w:p>
        </w:tc>
        <w:tc>
          <w:tcPr>
            <w:tcW w:w="128" w:type="pct"/>
            <w:vAlign w:val="center"/>
            <w:hideMark/>
          </w:tcPr>
          <w:p w14:paraId="19E7BEE8" w14:textId="77777777" w:rsidR="00000000" w:rsidRDefault="00E614A4">
            <w:pPr>
              <w:rPr>
                <w:rFonts w:eastAsia="Times New Roman"/>
                <w:sz w:val="20"/>
                <w:szCs w:val="20"/>
              </w:rPr>
            </w:pPr>
          </w:p>
        </w:tc>
        <w:tc>
          <w:tcPr>
            <w:tcW w:w="5" w:type="pct"/>
            <w:vAlign w:val="center"/>
            <w:hideMark/>
          </w:tcPr>
          <w:p w14:paraId="6A9380E7" w14:textId="77777777" w:rsidR="00000000" w:rsidRDefault="00E614A4">
            <w:pPr>
              <w:rPr>
                <w:rFonts w:eastAsia="Times New Roman"/>
                <w:sz w:val="20"/>
                <w:szCs w:val="20"/>
              </w:rPr>
            </w:pPr>
          </w:p>
        </w:tc>
        <w:tc>
          <w:tcPr>
            <w:tcW w:w="50" w:type="pct"/>
            <w:vAlign w:val="center"/>
            <w:hideMark/>
          </w:tcPr>
          <w:p w14:paraId="37C507B8" w14:textId="77777777" w:rsidR="00000000" w:rsidRDefault="00E614A4">
            <w:pPr>
              <w:rPr>
                <w:rFonts w:eastAsia="Times New Roman"/>
                <w:sz w:val="20"/>
                <w:szCs w:val="20"/>
              </w:rPr>
            </w:pPr>
          </w:p>
        </w:tc>
        <w:tc>
          <w:tcPr>
            <w:tcW w:w="1708" w:type="pct"/>
            <w:vAlign w:val="center"/>
            <w:hideMark/>
          </w:tcPr>
          <w:p w14:paraId="1CC5E39B" w14:textId="77777777" w:rsidR="00000000" w:rsidRDefault="00E614A4">
            <w:pPr>
              <w:rPr>
                <w:rFonts w:eastAsia="Times New Roman"/>
                <w:sz w:val="20"/>
                <w:szCs w:val="20"/>
              </w:rPr>
            </w:pPr>
          </w:p>
        </w:tc>
        <w:tc>
          <w:tcPr>
            <w:tcW w:w="5" w:type="pct"/>
            <w:vAlign w:val="center"/>
            <w:hideMark/>
          </w:tcPr>
          <w:p w14:paraId="6EB968E7" w14:textId="77777777" w:rsidR="00000000" w:rsidRDefault="00E614A4">
            <w:pPr>
              <w:rPr>
                <w:rFonts w:eastAsia="Times New Roman"/>
                <w:sz w:val="20"/>
                <w:szCs w:val="20"/>
              </w:rPr>
            </w:pPr>
          </w:p>
        </w:tc>
        <w:tc>
          <w:tcPr>
            <w:tcW w:w="50" w:type="pct"/>
            <w:vAlign w:val="center"/>
            <w:hideMark/>
          </w:tcPr>
          <w:p w14:paraId="59FA5D94" w14:textId="77777777" w:rsidR="00000000" w:rsidRDefault="00E614A4">
            <w:pPr>
              <w:rPr>
                <w:rFonts w:eastAsia="Times New Roman"/>
                <w:sz w:val="20"/>
                <w:szCs w:val="20"/>
              </w:rPr>
            </w:pPr>
          </w:p>
        </w:tc>
        <w:tc>
          <w:tcPr>
            <w:tcW w:w="1424" w:type="pct"/>
            <w:vAlign w:val="center"/>
            <w:hideMark/>
          </w:tcPr>
          <w:p w14:paraId="74E4D3C0" w14:textId="77777777" w:rsidR="00000000" w:rsidRDefault="00E614A4">
            <w:pPr>
              <w:rPr>
                <w:rFonts w:eastAsia="Times New Roman"/>
                <w:sz w:val="20"/>
                <w:szCs w:val="20"/>
              </w:rPr>
            </w:pPr>
          </w:p>
        </w:tc>
        <w:tc>
          <w:tcPr>
            <w:tcW w:w="5" w:type="pct"/>
            <w:vAlign w:val="center"/>
            <w:hideMark/>
          </w:tcPr>
          <w:p w14:paraId="099C568D" w14:textId="77777777" w:rsidR="00000000" w:rsidRDefault="00E614A4">
            <w:pPr>
              <w:rPr>
                <w:rFonts w:eastAsia="Times New Roman"/>
                <w:sz w:val="20"/>
                <w:szCs w:val="20"/>
              </w:rPr>
            </w:pPr>
          </w:p>
        </w:tc>
        <w:tc>
          <w:tcPr>
            <w:tcW w:w="5" w:type="pct"/>
            <w:vAlign w:val="center"/>
            <w:hideMark/>
          </w:tcPr>
          <w:p w14:paraId="4DB124FB" w14:textId="77777777" w:rsidR="00000000" w:rsidRDefault="00E614A4">
            <w:pPr>
              <w:rPr>
                <w:rFonts w:eastAsia="Times New Roman"/>
                <w:sz w:val="20"/>
                <w:szCs w:val="20"/>
              </w:rPr>
            </w:pPr>
          </w:p>
        </w:tc>
        <w:tc>
          <w:tcPr>
            <w:tcW w:w="129" w:type="pct"/>
            <w:vAlign w:val="center"/>
            <w:hideMark/>
          </w:tcPr>
          <w:p w14:paraId="1FE48F25" w14:textId="77777777" w:rsidR="00000000" w:rsidRDefault="00E614A4">
            <w:pPr>
              <w:rPr>
                <w:rFonts w:eastAsia="Times New Roman"/>
                <w:sz w:val="20"/>
                <w:szCs w:val="20"/>
              </w:rPr>
            </w:pPr>
          </w:p>
        </w:tc>
        <w:tc>
          <w:tcPr>
            <w:tcW w:w="5" w:type="pct"/>
            <w:vAlign w:val="center"/>
            <w:hideMark/>
          </w:tcPr>
          <w:p w14:paraId="1E544FBE" w14:textId="77777777" w:rsidR="00000000" w:rsidRDefault="00E614A4">
            <w:pPr>
              <w:rPr>
                <w:rFonts w:eastAsia="Times New Roman"/>
                <w:sz w:val="20"/>
                <w:szCs w:val="20"/>
              </w:rPr>
            </w:pPr>
          </w:p>
        </w:tc>
      </w:tr>
      <w:tr w:rsidR="00000000" w14:paraId="0B650BF9" w14:textId="77777777">
        <w:trPr>
          <w:divId w:val="440106286"/>
          <w:jc w:val="center"/>
        </w:trPr>
        <w:tc>
          <w:tcPr>
            <w:tcW w:w="0" w:type="auto"/>
            <w:gridSpan w:val="3"/>
            <w:shd w:val="clear" w:color="auto" w:fill="CCEEFF"/>
            <w:tcMar>
              <w:top w:w="30" w:type="dxa"/>
              <w:left w:w="20" w:type="dxa"/>
              <w:bottom w:w="30" w:type="dxa"/>
              <w:right w:w="20" w:type="dxa"/>
            </w:tcMar>
            <w:vAlign w:val="center"/>
            <w:hideMark/>
          </w:tcPr>
          <w:p w14:paraId="1597DDDF" w14:textId="77777777" w:rsidR="00000000" w:rsidRDefault="00E614A4">
            <w:pPr>
              <w:rPr>
                <w:rFonts w:eastAsia="Times New Roman"/>
              </w:rPr>
            </w:pPr>
            <w:r>
              <w:rPr>
                <w:rFonts w:eastAsia="Times New Roman"/>
                <w:color w:val="000000"/>
                <w:sz w:val="18"/>
                <w:szCs w:val="18"/>
              </w:rPr>
              <w:t>Large accelerated filer</w:t>
            </w:r>
          </w:p>
        </w:tc>
        <w:tc>
          <w:tcPr>
            <w:tcW w:w="0" w:type="auto"/>
            <w:gridSpan w:val="3"/>
            <w:shd w:val="clear" w:color="auto" w:fill="CCEEFF"/>
            <w:tcMar>
              <w:top w:w="30" w:type="dxa"/>
              <w:left w:w="20" w:type="dxa"/>
              <w:bottom w:w="30" w:type="dxa"/>
              <w:right w:w="20" w:type="dxa"/>
            </w:tcMar>
            <w:vAlign w:val="center"/>
            <w:hideMark/>
          </w:tcPr>
          <w:p w14:paraId="7E277DE3" w14:textId="77777777" w:rsidR="00000000" w:rsidRDefault="00E614A4">
            <w:pPr>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C15716A"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DACC466" w14:textId="77777777" w:rsidR="00000000" w:rsidRDefault="00E614A4">
            <w:pPr>
              <w:rPr>
                <w:rFonts w:eastAsia="Times New Roman"/>
              </w:rPr>
            </w:pPr>
            <w:r>
              <w:rPr>
                <w:rFonts w:eastAsia="Times New Roman"/>
                <w:color w:val="000000"/>
                <w:sz w:val="18"/>
                <w:szCs w:val="18"/>
              </w:rPr>
              <w:t>Accelerated filer</w:t>
            </w:r>
          </w:p>
        </w:tc>
        <w:tc>
          <w:tcPr>
            <w:tcW w:w="0" w:type="auto"/>
            <w:gridSpan w:val="3"/>
            <w:shd w:val="clear" w:color="auto" w:fill="CCEEFF"/>
            <w:tcMar>
              <w:top w:w="30" w:type="dxa"/>
              <w:left w:w="20" w:type="dxa"/>
              <w:bottom w:w="30" w:type="dxa"/>
              <w:right w:w="20" w:type="dxa"/>
            </w:tcMar>
            <w:vAlign w:val="center"/>
            <w:hideMark/>
          </w:tcPr>
          <w:p w14:paraId="17F7758B" w14:textId="77777777" w:rsidR="00000000" w:rsidRDefault="00E614A4">
            <w:pPr>
              <w:rPr>
                <w:rFonts w:eastAsia="Times New Roman"/>
              </w:rPr>
            </w:pPr>
            <w:r>
              <w:rPr>
                <w:rFonts w:ascii="Segoe UI Emoji" w:eastAsia="Times New Roman" w:hAnsi="Segoe UI Emoji" w:cs="Segoe UI Emoji"/>
                <w:color w:val="000000"/>
                <w:sz w:val="18"/>
                <w:szCs w:val="18"/>
              </w:rPr>
              <w:t>☑</w:t>
            </w:r>
          </w:p>
        </w:tc>
      </w:tr>
      <w:tr w:rsidR="00000000" w14:paraId="30963EBE" w14:textId="77777777">
        <w:trPr>
          <w:divId w:val="440106286"/>
          <w:jc w:val="center"/>
        </w:trPr>
        <w:tc>
          <w:tcPr>
            <w:tcW w:w="0" w:type="auto"/>
            <w:gridSpan w:val="3"/>
            <w:shd w:val="clear" w:color="auto" w:fill="FFFFFF"/>
            <w:tcMar>
              <w:top w:w="30" w:type="dxa"/>
              <w:left w:w="20" w:type="dxa"/>
              <w:bottom w:w="30" w:type="dxa"/>
              <w:right w:w="20" w:type="dxa"/>
            </w:tcMar>
            <w:vAlign w:val="center"/>
            <w:hideMark/>
          </w:tcPr>
          <w:p w14:paraId="3E8904F5" w14:textId="77777777" w:rsidR="00000000" w:rsidRDefault="00E614A4">
            <w:pPr>
              <w:rPr>
                <w:rFonts w:eastAsia="Times New Roman"/>
              </w:rPr>
            </w:pPr>
            <w:r>
              <w:rPr>
                <w:rFonts w:eastAsia="Times New Roman"/>
                <w:color w:val="000000"/>
                <w:sz w:val="18"/>
                <w:szCs w:val="18"/>
              </w:rPr>
              <w:t>Non-accelerated filer</w:t>
            </w:r>
          </w:p>
        </w:tc>
        <w:tc>
          <w:tcPr>
            <w:tcW w:w="0" w:type="auto"/>
            <w:gridSpan w:val="3"/>
            <w:shd w:val="clear" w:color="auto" w:fill="FFFFFF"/>
            <w:tcMar>
              <w:top w:w="30" w:type="dxa"/>
              <w:left w:w="20" w:type="dxa"/>
              <w:bottom w:w="30" w:type="dxa"/>
              <w:right w:w="20" w:type="dxa"/>
            </w:tcMar>
            <w:vAlign w:val="center"/>
            <w:hideMark/>
          </w:tcPr>
          <w:p w14:paraId="298FF902" w14:textId="77777777" w:rsidR="00000000" w:rsidRDefault="00E614A4">
            <w:pPr>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3507894"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12E77BF" w14:textId="77777777" w:rsidR="00000000" w:rsidRDefault="00E614A4">
            <w:pPr>
              <w:rPr>
                <w:rFonts w:eastAsia="Times New Roman"/>
              </w:rPr>
            </w:pPr>
            <w:r>
              <w:rPr>
                <w:rFonts w:eastAsia="Times New Roman"/>
                <w:color w:val="000000"/>
                <w:sz w:val="18"/>
                <w:szCs w:val="18"/>
              </w:rPr>
              <w:t>Smaller reporting company</w:t>
            </w:r>
          </w:p>
        </w:tc>
        <w:tc>
          <w:tcPr>
            <w:tcW w:w="0" w:type="auto"/>
            <w:gridSpan w:val="3"/>
            <w:shd w:val="clear" w:color="auto" w:fill="FFFFFF"/>
            <w:tcMar>
              <w:top w:w="30" w:type="dxa"/>
              <w:left w:w="20" w:type="dxa"/>
              <w:bottom w:w="30" w:type="dxa"/>
              <w:right w:w="20" w:type="dxa"/>
            </w:tcMar>
            <w:vAlign w:val="center"/>
            <w:hideMark/>
          </w:tcPr>
          <w:p w14:paraId="3EB493C8" w14:textId="77777777" w:rsidR="00000000" w:rsidRDefault="00E614A4">
            <w:pPr>
              <w:rPr>
                <w:rFonts w:eastAsia="Times New Roman"/>
              </w:rPr>
            </w:pPr>
            <w:r>
              <w:rPr>
                <w:rFonts w:ascii="Segoe UI Symbol" w:eastAsia="Times New Roman" w:hAnsi="Segoe UI Symbol" w:cs="Segoe UI Symbol"/>
                <w:color w:val="000000"/>
                <w:sz w:val="18"/>
                <w:szCs w:val="18"/>
              </w:rPr>
              <w:t>☐</w:t>
            </w:r>
          </w:p>
        </w:tc>
      </w:tr>
      <w:tr w:rsidR="00000000" w14:paraId="106A343F" w14:textId="77777777">
        <w:trPr>
          <w:divId w:val="440106286"/>
          <w:jc w:val="center"/>
        </w:trPr>
        <w:tc>
          <w:tcPr>
            <w:tcW w:w="0" w:type="auto"/>
            <w:gridSpan w:val="3"/>
            <w:shd w:val="clear" w:color="auto" w:fill="CCEEFF"/>
            <w:tcMar>
              <w:top w:w="0" w:type="dxa"/>
              <w:left w:w="20" w:type="dxa"/>
              <w:bottom w:w="0" w:type="dxa"/>
              <w:right w:w="20" w:type="dxa"/>
            </w:tcMar>
            <w:vAlign w:val="center"/>
            <w:hideMark/>
          </w:tcPr>
          <w:p w14:paraId="0EF1C5C2"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C68E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28146" w14:textId="77777777" w:rsidR="00000000" w:rsidRDefault="00E614A4">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63763C5C" w14:textId="77777777" w:rsidR="00000000" w:rsidRDefault="00E614A4">
            <w:pPr>
              <w:rPr>
                <w:rFonts w:eastAsia="Times New Roman"/>
              </w:rPr>
            </w:pPr>
            <w:r>
              <w:rPr>
                <w:rFonts w:eastAsia="Times New Roman"/>
                <w:color w:val="000000"/>
                <w:sz w:val="18"/>
                <w:szCs w:val="18"/>
              </w:rPr>
              <w:t>Emerging growth company</w:t>
            </w:r>
          </w:p>
        </w:tc>
        <w:tc>
          <w:tcPr>
            <w:tcW w:w="0" w:type="auto"/>
            <w:gridSpan w:val="3"/>
            <w:shd w:val="clear" w:color="auto" w:fill="CCEEFF"/>
            <w:tcMar>
              <w:top w:w="30" w:type="dxa"/>
              <w:left w:w="20" w:type="dxa"/>
              <w:bottom w:w="30" w:type="dxa"/>
              <w:right w:w="20" w:type="dxa"/>
            </w:tcMar>
            <w:vAlign w:val="center"/>
            <w:hideMark/>
          </w:tcPr>
          <w:p w14:paraId="49F67EC5" w14:textId="77777777" w:rsidR="00000000" w:rsidRDefault="00E614A4">
            <w:pPr>
              <w:rPr>
                <w:rFonts w:eastAsia="Times New Roman"/>
              </w:rPr>
            </w:pPr>
            <w:r>
              <w:rPr>
                <w:rFonts w:ascii="Segoe UI Symbol" w:eastAsia="Times New Roman" w:hAnsi="Segoe UI Symbol" w:cs="Segoe UI Symbol"/>
                <w:color w:val="000000"/>
                <w:sz w:val="18"/>
                <w:szCs w:val="18"/>
              </w:rPr>
              <w:t>☐</w:t>
            </w:r>
          </w:p>
        </w:tc>
      </w:tr>
    </w:tbl>
    <w:p w14:paraId="5562FED8" w14:textId="77777777" w:rsidR="00000000" w:rsidRDefault="00E614A4">
      <w:pPr>
        <w:jc w:val="both"/>
        <w:divId w:val="1979545"/>
        <w:rPr>
          <w:rFonts w:eastAsia="Times New Roman"/>
        </w:rPr>
      </w:pPr>
      <w:r>
        <w:rPr>
          <w:rFonts w:eastAsia="Times New Roman"/>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51D799E1" w14:textId="77777777" w:rsidR="00000000" w:rsidRDefault="00E614A4">
      <w:pPr>
        <w:jc w:val="both"/>
        <w:divId w:val="1621910650"/>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18"/>
          <w:szCs w:val="18"/>
        </w:rPr>
        <w:t xml:space="preserve">registered public accounting firm that prepared or issued its audit report. </w:t>
      </w:r>
      <w:r>
        <w:rPr>
          <w:rFonts w:ascii="Segoe UI Emoji" w:eastAsia="Times New Roman" w:hAnsi="Segoe UI Emoji" w:cs="Segoe UI Emoji"/>
          <w:color w:val="000000"/>
          <w:sz w:val="18"/>
          <w:szCs w:val="18"/>
        </w:rPr>
        <w:t>☑</w:t>
      </w:r>
    </w:p>
    <w:p w14:paraId="57373EC7" w14:textId="77777777" w:rsidR="00000000" w:rsidRDefault="00E614A4">
      <w:pPr>
        <w:divId w:val="1070277028"/>
        <w:rPr>
          <w:rFonts w:eastAsia="Times New Roman"/>
        </w:rPr>
      </w:pPr>
      <w:r>
        <w:rPr>
          <w:rFonts w:eastAsia="Times New Roman"/>
          <w:color w:val="000000"/>
          <w:sz w:val="18"/>
          <w:szCs w:val="18"/>
        </w:rPr>
        <w:t>Indicate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14:paraId="7D7043A9" w14:textId="77777777" w:rsidR="00000000" w:rsidRDefault="00E614A4">
      <w:pPr>
        <w:jc w:val="both"/>
        <w:divId w:val="557866823"/>
        <w:rPr>
          <w:rFonts w:eastAsia="Times New Roman"/>
        </w:rPr>
      </w:pPr>
      <w:r>
        <w:rPr>
          <w:rFonts w:eastAsia="Times New Roman"/>
          <w:color w:val="000000"/>
          <w:sz w:val="18"/>
          <w:szCs w:val="18"/>
        </w:rPr>
        <w:t>The aggregate market value of the registrant's voting and no</w:t>
      </w:r>
      <w:r>
        <w:rPr>
          <w:rFonts w:eastAsia="Times New Roman"/>
          <w:color w:val="000000"/>
          <w:sz w:val="18"/>
          <w:szCs w:val="18"/>
        </w:rPr>
        <w:t xml:space="preserve">n-voting common equity held by non-affiliates of the registrant, as of June 30, 2020, the last business day of the registrant's most recently completed second fiscal quarter, was approximately $157.1 million (based on the closing price of the registrant's </w:t>
      </w:r>
      <w:r>
        <w:rPr>
          <w:rFonts w:eastAsia="Times New Roman"/>
          <w:color w:val="000000"/>
          <w:sz w:val="18"/>
          <w:szCs w:val="18"/>
        </w:rPr>
        <w:t>common stock on the Nasdaq Global Select Market on that date). Solely for purposes of this disclosure, shares of the registrant's common stock held by executive officers and directors and each person who owned 10% or more of the outstanding common stock of</w:t>
      </w:r>
      <w:r>
        <w:rPr>
          <w:rFonts w:eastAsia="Times New Roman"/>
          <w:color w:val="000000"/>
          <w:sz w:val="18"/>
          <w:szCs w:val="18"/>
        </w:rPr>
        <w:t xml:space="preserve"> the registrant have been excluded in that such persons may be deemed to be affiliates. This determination of affiliate status is not a conclusive determination for other purposes.</w:t>
      </w:r>
    </w:p>
    <w:p w14:paraId="56E0B5C3" w14:textId="77777777" w:rsidR="00000000" w:rsidRDefault="00E614A4">
      <w:pPr>
        <w:jc w:val="both"/>
        <w:divId w:val="1136139281"/>
        <w:rPr>
          <w:rFonts w:eastAsia="Times New Roman"/>
        </w:rPr>
      </w:pPr>
      <w:r>
        <w:rPr>
          <w:rFonts w:eastAsia="Times New Roman"/>
          <w:color w:val="000000"/>
          <w:sz w:val="18"/>
          <w:szCs w:val="18"/>
        </w:rPr>
        <w:t>Indicate the number of shares outstanding of each of the registrant's class</w:t>
      </w:r>
      <w:r>
        <w:rPr>
          <w:rFonts w:eastAsia="Times New Roman"/>
          <w:color w:val="000000"/>
          <w:sz w:val="18"/>
          <w:szCs w:val="18"/>
        </w:rPr>
        <w:t>es of common stock, as of the latest practicable date: As of March 5, 2021, there were 75,787,242 shares of the registrant's common stock outstanding.</w:t>
      </w:r>
    </w:p>
    <w:p w14:paraId="05A9CDFD" w14:textId="77777777" w:rsidR="00000000" w:rsidRDefault="00E614A4">
      <w:pPr>
        <w:ind w:firstLine="360"/>
        <w:jc w:val="center"/>
        <w:divId w:val="1053626441"/>
        <w:rPr>
          <w:rFonts w:eastAsia="Times New Roman"/>
        </w:rPr>
      </w:pPr>
      <w:r>
        <w:rPr>
          <w:rFonts w:eastAsia="Times New Roman"/>
          <w:b/>
          <w:bCs/>
          <w:color w:val="000000"/>
          <w:sz w:val="18"/>
          <w:szCs w:val="18"/>
        </w:rPr>
        <w:t>DOCUMENTS INCORPORATED BY REFERENCE</w:t>
      </w:r>
    </w:p>
    <w:p w14:paraId="5E5015B6" w14:textId="77777777" w:rsidR="00000000" w:rsidRDefault="00E614A4">
      <w:pPr>
        <w:jc w:val="both"/>
        <w:divId w:val="1216816158"/>
        <w:rPr>
          <w:rFonts w:eastAsia="Times New Roman"/>
        </w:rPr>
      </w:pPr>
      <w:r>
        <w:rPr>
          <w:rFonts w:eastAsia="Times New Roman"/>
          <w:color w:val="000000"/>
          <w:sz w:val="18"/>
          <w:szCs w:val="18"/>
        </w:rPr>
        <w:t>Specified portions of the registrant's Proxy Statement with respect t</w:t>
      </w:r>
      <w:r>
        <w:rPr>
          <w:rFonts w:eastAsia="Times New Roman"/>
          <w:color w:val="000000"/>
          <w:sz w:val="18"/>
          <w:szCs w:val="18"/>
        </w:rPr>
        <w:t>o its 2021 Annual Meeting of Stockholders, to be filed with the Securities and Exchange Commission no later than 120 days following the end of the registrant's fiscal year ended December 31, 2020, are incorporated by reference in Part III of this Annual Re</w:t>
      </w:r>
      <w:r>
        <w:rPr>
          <w:rFonts w:eastAsia="Times New Roman"/>
          <w:color w:val="000000"/>
          <w:sz w:val="18"/>
          <w:szCs w:val="18"/>
        </w:rPr>
        <w:t xml:space="preserve">port on 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06BAE7B8" w14:textId="77777777">
        <w:trPr>
          <w:divId w:val="480580953"/>
          <w:jc w:val="center"/>
        </w:trPr>
        <w:tc>
          <w:tcPr>
            <w:tcW w:w="50" w:type="pct"/>
            <w:vAlign w:val="center"/>
            <w:hideMark/>
          </w:tcPr>
          <w:p w14:paraId="415DC6CD" w14:textId="77777777" w:rsidR="00000000" w:rsidRDefault="00E614A4">
            <w:pPr>
              <w:jc w:val="both"/>
              <w:rPr>
                <w:rFonts w:eastAsia="Times New Roman"/>
              </w:rPr>
            </w:pPr>
          </w:p>
        </w:tc>
        <w:tc>
          <w:tcPr>
            <w:tcW w:w="945" w:type="pct"/>
            <w:vAlign w:val="center"/>
            <w:hideMark/>
          </w:tcPr>
          <w:p w14:paraId="45A07E97" w14:textId="77777777" w:rsidR="00000000" w:rsidRDefault="00E614A4">
            <w:pPr>
              <w:rPr>
                <w:rFonts w:eastAsia="Times New Roman"/>
                <w:sz w:val="20"/>
                <w:szCs w:val="20"/>
              </w:rPr>
            </w:pPr>
          </w:p>
        </w:tc>
        <w:tc>
          <w:tcPr>
            <w:tcW w:w="5" w:type="pct"/>
            <w:vAlign w:val="center"/>
            <w:hideMark/>
          </w:tcPr>
          <w:p w14:paraId="392531B6" w14:textId="77777777" w:rsidR="00000000" w:rsidRDefault="00E614A4">
            <w:pPr>
              <w:rPr>
                <w:rFonts w:eastAsia="Times New Roman"/>
                <w:sz w:val="20"/>
                <w:szCs w:val="20"/>
              </w:rPr>
            </w:pPr>
          </w:p>
        </w:tc>
        <w:tc>
          <w:tcPr>
            <w:tcW w:w="50" w:type="pct"/>
            <w:vAlign w:val="center"/>
            <w:hideMark/>
          </w:tcPr>
          <w:p w14:paraId="62F0D833" w14:textId="77777777" w:rsidR="00000000" w:rsidRDefault="00E614A4">
            <w:pPr>
              <w:rPr>
                <w:rFonts w:eastAsia="Times New Roman"/>
                <w:sz w:val="20"/>
                <w:szCs w:val="20"/>
              </w:rPr>
            </w:pPr>
          </w:p>
        </w:tc>
        <w:tc>
          <w:tcPr>
            <w:tcW w:w="945" w:type="pct"/>
            <w:vAlign w:val="center"/>
            <w:hideMark/>
          </w:tcPr>
          <w:p w14:paraId="4CA30880" w14:textId="77777777" w:rsidR="00000000" w:rsidRDefault="00E614A4">
            <w:pPr>
              <w:rPr>
                <w:rFonts w:eastAsia="Times New Roman"/>
                <w:sz w:val="20"/>
                <w:szCs w:val="20"/>
              </w:rPr>
            </w:pPr>
          </w:p>
        </w:tc>
        <w:tc>
          <w:tcPr>
            <w:tcW w:w="5" w:type="pct"/>
            <w:vAlign w:val="center"/>
            <w:hideMark/>
          </w:tcPr>
          <w:p w14:paraId="2589E686" w14:textId="77777777" w:rsidR="00000000" w:rsidRDefault="00E614A4">
            <w:pPr>
              <w:rPr>
                <w:rFonts w:eastAsia="Times New Roman"/>
                <w:sz w:val="20"/>
                <w:szCs w:val="20"/>
              </w:rPr>
            </w:pPr>
          </w:p>
        </w:tc>
        <w:tc>
          <w:tcPr>
            <w:tcW w:w="50" w:type="pct"/>
            <w:vAlign w:val="center"/>
            <w:hideMark/>
          </w:tcPr>
          <w:p w14:paraId="365D7C38" w14:textId="77777777" w:rsidR="00000000" w:rsidRDefault="00E614A4">
            <w:pPr>
              <w:rPr>
                <w:rFonts w:eastAsia="Times New Roman"/>
                <w:sz w:val="20"/>
                <w:szCs w:val="20"/>
              </w:rPr>
            </w:pPr>
          </w:p>
        </w:tc>
        <w:tc>
          <w:tcPr>
            <w:tcW w:w="945" w:type="pct"/>
            <w:vAlign w:val="center"/>
            <w:hideMark/>
          </w:tcPr>
          <w:p w14:paraId="3B734C82" w14:textId="77777777" w:rsidR="00000000" w:rsidRDefault="00E614A4">
            <w:pPr>
              <w:rPr>
                <w:rFonts w:eastAsia="Times New Roman"/>
                <w:sz w:val="20"/>
                <w:szCs w:val="20"/>
              </w:rPr>
            </w:pPr>
          </w:p>
        </w:tc>
        <w:tc>
          <w:tcPr>
            <w:tcW w:w="5" w:type="pct"/>
            <w:vAlign w:val="center"/>
            <w:hideMark/>
          </w:tcPr>
          <w:p w14:paraId="514ADABC" w14:textId="77777777" w:rsidR="00000000" w:rsidRDefault="00E614A4">
            <w:pPr>
              <w:rPr>
                <w:rFonts w:eastAsia="Times New Roman"/>
                <w:sz w:val="20"/>
                <w:szCs w:val="20"/>
              </w:rPr>
            </w:pPr>
          </w:p>
        </w:tc>
        <w:tc>
          <w:tcPr>
            <w:tcW w:w="50" w:type="pct"/>
            <w:vAlign w:val="center"/>
            <w:hideMark/>
          </w:tcPr>
          <w:p w14:paraId="3FB65163" w14:textId="77777777" w:rsidR="00000000" w:rsidRDefault="00E614A4">
            <w:pPr>
              <w:rPr>
                <w:rFonts w:eastAsia="Times New Roman"/>
                <w:sz w:val="20"/>
                <w:szCs w:val="20"/>
              </w:rPr>
            </w:pPr>
          </w:p>
        </w:tc>
        <w:tc>
          <w:tcPr>
            <w:tcW w:w="945" w:type="pct"/>
            <w:vAlign w:val="center"/>
            <w:hideMark/>
          </w:tcPr>
          <w:p w14:paraId="505D1CCE" w14:textId="77777777" w:rsidR="00000000" w:rsidRDefault="00E614A4">
            <w:pPr>
              <w:rPr>
                <w:rFonts w:eastAsia="Times New Roman"/>
                <w:sz w:val="20"/>
                <w:szCs w:val="20"/>
              </w:rPr>
            </w:pPr>
          </w:p>
        </w:tc>
        <w:tc>
          <w:tcPr>
            <w:tcW w:w="5" w:type="pct"/>
            <w:vAlign w:val="center"/>
            <w:hideMark/>
          </w:tcPr>
          <w:p w14:paraId="1F26DC83" w14:textId="77777777" w:rsidR="00000000" w:rsidRDefault="00E614A4">
            <w:pPr>
              <w:rPr>
                <w:rFonts w:eastAsia="Times New Roman"/>
                <w:sz w:val="20"/>
                <w:szCs w:val="20"/>
              </w:rPr>
            </w:pPr>
          </w:p>
        </w:tc>
        <w:tc>
          <w:tcPr>
            <w:tcW w:w="50" w:type="pct"/>
            <w:vAlign w:val="center"/>
            <w:hideMark/>
          </w:tcPr>
          <w:p w14:paraId="30E6409E" w14:textId="77777777" w:rsidR="00000000" w:rsidRDefault="00E614A4">
            <w:pPr>
              <w:rPr>
                <w:rFonts w:eastAsia="Times New Roman"/>
                <w:sz w:val="20"/>
                <w:szCs w:val="20"/>
              </w:rPr>
            </w:pPr>
          </w:p>
        </w:tc>
        <w:tc>
          <w:tcPr>
            <w:tcW w:w="945" w:type="pct"/>
            <w:vAlign w:val="center"/>
            <w:hideMark/>
          </w:tcPr>
          <w:p w14:paraId="0C49BBA1" w14:textId="77777777" w:rsidR="00000000" w:rsidRDefault="00E614A4">
            <w:pPr>
              <w:rPr>
                <w:rFonts w:eastAsia="Times New Roman"/>
                <w:sz w:val="20"/>
                <w:szCs w:val="20"/>
              </w:rPr>
            </w:pPr>
          </w:p>
        </w:tc>
        <w:tc>
          <w:tcPr>
            <w:tcW w:w="5" w:type="pct"/>
            <w:vAlign w:val="center"/>
            <w:hideMark/>
          </w:tcPr>
          <w:p w14:paraId="03AFB4E2" w14:textId="77777777" w:rsidR="00000000" w:rsidRDefault="00E614A4">
            <w:pPr>
              <w:rPr>
                <w:rFonts w:eastAsia="Times New Roman"/>
                <w:sz w:val="20"/>
                <w:szCs w:val="20"/>
              </w:rPr>
            </w:pPr>
          </w:p>
        </w:tc>
      </w:tr>
      <w:tr w:rsidR="00000000" w14:paraId="12771C4F" w14:textId="77777777">
        <w:trPr>
          <w:divId w:val="480580953"/>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4B58385D" w14:textId="77777777" w:rsidR="00000000" w:rsidRDefault="00E614A4">
            <w:pPr>
              <w:rPr>
                <w:rFonts w:eastAsia="Times New Roman"/>
                <w:sz w:val="20"/>
                <w:szCs w:val="20"/>
              </w:rPr>
            </w:pPr>
          </w:p>
        </w:tc>
      </w:tr>
    </w:tbl>
    <w:p w14:paraId="7E85B1FA" w14:textId="77777777" w:rsidR="00000000" w:rsidRDefault="00E614A4">
      <w:pPr>
        <w:divId w:val="162404451"/>
        <w:rPr>
          <w:rFonts w:eastAsia="Times New Roman"/>
        </w:rPr>
      </w:pPr>
    </w:p>
    <w:p w14:paraId="6A09B542" w14:textId="77777777" w:rsidR="00000000" w:rsidRDefault="00E614A4">
      <w:pPr>
        <w:rPr>
          <w:rFonts w:eastAsia="Times New Roman"/>
        </w:rPr>
      </w:pPr>
      <w:r>
        <w:rPr>
          <w:rFonts w:eastAsia="Times New Roman"/>
        </w:rPr>
        <w:pict w14:anchorId="5ADAD57B">
          <v:rect id="_x0000_i1025" style="width:0;height:1.5pt" o:hralign="center" o:hrstd="t" o:hr="t" fillcolor="#a0a0a0" stroked="f"/>
        </w:pict>
      </w:r>
    </w:p>
    <w:p w14:paraId="117BA57B" w14:textId="77777777" w:rsidR="00000000" w:rsidRDefault="00E614A4">
      <w:pPr>
        <w:divId w:val="1796631638"/>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F8826DD" w14:textId="77777777" w:rsidR="00000000" w:rsidRDefault="00E614A4">
      <w:pPr>
        <w:divId w:val="971250305"/>
        <w:rPr>
          <w:rFonts w:eastAsia="Times New Roman"/>
        </w:rPr>
      </w:pPr>
    </w:p>
    <w:p w14:paraId="3547DB8E" w14:textId="77777777" w:rsidR="00000000" w:rsidRDefault="00E614A4">
      <w:pPr>
        <w:jc w:val="center"/>
        <w:rPr>
          <w:rFonts w:eastAsia="Times New Roman"/>
        </w:rPr>
      </w:pPr>
      <w:r>
        <w:rPr>
          <w:rFonts w:eastAsia="Times New Roman"/>
          <w:b/>
          <w:bCs/>
          <w:color w:val="000000"/>
          <w:sz w:val="20"/>
          <w:szCs w:val="20"/>
        </w:rPr>
        <w:t>COMSCORE, INC.</w:t>
      </w:r>
    </w:p>
    <w:p w14:paraId="20BEA650" w14:textId="77777777" w:rsidR="00000000" w:rsidRDefault="00E614A4">
      <w:pPr>
        <w:jc w:val="center"/>
        <w:divId w:val="876039573"/>
        <w:rPr>
          <w:rFonts w:eastAsia="Times New Roman"/>
        </w:rPr>
      </w:pPr>
      <w:r>
        <w:rPr>
          <w:rFonts w:eastAsia="Times New Roman"/>
          <w:b/>
          <w:bCs/>
          <w:color w:val="000000"/>
          <w:sz w:val="20"/>
          <w:szCs w:val="20"/>
        </w:rPr>
        <w:t>ANNUAL REPORT ON FORM 10-K</w:t>
      </w:r>
    </w:p>
    <w:p w14:paraId="4CFF08BA" w14:textId="77777777" w:rsidR="00000000" w:rsidRDefault="00E614A4">
      <w:pPr>
        <w:jc w:val="center"/>
        <w:rPr>
          <w:rFonts w:eastAsia="Times New Roman"/>
        </w:rPr>
      </w:pPr>
      <w:r>
        <w:rPr>
          <w:rFonts w:eastAsia="Times New Roman"/>
          <w:b/>
          <w:bCs/>
          <w:color w:val="000000"/>
          <w:sz w:val="20"/>
          <w:szCs w:val="20"/>
        </w:rPr>
        <w:t>FOR THE PERIOD ENDED DECEMBER 31, 2020</w:t>
      </w:r>
    </w:p>
    <w:p w14:paraId="6EFEB437" w14:textId="77777777" w:rsidR="00000000" w:rsidRDefault="00E614A4">
      <w:pPr>
        <w:jc w:val="center"/>
        <w:divId w:val="1611233348"/>
        <w:rPr>
          <w:rFonts w:eastAsia="Times New Roman"/>
        </w:rPr>
      </w:pPr>
      <w:r>
        <w:rPr>
          <w:rFonts w:eastAsia="Times New Roman"/>
          <w:b/>
          <w:bCs/>
          <w:color w:val="000000"/>
          <w:sz w:val="20"/>
          <w:szCs w:val="20"/>
        </w:rPr>
        <w:t>TABLE OF CONTENTS</w:t>
      </w:r>
    </w:p>
    <w:tbl>
      <w:tblPr>
        <w:tblW w:w="4729" w:type="pct"/>
        <w:jc w:val="center"/>
        <w:tblCellMar>
          <w:top w:w="15" w:type="dxa"/>
          <w:left w:w="15" w:type="dxa"/>
          <w:bottom w:w="15" w:type="dxa"/>
          <w:right w:w="15" w:type="dxa"/>
        </w:tblCellMar>
        <w:tblLook w:val="04A0" w:firstRow="1" w:lastRow="0" w:firstColumn="1" w:lastColumn="0" w:noHBand="0" w:noVBand="1"/>
      </w:tblPr>
      <w:tblGrid>
        <w:gridCol w:w="67"/>
        <w:gridCol w:w="1407"/>
        <w:gridCol w:w="40"/>
        <w:gridCol w:w="64"/>
        <w:gridCol w:w="163"/>
        <w:gridCol w:w="36"/>
        <w:gridCol w:w="64"/>
        <w:gridCol w:w="5058"/>
        <w:gridCol w:w="39"/>
        <w:gridCol w:w="64"/>
        <w:gridCol w:w="163"/>
        <w:gridCol w:w="36"/>
        <w:gridCol w:w="64"/>
        <w:gridCol w:w="555"/>
        <w:gridCol w:w="36"/>
      </w:tblGrid>
      <w:tr w:rsidR="00000000" w14:paraId="66335CFC" w14:textId="77777777">
        <w:trPr>
          <w:divId w:val="1969043634"/>
          <w:jc w:val="center"/>
        </w:trPr>
        <w:tc>
          <w:tcPr>
            <w:tcW w:w="50" w:type="pct"/>
            <w:vAlign w:val="center"/>
            <w:hideMark/>
          </w:tcPr>
          <w:p w14:paraId="3C548A5B" w14:textId="77777777" w:rsidR="00000000" w:rsidRDefault="00E614A4">
            <w:pPr>
              <w:jc w:val="center"/>
              <w:rPr>
                <w:rFonts w:eastAsia="Times New Roman"/>
              </w:rPr>
            </w:pPr>
          </w:p>
        </w:tc>
        <w:tc>
          <w:tcPr>
            <w:tcW w:w="906" w:type="pct"/>
            <w:vAlign w:val="center"/>
            <w:hideMark/>
          </w:tcPr>
          <w:p w14:paraId="124C9FF3" w14:textId="77777777" w:rsidR="00000000" w:rsidRDefault="00E614A4">
            <w:pPr>
              <w:rPr>
                <w:rFonts w:eastAsia="Times New Roman"/>
                <w:sz w:val="20"/>
                <w:szCs w:val="20"/>
              </w:rPr>
            </w:pPr>
          </w:p>
        </w:tc>
        <w:tc>
          <w:tcPr>
            <w:tcW w:w="5" w:type="pct"/>
            <w:vAlign w:val="center"/>
            <w:hideMark/>
          </w:tcPr>
          <w:p w14:paraId="20A0ED6B" w14:textId="77777777" w:rsidR="00000000" w:rsidRDefault="00E614A4">
            <w:pPr>
              <w:rPr>
                <w:rFonts w:eastAsia="Times New Roman"/>
                <w:sz w:val="20"/>
                <w:szCs w:val="20"/>
              </w:rPr>
            </w:pPr>
          </w:p>
        </w:tc>
        <w:tc>
          <w:tcPr>
            <w:tcW w:w="50" w:type="pct"/>
            <w:vAlign w:val="center"/>
            <w:hideMark/>
          </w:tcPr>
          <w:p w14:paraId="58C0E7EE" w14:textId="77777777" w:rsidR="00000000" w:rsidRDefault="00E614A4">
            <w:pPr>
              <w:rPr>
                <w:rFonts w:eastAsia="Times New Roman"/>
                <w:sz w:val="20"/>
                <w:szCs w:val="20"/>
              </w:rPr>
            </w:pPr>
          </w:p>
        </w:tc>
        <w:tc>
          <w:tcPr>
            <w:tcW w:w="113" w:type="pct"/>
            <w:vAlign w:val="center"/>
            <w:hideMark/>
          </w:tcPr>
          <w:p w14:paraId="7B8E68EE" w14:textId="77777777" w:rsidR="00000000" w:rsidRDefault="00E614A4">
            <w:pPr>
              <w:rPr>
                <w:rFonts w:eastAsia="Times New Roman"/>
                <w:sz w:val="20"/>
                <w:szCs w:val="20"/>
              </w:rPr>
            </w:pPr>
          </w:p>
        </w:tc>
        <w:tc>
          <w:tcPr>
            <w:tcW w:w="5" w:type="pct"/>
            <w:vAlign w:val="center"/>
            <w:hideMark/>
          </w:tcPr>
          <w:p w14:paraId="215C59A4" w14:textId="77777777" w:rsidR="00000000" w:rsidRDefault="00E614A4">
            <w:pPr>
              <w:rPr>
                <w:rFonts w:eastAsia="Times New Roman"/>
                <w:sz w:val="20"/>
                <w:szCs w:val="20"/>
              </w:rPr>
            </w:pPr>
          </w:p>
        </w:tc>
        <w:tc>
          <w:tcPr>
            <w:tcW w:w="50" w:type="pct"/>
            <w:vAlign w:val="center"/>
            <w:hideMark/>
          </w:tcPr>
          <w:p w14:paraId="6EE7A0B2" w14:textId="77777777" w:rsidR="00000000" w:rsidRDefault="00E614A4">
            <w:pPr>
              <w:rPr>
                <w:rFonts w:eastAsia="Times New Roman"/>
                <w:sz w:val="20"/>
                <w:szCs w:val="20"/>
              </w:rPr>
            </w:pPr>
          </w:p>
        </w:tc>
        <w:tc>
          <w:tcPr>
            <w:tcW w:w="3226" w:type="pct"/>
            <w:vAlign w:val="center"/>
            <w:hideMark/>
          </w:tcPr>
          <w:p w14:paraId="470CCEBD" w14:textId="77777777" w:rsidR="00000000" w:rsidRDefault="00E614A4">
            <w:pPr>
              <w:rPr>
                <w:rFonts w:eastAsia="Times New Roman"/>
                <w:sz w:val="20"/>
                <w:szCs w:val="20"/>
              </w:rPr>
            </w:pPr>
          </w:p>
        </w:tc>
        <w:tc>
          <w:tcPr>
            <w:tcW w:w="5" w:type="pct"/>
            <w:vAlign w:val="center"/>
            <w:hideMark/>
          </w:tcPr>
          <w:p w14:paraId="51640F16" w14:textId="77777777" w:rsidR="00000000" w:rsidRDefault="00E614A4">
            <w:pPr>
              <w:rPr>
                <w:rFonts w:eastAsia="Times New Roman"/>
                <w:sz w:val="20"/>
                <w:szCs w:val="20"/>
              </w:rPr>
            </w:pPr>
          </w:p>
        </w:tc>
        <w:tc>
          <w:tcPr>
            <w:tcW w:w="50" w:type="pct"/>
            <w:vAlign w:val="center"/>
            <w:hideMark/>
          </w:tcPr>
          <w:p w14:paraId="06A3A473" w14:textId="77777777" w:rsidR="00000000" w:rsidRDefault="00E614A4">
            <w:pPr>
              <w:rPr>
                <w:rFonts w:eastAsia="Times New Roman"/>
                <w:sz w:val="20"/>
                <w:szCs w:val="20"/>
              </w:rPr>
            </w:pPr>
          </w:p>
        </w:tc>
        <w:tc>
          <w:tcPr>
            <w:tcW w:w="113" w:type="pct"/>
            <w:vAlign w:val="center"/>
            <w:hideMark/>
          </w:tcPr>
          <w:p w14:paraId="4EE88101" w14:textId="77777777" w:rsidR="00000000" w:rsidRDefault="00E614A4">
            <w:pPr>
              <w:rPr>
                <w:rFonts w:eastAsia="Times New Roman"/>
                <w:sz w:val="20"/>
                <w:szCs w:val="20"/>
              </w:rPr>
            </w:pPr>
          </w:p>
        </w:tc>
        <w:tc>
          <w:tcPr>
            <w:tcW w:w="5" w:type="pct"/>
            <w:vAlign w:val="center"/>
            <w:hideMark/>
          </w:tcPr>
          <w:p w14:paraId="48A9EA2A" w14:textId="77777777" w:rsidR="00000000" w:rsidRDefault="00E614A4">
            <w:pPr>
              <w:rPr>
                <w:rFonts w:eastAsia="Times New Roman"/>
                <w:sz w:val="20"/>
                <w:szCs w:val="20"/>
              </w:rPr>
            </w:pPr>
          </w:p>
        </w:tc>
        <w:tc>
          <w:tcPr>
            <w:tcW w:w="50" w:type="pct"/>
            <w:vAlign w:val="center"/>
            <w:hideMark/>
          </w:tcPr>
          <w:p w14:paraId="39892F31" w14:textId="77777777" w:rsidR="00000000" w:rsidRDefault="00E614A4">
            <w:pPr>
              <w:rPr>
                <w:rFonts w:eastAsia="Times New Roman"/>
                <w:sz w:val="20"/>
                <w:szCs w:val="20"/>
              </w:rPr>
            </w:pPr>
          </w:p>
        </w:tc>
        <w:tc>
          <w:tcPr>
            <w:tcW w:w="363" w:type="pct"/>
            <w:vAlign w:val="center"/>
            <w:hideMark/>
          </w:tcPr>
          <w:p w14:paraId="5EE42DC9" w14:textId="77777777" w:rsidR="00000000" w:rsidRDefault="00E614A4">
            <w:pPr>
              <w:rPr>
                <w:rFonts w:eastAsia="Times New Roman"/>
                <w:sz w:val="20"/>
                <w:szCs w:val="20"/>
              </w:rPr>
            </w:pPr>
          </w:p>
        </w:tc>
        <w:tc>
          <w:tcPr>
            <w:tcW w:w="5" w:type="pct"/>
            <w:vAlign w:val="center"/>
            <w:hideMark/>
          </w:tcPr>
          <w:p w14:paraId="72BD60B1" w14:textId="77777777" w:rsidR="00000000" w:rsidRDefault="00E614A4">
            <w:pPr>
              <w:rPr>
                <w:rFonts w:eastAsia="Times New Roman"/>
                <w:sz w:val="20"/>
                <w:szCs w:val="20"/>
              </w:rPr>
            </w:pPr>
          </w:p>
        </w:tc>
      </w:tr>
      <w:tr w:rsidR="00000000" w14:paraId="1D5E0D27" w14:textId="77777777">
        <w:trPr>
          <w:divId w:val="1969043634"/>
          <w:jc w:val="center"/>
        </w:trPr>
        <w:tc>
          <w:tcPr>
            <w:tcW w:w="0" w:type="auto"/>
            <w:gridSpan w:val="9"/>
            <w:tcMar>
              <w:top w:w="30" w:type="dxa"/>
              <w:left w:w="20" w:type="dxa"/>
              <w:bottom w:w="30" w:type="dxa"/>
              <w:right w:w="20" w:type="dxa"/>
            </w:tcMar>
            <w:vAlign w:val="bottom"/>
            <w:hideMark/>
          </w:tcPr>
          <w:p w14:paraId="5B8324F5" w14:textId="77777777" w:rsidR="00000000" w:rsidRDefault="00E614A4">
            <w:pPr>
              <w:divId w:val="1880045707"/>
              <w:rPr>
                <w:rFonts w:eastAsia="Times New Roman"/>
              </w:rPr>
            </w:pPr>
            <w:hyperlink w:anchor="ided6989bcc374020961c421c465250ee_10" w:history="1">
              <w:r>
                <w:rPr>
                  <w:rStyle w:val="a3"/>
                  <w:rFonts w:eastAsia="Times New Roman"/>
                  <w:sz w:val="20"/>
                  <w:szCs w:val="20"/>
                </w:rPr>
                <w:t>Cautionary Note Regarding Forward-Looking Statements</w:t>
              </w:r>
            </w:hyperlink>
          </w:p>
        </w:tc>
        <w:tc>
          <w:tcPr>
            <w:tcW w:w="0" w:type="auto"/>
            <w:gridSpan w:val="3"/>
            <w:tcMar>
              <w:top w:w="0" w:type="dxa"/>
              <w:left w:w="20" w:type="dxa"/>
              <w:bottom w:w="0" w:type="dxa"/>
              <w:right w:w="20" w:type="dxa"/>
            </w:tcMar>
            <w:vAlign w:val="center"/>
            <w:hideMark/>
          </w:tcPr>
          <w:p w14:paraId="512DBD0B"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62BA3A5E" w14:textId="77777777" w:rsidR="00000000" w:rsidRDefault="00E614A4">
            <w:pPr>
              <w:jc w:val="right"/>
              <w:rPr>
                <w:rFonts w:eastAsia="Times New Roman"/>
              </w:rPr>
            </w:pPr>
            <w:hyperlink w:anchor="ided6989bcc374020961c421c465250ee_10" w:history="1">
              <w:r>
                <w:rPr>
                  <w:rStyle w:val="a3"/>
                  <w:rFonts w:eastAsia="Times New Roman"/>
                  <w:sz w:val="20"/>
                  <w:szCs w:val="20"/>
                </w:rPr>
                <w:t>i</w:t>
              </w:r>
            </w:hyperlink>
          </w:p>
        </w:tc>
      </w:tr>
      <w:tr w:rsidR="00000000" w14:paraId="3323A0F8" w14:textId="77777777">
        <w:trPr>
          <w:divId w:val="1969043634"/>
          <w:trHeight w:val="60"/>
          <w:jc w:val="center"/>
        </w:trPr>
        <w:tc>
          <w:tcPr>
            <w:tcW w:w="0" w:type="auto"/>
            <w:gridSpan w:val="3"/>
            <w:tcMar>
              <w:top w:w="0" w:type="dxa"/>
              <w:left w:w="20" w:type="dxa"/>
              <w:bottom w:w="0" w:type="dxa"/>
              <w:right w:w="20" w:type="dxa"/>
            </w:tcMar>
            <w:vAlign w:val="center"/>
            <w:hideMark/>
          </w:tcPr>
          <w:p w14:paraId="3C2B6550"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67DA873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5829BC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E9E133B"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1548949" w14:textId="77777777" w:rsidR="00000000" w:rsidRDefault="00E614A4">
            <w:pPr>
              <w:rPr>
                <w:rFonts w:eastAsia="Times New Roman"/>
                <w:sz w:val="20"/>
                <w:szCs w:val="20"/>
              </w:rPr>
            </w:pPr>
          </w:p>
        </w:tc>
      </w:tr>
      <w:tr w:rsidR="00000000" w14:paraId="559F2C9A" w14:textId="77777777">
        <w:trPr>
          <w:divId w:val="1969043634"/>
          <w:jc w:val="center"/>
        </w:trPr>
        <w:tc>
          <w:tcPr>
            <w:tcW w:w="0" w:type="auto"/>
            <w:gridSpan w:val="3"/>
            <w:tcMar>
              <w:top w:w="30" w:type="dxa"/>
              <w:left w:w="20" w:type="dxa"/>
              <w:bottom w:w="30" w:type="dxa"/>
              <w:right w:w="20" w:type="dxa"/>
            </w:tcMar>
            <w:hideMark/>
          </w:tcPr>
          <w:p w14:paraId="78E30FB3" w14:textId="77777777" w:rsidR="00000000" w:rsidRDefault="00E614A4">
            <w:pPr>
              <w:divId w:val="1220358806"/>
              <w:rPr>
                <w:rFonts w:eastAsia="Times New Roman"/>
              </w:rPr>
            </w:pPr>
            <w:hyperlink w:anchor="ided6989bcc374020961c421c465250ee_13" w:history="1">
              <w:r>
                <w:rPr>
                  <w:rStyle w:val="a3"/>
                  <w:rFonts w:eastAsia="Times New Roman"/>
                  <w:sz w:val="20"/>
                  <w:szCs w:val="20"/>
                </w:rPr>
                <w:t>PART I</w:t>
              </w:r>
            </w:hyperlink>
          </w:p>
        </w:tc>
        <w:tc>
          <w:tcPr>
            <w:tcW w:w="0" w:type="auto"/>
            <w:gridSpan w:val="3"/>
            <w:tcMar>
              <w:top w:w="30" w:type="dxa"/>
              <w:left w:w="20" w:type="dxa"/>
              <w:bottom w:w="30" w:type="dxa"/>
              <w:right w:w="20" w:type="dxa"/>
            </w:tcMar>
            <w:vAlign w:val="bottom"/>
            <w:hideMark/>
          </w:tcPr>
          <w:p w14:paraId="39DE3C6A"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DC0880D"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7E301085"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4F6A831" w14:textId="77777777" w:rsidR="00000000" w:rsidRDefault="00E614A4">
            <w:pPr>
              <w:rPr>
                <w:rFonts w:eastAsia="Times New Roman"/>
              </w:rPr>
            </w:pPr>
          </w:p>
        </w:tc>
      </w:tr>
      <w:tr w:rsidR="00000000" w14:paraId="614E4E62" w14:textId="77777777">
        <w:trPr>
          <w:divId w:val="1969043634"/>
          <w:jc w:val="center"/>
        </w:trPr>
        <w:tc>
          <w:tcPr>
            <w:tcW w:w="0" w:type="auto"/>
            <w:gridSpan w:val="3"/>
            <w:tcMar>
              <w:top w:w="30" w:type="dxa"/>
              <w:left w:w="380" w:type="dxa"/>
              <w:bottom w:w="30" w:type="dxa"/>
              <w:right w:w="20" w:type="dxa"/>
            </w:tcMar>
            <w:hideMark/>
          </w:tcPr>
          <w:p w14:paraId="567EF0C0" w14:textId="77777777" w:rsidR="00000000" w:rsidRDefault="00E614A4">
            <w:pPr>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14:paraId="5EE6E9AA"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B9EF885" w14:textId="77777777" w:rsidR="00000000" w:rsidRDefault="00E614A4">
            <w:pPr>
              <w:divId w:val="992176760"/>
              <w:rPr>
                <w:rFonts w:eastAsia="Times New Roman"/>
              </w:rPr>
            </w:pPr>
            <w:hyperlink w:anchor="ided6989bcc374020961c421c465250ee_16"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14:paraId="7CB0F761"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C0F481D" w14:textId="77777777" w:rsidR="00000000" w:rsidRDefault="00E614A4">
            <w:pPr>
              <w:jc w:val="right"/>
              <w:rPr>
                <w:rFonts w:eastAsia="Times New Roman"/>
              </w:rPr>
            </w:pPr>
            <w:hyperlink w:anchor="ided6989bcc374020961c421c465250ee_16" w:history="1">
              <w:r>
                <w:rPr>
                  <w:rStyle w:val="a3"/>
                  <w:rFonts w:eastAsia="Times New Roman"/>
                  <w:sz w:val="20"/>
                  <w:szCs w:val="20"/>
                </w:rPr>
                <w:t>1</w:t>
              </w:r>
            </w:hyperlink>
          </w:p>
        </w:tc>
      </w:tr>
      <w:tr w:rsidR="00000000" w14:paraId="5CCFC30E" w14:textId="77777777">
        <w:trPr>
          <w:divId w:val="1969043634"/>
          <w:jc w:val="center"/>
        </w:trPr>
        <w:tc>
          <w:tcPr>
            <w:tcW w:w="0" w:type="auto"/>
            <w:gridSpan w:val="3"/>
            <w:tcMar>
              <w:top w:w="30" w:type="dxa"/>
              <w:left w:w="380" w:type="dxa"/>
              <w:bottom w:w="30" w:type="dxa"/>
              <w:right w:w="20" w:type="dxa"/>
            </w:tcMar>
            <w:hideMark/>
          </w:tcPr>
          <w:p w14:paraId="1421FB3E" w14:textId="77777777" w:rsidR="00000000" w:rsidRDefault="00E614A4">
            <w:pPr>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14:paraId="76B033BD"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0BDDF08" w14:textId="77777777" w:rsidR="00000000" w:rsidRDefault="00E614A4">
            <w:pPr>
              <w:divId w:val="908462209"/>
              <w:rPr>
                <w:rFonts w:eastAsia="Times New Roman"/>
              </w:rPr>
            </w:pPr>
            <w:hyperlink w:anchor="ided6989bcc374020961c421c465250ee_22"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14:paraId="6F221C08"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A9A4EDA" w14:textId="77777777" w:rsidR="00000000" w:rsidRDefault="00E614A4">
            <w:pPr>
              <w:jc w:val="right"/>
              <w:rPr>
                <w:rFonts w:eastAsia="Times New Roman"/>
              </w:rPr>
            </w:pPr>
            <w:hyperlink w:anchor="ided6989bcc374020961c421c465250ee_22" w:history="1">
              <w:r>
                <w:rPr>
                  <w:rStyle w:val="a3"/>
                  <w:rFonts w:eastAsia="Times New Roman"/>
                  <w:sz w:val="20"/>
                  <w:szCs w:val="20"/>
                </w:rPr>
                <w:t>12</w:t>
              </w:r>
            </w:hyperlink>
          </w:p>
        </w:tc>
      </w:tr>
      <w:tr w:rsidR="00000000" w14:paraId="3BD38AD9" w14:textId="77777777">
        <w:trPr>
          <w:divId w:val="1969043634"/>
          <w:jc w:val="center"/>
        </w:trPr>
        <w:tc>
          <w:tcPr>
            <w:tcW w:w="0" w:type="auto"/>
            <w:gridSpan w:val="3"/>
            <w:tcMar>
              <w:top w:w="30" w:type="dxa"/>
              <w:left w:w="380" w:type="dxa"/>
              <w:bottom w:w="30" w:type="dxa"/>
              <w:right w:w="20" w:type="dxa"/>
            </w:tcMar>
            <w:hideMark/>
          </w:tcPr>
          <w:p w14:paraId="297AE354" w14:textId="77777777" w:rsidR="00000000" w:rsidRDefault="00E614A4">
            <w:pPr>
              <w:rPr>
                <w:rFonts w:eastAsia="Times New Roman"/>
              </w:rPr>
            </w:pPr>
            <w:r>
              <w:rPr>
                <w:rFonts w:eastAsia="Times New Roman"/>
                <w:color w:val="000000"/>
                <w:sz w:val="20"/>
                <w:szCs w:val="20"/>
              </w:rPr>
              <w:t>Item 1B.</w:t>
            </w:r>
          </w:p>
        </w:tc>
        <w:tc>
          <w:tcPr>
            <w:tcW w:w="0" w:type="auto"/>
            <w:gridSpan w:val="3"/>
            <w:tcMar>
              <w:top w:w="30" w:type="dxa"/>
              <w:left w:w="20" w:type="dxa"/>
              <w:bottom w:w="30" w:type="dxa"/>
              <w:right w:w="20" w:type="dxa"/>
            </w:tcMar>
            <w:vAlign w:val="bottom"/>
            <w:hideMark/>
          </w:tcPr>
          <w:p w14:paraId="6A6FCEED"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E6249E4" w14:textId="77777777" w:rsidR="00000000" w:rsidRDefault="00E614A4">
            <w:pPr>
              <w:divId w:val="1047871425"/>
              <w:rPr>
                <w:rFonts w:eastAsia="Times New Roman"/>
              </w:rPr>
            </w:pPr>
            <w:hyperlink w:anchor="ided6989bcc374020961c421c465250ee_2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14:paraId="7BB989F7"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7EEB647" w14:textId="77777777" w:rsidR="00000000" w:rsidRDefault="00E614A4">
            <w:pPr>
              <w:jc w:val="right"/>
              <w:rPr>
                <w:rFonts w:eastAsia="Times New Roman"/>
              </w:rPr>
            </w:pPr>
            <w:hyperlink w:anchor="ided6989bcc374020961c421c465250ee_25" w:history="1">
              <w:r>
                <w:rPr>
                  <w:rStyle w:val="a3"/>
                  <w:rFonts w:eastAsia="Times New Roman"/>
                  <w:sz w:val="20"/>
                  <w:szCs w:val="20"/>
                </w:rPr>
                <w:t>31</w:t>
              </w:r>
            </w:hyperlink>
          </w:p>
        </w:tc>
      </w:tr>
      <w:tr w:rsidR="00000000" w14:paraId="32F2B878" w14:textId="77777777">
        <w:trPr>
          <w:divId w:val="1969043634"/>
          <w:jc w:val="center"/>
        </w:trPr>
        <w:tc>
          <w:tcPr>
            <w:tcW w:w="0" w:type="auto"/>
            <w:gridSpan w:val="3"/>
            <w:tcMar>
              <w:top w:w="30" w:type="dxa"/>
              <w:left w:w="380" w:type="dxa"/>
              <w:bottom w:w="30" w:type="dxa"/>
              <w:right w:w="20" w:type="dxa"/>
            </w:tcMar>
            <w:hideMark/>
          </w:tcPr>
          <w:p w14:paraId="3D82847E" w14:textId="77777777" w:rsidR="00000000" w:rsidRDefault="00E614A4">
            <w:pPr>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14:paraId="5321B18F"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EA5A858" w14:textId="77777777" w:rsidR="00000000" w:rsidRDefault="00E614A4">
            <w:pPr>
              <w:divId w:val="1894076458"/>
              <w:rPr>
                <w:rFonts w:eastAsia="Times New Roman"/>
              </w:rPr>
            </w:pPr>
            <w:hyperlink w:anchor="ided6989bcc374020961c421c465250ee_28"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14:paraId="4438194D"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72F76F0" w14:textId="77777777" w:rsidR="00000000" w:rsidRDefault="00E614A4">
            <w:pPr>
              <w:jc w:val="right"/>
              <w:rPr>
                <w:rFonts w:eastAsia="Times New Roman"/>
              </w:rPr>
            </w:pPr>
            <w:hyperlink w:anchor="ided6989bcc374020961c421c465250ee_28" w:history="1">
              <w:r>
                <w:rPr>
                  <w:rStyle w:val="a3"/>
                  <w:rFonts w:eastAsia="Times New Roman"/>
                  <w:sz w:val="20"/>
                  <w:szCs w:val="20"/>
                </w:rPr>
                <w:t>31</w:t>
              </w:r>
            </w:hyperlink>
          </w:p>
        </w:tc>
      </w:tr>
      <w:tr w:rsidR="00000000" w14:paraId="6C4E9F89" w14:textId="77777777">
        <w:trPr>
          <w:divId w:val="1969043634"/>
          <w:jc w:val="center"/>
        </w:trPr>
        <w:tc>
          <w:tcPr>
            <w:tcW w:w="0" w:type="auto"/>
            <w:gridSpan w:val="3"/>
            <w:tcMar>
              <w:top w:w="30" w:type="dxa"/>
              <w:left w:w="380" w:type="dxa"/>
              <w:bottom w:w="30" w:type="dxa"/>
              <w:right w:w="20" w:type="dxa"/>
            </w:tcMar>
            <w:hideMark/>
          </w:tcPr>
          <w:p w14:paraId="249BA0EC" w14:textId="77777777" w:rsidR="00000000" w:rsidRDefault="00E614A4">
            <w:pPr>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14:paraId="01794299"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3FC984A" w14:textId="77777777" w:rsidR="00000000" w:rsidRDefault="00E614A4">
            <w:pPr>
              <w:divId w:val="86390386"/>
              <w:rPr>
                <w:rFonts w:eastAsia="Times New Roman"/>
              </w:rPr>
            </w:pPr>
            <w:hyperlink w:anchor="ided6989bcc374020961c421c465250ee_3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14:paraId="2C6B04E9"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0A81C33" w14:textId="77777777" w:rsidR="00000000" w:rsidRDefault="00E614A4">
            <w:pPr>
              <w:jc w:val="right"/>
              <w:rPr>
                <w:rFonts w:eastAsia="Times New Roman"/>
              </w:rPr>
            </w:pPr>
            <w:hyperlink w:anchor="ided6989bcc374020961c421c465250ee_31" w:history="1">
              <w:r>
                <w:rPr>
                  <w:rStyle w:val="a3"/>
                  <w:rFonts w:eastAsia="Times New Roman"/>
                  <w:sz w:val="20"/>
                  <w:szCs w:val="20"/>
                </w:rPr>
                <w:t>31</w:t>
              </w:r>
            </w:hyperlink>
          </w:p>
        </w:tc>
      </w:tr>
      <w:tr w:rsidR="00000000" w14:paraId="1EDE00F1" w14:textId="77777777">
        <w:trPr>
          <w:divId w:val="1969043634"/>
          <w:jc w:val="center"/>
        </w:trPr>
        <w:tc>
          <w:tcPr>
            <w:tcW w:w="0" w:type="auto"/>
            <w:gridSpan w:val="3"/>
            <w:tcMar>
              <w:top w:w="30" w:type="dxa"/>
              <w:left w:w="380" w:type="dxa"/>
              <w:bottom w:w="30" w:type="dxa"/>
              <w:right w:w="20" w:type="dxa"/>
            </w:tcMar>
            <w:hideMark/>
          </w:tcPr>
          <w:p w14:paraId="1F4B4C83" w14:textId="77777777" w:rsidR="00000000" w:rsidRDefault="00E614A4">
            <w:pPr>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14:paraId="26C2F184"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FB82A13" w14:textId="77777777" w:rsidR="00000000" w:rsidRDefault="00E614A4">
            <w:pPr>
              <w:divId w:val="1284456244"/>
              <w:rPr>
                <w:rFonts w:eastAsia="Times New Roman"/>
              </w:rPr>
            </w:pPr>
            <w:hyperlink w:anchor="ided6989bcc374020961c421c465250ee_3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14:paraId="7732DB90"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51E1A25" w14:textId="77777777" w:rsidR="00000000" w:rsidRDefault="00E614A4">
            <w:pPr>
              <w:jc w:val="right"/>
              <w:rPr>
                <w:rFonts w:eastAsia="Times New Roman"/>
              </w:rPr>
            </w:pPr>
            <w:hyperlink w:anchor="ided6989bcc374020961c421c465250ee_34" w:history="1">
              <w:r>
                <w:rPr>
                  <w:rStyle w:val="a3"/>
                  <w:rFonts w:eastAsia="Times New Roman"/>
                  <w:sz w:val="20"/>
                  <w:szCs w:val="20"/>
                </w:rPr>
                <w:t>31</w:t>
              </w:r>
            </w:hyperlink>
          </w:p>
        </w:tc>
      </w:tr>
      <w:tr w:rsidR="00000000" w14:paraId="4AAF19D8" w14:textId="77777777">
        <w:trPr>
          <w:divId w:val="1969043634"/>
          <w:trHeight w:val="60"/>
          <w:jc w:val="center"/>
        </w:trPr>
        <w:tc>
          <w:tcPr>
            <w:tcW w:w="0" w:type="auto"/>
            <w:gridSpan w:val="3"/>
            <w:tcMar>
              <w:top w:w="0" w:type="dxa"/>
              <w:left w:w="20" w:type="dxa"/>
              <w:bottom w:w="0" w:type="dxa"/>
              <w:right w:w="20" w:type="dxa"/>
            </w:tcMar>
            <w:vAlign w:val="center"/>
            <w:hideMark/>
          </w:tcPr>
          <w:p w14:paraId="45D6EEFF" w14:textId="77777777" w:rsidR="00000000" w:rsidRDefault="00E614A4">
            <w:pPr>
              <w:jc w:val="right"/>
              <w:rPr>
                <w:rFonts w:eastAsia="Times New Roman"/>
              </w:rPr>
            </w:pPr>
          </w:p>
        </w:tc>
        <w:tc>
          <w:tcPr>
            <w:tcW w:w="0" w:type="auto"/>
            <w:gridSpan w:val="6"/>
            <w:tcMar>
              <w:top w:w="0" w:type="dxa"/>
              <w:left w:w="20" w:type="dxa"/>
              <w:bottom w:w="0" w:type="dxa"/>
              <w:right w:w="20" w:type="dxa"/>
            </w:tcMar>
            <w:vAlign w:val="center"/>
            <w:hideMark/>
          </w:tcPr>
          <w:p w14:paraId="619B977C" w14:textId="77777777" w:rsidR="00000000" w:rsidRDefault="00E614A4">
            <w:pPr>
              <w:rPr>
                <w:rFonts w:eastAsia="Times New Roman"/>
                <w:sz w:val="20"/>
                <w:szCs w:val="20"/>
              </w:rPr>
            </w:pPr>
          </w:p>
        </w:tc>
        <w:tc>
          <w:tcPr>
            <w:tcW w:w="0" w:type="auto"/>
            <w:gridSpan w:val="6"/>
            <w:tcMar>
              <w:top w:w="0" w:type="dxa"/>
              <w:left w:w="20" w:type="dxa"/>
              <w:bottom w:w="0" w:type="dxa"/>
              <w:right w:w="20" w:type="dxa"/>
            </w:tcMar>
            <w:vAlign w:val="center"/>
            <w:hideMark/>
          </w:tcPr>
          <w:p w14:paraId="290F4AA3" w14:textId="77777777" w:rsidR="00000000" w:rsidRDefault="00E614A4">
            <w:pPr>
              <w:rPr>
                <w:rFonts w:eastAsia="Times New Roman"/>
                <w:sz w:val="20"/>
                <w:szCs w:val="20"/>
              </w:rPr>
            </w:pPr>
          </w:p>
        </w:tc>
      </w:tr>
      <w:tr w:rsidR="00000000" w14:paraId="2B1B0B42" w14:textId="77777777">
        <w:trPr>
          <w:divId w:val="1969043634"/>
          <w:jc w:val="center"/>
        </w:trPr>
        <w:tc>
          <w:tcPr>
            <w:tcW w:w="0" w:type="auto"/>
            <w:gridSpan w:val="3"/>
            <w:tcMar>
              <w:top w:w="30" w:type="dxa"/>
              <w:left w:w="20" w:type="dxa"/>
              <w:bottom w:w="30" w:type="dxa"/>
              <w:right w:w="20" w:type="dxa"/>
            </w:tcMar>
            <w:hideMark/>
          </w:tcPr>
          <w:p w14:paraId="3A7F4A03" w14:textId="77777777" w:rsidR="00000000" w:rsidRDefault="00E614A4">
            <w:pPr>
              <w:divId w:val="1204243959"/>
              <w:rPr>
                <w:rFonts w:eastAsia="Times New Roman"/>
              </w:rPr>
            </w:pPr>
            <w:hyperlink w:anchor="ided6989bcc374020961c421c465250ee_37" w:history="1">
              <w:r>
                <w:rPr>
                  <w:rStyle w:val="a3"/>
                  <w:rFonts w:eastAsia="Times New Roman"/>
                  <w:sz w:val="20"/>
                  <w:szCs w:val="20"/>
                </w:rPr>
                <w:t>PART II</w:t>
              </w:r>
            </w:hyperlink>
          </w:p>
        </w:tc>
        <w:tc>
          <w:tcPr>
            <w:tcW w:w="0" w:type="auto"/>
            <w:gridSpan w:val="3"/>
            <w:tcMar>
              <w:top w:w="30" w:type="dxa"/>
              <w:left w:w="20" w:type="dxa"/>
              <w:bottom w:w="30" w:type="dxa"/>
              <w:right w:w="20" w:type="dxa"/>
            </w:tcMar>
            <w:vAlign w:val="bottom"/>
            <w:hideMark/>
          </w:tcPr>
          <w:p w14:paraId="40472710"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4B25FB7"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4A0EAD39"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01830F6" w14:textId="77777777" w:rsidR="00000000" w:rsidRDefault="00E614A4">
            <w:pPr>
              <w:rPr>
                <w:rFonts w:eastAsia="Times New Roman"/>
              </w:rPr>
            </w:pPr>
          </w:p>
        </w:tc>
      </w:tr>
      <w:tr w:rsidR="00000000" w14:paraId="36A1F2CF" w14:textId="77777777">
        <w:trPr>
          <w:divId w:val="1969043634"/>
          <w:jc w:val="center"/>
        </w:trPr>
        <w:tc>
          <w:tcPr>
            <w:tcW w:w="0" w:type="auto"/>
            <w:gridSpan w:val="3"/>
            <w:tcMar>
              <w:top w:w="30" w:type="dxa"/>
              <w:left w:w="380" w:type="dxa"/>
              <w:bottom w:w="30" w:type="dxa"/>
              <w:right w:w="20" w:type="dxa"/>
            </w:tcMar>
            <w:hideMark/>
          </w:tcPr>
          <w:p w14:paraId="478BBE2A" w14:textId="77777777" w:rsidR="00000000" w:rsidRDefault="00E614A4">
            <w:pPr>
              <w:rPr>
                <w:rFonts w:eastAsia="Times New Roman"/>
              </w:rPr>
            </w:pPr>
            <w:r>
              <w:rPr>
                <w:rFonts w:eastAsia="Times New Roman"/>
                <w:color w:val="000000"/>
                <w:sz w:val="20"/>
                <w:szCs w:val="20"/>
              </w:rPr>
              <w:t>Item 5.</w:t>
            </w:r>
          </w:p>
        </w:tc>
        <w:tc>
          <w:tcPr>
            <w:tcW w:w="0" w:type="auto"/>
            <w:gridSpan w:val="3"/>
            <w:tcMar>
              <w:top w:w="30" w:type="dxa"/>
              <w:left w:w="20" w:type="dxa"/>
              <w:bottom w:w="30" w:type="dxa"/>
              <w:right w:w="20" w:type="dxa"/>
            </w:tcMar>
            <w:vAlign w:val="bottom"/>
            <w:hideMark/>
          </w:tcPr>
          <w:p w14:paraId="570B2D45"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2D48C00" w14:textId="77777777" w:rsidR="00000000" w:rsidRDefault="00E614A4">
            <w:pPr>
              <w:divId w:val="390426304"/>
              <w:rPr>
                <w:rFonts w:eastAsia="Times New Roman"/>
              </w:rPr>
            </w:pPr>
            <w:hyperlink w:anchor="ided6989bcc374020961c421c465250ee_40"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14:paraId="0F0BD756"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450B0F8" w14:textId="77777777" w:rsidR="00000000" w:rsidRDefault="00E614A4">
            <w:pPr>
              <w:jc w:val="right"/>
              <w:rPr>
                <w:rFonts w:eastAsia="Times New Roman"/>
              </w:rPr>
            </w:pPr>
            <w:hyperlink w:anchor="ided6989bcc374020961c421c465250ee_40" w:history="1">
              <w:r>
                <w:rPr>
                  <w:rStyle w:val="a3"/>
                  <w:rFonts w:eastAsia="Times New Roman"/>
                  <w:sz w:val="20"/>
                  <w:szCs w:val="20"/>
                </w:rPr>
                <w:t>32</w:t>
              </w:r>
            </w:hyperlink>
          </w:p>
        </w:tc>
      </w:tr>
      <w:tr w:rsidR="00000000" w14:paraId="198A4FD9" w14:textId="77777777">
        <w:trPr>
          <w:divId w:val="1969043634"/>
          <w:jc w:val="center"/>
        </w:trPr>
        <w:tc>
          <w:tcPr>
            <w:tcW w:w="0" w:type="auto"/>
            <w:gridSpan w:val="3"/>
            <w:tcMar>
              <w:top w:w="30" w:type="dxa"/>
              <w:left w:w="380" w:type="dxa"/>
              <w:bottom w:w="30" w:type="dxa"/>
              <w:right w:w="20" w:type="dxa"/>
            </w:tcMar>
            <w:hideMark/>
          </w:tcPr>
          <w:p w14:paraId="7DECCB6F" w14:textId="77777777" w:rsidR="00000000" w:rsidRDefault="00E614A4">
            <w:pPr>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14:paraId="0045522C"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E6E045F" w14:textId="77777777" w:rsidR="00000000" w:rsidRDefault="00E614A4">
            <w:pPr>
              <w:divId w:val="1427309758"/>
              <w:rPr>
                <w:rFonts w:eastAsia="Times New Roman"/>
              </w:rPr>
            </w:pPr>
            <w:hyperlink w:anchor="ided6989bcc374020961c421c465250ee_46" w:history="1">
              <w:r>
                <w:rPr>
                  <w:rStyle w:val="a3"/>
                  <w:rFonts w:eastAsia="Times New Roman"/>
                  <w:sz w:val="20"/>
                  <w:szCs w:val="20"/>
                </w:rPr>
                <w:t>Selected Financial Data</w:t>
              </w:r>
            </w:hyperlink>
          </w:p>
        </w:tc>
        <w:tc>
          <w:tcPr>
            <w:tcW w:w="0" w:type="auto"/>
            <w:gridSpan w:val="3"/>
            <w:tcMar>
              <w:top w:w="30" w:type="dxa"/>
              <w:left w:w="20" w:type="dxa"/>
              <w:bottom w:w="30" w:type="dxa"/>
              <w:right w:w="20" w:type="dxa"/>
            </w:tcMar>
            <w:vAlign w:val="bottom"/>
            <w:hideMark/>
          </w:tcPr>
          <w:p w14:paraId="5DAABF06"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A6F43D6" w14:textId="77777777" w:rsidR="00000000" w:rsidRDefault="00E614A4">
            <w:pPr>
              <w:jc w:val="right"/>
              <w:rPr>
                <w:rFonts w:eastAsia="Times New Roman"/>
              </w:rPr>
            </w:pPr>
            <w:hyperlink w:anchor="ided6989bcc374020961c421c465250ee_46" w:history="1">
              <w:r>
                <w:rPr>
                  <w:rStyle w:val="a3"/>
                  <w:rFonts w:eastAsia="Times New Roman"/>
                  <w:sz w:val="20"/>
                  <w:szCs w:val="20"/>
                </w:rPr>
                <w:t>34</w:t>
              </w:r>
            </w:hyperlink>
          </w:p>
        </w:tc>
      </w:tr>
      <w:tr w:rsidR="00000000" w14:paraId="6D2E7422" w14:textId="77777777">
        <w:trPr>
          <w:divId w:val="1969043634"/>
          <w:jc w:val="center"/>
        </w:trPr>
        <w:tc>
          <w:tcPr>
            <w:tcW w:w="0" w:type="auto"/>
            <w:gridSpan w:val="3"/>
            <w:tcMar>
              <w:top w:w="30" w:type="dxa"/>
              <w:left w:w="380" w:type="dxa"/>
              <w:bottom w:w="30" w:type="dxa"/>
              <w:right w:w="20" w:type="dxa"/>
            </w:tcMar>
            <w:hideMark/>
          </w:tcPr>
          <w:p w14:paraId="6A25E8E8" w14:textId="77777777" w:rsidR="00000000" w:rsidRDefault="00E614A4">
            <w:pPr>
              <w:rPr>
                <w:rFonts w:eastAsia="Times New Roman"/>
              </w:rPr>
            </w:pPr>
            <w:r>
              <w:rPr>
                <w:rFonts w:eastAsia="Times New Roman"/>
                <w:color w:val="000000"/>
                <w:sz w:val="20"/>
                <w:szCs w:val="20"/>
              </w:rPr>
              <w:t>Item 7.</w:t>
            </w:r>
          </w:p>
        </w:tc>
        <w:tc>
          <w:tcPr>
            <w:tcW w:w="0" w:type="auto"/>
            <w:gridSpan w:val="3"/>
            <w:tcMar>
              <w:top w:w="30" w:type="dxa"/>
              <w:left w:w="20" w:type="dxa"/>
              <w:bottom w:w="30" w:type="dxa"/>
              <w:right w:w="20" w:type="dxa"/>
            </w:tcMar>
            <w:vAlign w:val="bottom"/>
            <w:hideMark/>
          </w:tcPr>
          <w:p w14:paraId="4B650B82"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E776465" w14:textId="77777777" w:rsidR="00000000" w:rsidRDefault="00E614A4">
            <w:pPr>
              <w:divId w:val="40902468"/>
              <w:rPr>
                <w:rFonts w:eastAsia="Times New Roman"/>
              </w:rPr>
            </w:pPr>
            <w:hyperlink w:anchor="ided6989bcc374020961c421c465250ee_49" w:history="1">
              <w:r>
                <w:rPr>
                  <w:rStyle w:val="a3"/>
                  <w:rFonts w:eastAsia="Times New Roman"/>
                  <w:sz w:val="20"/>
                  <w:szCs w:val="20"/>
                </w:rPr>
                <w:t>Management's Discussion and A</w:t>
              </w:r>
              <w:r>
                <w:rPr>
                  <w:rStyle w:val="a3"/>
                  <w:rFonts w:eastAsia="Times New Roman"/>
                  <w:sz w:val="20"/>
                  <w:szCs w:val="20"/>
                </w:rPr>
                <w:t>nalysis of Financial Condition and Results of Operations</w:t>
              </w:r>
            </w:hyperlink>
          </w:p>
        </w:tc>
        <w:tc>
          <w:tcPr>
            <w:tcW w:w="0" w:type="auto"/>
            <w:gridSpan w:val="3"/>
            <w:tcMar>
              <w:top w:w="30" w:type="dxa"/>
              <w:left w:w="20" w:type="dxa"/>
              <w:bottom w:w="30" w:type="dxa"/>
              <w:right w:w="20" w:type="dxa"/>
            </w:tcMar>
            <w:vAlign w:val="bottom"/>
            <w:hideMark/>
          </w:tcPr>
          <w:p w14:paraId="455385A8"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03B4763" w14:textId="77777777" w:rsidR="00000000" w:rsidRDefault="00E614A4">
            <w:pPr>
              <w:jc w:val="right"/>
              <w:rPr>
                <w:rFonts w:eastAsia="Times New Roman"/>
              </w:rPr>
            </w:pPr>
            <w:hyperlink w:anchor="ided6989bcc374020961c421c465250ee_49" w:history="1">
              <w:r>
                <w:rPr>
                  <w:rStyle w:val="a3"/>
                  <w:rFonts w:eastAsia="Times New Roman"/>
                  <w:sz w:val="20"/>
                  <w:szCs w:val="20"/>
                </w:rPr>
                <w:t>35</w:t>
              </w:r>
            </w:hyperlink>
          </w:p>
        </w:tc>
      </w:tr>
      <w:tr w:rsidR="00000000" w14:paraId="4A9486FD" w14:textId="77777777">
        <w:trPr>
          <w:divId w:val="1969043634"/>
          <w:jc w:val="center"/>
        </w:trPr>
        <w:tc>
          <w:tcPr>
            <w:tcW w:w="0" w:type="auto"/>
            <w:gridSpan w:val="3"/>
            <w:tcMar>
              <w:top w:w="30" w:type="dxa"/>
              <w:left w:w="380" w:type="dxa"/>
              <w:bottom w:w="30" w:type="dxa"/>
              <w:right w:w="20" w:type="dxa"/>
            </w:tcMar>
            <w:hideMark/>
          </w:tcPr>
          <w:p w14:paraId="2A2A2E05" w14:textId="77777777" w:rsidR="00000000" w:rsidRDefault="00E614A4">
            <w:pPr>
              <w:rPr>
                <w:rFonts w:eastAsia="Times New Roman"/>
              </w:rPr>
            </w:pPr>
            <w:r>
              <w:rPr>
                <w:rFonts w:eastAsia="Times New Roman"/>
                <w:color w:val="000000"/>
                <w:sz w:val="20"/>
                <w:szCs w:val="20"/>
              </w:rPr>
              <w:t>Item 7A.</w:t>
            </w:r>
          </w:p>
        </w:tc>
        <w:tc>
          <w:tcPr>
            <w:tcW w:w="0" w:type="auto"/>
            <w:gridSpan w:val="3"/>
            <w:tcMar>
              <w:top w:w="30" w:type="dxa"/>
              <w:left w:w="20" w:type="dxa"/>
              <w:bottom w:w="30" w:type="dxa"/>
              <w:right w:w="20" w:type="dxa"/>
            </w:tcMar>
            <w:vAlign w:val="bottom"/>
            <w:hideMark/>
          </w:tcPr>
          <w:p w14:paraId="2F343E6C"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24B8F74" w14:textId="77777777" w:rsidR="00000000" w:rsidRDefault="00E614A4">
            <w:pPr>
              <w:divId w:val="106168637"/>
              <w:rPr>
                <w:rFonts w:eastAsia="Times New Roman"/>
              </w:rPr>
            </w:pPr>
            <w:hyperlink w:anchor="ided6989bcc374020961c421c465250ee_73"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27CAFCEE"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155FB40" w14:textId="77777777" w:rsidR="00000000" w:rsidRDefault="00E614A4">
            <w:pPr>
              <w:jc w:val="right"/>
              <w:rPr>
                <w:rFonts w:eastAsia="Times New Roman"/>
              </w:rPr>
            </w:pPr>
            <w:hyperlink w:anchor="ided6989bcc374020961c421c465250ee_73" w:history="1">
              <w:r>
                <w:rPr>
                  <w:rStyle w:val="a3"/>
                  <w:rFonts w:eastAsia="Times New Roman"/>
                  <w:sz w:val="20"/>
                  <w:szCs w:val="20"/>
                </w:rPr>
                <w:t>53</w:t>
              </w:r>
            </w:hyperlink>
          </w:p>
        </w:tc>
      </w:tr>
      <w:tr w:rsidR="00000000" w14:paraId="2634E6C0" w14:textId="77777777">
        <w:trPr>
          <w:divId w:val="1969043634"/>
          <w:jc w:val="center"/>
        </w:trPr>
        <w:tc>
          <w:tcPr>
            <w:tcW w:w="0" w:type="auto"/>
            <w:gridSpan w:val="3"/>
            <w:tcMar>
              <w:top w:w="30" w:type="dxa"/>
              <w:left w:w="380" w:type="dxa"/>
              <w:bottom w:w="30" w:type="dxa"/>
              <w:right w:w="20" w:type="dxa"/>
            </w:tcMar>
            <w:hideMark/>
          </w:tcPr>
          <w:p w14:paraId="3F0B6F5A" w14:textId="77777777" w:rsidR="00000000" w:rsidRDefault="00E614A4">
            <w:pPr>
              <w:rPr>
                <w:rFonts w:eastAsia="Times New Roman"/>
              </w:rPr>
            </w:pPr>
            <w:r>
              <w:rPr>
                <w:rFonts w:eastAsia="Times New Roman"/>
                <w:color w:val="000000"/>
                <w:sz w:val="20"/>
                <w:szCs w:val="20"/>
              </w:rPr>
              <w:t>Item 8.</w:t>
            </w:r>
          </w:p>
        </w:tc>
        <w:tc>
          <w:tcPr>
            <w:tcW w:w="0" w:type="auto"/>
            <w:gridSpan w:val="3"/>
            <w:tcMar>
              <w:top w:w="30" w:type="dxa"/>
              <w:left w:w="20" w:type="dxa"/>
              <w:bottom w:w="30" w:type="dxa"/>
              <w:right w:w="20" w:type="dxa"/>
            </w:tcMar>
            <w:vAlign w:val="bottom"/>
            <w:hideMark/>
          </w:tcPr>
          <w:p w14:paraId="34BBA890"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E3E6020" w14:textId="77777777" w:rsidR="00000000" w:rsidRDefault="00E614A4">
            <w:pPr>
              <w:divId w:val="173883015"/>
              <w:rPr>
                <w:rFonts w:eastAsia="Times New Roman"/>
              </w:rPr>
            </w:pPr>
            <w:hyperlink w:anchor="ided6989bcc374020961c421c465250ee_76"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14:paraId="59FA6DDC"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75580A3" w14:textId="77777777" w:rsidR="00000000" w:rsidRDefault="00E614A4">
            <w:pPr>
              <w:jc w:val="right"/>
              <w:rPr>
                <w:rFonts w:eastAsia="Times New Roman"/>
              </w:rPr>
            </w:pPr>
            <w:hyperlink w:anchor="ided6989bcc374020961c421c465250ee_76" w:history="1">
              <w:r>
                <w:rPr>
                  <w:rStyle w:val="a3"/>
                  <w:rFonts w:eastAsia="Times New Roman"/>
                  <w:sz w:val="20"/>
                  <w:szCs w:val="20"/>
                </w:rPr>
                <w:t>55</w:t>
              </w:r>
            </w:hyperlink>
          </w:p>
        </w:tc>
      </w:tr>
      <w:tr w:rsidR="00000000" w14:paraId="4B11DFC3" w14:textId="77777777">
        <w:trPr>
          <w:divId w:val="1969043634"/>
          <w:jc w:val="center"/>
        </w:trPr>
        <w:tc>
          <w:tcPr>
            <w:tcW w:w="0" w:type="auto"/>
            <w:gridSpan w:val="3"/>
            <w:tcMar>
              <w:top w:w="30" w:type="dxa"/>
              <w:left w:w="380" w:type="dxa"/>
              <w:bottom w:w="30" w:type="dxa"/>
              <w:right w:w="20" w:type="dxa"/>
            </w:tcMar>
            <w:hideMark/>
          </w:tcPr>
          <w:p w14:paraId="56851F34" w14:textId="77777777" w:rsidR="00000000" w:rsidRDefault="00E614A4">
            <w:pPr>
              <w:rPr>
                <w:rFonts w:eastAsia="Times New Roman"/>
              </w:rPr>
            </w:pPr>
            <w:r>
              <w:rPr>
                <w:rFonts w:eastAsia="Times New Roman"/>
                <w:color w:val="000000"/>
                <w:sz w:val="20"/>
                <w:szCs w:val="20"/>
              </w:rPr>
              <w:t>Item 9.</w:t>
            </w:r>
          </w:p>
        </w:tc>
        <w:tc>
          <w:tcPr>
            <w:tcW w:w="0" w:type="auto"/>
            <w:gridSpan w:val="3"/>
            <w:tcMar>
              <w:top w:w="30" w:type="dxa"/>
              <w:left w:w="20" w:type="dxa"/>
              <w:bottom w:w="30" w:type="dxa"/>
              <w:right w:w="20" w:type="dxa"/>
            </w:tcMar>
            <w:vAlign w:val="bottom"/>
            <w:hideMark/>
          </w:tcPr>
          <w:p w14:paraId="4C0AE45C"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8E7686D" w14:textId="77777777" w:rsidR="00000000" w:rsidRDefault="00E614A4">
            <w:pPr>
              <w:divId w:val="1634826088"/>
              <w:rPr>
                <w:rFonts w:eastAsia="Times New Roman"/>
              </w:rPr>
            </w:pPr>
            <w:hyperlink w:anchor="ided6989bcc374020961c421c465250ee_196" w:history="1">
              <w:r>
                <w:rPr>
                  <w:rStyle w:val="a3"/>
                  <w:rFonts w:eastAsia="Times New Roman"/>
                  <w:sz w:val="20"/>
                  <w:szCs w:val="20"/>
                </w:rPr>
                <w:t>Changes in and Disagreements with Accountants on Accounting and Fin</w:t>
              </w:r>
              <w:r>
                <w:rPr>
                  <w:rStyle w:val="a3"/>
                  <w:rFonts w:eastAsia="Times New Roman"/>
                  <w:sz w:val="20"/>
                  <w:szCs w:val="20"/>
                </w:rPr>
                <w:t>ancial Disclosure</w:t>
              </w:r>
            </w:hyperlink>
          </w:p>
        </w:tc>
        <w:tc>
          <w:tcPr>
            <w:tcW w:w="0" w:type="auto"/>
            <w:gridSpan w:val="3"/>
            <w:tcMar>
              <w:top w:w="30" w:type="dxa"/>
              <w:left w:w="20" w:type="dxa"/>
              <w:bottom w:w="30" w:type="dxa"/>
              <w:right w:w="20" w:type="dxa"/>
            </w:tcMar>
            <w:vAlign w:val="bottom"/>
            <w:hideMark/>
          </w:tcPr>
          <w:p w14:paraId="409DF09E"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624C122" w14:textId="77777777" w:rsidR="00000000" w:rsidRDefault="00E614A4">
            <w:pPr>
              <w:jc w:val="right"/>
              <w:rPr>
                <w:rFonts w:eastAsia="Times New Roman"/>
              </w:rPr>
            </w:pPr>
            <w:hyperlink w:anchor="ided6989bcc374020961c421c465250ee_196" w:history="1">
              <w:r>
                <w:rPr>
                  <w:rStyle w:val="a3"/>
                  <w:rFonts w:eastAsia="Times New Roman"/>
                  <w:sz w:val="20"/>
                  <w:szCs w:val="20"/>
                </w:rPr>
                <w:t>102</w:t>
              </w:r>
            </w:hyperlink>
          </w:p>
        </w:tc>
      </w:tr>
      <w:tr w:rsidR="00000000" w14:paraId="47143242" w14:textId="77777777">
        <w:trPr>
          <w:divId w:val="1969043634"/>
          <w:jc w:val="center"/>
        </w:trPr>
        <w:tc>
          <w:tcPr>
            <w:tcW w:w="0" w:type="auto"/>
            <w:gridSpan w:val="3"/>
            <w:tcMar>
              <w:top w:w="30" w:type="dxa"/>
              <w:left w:w="380" w:type="dxa"/>
              <w:bottom w:w="30" w:type="dxa"/>
              <w:right w:w="20" w:type="dxa"/>
            </w:tcMar>
            <w:hideMark/>
          </w:tcPr>
          <w:p w14:paraId="07C20E57" w14:textId="77777777" w:rsidR="00000000" w:rsidRDefault="00E614A4">
            <w:pPr>
              <w:rPr>
                <w:rFonts w:eastAsia="Times New Roman"/>
              </w:rPr>
            </w:pPr>
            <w:r>
              <w:rPr>
                <w:rFonts w:eastAsia="Times New Roman"/>
                <w:color w:val="000000"/>
                <w:sz w:val="20"/>
                <w:szCs w:val="20"/>
              </w:rPr>
              <w:t>Item 9A.</w:t>
            </w:r>
          </w:p>
        </w:tc>
        <w:tc>
          <w:tcPr>
            <w:tcW w:w="0" w:type="auto"/>
            <w:gridSpan w:val="3"/>
            <w:tcMar>
              <w:top w:w="30" w:type="dxa"/>
              <w:left w:w="20" w:type="dxa"/>
              <w:bottom w:w="30" w:type="dxa"/>
              <w:right w:w="20" w:type="dxa"/>
            </w:tcMar>
            <w:vAlign w:val="bottom"/>
            <w:hideMark/>
          </w:tcPr>
          <w:p w14:paraId="3AACD28F"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3167F36" w14:textId="77777777" w:rsidR="00000000" w:rsidRDefault="00E614A4">
            <w:pPr>
              <w:divId w:val="218055739"/>
              <w:rPr>
                <w:rFonts w:eastAsia="Times New Roman"/>
              </w:rPr>
            </w:pPr>
            <w:hyperlink w:anchor="ided6989bcc374020961c421c465250ee_199"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14:paraId="611AE420"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FAE9197" w14:textId="77777777" w:rsidR="00000000" w:rsidRDefault="00E614A4">
            <w:pPr>
              <w:jc w:val="right"/>
              <w:rPr>
                <w:rFonts w:eastAsia="Times New Roman"/>
              </w:rPr>
            </w:pPr>
            <w:hyperlink w:anchor="ided6989bcc374020961c421c465250ee_199" w:history="1">
              <w:r>
                <w:rPr>
                  <w:rStyle w:val="a3"/>
                  <w:rFonts w:eastAsia="Times New Roman"/>
                  <w:sz w:val="20"/>
                  <w:szCs w:val="20"/>
                </w:rPr>
                <w:t>102</w:t>
              </w:r>
            </w:hyperlink>
          </w:p>
        </w:tc>
      </w:tr>
      <w:tr w:rsidR="00000000" w14:paraId="458BFED0" w14:textId="77777777">
        <w:trPr>
          <w:divId w:val="1969043634"/>
          <w:jc w:val="center"/>
        </w:trPr>
        <w:tc>
          <w:tcPr>
            <w:tcW w:w="0" w:type="auto"/>
            <w:gridSpan w:val="3"/>
            <w:tcMar>
              <w:top w:w="30" w:type="dxa"/>
              <w:left w:w="380" w:type="dxa"/>
              <w:bottom w:w="30" w:type="dxa"/>
              <w:right w:w="20" w:type="dxa"/>
            </w:tcMar>
            <w:hideMark/>
          </w:tcPr>
          <w:p w14:paraId="6CD8F719" w14:textId="77777777" w:rsidR="00000000" w:rsidRDefault="00E614A4">
            <w:pPr>
              <w:rPr>
                <w:rFonts w:eastAsia="Times New Roman"/>
              </w:rPr>
            </w:pPr>
            <w:r>
              <w:rPr>
                <w:rFonts w:eastAsia="Times New Roman"/>
                <w:color w:val="000000"/>
                <w:sz w:val="20"/>
                <w:szCs w:val="20"/>
              </w:rPr>
              <w:t>Item 9B.</w:t>
            </w:r>
          </w:p>
        </w:tc>
        <w:tc>
          <w:tcPr>
            <w:tcW w:w="0" w:type="auto"/>
            <w:gridSpan w:val="3"/>
            <w:tcMar>
              <w:top w:w="30" w:type="dxa"/>
              <w:left w:w="20" w:type="dxa"/>
              <w:bottom w:w="30" w:type="dxa"/>
              <w:right w:w="20" w:type="dxa"/>
            </w:tcMar>
            <w:vAlign w:val="bottom"/>
            <w:hideMark/>
          </w:tcPr>
          <w:p w14:paraId="5A8C7437"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9533ED1" w14:textId="77777777" w:rsidR="00000000" w:rsidRDefault="00E614A4">
            <w:pPr>
              <w:divId w:val="741365592"/>
              <w:rPr>
                <w:rFonts w:eastAsia="Times New Roman"/>
              </w:rPr>
            </w:pPr>
            <w:hyperlink w:anchor="ided6989bcc374020961c421c465250ee_20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14:paraId="699DB3C9"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2071A62" w14:textId="77777777" w:rsidR="00000000" w:rsidRDefault="00E614A4">
            <w:pPr>
              <w:jc w:val="right"/>
              <w:rPr>
                <w:rFonts w:eastAsia="Times New Roman"/>
              </w:rPr>
            </w:pPr>
            <w:hyperlink w:anchor="ided6989bcc374020961c421c465250ee_205" w:history="1">
              <w:r>
                <w:rPr>
                  <w:rStyle w:val="a3"/>
                  <w:rFonts w:eastAsia="Times New Roman"/>
                  <w:sz w:val="20"/>
                  <w:szCs w:val="20"/>
                </w:rPr>
                <w:t>104</w:t>
              </w:r>
            </w:hyperlink>
          </w:p>
        </w:tc>
      </w:tr>
      <w:tr w:rsidR="00000000" w14:paraId="22ACE8A2" w14:textId="77777777">
        <w:trPr>
          <w:divId w:val="1969043634"/>
          <w:trHeight w:val="60"/>
          <w:jc w:val="center"/>
        </w:trPr>
        <w:tc>
          <w:tcPr>
            <w:tcW w:w="0" w:type="auto"/>
            <w:gridSpan w:val="3"/>
            <w:tcMar>
              <w:top w:w="0" w:type="dxa"/>
              <w:left w:w="20" w:type="dxa"/>
              <w:bottom w:w="0" w:type="dxa"/>
              <w:right w:w="20" w:type="dxa"/>
            </w:tcMar>
            <w:vAlign w:val="center"/>
            <w:hideMark/>
          </w:tcPr>
          <w:p w14:paraId="26BB49E8" w14:textId="77777777" w:rsidR="00000000" w:rsidRDefault="00E614A4">
            <w:pPr>
              <w:jc w:val="right"/>
              <w:rPr>
                <w:rFonts w:eastAsia="Times New Roman"/>
              </w:rPr>
            </w:pPr>
          </w:p>
        </w:tc>
        <w:tc>
          <w:tcPr>
            <w:tcW w:w="0" w:type="auto"/>
            <w:gridSpan w:val="6"/>
            <w:tcMar>
              <w:top w:w="0" w:type="dxa"/>
              <w:left w:w="20" w:type="dxa"/>
              <w:bottom w:w="0" w:type="dxa"/>
              <w:right w:w="20" w:type="dxa"/>
            </w:tcMar>
            <w:vAlign w:val="center"/>
            <w:hideMark/>
          </w:tcPr>
          <w:p w14:paraId="7A0F02AC" w14:textId="77777777" w:rsidR="00000000" w:rsidRDefault="00E614A4">
            <w:pPr>
              <w:rPr>
                <w:rFonts w:eastAsia="Times New Roman"/>
                <w:sz w:val="20"/>
                <w:szCs w:val="20"/>
              </w:rPr>
            </w:pPr>
          </w:p>
        </w:tc>
        <w:tc>
          <w:tcPr>
            <w:tcW w:w="0" w:type="auto"/>
            <w:gridSpan w:val="6"/>
            <w:tcMar>
              <w:top w:w="0" w:type="dxa"/>
              <w:left w:w="20" w:type="dxa"/>
              <w:bottom w:w="0" w:type="dxa"/>
              <w:right w:w="20" w:type="dxa"/>
            </w:tcMar>
            <w:vAlign w:val="center"/>
            <w:hideMark/>
          </w:tcPr>
          <w:p w14:paraId="2CE685EF" w14:textId="77777777" w:rsidR="00000000" w:rsidRDefault="00E614A4">
            <w:pPr>
              <w:rPr>
                <w:rFonts w:eastAsia="Times New Roman"/>
                <w:sz w:val="20"/>
                <w:szCs w:val="20"/>
              </w:rPr>
            </w:pPr>
          </w:p>
        </w:tc>
      </w:tr>
      <w:tr w:rsidR="00000000" w14:paraId="1079E866" w14:textId="77777777">
        <w:trPr>
          <w:divId w:val="1969043634"/>
          <w:jc w:val="center"/>
        </w:trPr>
        <w:tc>
          <w:tcPr>
            <w:tcW w:w="0" w:type="auto"/>
            <w:gridSpan w:val="3"/>
            <w:tcMar>
              <w:top w:w="30" w:type="dxa"/>
              <w:left w:w="20" w:type="dxa"/>
              <w:bottom w:w="30" w:type="dxa"/>
              <w:right w:w="20" w:type="dxa"/>
            </w:tcMar>
            <w:hideMark/>
          </w:tcPr>
          <w:p w14:paraId="5E655B47" w14:textId="77777777" w:rsidR="00000000" w:rsidRDefault="00E614A4">
            <w:pPr>
              <w:divId w:val="1947272591"/>
              <w:rPr>
                <w:rFonts w:eastAsia="Times New Roman"/>
              </w:rPr>
            </w:pPr>
            <w:hyperlink w:anchor="ided6989bcc374020961c421c465250ee_208" w:history="1">
              <w:r>
                <w:rPr>
                  <w:rStyle w:val="a3"/>
                  <w:rFonts w:eastAsia="Times New Roman"/>
                  <w:sz w:val="20"/>
                  <w:szCs w:val="20"/>
                </w:rPr>
                <w:t>PART III</w:t>
              </w:r>
            </w:hyperlink>
          </w:p>
        </w:tc>
        <w:tc>
          <w:tcPr>
            <w:tcW w:w="0" w:type="auto"/>
            <w:gridSpan w:val="3"/>
            <w:tcMar>
              <w:top w:w="30" w:type="dxa"/>
              <w:left w:w="20" w:type="dxa"/>
              <w:bottom w:w="30" w:type="dxa"/>
              <w:right w:w="20" w:type="dxa"/>
            </w:tcMar>
            <w:vAlign w:val="bottom"/>
            <w:hideMark/>
          </w:tcPr>
          <w:p w14:paraId="716B971F"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791626B"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2F797AEA"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26D26E4" w14:textId="77777777" w:rsidR="00000000" w:rsidRDefault="00E614A4">
            <w:pPr>
              <w:rPr>
                <w:rFonts w:eastAsia="Times New Roman"/>
              </w:rPr>
            </w:pPr>
          </w:p>
        </w:tc>
      </w:tr>
      <w:tr w:rsidR="00000000" w14:paraId="673C37BC" w14:textId="77777777">
        <w:trPr>
          <w:divId w:val="1969043634"/>
          <w:jc w:val="center"/>
        </w:trPr>
        <w:tc>
          <w:tcPr>
            <w:tcW w:w="0" w:type="auto"/>
            <w:gridSpan w:val="3"/>
            <w:tcMar>
              <w:top w:w="30" w:type="dxa"/>
              <w:left w:w="380" w:type="dxa"/>
              <w:bottom w:w="30" w:type="dxa"/>
              <w:right w:w="20" w:type="dxa"/>
            </w:tcMar>
            <w:hideMark/>
          </w:tcPr>
          <w:p w14:paraId="2FD5564A" w14:textId="77777777" w:rsidR="00000000" w:rsidRDefault="00E614A4">
            <w:pPr>
              <w:rPr>
                <w:rFonts w:eastAsia="Times New Roman"/>
              </w:rPr>
            </w:pPr>
            <w:r>
              <w:rPr>
                <w:rFonts w:eastAsia="Times New Roman"/>
                <w:color w:val="000000"/>
                <w:sz w:val="20"/>
                <w:szCs w:val="20"/>
              </w:rPr>
              <w:lastRenderedPageBreak/>
              <w:t>Item 10.</w:t>
            </w:r>
          </w:p>
        </w:tc>
        <w:tc>
          <w:tcPr>
            <w:tcW w:w="0" w:type="auto"/>
            <w:gridSpan w:val="3"/>
            <w:tcMar>
              <w:top w:w="0" w:type="dxa"/>
              <w:left w:w="20" w:type="dxa"/>
              <w:bottom w:w="0" w:type="dxa"/>
              <w:right w:w="20" w:type="dxa"/>
            </w:tcMar>
            <w:vAlign w:val="center"/>
            <w:hideMark/>
          </w:tcPr>
          <w:p w14:paraId="265C286E"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3887CBBE" w14:textId="77777777" w:rsidR="00000000" w:rsidRDefault="00E614A4">
            <w:pPr>
              <w:divId w:val="1145925164"/>
              <w:rPr>
                <w:rFonts w:eastAsia="Times New Roman"/>
              </w:rPr>
            </w:pPr>
            <w:hyperlink w:anchor="ided6989bcc374020961c421c465250ee_211" w:history="1">
              <w:r>
                <w:rPr>
                  <w:rStyle w:val="a3"/>
                  <w:rFonts w:eastAsia="Times New Roman"/>
                  <w:sz w:val="20"/>
                  <w:szCs w:val="20"/>
                </w:rPr>
                <w:t>Directors, Executive Officers and Corporate Governance</w:t>
              </w:r>
            </w:hyperlink>
          </w:p>
        </w:tc>
        <w:tc>
          <w:tcPr>
            <w:tcW w:w="0" w:type="auto"/>
            <w:gridSpan w:val="3"/>
            <w:tcMar>
              <w:top w:w="0" w:type="dxa"/>
              <w:left w:w="20" w:type="dxa"/>
              <w:bottom w:w="0" w:type="dxa"/>
              <w:right w:w="20" w:type="dxa"/>
            </w:tcMar>
            <w:vAlign w:val="center"/>
            <w:hideMark/>
          </w:tcPr>
          <w:p w14:paraId="4CA01250"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33EB5C2F" w14:textId="77777777" w:rsidR="00000000" w:rsidRDefault="00E614A4">
            <w:pPr>
              <w:jc w:val="right"/>
              <w:rPr>
                <w:rFonts w:eastAsia="Times New Roman"/>
              </w:rPr>
            </w:pPr>
            <w:hyperlink w:anchor="ided6989bcc374020961c421c465250ee_211" w:history="1">
              <w:r>
                <w:rPr>
                  <w:rStyle w:val="a3"/>
                  <w:rFonts w:eastAsia="Times New Roman"/>
                  <w:sz w:val="20"/>
                  <w:szCs w:val="20"/>
                </w:rPr>
                <w:t>105</w:t>
              </w:r>
            </w:hyperlink>
          </w:p>
        </w:tc>
      </w:tr>
      <w:tr w:rsidR="00000000" w14:paraId="38CADB5A" w14:textId="77777777">
        <w:trPr>
          <w:divId w:val="1969043634"/>
          <w:jc w:val="center"/>
        </w:trPr>
        <w:tc>
          <w:tcPr>
            <w:tcW w:w="0" w:type="auto"/>
            <w:gridSpan w:val="3"/>
            <w:tcMar>
              <w:top w:w="30" w:type="dxa"/>
              <w:left w:w="380" w:type="dxa"/>
              <w:bottom w:w="30" w:type="dxa"/>
              <w:right w:w="20" w:type="dxa"/>
            </w:tcMar>
            <w:hideMark/>
          </w:tcPr>
          <w:p w14:paraId="0C331E23" w14:textId="77777777" w:rsidR="00000000" w:rsidRDefault="00E614A4">
            <w:pPr>
              <w:rPr>
                <w:rFonts w:eastAsia="Times New Roman"/>
              </w:rPr>
            </w:pPr>
            <w:r>
              <w:rPr>
                <w:rFonts w:eastAsia="Times New Roman"/>
                <w:color w:val="000000"/>
                <w:sz w:val="20"/>
                <w:szCs w:val="20"/>
              </w:rPr>
              <w:t xml:space="preserve">Item 11. </w:t>
            </w:r>
          </w:p>
        </w:tc>
        <w:tc>
          <w:tcPr>
            <w:tcW w:w="0" w:type="auto"/>
            <w:gridSpan w:val="3"/>
            <w:tcMar>
              <w:top w:w="0" w:type="dxa"/>
              <w:left w:w="20" w:type="dxa"/>
              <w:bottom w:w="0" w:type="dxa"/>
              <w:right w:w="20" w:type="dxa"/>
            </w:tcMar>
            <w:vAlign w:val="center"/>
            <w:hideMark/>
          </w:tcPr>
          <w:p w14:paraId="2017DB57"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4E465C0A" w14:textId="77777777" w:rsidR="00000000" w:rsidRDefault="00E614A4">
            <w:pPr>
              <w:divId w:val="891384001"/>
              <w:rPr>
                <w:rFonts w:eastAsia="Times New Roman"/>
              </w:rPr>
            </w:pPr>
            <w:hyperlink w:anchor="ided6989bcc374020961c421c465250ee_217" w:history="1">
              <w:r>
                <w:rPr>
                  <w:rStyle w:val="a3"/>
                  <w:rFonts w:eastAsia="Times New Roman"/>
                  <w:sz w:val="20"/>
                  <w:szCs w:val="20"/>
                </w:rPr>
                <w:t>Executive Compensation</w:t>
              </w:r>
            </w:hyperlink>
          </w:p>
        </w:tc>
        <w:tc>
          <w:tcPr>
            <w:tcW w:w="0" w:type="auto"/>
            <w:gridSpan w:val="3"/>
            <w:tcMar>
              <w:top w:w="0" w:type="dxa"/>
              <w:left w:w="20" w:type="dxa"/>
              <w:bottom w:w="0" w:type="dxa"/>
              <w:right w:w="20" w:type="dxa"/>
            </w:tcMar>
            <w:vAlign w:val="center"/>
            <w:hideMark/>
          </w:tcPr>
          <w:p w14:paraId="7C45D7C0"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1E72E513" w14:textId="77777777" w:rsidR="00000000" w:rsidRDefault="00E614A4">
            <w:pPr>
              <w:jc w:val="right"/>
              <w:rPr>
                <w:rFonts w:eastAsia="Times New Roman"/>
              </w:rPr>
            </w:pPr>
            <w:hyperlink w:anchor="ided6989bcc374020961c421c465250ee_217" w:history="1">
              <w:r>
                <w:rPr>
                  <w:rStyle w:val="a3"/>
                  <w:rFonts w:eastAsia="Times New Roman"/>
                  <w:sz w:val="20"/>
                  <w:szCs w:val="20"/>
                </w:rPr>
                <w:t>105</w:t>
              </w:r>
            </w:hyperlink>
          </w:p>
        </w:tc>
      </w:tr>
      <w:tr w:rsidR="00000000" w14:paraId="714F9480" w14:textId="77777777">
        <w:trPr>
          <w:divId w:val="1969043634"/>
          <w:jc w:val="center"/>
        </w:trPr>
        <w:tc>
          <w:tcPr>
            <w:tcW w:w="0" w:type="auto"/>
            <w:gridSpan w:val="3"/>
            <w:tcMar>
              <w:top w:w="30" w:type="dxa"/>
              <w:left w:w="380" w:type="dxa"/>
              <w:bottom w:w="30" w:type="dxa"/>
              <w:right w:w="20" w:type="dxa"/>
            </w:tcMar>
            <w:hideMark/>
          </w:tcPr>
          <w:p w14:paraId="594DD02E" w14:textId="77777777" w:rsidR="00000000" w:rsidRDefault="00E614A4">
            <w:pPr>
              <w:rPr>
                <w:rFonts w:eastAsia="Times New Roman"/>
              </w:rPr>
            </w:pPr>
            <w:r>
              <w:rPr>
                <w:rFonts w:eastAsia="Times New Roman"/>
                <w:color w:val="000000"/>
                <w:sz w:val="20"/>
                <w:szCs w:val="20"/>
              </w:rPr>
              <w:t>Item 12.</w:t>
            </w:r>
          </w:p>
        </w:tc>
        <w:tc>
          <w:tcPr>
            <w:tcW w:w="0" w:type="auto"/>
            <w:gridSpan w:val="3"/>
            <w:tcMar>
              <w:top w:w="0" w:type="dxa"/>
              <w:left w:w="20" w:type="dxa"/>
              <w:bottom w:w="0" w:type="dxa"/>
              <w:right w:w="20" w:type="dxa"/>
            </w:tcMar>
            <w:vAlign w:val="center"/>
            <w:hideMark/>
          </w:tcPr>
          <w:p w14:paraId="19384F4D"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2047079A" w14:textId="77777777" w:rsidR="00000000" w:rsidRDefault="00E614A4">
            <w:pPr>
              <w:divId w:val="1485198704"/>
              <w:rPr>
                <w:rFonts w:eastAsia="Times New Roman"/>
              </w:rPr>
            </w:pPr>
            <w:hyperlink w:anchor="ided6989bcc374020961c421c465250ee_223" w:history="1">
              <w:r>
                <w:rPr>
                  <w:rStyle w:val="a3"/>
                  <w:rFonts w:eastAsia="Times New Roman"/>
                  <w:sz w:val="20"/>
                  <w:szCs w:val="20"/>
                </w:rPr>
                <w:t>Security Ownership of Certain Beneficial Owners and Management and Related Stockholder Matters</w:t>
              </w:r>
            </w:hyperlink>
          </w:p>
        </w:tc>
        <w:tc>
          <w:tcPr>
            <w:tcW w:w="0" w:type="auto"/>
            <w:gridSpan w:val="3"/>
            <w:tcMar>
              <w:top w:w="0" w:type="dxa"/>
              <w:left w:w="20" w:type="dxa"/>
              <w:bottom w:w="0" w:type="dxa"/>
              <w:right w:w="20" w:type="dxa"/>
            </w:tcMar>
            <w:vAlign w:val="center"/>
            <w:hideMark/>
          </w:tcPr>
          <w:p w14:paraId="5FFB757C"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4CD70E62" w14:textId="77777777" w:rsidR="00000000" w:rsidRDefault="00E614A4">
            <w:pPr>
              <w:jc w:val="right"/>
              <w:rPr>
                <w:rFonts w:eastAsia="Times New Roman"/>
              </w:rPr>
            </w:pPr>
            <w:hyperlink w:anchor="ided6989bcc374020961c421c465250ee_223" w:history="1">
              <w:r>
                <w:rPr>
                  <w:rStyle w:val="a3"/>
                  <w:rFonts w:eastAsia="Times New Roman"/>
                  <w:sz w:val="20"/>
                  <w:szCs w:val="20"/>
                </w:rPr>
                <w:t>105</w:t>
              </w:r>
            </w:hyperlink>
          </w:p>
        </w:tc>
      </w:tr>
      <w:tr w:rsidR="00000000" w14:paraId="1E04D3BB" w14:textId="77777777">
        <w:trPr>
          <w:divId w:val="1969043634"/>
          <w:jc w:val="center"/>
        </w:trPr>
        <w:tc>
          <w:tcPr>
            <w:tcW w:w="0" w:type="auto"/>
            <w:gridSpan w:val="3"/>
            <w:tcMar>
              <w:top w:w="30" w:type="dxa"/>
              <w:left w:w="380" w:type="dxa"/>
              <w:bottom w:w="30" w:type="dxa"/>
              <w:right w:w="20" w:type="dxa"/>
            </w:tcMar>
            <w:hideMark/>
          </w:tcPr>
          <w:p w14:paraId="1500D69B" w14:textId="77777777" w:rsidR="00000000" w:rsidRDefault="00E614A4">
            <w:pPr>
              <w:rPr>
                <w:rFonts w:eastAsia="Times New Roman"/>
              </w:rPr>
            </w:pPr>
            <w:r>
              <w:rPr>
                <w:rFonts w:eastAsia="Times New Roman"/>
                <w:color w:val="000000"/>
                <w:sz w:val="20"/>
                <w:szCs w:val="20"/>
              </w:rPr>
              <w:t xml:space="preserve">Item 13. </w:t>
            </w:r>
          </w:p>
        </w:tc>
        <w:tc>
          <w:tcPr>
            <w:tcW w:w="0" w:type="auto"/>
            <w:gridSpan w:val="3"/>
            <w:tcMar>
              <w:top w:w="0" w:type="dxa"/>
              <w:left w:w="20" w:type="dxa"/>
              <w:bottom w:w="0" w:type="dxa"/>
              <w:right w:w="20" w:type="dxa"/>
            </w:tcMar>
            <w:vAlign w:val="center"/>
            <w:hideMark/>
          </w:tcPr>
          <w:p w14:paraId="5C35C58F"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15E8E335" w14:textId="77777777" w:rsidR="00000000" w:rsidRDefault="00E614A4">
            <w:pPr>
              <w:divId w:val="1270354042"/>
              <w:rPr>
                <w:rFonts w:eastAsia="Times New Roman"/>
              </w:rPr>
            </w:pPr>
            <w:hyperlink w:anchor="ided6989bcc374020961c421c465250ee_229" w:history="1">
              <w:r>
                <w:rPr>
                  <w:rStyle w:val="a3"/>
                  <w:rFonts w:eastAsia="Times New Roman"/>
                  <w:sz w:val="20"/>
                  <w:szCs w:val="20"/>
                </w:rPr>
                <w:t>Certain Relationships and Related Transactions, and Director Independence</w:t>
              </w:r>
            </w:hyperlink>
          </w:p>
        </w:tc>
        <w:tc>
          <w:tcPr>
            <w:tcW w:w="0" w:type="auto"/>
            <w:gridSpan w:val="3"/>
            <w:tcMar>
              <w:top w:w="0" w:type="dxa"/>
              <w:left w:w="20" w:type="dxa"/>
              <w:bottom w:w="0" w:type="dxa"/>
              <w:right w:w="20" w:type="dxa"/>
            </w:tcMar>
            <w:vAlign w:val="center"/>
            <w:hideMark/>
          </w:tcPr>
          <w:p w14:paraId="22611D15"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02A56448" w14:textId="77777777" w:rsidR="00000000" w:rsidRDefault="00E614A4">
            <w:pPr>
              <w:jc w:val="right"/>
              <w:rPr>
                <w:rFonts w:eastAsia="Times New Roman"/>
              </w:rPr>
            </w:pPr>
            <w:hyperlink w:anchor="ided6989bcc374020961c421c465250ee_229" w:history="1">
              <w:r>
                <w:rPr>
                  <w:rStyle w:val="a3"/>
                  <w:rFonts w:eastAsia="Times New Roman"/>
                  <w:sz w:val="20"/>
                  <w:szCs w:val="20"/>
                </w:rPr>
                <w:t>105</w:t>
              </w:r>
            </w:hyperlink>
          </w:p>
        </w:tc>
      </w:tr>
      <w:tr w:rsidR="00000000" w14:paraId="6EF62B69" w14:textId="77777777">
        <w:trPr>
          <w:divId w:val="1969043634"/>
          <w:jc w:val="center"/>
        </w:trPr>
        <w:tc>
          <w:tcPr>
            <w:tcW w:w="0" w:type="auto"/>
            <w:gridSpan w:val="3"/>
            <w:tcMar>
              <w:top w:w="30" w:type="dxa"/>
              <w:left w:w="380" w:type="dxa"/>
              <w:bottom w:w="30" w:type="dxa"/>
              <w:right w:w="20" w:type="dxa"/>
            </w:tcMar>
            <w:hideMark/>
          </w:tcPr>
          <w:p w14:paraId="3A3B81E8" w14:textId="77777777" w:rsidR="00000000" w:rsidRDefault="00E614A4">
            <w:pPr>
              <w:rPr>
                <w:rFonts w:eastAsia="Times New Roman"/>
              </w:rPr>
            </w:pPr>
            <w:r>
              <w:rPr>
                <w:rFonts w:eastAsia="Times New Roman"/>
                <w:color w:val="000000"/>
                <w:sz w:val="20"/>
                <w:szCs w:val="20"/>
              </w:rPr>
              <w:t xml:space="preserve">Item 14. </w:t>
            </w:r>
          </w:p>
        </w:tc>
        <w:tc>
          <w:tcPr>
            <w:tcW w:w="0" w:type="auto"/>
            <w:gridSpan w:val="3"/>
            <w:tcMar>
              <w:top w:w="0" w:type="dxa"/>
              <w:left w:w="20" w:type="dxa"/>
              <w:bottom w:w="0" w:type="dxa"/>
              <w:right w:w="20" w:type="dxa"/>
            </w:tcMar>
            <w:vAlign w:val="center"/>
            <w:hideMark/>
          </w:tcPr>
          <w:p w14:paraId="17F36B03"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705D21BC" w14:textId="77777777" w:rsidR="00000000" w:rsidRDefault="00E614A4">
            <w:pPr>
              <w:divId w:val="722412913"/>
              <w:rPr>
                <w:rFonts w:eastAsia="Times New Roman"/>
              </w:rPr>
            </w:pPr>
            <w:hyperlink w:anchor="ided6989bcc374020961c421c465250ee_232" w:history="1">
              <w:r>
                <w:rPr>
                  <w:rStyle w:val="a3"/>
                  <w:rFonts w:eastAsia="Times New Roman"/>
                  <w:sz w:val="20"/>
                  <w:szCs w:val="20"/>
                </w:rPr>
                <w:t>Principal Accounting Fees and Services</w:t>
              </w:r>
            </w:hyperlink>
          </w:p>
        </w:tc>
        <w:tc>
          <w:tcPr>
            <w:tcW w:w="0" w:type="auto"/>
            <w:gridSpan w:val="3"/>
            <w:tcMar>
              <w:top w:w="0" w:type="dxa"/>
              <w:left w:w="20" w:type="dxa"/>
              <w:bottom w:w="0" w:type="dxa"/>
              <w:right w:w="20" w:type="dxa"/>
            </w:tcMar>
            <w:vAlign w:val="center"/>
            <w:hideMark/>
          </w:tcPr>
          <w:p w14:paraId="3FE42CB9"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2F947FC3" w14:textId="77777777" w:rsidR="00000000" w:rsidRDefault="00E614A4">
            <w:pPr>
              <w:jc w:val="right"/>
              <w:rPr>
                <w:rFonts w:eastAsia="Times New Roman"/>
              </w:rPr>
            </w:pPr>
            <w:hyperlink w:anchor="ided6989bcc374020961c421c465250ee_232" w:history="1">
              <w:r>
                <w:rPr>
                  <w:rStyle w:val="a3"/>
                  <w:rFonts w:eastAsia="Times New Roman"/>
                  <w:sz w:val="20"/>
                  <w:szCs w:val="20"/>
                </w:rPr>
                <w:t>105</w:t>
              </w:r>
            </w:hyperlink>
          </w:p>
        </w:tc>
      </w:tr>
      <w:tr w:rsidR="00000000" w14:paraId="44B3F8A6" w14:textId="77777777">
        <w:trPr>
          <w:divId w:val="1969043634"/>
          <w:jc w:val="center"/>
        </w:trPr>
        <w:tc>
          <w:tcPr>
            <w:tcW w:w="0" w:type="auto"/>
            <w:gridSpan w:val="3"/>
            <w:tcMar>
              <w:top w:w="30" w:type="dxa"/>
              <w:left w:w="20" w:type="dxa"/>
              <w:bottom w:w="30" w:type="dxa"/>
              <w:right w:w="20" w:type="dxa"/>
            </w:tcMar>
            <w:hideMark/>
          </w:tcPr>
          <w:p w14:paraId="74EC5799" w14:textId="77777777" w:rsidR="00000000" w:rsidRDefault="00E614A4">
            <w:pPr>
              <w:divId w:val="1697803228"/>
              <w:rPr>
                <w:rFonts w:eastAsia="Times New Roman"/>
              </w:rPr>
            </w:pPr>
            <w:hyperlink w:anchor="ided6989bcc374020961c421c465250ee_238" w:history="1">
              <w:r>
                <w:rPr>
                  <w:rStyle w:val="a3"/>
                  <w:rFonts w:eastAsia="Times New Roman"/>
                  <w:sz w:val="20"/>
                  <w:szCs w:val="20"/>
                </w:rPr>
                <w:t>PART IV</w:t>
              </w:r>
            </w:hyperlink>
          </w:p>
        </w:tc>
        <w:tc>
          <w:tcPr>
            <w:tcW w:w="0" w:type="auto"/>
            <w:gridSpan w:val="3"/>
            <w:tcMar>
              <w:top w:w="0" w:type="dxa"/>
              <w:left w:w="20" w:type="dxa"/>
              <w:bottom w:w="0" w:type="dxa"/>
              <w:right w:w="20" w:type="dxa"/>
            </w:tcMar>
            <w:vAlign w:val="center"/>
            <w:hideMark/>
          </w:tcPr>
          <w:p w14:paraId="29E97D8C"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7D822C2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5E52BF7"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3D45B00" w14:textId="77777777" w:rsidR="00000000" w:rsidRDefault="00E614A4">
            <w:pPr>
              <w:rPr>
                <w:rFonts w:eastAsia="Times New Roman"/>
                <w:sz w:val="20"/>
                <w:szCs w:val="20"/>
              </w:rPr>
            </w:pPr>
          </w:p>
        </w:tc>
      </w:tr>
      <w:tr w:rsidR="00000000" w14:paraId="4C669593" w14:textId="77777777">
        <w:trPr>
          <w:divId w:val="1969043634"/>
          <w:jc w:val="center"/>
        </w:trPr>
        <w:tc>
          <w:tcPr>
            <w:tcW w:w="0" w:type="auto"/>
            <w:gridSpan w:val="3"/>
            <w:tcMar>
              <w:top w:w="30" w:type="dxa"/>
              <w:left w:w="380" w:type="dxa"/>
              <w:bottom w:w="30" w:type="dxa"/>
              <w:right w:w="20" w:type="dxa"/>
            </w:tcMar>
            <w:hideMark/>
          </w:tcPr>
          <w:p w14:paraId="4756D67D" w14:textId="77777777" w:rsidR="00000000" w:rsidRDefault="00E614A4">
            <w:pPr>
              <w:rPr>
                <w:rFonts w:eastAsia="Times New Roman"/>
              </w:rPr>
            </w:pPr>
            <w:r>
              <w:rPr>
                <w:rFonts w:eastAsia="Times New Roman"/>
                <w:color w:val="000000"/>
                <w:sz w:val="20"/>
                <w:szCs w:val="20"/>
              </w:rPr>
              <w:t>Item 15.</w:t>
            </w:r>
          </w:p>
        </w:tc>
        <w:tc>
          <w:tcPr>
            <w:tcW w:w="0" w:type="auto"/>
            <w:gridSpan w:val="3"/>
            <w:tcMar>
              <w:top w:w="30" w:type="dxa"/>
              <w:left w:w="20" w:type="dxa"/>
              <w:bottom w:w="30" w:type="dxa"/>
              <w:right w:w="20" w:type="dxa"/>
            </w:tcMar>
            <w:vAlign w:val="bottom"/>
            <w:hideMark/>
          </w:tcPr>
          <w:p w14:paraId="696F5F9C"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0B3DA95" w14:textId="77777777" w:rsidR="00000000" w:rsidRDefault="00E614A4">
            <w:pPr>
              <w:divId w:val="1980258641"/>
              <w:rPr>
                <w:rFonts w:eastAsia="Times New Roman"/>
              </w:rPr>
            </w:pPr>
            <w:hyperlink w:anchor="ided6989bcc374020961c421c465250ee_241" w:history="1">
              <w:r>
                <w:rPr>
                  <w:rStyle w:val="a3"/>
                  <w:rFonts w:eastAsia="Times New Roman"/>
                  <w:sz w:val="20"/>
                  <w:szCs w:val="20"/>
                </w:rPr>
                <w:t>Exhibits, Financial Statement Schedules</w:t>
              </w:r>
            </w:hyperlink>
          </w:p>
        </w:tc>
        <w:tc>
          <w:tcPr>
            <w:tcW w:w="0" w:type="auto"/>
            <w:gridSpan w:val="3"/>
            <w:tcMar>
              <w:top w:w="30" w:type="dxa"/>
              <w:left w:w="20" w:type="dxa"/>
              <w:bottom w:w="30" w:type="dxa"/>
              <w:right w:w="20" w:type="dxa"/>
            </w:tcMar>
            <w:vAlign w:val="bottom"/>
            <w:hideMark/>
          </w:tcPr>
          <w:p w14:paraId="3ED56A15"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C538D75" w14:textId="77777777" w:rsidR="00000000" w:rsidRDefault="00E614A4">
            <w:pPr>
              <w:jc w:val="right"/>
              <w:rPr>
                <w:rFonts w:eastAsia="Times New Roman"/>
              </w:rPr>
            </w:pPr>
            <w:hyperlink w:anchor="ided6989bcc374020961c421c465250ee_241" w:history="1">
              <w:r>
                <w:rPr>
                  <w:rStyle w:val="a3"/>
                  <w:rFonts w:eastAsia="Times New Roman"/>
                  <w:sz w:val="20"/>
                  <w:szCs w:val="20"/>
                </w:rPr>
                <w:t>106</w:t>
              </w:r>
            </w:hyperlink>
          </w:p>
        </w:tc>
      </w:tr>
      <w:tr w:rsidR="00000000" w14:paraId="4F89E7F2" w14:textId="77777777">
        <w:trPr>
          <w:divId w:val="1969043634"/>
          <w:jc w:val="center"/>
        </w:trPr>
        <w:tc>
          <w:tcPr>
            <w:tcW w:w="0" w:type="auto"/>
            <w:gridSpan w:val="3"/>
            <w:tcMar>
              <w:top w:w="30" w:type="dxa"/>
              <w:left w:w="380" w:type="dxa"/>
              <w:bottom w:w="30" w:type="dxa"/>
              <w:right w:w="20" w:type="dxa"/>
            </w:tcMar>
            <w:hideMark/>
          </w:tcPr>
          <w:p w14:paraId="1684FA9A" w14:textId="77777777" w:rsidR="00000000" w:rsidRDefault="00E614A4">
            <w:pPr>
              <w:rPr>
                <w:rFonts w:eastAsia="Times New Roman"/>
              </w:rPr>
            </w:pPr>
            <w:r>
              <w:rPr>
                <w:rFonts w:eastAsia="Times New Roman"/>
                <w:color w:val="000000"/>
                <w:sz w:val="20"/>
                <w:szCs w:val="20"/>
              </w:rPr>
              <w:t>Item 16.</w:t>
            </w:r>
          </w:p>
        </w:tc>
        <w:tc>
          <w:tcPr>
            <w:tcW w:w="0" w:type="auto"/>
            <w:gridSpan w:val="3"/>
            <w:tcMar>
              <w:top w:w="0" w:type="dxa"/>
              <w:left w:w="20" w:type="dxa"/>
              <w:bottom w:w="0" w:type="dxa"/>
              <w:right w:w="20" w:type="dxa"/>
            </w:tcMar>
            <w:vAlign w:val="center"/>
            <w:hideMark/>
          </w:tcPr>
          <w:p w14:paraId="068EA364"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291EE4B5" w14:textId="77777777" w:rsidR="00000000" w:rsidRDefault="00E614A4">
            <w:pPr>
              <w:divId w:val="737286890"/>
              <w:rPr>
                <w:rFonts w:eastAsia="Times New Roman"/>
              </w:rPr>
            </w:pPr>
            <w:hyperlink w:anchor="ided6989bcc374020961c421c465250ee_247" w:history="1">
              <w:r>
                <w:rPr>
                  <w:rStyle w:val="a3"/>
                  <w:rFonts w:eastAsia="Times New Roman"/>
                  <w:sz w:val="20"/>
                  <w:szCs w:val="20"/>
                </w:rPr>
                <w:t>Form 10-K Summary</w:t>
              </w:r>
            </w:hyperlink>
          </w:p>
        </w:tc>
        <w:tc>
          <w:tcPr>
            <w:tcW w:w="0" w:type="auto"/>
            <w:gridSpan w:val="3"/>
            <w:tcMar>
              <w:top w:w="0" w:type="dxa"/>
              <w:left w:w="20" w:type="dxa"/>
              <w:bottom w:w="0" w:type="dxa"/>
              <w:right w:w="20" w:type="dxa"/>
            </w:tcMar>
            <w:vAlign w:val="center"/>
            <w:hideMark/>
          </w:tcPr>
          <w:p w14:paraId="2138C222"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197C45AE" w14:textId="77777777" w:rsidR="00000000" w:rsidRDefault="00E614A4">
            <w:pPr>
              <w:jc w:val="right"/>
              <w:rPr>
                <w:rFonts w:eastAsia="Times New Roman"/>
              </w:rPr>
            </w:pPr>
            <w:hyperlink w:anchor="ided6989bcc374020961c421c465250ee_247" w:history="1">
              <w:r>
                <w:rPr>
                  <w:rStyle w:val="a3"/>
                  <w:rFonts w:eastAsia="Times New Roman"/>
                  <w:sz w:val="20"/>
                  <w:szCs w:val="20"/>
                </w:rPr>
                <w:t>111</w:t>
              </w:r>
            </w:hyperlink>
          </w:p>
        </w:tc>
      </w:tr>
      <w:tr w:rsidR="00000000" w14:paraId="19279A6F" w14:textId="77777777">
        <w:trPr>
          <w:divId w:val="1969043634"/>
          <w:jc w:val="center"/>
        </w:trPr>
        <w:tc>
          <w:tcPr>
            <w:tcW w:w="0" w:type="auto"/>
            <w:gridSpan w:val="3"/>
            <w:tcMar>
              <w:top w:w="30" w:type="dxa"/>
              <w:left w:w="20" w:type="dxa"/>
              <w:bottom w:w="30" w:type="dxa"/>
              <w:right w:w="20" w:type="dxa"/>
            </w:tcMar>
            <w:hideMark/>
          </w:tcPr>
          <w:p w14:paraId="7894108B" w14:textId="77777777" w:rsidR="00000000" w:rsidRDefault="00E614A4">
            <w:pPr>
              <w:divId w:val="295644397"/>
              <w:rPr>
                <w:rFonts w:eastAsia="Times New Roman"/>
              </w:rPr>
            </w:pPr>
            <w:hyperlink w:anchor="ided6989bcc374020961c421c465250ee_250"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14:paraId="634B9855"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61FEE30"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72018432"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F396D6C" w14:textId="77777777" w:rsidR="00000000" w:rsidRDefault="00E614A4">
            <w:pPr>
              <w:jc w:val="right"/>
              <w:rPr>
                <w:rFonts w:eastAsia="Times New Roman"/>
              </w:rPr>
            </w:pPr>
            <w:hyperlink w:anchor="ided6989bcc374020961c421c465250ee_250" w:history="1">
              <w:r>
                <w:rPr>
                  <w:rStyle w:val="a3"/>
                  <w:rFonts w:eastAsia="Times New Roman"/>
                  <w:sz w:val="20"/>
                  <w:szCs w:val="20"/>
                </w:rPr>
                <w:t>112</w:t>
              </w:r>
            </w:hyperlink>
          </w:p>
        </w:tc>
      </w:tr>
    </w:tbl>
    <w:p w14:paraId="1F5C51C5" w14:textId="77777777" w:rsidR="00000000" w:rsidRDefault="00E614A4">
      <w:pPr>
        <w:jc w:val="center"/>
        <w:divId w:val="678117310"/>
        <w:rPr>
          <w:rFonts w:eastAsia="Times New Roman"/>
        </w:rPr>
      </w:pPr>
    </w:p>
    <w:p w14:paraId="33B9A3F2" w14:textId="77777777" w:rsidR="00000000" w:rsidRDefault="00E614A4">
      <w:pPr>
        <w:divId w:val="1806895235"/>
        <w:rPr>
          <w:rFonts w:eastAsia="Times New Roman"/>
        </w:rPr>
      </w:pPr>
      <w:r>
        <w:rPr>
          <w:rFonts w:eastAsia="Times New Roman"/>
          <w:color w:val="000000"/>
          <w:sz w:val="18"/>
          <w:szCs w:val="18"/>
        </w:rPr>
        <w:t> </w:t>
      </w:r>
    </w:p>
    <w:p w14:paraId="73D34949" w14:textId="77777777" w:rsidR="00000000" w:rsidRDefault="00E614A4">
      <w:pPr>
        <w:ind w:firstLine="495"/>
        <w:divId w:val="156042456"/>
        <w:rPr>
          <w:rFonts w:eastAsia="Times New Roman"/>
        </w:rPr>
      </w:pPr>
    </w:p>
    <w:p w14:paraId="0BAF7593" w14:textId="77777777" w:rsidR="00000000" w:rsidRDefault="00E614A4">
      <w:pPr>
        <w:jc w:val="center"/>
        <w:divId w:val="1610504939"/>
        <w:rPr>
          <w:rFonts w:eastAsia="Times New Roman"/>
        </w:rPr>
      </w:pPr>
    </w:p>
    <w:p w14:paraId="653E4C36" w14:textId="77777777" w:rsidR="00000000" w:rsidRDefault="00E614A4">
      <w:pPr>
        <w:rPr>
          <w:rFonts w:eastAsia="Times New Roman"/>
        </w:rPr>
      </w:pPr>
      <w:r>
        <w:rPr>
          <w:rFonts w:eastAsia="Times New Roman"/>
        </w:rPr>
        <w:pict w14:anchorId="183CBE95">
          <v:rect id="_x0000_i1026" style="width:0;height:1.5pt" o:hralign="center" o:hrstd="t" o:hr="t" fillcolor="#a0a0a0" stroked="f"/>
        </w:pict>
      </w:r>
    </w:p>
    <w:p w14:paraId="21FE9C38" w14:textId="77777777" w:rsidR="00000000" w:rsidRDefault="00E614A4">
      <w:pPr>
        <w:divId w:val="1353337738"/>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FBBD9B3" w14:textId="77777777" w:rsidR="00000000" w:rsidRDefault="00E614A4">
      <w:pPr>
        <w:divId w:val="388070905"/>
        <w:rPr>
          <w:rFonts w:eastAsia="Times New Roman"/>
        </w:rPr>
      </w:pPr>
    </w:p>
    <w:p w14:paraId="249B7B33" w14:textId="77777777" w:rsidR="00000000" w:rsidRDefault="00E614A4">
      <w:pPr>
        <w:jc w:val="center"/>
        <w:divId w:val="1502231448"/>
        <w:rPr>
          <w:rFonts w:eastAsia="Times New Roman"/>
        </w:rPr>
      </w:pPr>
      <w:r>
        <w:rPr>
          <w:rFonts w:eastAsia="Times New Roman"/>
          <w:b/>
          <w:bCs/>
          <w:color w:val="000000"/>
          <w:sz w:val="20"/>
          <w:szCs w:val="20"/>
        </w:rPr>
        <w:t>CAUTIONARY NOTE </w:t>
      </w:r>
      <w:r>
        <w:rPr>
          <w:rFonts w:eastAsia="Times New Roman"/>
          <w:b/>
          <w:bCs/>
          <w:color w:val="000000"/>
          <w:sz w:val="20"/>
          <w:szCs w:val="20"/>
        </w:rPr>
        <w:t>REGARDING FORWARD-LOOKING STATEMENTS</w:t>
      </w:r>
    </w:p>
    <w:p w14:paraId="7BD21ED4" w14:textId="77777777" w:rsidR="00000000" w:rsidRDefault="00E614A4">
      <w:pPr>
        <w:jc w:val="both"/>
        <w:divId w:val="1307588577"/>
        <w:rPr>
          <w:rFonts w:eastAsia="Times New Roman"/>
        </w:rPr>
      </w:pPr>
      <w:r>
        <w:rPr>
          <w:rFonts w:eastAsia="Times New Roman"/>
          <w:i/>
          <w:iCs/>
          <w:color w:val="000000"/>
          <w:sz w:val="20"/>
          <w:szCs w:val="20"/>
        </w:rPr>
        <w:t xml:space="preserve">We may make certain statements, including in this Annual Report on Form 10-K, or 10-K, including the information contained in </w:t>
      </w:r>
      <w:hyperlink w:anchor="ided6989bcc374020961c421c465250ee_49" w:history="1">
        <w:r>
          <w:rPr>
            <w:rStyle w:val="a3"/>
            <w:rFonts w:eastAsia="Times New Roman"/>
            <w:i/>
            <w:iCs/>
            <w:sz w:val="20"/>
            <w:szCs w:val="20"/>
          </w:rPr>
          <w:t>Item 7</w:t>
        </w:r>
      </w:hyperlink>
      <w:r>
        <w:rPr>
          <w:rFonts w:eastAsia="Times New Roman"/>
          <w:i/>
          <w:iCs/>
          <w:color w:val="000000"/>
          <w:sz w:val="20"/>
          <w:szCs w:val="20"/>
        </w:rPr>
        <w:t>, "Management's Discussion a</w:t>
      </w:r>
      <w:r>
        <w:rPr>
          <w:rFonts w:eastAsia="Times New Roman"/>
          <w:i/>
          <w:iCs/>
          <w:color w:val="000000"/>
          <w:sz w:val="20"/>
          <w:szCs w:val="20"/>
        </w:rPr>
        <w:t>nd Analysis of Financial Condition and Results of Operations" of this 10-K, and the information incorporated by reference in this 10-K, that constitute forward-looking statements within the meaning of federal and state securities laws. Forward-looking stat</w:t>
      </w:r>
      <w:r>
        <w:rPr>
          <w:rFonts w:eastAsia="Times New Roman"/>
          <w:i/>
          <w:iCs/>
          <w:color w:val="000000"/>
          <w:sz w:val="20"/>
          <w:szCs w:val="20"/>
        </w:rPr>
        <w:t>ements are all statements other than statements of historical fact. We attempt to identify these forward-looking statements by words such as "may," "will," "should," "could," "might," "expect," "plan," "anticipate," "believe," "estimate," "target," "goal,"</w:t>
      </w:r>
      <w:r>
        <w:rPr>
          <w:rFonts w:eastAsia="Times New Roman"/>
          <w:i/>
          <w:iCs/>
          <w:color w:val="000000"/>
          <w:sz w:val="20"/>
          <w:szCs w:val="20"/>
        </w:rPr>
        <w:t xml:space="preserve"> "predict," "intend," "potential," "continue," "seek" and other comparable words. Similarly, statements that describe our business strategy, goals, prospects, opportunities, outlook, objectives, plans or intentions are also forward-looking statements. Thes</w:t>
      </w:r>
      <w:r>
        <w:rPr>
          <w:rFonts w:eastAsia="Times New Roman"/>
          <w:i/>
          <w:iCs/>
          <w:color w:val="000000"/>
          <w:sz w:val="20"/>
          <w:szCs w:val="20"/>
        </w:rPr>
        <w:t xml:space="preserve">e statements may relate to, but are not limited to, expectations of future operating results or financial performance; expectations regarding the impact on our business of the coronavirus ("COVID-19") pandemic and global measures to mitigate the spread of </w:t>
      </w:r>
      <w:r>
        <w:rPr>
          <w:rFonts w:eastAsia="Times New Roman"/>
          <w:i/>
          <w:iCs/>
          <w:color w:val="000000"/>
          <w:sz w:val="20"/>
          <w:szCs w:val="20"/>
        </w:rPr>
        <w:t>the virus; macroeconomic trends that we expect may influence our business, including any recession or changes in consumer behavior resulting from the COVID-19 pandemic; plans for business continuity, financing and capital expenditures; expectations regardi</w:t>
      </w:r>
      <w:r>
        <w:rPr>
          <w:rFonts w:eastAsia="Times New Roman"/>
          <w:i/>
          <w:iCs/>
          <w:color w:val="000000"/>
          <w:sz w:val="20"/>
          <w:szCs w:val="20"/>
        </w:rPr>
        <w:t>ng liquidity, customer payments and compliance with financing covenants and other payment obligations; expectations regarding the issuance of Series B Convertible Preferred Stock, repayment of debt, enhanced commercial relationships and adjustment of outst</w:t>
      </w:r>
      <w:r>
        <w:rPr>
          <w:rFonts w:eastAsia="Times New Roman"/>
          <w:i/>
          <w:iCs/>
          <w:color w:val="000000"/>
          <w:sz w:val="20"/>
          <w:szCs w:val="20"/>
        </w:rPr>
        <w:t xml:space="preserve">anding warrants in connection therewith; expectations regarding the development and introduction of new products; effects of restructuring, remote work arrangements and other employment actions; regulatory compliance and expected changes in the regulatory </w:t>
      </w:r>
      <w:r>
        <w:rPr>
          <w:rFonts w:eastAsia="Times New Roman"/>
          <w:i/>
          <w:iCs/>
          <w:color w:val="000000"/>
          <w:sz w:val="20"/>
          <w:szCs w:val="20"/>
        </w:rPr>
        <w:t>or privacy landscape affecting our business; expected impact of litigation and regulatory proceedings; and plans for stabilization, growth and future operations, as well as assumptions relating to the foregoing.</w:t>
      </w:r>
    </w:p>
    <w:p w14:paraId="46F599E9" w14:textId="77777777" w:rsidR="00000000" w:rsidRDefault="00E614A4">
      <w:pPr>
        <w:jc w:val="both"/>
        <w:divId w:val="1468159918"/>
        <w:rPr>
          <w:rFonts w:eastAsia="Times New Roman"/>
        </w:rPr>
      </w:pPr>
      <w:r>
        <w:rPr>
          <w:rFonts w:eastAsia="Times New Roman"/>
          <w:i/>
          <w:iCs/>
          <w:color w:val="000000"/>
          <w:sz w:val="20"/>
          <w:szCs w:val="20"/>
        </w:rPr>
        <w:t>Forward-looking statements are inherently su</w:t>
      </w:r>
      <w:r>
        <w:rPr>
          <w:rFonts w:eastAsia="Times New Roman"/>
          <w:i/>
          <w:iCs/>
          <w:color w:val="000000"/>
          <w:sz w:val="20"/>
          <w:szCs w:val="20"/>
        </w:rPr>
        <w:t xml:space="preserve">bject to risks and uncertainties, some of which cannot be predicted or quantified. These statements are based on expectations and assumptions as of the date of this 10-K regarding future events and business performance and involve known and unknown risks, </w:t>
      </w:r>
      <w:r>
        <w:rPr>
          <w:rFonts w:eastAsia="Times New Roman"/>
          <w:i/>
          <w:iCs/>
          <w:color w:val="000000"/>
          <w:sz w:val="20"/>
          <w:szCs w:val="20"/>
        </w:rPr>
        <w:t xml:space="preserve">uncertainties and other factors that may cause actual events or results to be materially different from any future events or results expressed or implied by these statements. These factors include those set forth in the following discussion and within </w:t>
      </w:r>
      <w:hyperlink w:anchor="ided6989bcc374020961c421c465250ee_22" w:history="1">
        <w:r>
          <w:rPr>
            <w:rStyle w:val="a3"/>
            <w:rFonts w:eastAsia="Times New Roman"/>
            <w:i/>
            <w:iCs/>
            <w:sz w:val="20"/>
            <w:szCs w:val="20"/>
          </w:rPr>
          <w:t>Item 1A</w:t>
        </w:r>
      </w:hyperlink>
      <w:r>
        <w:rPr>
          <w:rFonts w:eastAsia="Times New Roman"/>
          <w:i/>
          <w:iCs/>
          <w:color w:val="000000"/>
          <w:sz w:val="20"/>
          <w:szCs w:val="20"/>
        </w:rPr>
        <w:t>, "Risk Factors" of this 10-K and elsewhere within this report, and those identified in other documents that we file from time to time with the U.S. Securities and Exchange Commission, or SEC.</w:t>
      </w:r>
    </w:p>
    <w:p w14:paraId="571E52E4" w14:textId="77777777" w:rsidR="00000000" w:rsidRDefault="00E614A4">
      <w:pPr>
        <w:jc w:val="both"/>
        <w:divId w:val="1057780522"/>
        <w:rPr>
          <w:rFonts w:eastAsia="Times New Roman"/>
        </w:rPr>
      </w:pPr>
      <w:r>
        <w:rPr>
          <w:rFonts w:eastAsia="Times New Roman"/>
          <w:i/>
          <w:iCs/>
          <w:color w:val="000000"/>
          <w:sz w:val="20"/>
          <w:szCs w:val="20"/>
        </w:rPr>
        <w:t>W</w:t>
      </w:r>
      <w:r>
        <w:rPr>
          <w:rFonts w:eastAsia="Times New Roman"/>
          <w:i/>
          <w:iCs/>
          <w:color w:val="000000"/>
          <w:sz w:val="20"/>
          <w:szCs w:val="20"/>
        </w:rPr>
        <w:t>e believe that it is important to communicate our future expectations to our investors. However, there may be events in the future that we are not able to accurately predict or control and that may cause our actual results to differ materially from the exp</w:t>
      </w:r>
      <w:r>
        <w:rPr>
          <w:rFonts w:eastAsia="Times New Roman"/>
          <w:i/>
          <w:iCs/>
          <w:color w:val="000000"/>
          <w:sz w:val="20"/>
          <w:szCs w:val="20"/>
        </w:rPr>
        <w:t xml:space="preserve">ectations we describe in our forward-looking statements. </w:t>
      </w:r>
      <w:r>
        <w:rPr>
          <w:rFonts w:eastAsia="Times New Roman"/>
          <w:i/>
          <w:iCs/>
          <w:color w:val="000000"/>
          <w:sz w:val="20"/>
          <w:szCs w:val="20"/>
        </w:rPr>
        <w:lastRenderedPageBreak/>
        <w:t>You should not place undue reliance on forward-looking statements, which apply only as of the date of this 10-K. You should carefully review the risk factors described in this 10-K and in other docum</w:t>
      </w:r>
      <w:r>
        <w:rPr>
          <w:rFonts w:eastAsia="Times New Roman"/>
          <w:i/>
          <w:iCs/>
          <w:color w:val="000000"/>
          <w:sz w:val="20"/>
          <w:szCs w:val="20"/>
        </w:rPr>
        <w:t>ents that we file from time to time with the SEC. Except as required by applicable law, including the rules and regulations of the SEC, we undertake no obligation, and expressly disclaim any duty, to publicly update or revise forward-looking statements, wh</w:t>
      </w:r>
      <w:r>
        <w:rPr>
          <w:rFonts w:eastAsia="Times New Roman"/>
          <w:i/>
          <w:iCs/>
          <w:color w:val="000000"/>
          <w:sz w:val="20"/>
          <w:szCs w:val="20"/>
        </w:rPr>
        <w:t>ether as a result of any new information, future events or otherwise. Although we believe the expectations reflected in the forward-looking statements are reasonable as of the date of this 10-K, our statements are not guarantees of future results, levels o</w:t>
      </w:r>
      <w:r>
        <w:rPr>
          <w:rFonts w:eastAsia="Times New Roman"/>
          <w:i/>
          <w:iCs/>
          <w:color w:val="000000"/>
          <w:sz w:val="20"/>
          <w:szCs w:val="20"/>
        </w:rPr>
        <w:t>f activity, performance, or achievements, and actual outcomes and results may differ materially from those expressed in, or implied by, any of our statements.</w:t>
      </w:r>
    </w:p>
    <w:p w14:paraId="415EC71A" w14:textId="77777777" w:rsidR="00000000" w:rsidRDefault="00E614A4">
      <w:pPr>
        <w:jc w:val="both"/>
        <w:divId w:val="845097686"/>
        <w:rPr>
          <w:rFonts w:eastAsia="Times New Roman"/>
        </w:rPr>
      </w:pPr>
    </w:p>
    <w:p w14:paraId="6C08F4DA" w14:textId="77777777" w:rsidR="00000000" w:rsidRDefault="00E614A4">
      <w:pPr>
        <w:jc w:val="both"/>
        <w:rPr>
          <w:rFonts w:eastAsia="Times New Roman"/>
        </w:rPr>
      </w:pPr>
    </w:p>
    <w:p w14:paraId="2EA6492E" w14:textId="77777777" w:rsidR="00000000" w:rsidRDefault="00E614A4">
      <w:pPr>
        <w:jc w:val="both"/>
        <w:rPr>
          <w:rFonts w:eastAsia="Times New Roman"/>
        </w:rPr>
      </w:pPr>
    </w:p>
    <w:p w14:paraId="3C523876" w14:textId="77777777" w:rsidR="00000000" w:rsidRDefault="00E614A4">
      <w:pPr>
        <w:jc w:val="both"/>
        <w:rPr>
          <w:rFonts w:eastAsia="Times New Roman"/>
        </w:rPr>
      </w:pPr>
    </w:p>
    <w:p w14:paraId="394CDD09" w14:textId="77777777" w:rsidR="00000000" w:rsidRDefault="00E614A4">
      <w:pPr>
        <w:jc w:val="both"/>
        <w:rPr>
          <w:rFonts w:eastAsia="Times New Roman"/>
        </w:rPr>
      </w:pPr>
    </w:p>
    <w:p w14:paraId="54C877C3" w14:textId="77777777" w:rsidR="00000000" w:rsidRDefault="00E614A4">
      <w:pPr>
        <w:jc w:val="both"/>
        <w:rPr>
          <w:rFonts w:eastAsia="Times New Roman"/>
        </w:rPr>
      </w:pPr>
    </w:p>
    <w:p w14:paraId="29A75759" w14:textId="77777777" w:rsidR="00000000" w:rsidRDefault="00E614A4">
      <w:pPr>
        <w:jc w:val="both"/>
        <w:rPr>
          <w:rFonts w:eastAsia="Times New Roman"/>
        </w:rPr>
      </w:pPr>
    </w:p>
    <w:p w14:paraId="13CEAD34" w14:textId="77777777" w:rsidR="00000000" w:rsidRDefault="00E614A4">
      <w:pPr>
        <w:jc w:val="center"/>
        <w:divId w:val="1531603978"/>
        <w:rPr>
          <w:rFonts w:eastAsia="Times New Roman"/>
        </w:rPr>
      </w:pPr>
      <w:r>
        <w:rPr>
          <w:rFonts w:eastAsia="Times New Roman"/>
          <w:color w:val="000000"/>
          <w:sz w:val="20"/>
          <w:szCs w:val="20"/>
        </w:rPr>
        <w:t>i</w:t>
      </w:r>
    </w:p>
    <w:p w14:paraId="7AD75C62" w14:textId="77777777" w:rsidR="00000000" w:rsidRDefault="00E614A4">
      <w:pPr>
        <w:rPr>
          <w:rFonts w:eastAsia="Times New Roman"/>
        </w:rPr>
      </w:pPr>
      <w:r>
        <w:rPr>
          <w:rFonts w:eastAsia="Times New Roman"/>
        </w:rPr>
        <w:pict w14:anchorId="6D680702">
          <v:rect id="_x0000_i1027" style="width:0;height:1.5pt" o:hralign="center" o:hrstd="t" o:hr="t" fillcolor="#a0a0a0" stroked="f"/>
        </w:pict>
      </w:r>
    </w:p>
    <w:p w14:paraId="33001A28" w14:textId="77777777" w:rsidR="00000000" w:rsidRDefault="00E614A4">
      <w:pPr>
        <w:divId w:val="55131036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5F8426E" w14:textId="77777777" w:rsidR="00000000" w:rsidRDefault="00E614A4">
      <w:pPr>
        <w:divId w:val="201793286"/>
        <w:rPr>
          <w:rFonts w:eastAsia="Times New Roman"/>
        </w:rPr>
      </w:pPr>
    </w:p>
    <w:p w14:paraId="40193DE4" w14:textId="77777777" w:rsidR="00000000" w:rsidRDefault="00E614A4">
      <w:pPr>
        <w:jc w:val="center"/>
        <w:rPr>
          <w:rFonts w:eastAsia="Times New Roman"/>
        </w:rPr>
      </w:pPr>
    </w:p>
    <w:p w14:paraId="23683C0E" w14:textId="77777777" w:rsidR="00000000" w:rsidRDefault="00E614A4">
      <w:pPr>
        <w:jc w:val="center"/>
        <w:rPr>
          <w:rFonts w:eastAsia="Times New Roman"/>
        </w:rPr>
      </w:pPr>
      <w:r>
        <w:rPr>
          <w:rFonts w:eastAsia="Times New Roman"/>
          <w:b/>
          <w:bCs/>
          <w:color w:val="000000"/>
          <w:sz w:val="20"/>
          <w:szCs w:val="20"/>
        </w:rPr>
        <w:t>PART I</w:t>
      </w:r>
    </w:p>
    <w:p w14:paraId="70D4B1F6" w14:textId="77777777" w:rsidR="00000000" w:rsidRDefault="00E614A4">
      <w:pPr>
        <w:divId w:val="1434132645"/>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1"/>
        <w:gridCol w:w="758"/>
        <w:gridCol w:w="36"/>
        <w:gridCol w:w="65"/>
        <w:gridCol w:w="6913"/>
        <w:gridCol w:w="36"/>
      </w:tblGrid>
      <w:tr w:rsidR="00000000" w14:paraId="2AE3CAF3" w14:textId="77777777">
        <w:trPr>
          <w:divId w:val="1879589345"/>
        </w:trPr>
        <w:tc>
          <w:tcPr>
            <w:tcW w:w="50" w:type="pct"/>
            <w:vAlign w:val="center"/>
            <w:hideMark/>
          </w:tcPr>
          <w:p w14:paraId="2ABC1225" w14:textId="77777777" w:rsidR="00000000" w:rsidRDefault="00E614A4">
            <w:pPr>
              <w:rPr>
                <w:rFonts w:eastAsia="Times New Roman"/>
              </w:rPr>
            </w:pPr>
          </w:p>
        </w:tc>
        <w:tc>
          <w:tcPr>
            <w:tcW w:w="494" w:type="pct"/>
            <w:vAlign w:val="center"/>
            <w:hideMark/>
          </w:tcPr>
          <w:p w14:paraId="0C10DEF3" w14:textId="77777777" w:rsidR="00000000" w:rsidRDefault="00E614A4">
            <w:pPr>
              <w:rPr>
                <w:rFonts w:eastAsia="Times New Roman"/>
                <w:sz w:val="20"/>
                <w:szCs w:val="20"/>
              </w:rPr>
            </w:pPr>
          </w:p>
        </w:tc>
        <w:tc>
          <w:tcPr>
            <w:tcW w:w="5" w:type="pct"/>
            <w:vAlign w:val="center"/>
            <w:hideMark/>
          </w:tcPr>
          <w:p w14:paraId="7E45CB05" w14:textId="77777777" w:rsidR="00000000" w:rsidRDefault="00E614A4">
            <w:pPr>
              <w:rPr>
                <w:rFonts w:eastAsia="Times New Roman"/>
                <w:sz w:val="20"/>
                <w:szCs w:val="20"/>
              </w:rPr>
            </w:pPr>
          </w:p>
        </w:tc>
        <w:tc>
          <w:tcPr>
            <w:tcW w:w="50" w:type="pct"/>
            <w:vAlign w:val="center"/>
            <w:hideMark/>
          </w:tcPr>
          <w:p w14:paraId="568A683D" w14:textId="77777777" w:rsidR="00000000" w:rsidRDefault="00E614A4">
            <w:pPr>
              <w:rPr>
                <w:rFonts w:eastAsia="Times New Roman"/>
                <w:sz w:val="20"/>
                <w:szCs w:val="20"/>
              </w:rPr>
            </w:pPr>
          </w:p>
        </w:tc>
        <w:tc>
          <w:tcPr>
            <w:tcW w:w="4396" w:type="pct"/>
            <w:vAlign w:val="center"/>
            <w:hideMark/>
          </w:tcPr>
          <w:p w14:paraId="16CDDBE2" w14:textId="77777777" w:rsidR="00000000" w:rsidRDefault="00E614A4">
            <w:pPr>
              <w:rPr>
                <w:rFonts w:eastAsia="Times New Roman"/>
                <w:sz w:val="20"/>
                <w:szCs w:val="20"/>
              </w:rPr>
            </w:pPr>
          </w:p>
        </w:tc>
        <w:tc>
          <w:tcPr>
            <w:tcW w:w="5" w:type="pct"/>
            <w:vAlign w:val="center"/>
            <w:hideMark/>
          </w:tcPr>
          <w:p w14:paraId="727919E8" w14:textId="77777777" w:rsidR="00000000" w:rsidRDefault="00E614A4">
            <w:pPr>
              <w:rPr>
                <w:rFonts w:eastAsia="Times New Roman"/>
                <w:sz w:val="20"/>
                <w:szCs w:val="20"/>
              </w:rPr>
            </w:pPr>
          </w:p>
        </w:tc>
      </w:tr>
      <w:tr w:rsidR="00000000" w14:paraId="2E2EFD94" w14:textId="77777777">
        <w:trPr>
          <w:divId w:val="1879589345"/>
        </w:trPr>
        <w:tc>
          <w:tcPr>
            <w:tcW w:w="0" w:type="auto"/>
            <w:gridSpan w:val="3"/>
            <w:tcMar>
              <w:top w:w="30" w:type="dxa"/>
              <w:left w:w="20" w:type="dxa"/>
              <w:bottom w:w="30" w:type="dxa"/>
              <w:right w:w="20" w:type="dxa"/>
            </w:tcMar>
            <w:hideMark/>
          </w:tcPr>
          <w:p w14:paraId="7FED94E1" w14:textId="77777777" w:rsidR="00000000" w:rsidRDefault="00E614A4">
            <w:pPr>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58757C50" w14:textId="77777777" w:rsidR="00000000" w:rsidRDefault="00E614A4">
            <w:pPr>
              <w:rPr>
                <w:rFonts w:eastAsia="Times New Roman"/>
              </w:rPr>
            </w:pPr>
            <w:r>
              <w:rPr>
                <w:rFonts w:eastAsia="Times New Roman"/>
                <w:b/>
                <w:bCs/>
                <w:i/>
                <w:iCs/>
                <w:color w:val="000000"/>
                <w:sz w:val="20"/>
                <w:szCs w:val="20"/>
              </w:rPr>
              <w:t>BUSINESS</w:t>
            </w:r>
          </w:p>
        </w:tc>
      </w:tr>
    </w:tbl>
    <w:p w14:paraId="5BC2DB8C" w14:textId="77777777" w:rsidR="00000000" w:rsidRDefault="00E614A4">
      <w:pPr>
        <w:jc w:val="both"/>
        <w:divId w:val="7561392"/>
        <w:rPr>
          <w:rFonts w:eastAsia="Times New Roman"/>
        </w:rPr>
      </w:pPr>
      <w:r>
        <w:rPr>
          <w:rFonts w:eastAsia="Times New Roman"/>
          <w:i/>
          <w:iCs/>
          <w:color w:val="000000"/>
          <w:sz w:val="20"/>
          <w:szCs w:val="20"/>
        </w:rPr>
        <w:t>Unless the context requires otherwise, references in this 10-K to "Comscore," "we," "us," the "Company" and "our" refer to comScore, Inc. and its consolidated subsidiaries. We have registered trademarks around the globe, including Unified Digital Measureme</w:t>
      </w:r>
      <w:r>
        <w:rPr>
          <w:rFonts w:eastAsia="Times New Roman"/>
          <w:i/>
          <w:iCs/>
          <w:color w:val="000000"/>
          <w:sz w:val="20"/>
          <w:szCs w:val="20"/>
        </w:rPr>
        <w:t>nt®, UDM®, vCE®, Metrix®, Essentials®, Box Office Essentials®, OnDemand Essentials®, OnDemand Everywhere®, and TV Essentials®. This 10-K also contains additional trademarks and trade names of our company and our subsidiaries. We file and maintain trademark</w:t>
      </w:r>
      <w:r>
        <w:rPr>
          <w:rFonts w:eastAsia="Times New Roman"/>
          <w:i/>
          <w:iCs/>
          <w:color w:val="000000"/>
          <w:sz w:val="20"/>
          <w:szCs w:val="20"/>
        </w:rPr>
        <w:t xml:space="preserve"> protection for our products and services. All trademarks and trade names appearing in this 10-K are the property of their respective holders.</w:t>
      </w:r>
    </w:p>
    <w:p w14:paraId="5D6D8052" w14:textId="77777777" w:rsidR="00000000" w:rsidRDefault="00E614A4">
      <w:pPr>
        <w:divId w:val="1719082324"/>
        <w:rPr>
          <w:rFonts w:eastAsia="Times New Roman"/>
        </w:rPr>
      </w:pPr>
      <w:r>
        <w:rPr>
          <w:rFonts w:eastAsia="Times New Roman"/>
          <w:b/>
          <w:bCs/>
          <w:color w:val="000000"/>
          <w:sz w:val="20"/>
          <w:szCs w:val="20"/>
        </w:rPr>
        <w:t>Overview</w:t>
      </w:r>
    </w:p>
    <w:p w14:paraId="4CE0AA4C" w14:textId="77777777" w:rsidR="00000000" w:rsidRDefault="00E614A4">
      <w:pPr>
        <w:jc w:val="both"/>
        <w:divId w:val="684330227"/>
        <w:rPr>
          <w:rFonts w:eastAsia="Times New Roman"/>
        </w:rPr>
      </w:pPr>
      <w:r>
        <w:rPr>
          <w:rFonts w:eastAsia="Times New Roman"/>
          <w:color w:val="000000"/>
          <w:sz w:val="20"/>
          <w:szCs w:val="20"/>
        </w:rPr>
        <w:t>We are a global information and analytics company that measures advertising, content, and the consumer a</w:t>
      </w:r>
      <w:r>
        <w:rPr>
          <w:rFonts w:eastAsia="Times New Roman"/>
          <w:color w:val="000000"/>
          <w:sz w:val="20"/>
          <w:szCs w:val="20"/>
        </w:rPr>
        <w:t>udiences of each, across media platforms. We create our products using a global data platform that combines information on digital platforms (connected (Smart) televisions, mobile devices, tablets and computers), television ("TV"), over the top devices ("O</w:t>
      </w:r>
      <w:r>
        <w:rPr>
          <w:rFonts w:eastAsia="Times New Roman"/>
          <w:color w:val="000000"/>
          <w:sz w:val="20"/>
          <w:szCs w:val="20"/>
        </w:rPr>
        <w:t>TT"), direct to consumer applications, and movie screens with demographics and other descriptive information. We have developed proprietary data science that enables measurement of person-level and household-level audiences, removing duplicated viewing acr</w:t>
      </w:r>
      <w:r>
        <w:rPr>
          <w:rFonts w:eastAsia="Times New Roman"/>
          <w:color w:val="000000"/>
          <w:sz w:val="20"/>
          <w:szCs w:val="20"/>
        </w:rPr>
        <w:t>oss devices and over time. This combination of data and methods enables a common standard for buyers and sellers to transact on advertising. This helps companies across the media ecosystem better understand and monetize their audiences and develop marketin</w:t>
      </w:r>
      <w:r>
        <w:rPr>
          <w:rFonts w:eastAsia="Times New Roman"/>
          <w:color w:val="000000"/>
          <w:sz w:val="20"/>
          <w:szCs w:val="20"/>
        </w:rPr>
        <w:t>g plans, content and products to more efficiently and effectively reach those audiences. Our ability to unify behavioral and other descriptive data enables us to provide audience ratings, advertising verification, and granular consumer segments that descri</w:t>
      </w:r>
      <w:r>
        <w:rPr>
          <w:rFonts w:eastAsia="Times New Roman"/>
          <w:color w:val="000000"/>
          <w:sz w:val="20"/>
          <w:szCs w:val="20"/>
        </w:rPr>
        <w:t>be hundreds of millions of consumers. Our customers include digital publishers, television networks, movie studios, content owners, brand advertisers, agencies and technology providers.</w:t>
      </w:r>
    </w:p>
    <w:p w14:paraId="61F1FDA6" w14:textId="77777777" w:rsidR="00000000" w:rsidRDefault="00E614A4">
      <w:pPr>
        <w:jc w:val="both"/>
        <w:divId w:val="1214384859"/>
        <w:rPr>
          <w:rFonts w:eastAsia="Times New Roman"/>
        </w:rPr>
      </w:pPr>
      <w:r>
        <w:rPr>
          <w:rFonts w:eastAsia="Times New Roman"/>
          <w:color w:val="000000"/>
          <w:sz w:val="20"/>
          <w:szCs w:val="20"/>
        </w:rPr>
        <w:t>The information we analyze crosses geographies, types of content and a</w:t>
      </w:r>
      <w:r>
        <w:rPr>
          <w:rFonts w:eastAsia="Times New Roman"/>
          <w:color w:val="000000"/>
          <w:sz w:val="20"/>
          <w:szCs w:val="20"/>
        </w:rPr>
        <w:t>ctivities, including websites, mobile and OTT applications ("apps"), video games, television and movie programming, electronic commerce ("e-commerce") and advertising.</w:t>
      </w:r>
    </w:p>
    <w:p w14:paraId="1B9CB38E" w14:textId="77777777" w:rsidR="00000000" w:rsidRDefault="00E614A4">
      <w:pPr>
        <w:jc w:val="both"/>
        <w:divId w:val="151801054"/>
        <w:rPr>
          <w:rFonts w:eastAsia="Times New Roman"/>
        </w:rPr>
      </w:pPr>
      <w:r>
        <w:rPr>
          <w:rFonts w:eastAsia="Times New Roman"/>
          <w:color w:val="000000"/>
          <w:sz w:val="20"/>
          <w:szCs w:val="20"/>
        </w:rPr>
        <w:t>We are a Delaware corporation headquartered in Reston, Virginia with principal offices l</w:t>
      </w:r>
      <w:r>
        <w:rPr>
          <w:rFonts w:eastAsia="Times New Roman"/>
          <w:color w:val="000000"/>
          <w:sz w:val="20"/>
          <w:szCs w:val="20"/>
        </w:rPr>
        <w:t>ocated at 11950 Democracy Drive, Suite 600, Reston, VA 20190. Our telephone number is 703-438-2000.</w:t>
      </w:r>
    </w:p>
    <w:p w14:paraId="65A117CA" w14:textId="77777777" w:rsidR="00000000" w:rsidRDefault="00E614A4">
      <w:pPr>
        <w:jc w:val="both"/>
        <w:divId w:val="1975482433"/>
        <w:rPr>
          <w:rFonts w:eastAsia="Times New Roman"/>
        </w:rPr>
      </w:pPr>
      <w:r>
        <w:rPr>
          <w:rFonts w:eastAsia="Times New Roman"/>
          <w:b/>
          <w:bCs/>
          <w:color w:val="000000"/>
          <w:sz w:val="20"/>
          <w:szCs w:val="20"/>
        </w:rPr>
        <w:t>Recent Key Developments</w:t>
      </w:r>
    </w:p>
    <w:p w14:paraId="701A8BFA" w14:textId="77777777" w:rsidR="00000000" w:rsidRDefault="00E614A4">
      <w:pPr>
        <w:jc w:val="both"/>
        <w:divId w:val="333803591"/>
        <w:rPr>
          <w:rFonts w:eastAsia="Times New Roman"/>
        </w:rPr>
      </w:pPr>
      <w:r>
        <w:rPr>
          <w:rFonts w:eastAsia="Times New Roman"/>
          <w:color w:val="000000"/>
          <w:sz w:val="20"/>
          <w:szCs w:val="20"/>
          <w:u w:val="single"/>
        </w:rPr>
        <w:lastRenderedPageBreak/>
        <w:t>Strategic Investment Transactions</w:t>
      </w:r>
    </w:p>
    <w:p w14:paraId="4578EFBB" w14:textId="77777777" w:rsidR="00000000" w:rsidRDefault="00E614A4">
      <w:pPr>
        <w:jc w:val="both"/>
        <w:divId w:val="230237749"/>
        <w:rPr>
          <w:rFonts w:eastAsia="Times New Roman"/>
        </w:rPr>
      </w:pPr>
      <w:r>
        <w:rPr>
          <w:rFonts w:eastAsia="Times New Roman"/>
          <w:color w:val="000000"/>
          <w:sz w:val="20"/>
          <w:szCs w:val="20"/>
        </w:rPr>
        <w:t>On January 7, 2021, we entered into separate Securities Purchase Agreements with each of Charter Communications Holding Company, LLC ("Charter"), Qurate Retail, Inc. ("Qurate") and Pine Investor, LLC ("Pine"), pursuant to which, at the closing of the trans</w:t>
      </w:r>
      <w:r>
        <w:rPr>
          <w:rFonts w:eastAsia="Times New Roman"/>
          <w:color w:val="000000"/>
          <w:sz w:val="20"/>
          <w:szCs w:val="20"/>
        </w:rPr>
        <w:t>actions contemplated thereby (the "Transactions"), we will issue and sell (a) to Charter, 27,509,203 shares of Series B Convertible Preferred Stock, par value $0.001 per share, in exchange for $68.0 million, (b) to Qurate, 27,509,203 shares of Series B Con</w:t>
      </w:r>
      <w:r>
        <w:rPr>
          <w:rFonts w:eastAsia="Times New Roman"/>
          <w:color w:val="000000"/>
          <w:sz w:val="20"/>
          <w:szCs w:val="20"/>
        </w:rPr>
        <w:t>vertible Preferred Stock in exchange for $68.0 million and (c) to Pine, 27,509,203 shares of Series B Convertible Preferred Stock in exchange for $68.0 million. The proceeds of the Transactions will be used to repay the $204.0 million of senior secured con</w:t>
      </w:r>
      <w:r>
        <w:rPr>
          <w:rFonts w:eastAsia="Times New Roman"/>
          <w:color w:val="000000"/>
          <w:sz w:val="20"/>
          <w:szCs w:val="20"/>
        </w:rPr>
        <w:t>vertible notes due January 16, 2022 (the "Notes") issued to certain funds affiliated with or managed by Starboard Value LP ("Starboard"). Additionally, in connection with the closing, we expect to repay the $13.0 million secured promissory note due Decembe</w:t>
      </w:r>
      <w:r>
        <w:rPr>
          <w:rFonts w:eastAsia="Times New Roman"/>
          <w:color w:val="000000"/>
          <w:sz w:val="20"/>
          <w:szCs w:val="20"/>
        </w:rPr>
        <w:t xml:space="preserve">r 31, 2021 issued by a subsidiary of the Company (the "Secured Term Note") and certain transaction-related expenses with cash from our balance sheet. 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for additional infor</w:t>
      </w:r>
      <w:r>
        <w:rPr>
          <w:rFonts w:eastAsia="Times New Roman"/>
          <w:color w:val="000000"/>
          <w:sz w:val="20"/>
          <w:szCs w:val="20"/>
        </w:rPr>
        <w:t>mation on the Notes and the Secured Term Note. The Transactions and related matters were approved by our stockholders on March 9, 2021 and are expected to be completed on or around March 10, 2021. Repayment of the Notes and the Secured Term Note will resul</w:t>
      </w:r>
      <w:r>
        <w:rPr>
          <w:rFonts w:eastAsia="Times New Roman"/>
          <w:color w:val="000000"/>
          <w:sz w:val="20"/>
          <w:szCs w:val="20"/>
        </w:rPr>
        <w:t xml:space="preserve">t in termination of the affirmative and negative covenants set forth in these instruments, including the Notes covenant requiring maintenance of certain minimum cash balances (currently $40.0 million), and is expected to improve our financial position and </w:t>
      </w:r>
      <w:r>
        <w:rPr>
          <w:rFonts w:eastAsia="Times New Roman"/>
          <w:color w:val="000000"/>
          <w:sz w:val="20"/>
          <w:szCs w:val="20"/>
        </w:rPr>
        <w:t>liquidity.</w:t>
      </w:r>
    </w:p>
    <w:p w14:paraId="4B91A0CA" w14:textId="77777777" w:rsidR="00000000" w:rsidRDefault="00E614A4">
      <w:pPr>
        <w:jc w:val="both"/>
        <w:divId w:val="1432897428"/>
        <w:rPr>
          <w:rFonts w:eastAsia="Times New Roman"/>
        </w:rPr>
      </w:pPr>
      <w:r>
        <w:rPr>
          <w:rFonts w:eastAsia="Times New Roman"/>
          <w:color w:val="000000"/>
          <w:sz w:val="20"/>
          <w:szCs w:val="20"/>
          <w:u w:val="single"/>
        </w:rPr>
        <w:t>COVID-19</w:t>
      </w:r>
    </w:p>
    <w:p w14:paraId="2CD246A4" w14:textId="77777777" w:rsidR="00000000" w:rsidRDefault="00E614A4">
      <w:pPr>
        <w:jc w:val="both"/>
        <w:divId w:val="150947909"/>
        <w:rPr>
          <w:rFonts w:eastAsia="Times New Roman"/>
        </w:rPr>
      </w:pPr>
      <w:r>
        <w:rPr>
          <w:rFonts w:eastAsia="Times New Roman"/>
          <w:color w:val="000000"/>
          <w:sz w:val="20"/>
          <w:szCs w:val="20"/>
        </w:rPr>
        <w:t xml:space="preserve">The COVID-19 pandemic and related government mandates and restrictions continue to have a significant impact on the media, advertising and entertainment industries in which we operate. To date, the COVID-19 pandemic has had some impact </w:t>
      </w:r>
      <w:r>
        <w:rPr>
          <w:rFonts w:eastAsia="Times New Roman"/>
          <w:color w:val="000000"/>
          <w:sz w:val="20"/>
          <w:szCs w:val="20"/>
        </w:rPr>
        <w:t>on our business, including with respect to the execution of new and renewal contracts, the impact of closed movie theaters on our customers, customer payment delays and requests to modify contractual payment terms. These conditions have negatively impacted</w:t>
      </w:r>
      <w:r>
        <w:rPr>
          <w:rFonts w:eastAsia="Times New Roman"/>
          <w:color w:val="000000"/>
          <w:sz w:val="20"/>
          <w:szCs w:val="20"/>
        </w:rPr>
        <w:t xml:space="preserve"> our liquidity, net loss and cash flows and are expected to continue to have an impact in future periods. Although we cannot quantify the impact that the pandemic may have on our business in the future, we have taken actions to mitigate the near-term liqui</w:t>
      </w:r>
      <w:r>
        <w:rPr>
          <w:rFonts w:eastAsia="Times New Roman"/>
          <w:color w:val="000000"/>
          <w:sz w:val="20"/>
          <w:szCs w:val="20"/>
        </w:rPr>
        <w:t xml:space="preserve">dity impact, including freezing hiring, exiting non-critical consultants and contractors, terminating or negotiating reductions in vendor agreements and leases, and </w:t>
      </w:r>
    </w:p>
    <w:p w14:paraId="19ECD294" w14:textId="77777777" w:rsidR="00000000" w:rsidRDefault="00E614A4">
      <w:pPr>
        <w:jc w:val="center"/>
        <w:divId w:val="334458794"/>
        <w:rPr>
          <w:rFonts w:eastAsia="Times New Roman"/>
        </w:rPr>
      </w:pPr>
      <w:r>
        <w:rPr>
          <w:rFonts w:eastAsia="Times New Roman"/>
          <w:color w:val="000000"/>
          <w:sz w:val="20"/>
          <w:szCs w:val="20"/>
        </w:rPr>
        <w:t>1</w:t>
      </w:r>
    </w:p>
    <w:p w14:paraId="2D5738CE" w14:textId="77777777" w:rsidR="00000000" w:rsidRDefault="00E614A4">
      <w:pPr>
        <w:rPr>
          <w:rFonts w:eastAsia="Times New Roman"/>
        </w:rPr>
      </w:pPr>
      <w:r>
        <w:rPr>
          <w:rFonts w:eastAsia="Times New Roman"/>
        </w:rPr>
        <w:pict w14:anchorId="4AE1D05C">
          <v:rect id="_x0000_i1028" style="width:0;height:1.5pt" o:hralign="center" o:hrstd="t" o:hr="t" fillcolor="#a0a0a0" stroked="f"/>
        </w:pict>
      </w:r>
    </w:p>
    <w:p w14:paraId="062B03CB" w14:textId="77777777" w:rsidR="00000000" w:rsidRDefault="00E614A4">
      <w:pPr>
        <w:divId w:val="174433577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B3D24C4" w14:textId="77777777" w:rsidR="00000000" w:rsidRDefault="00E614A4">
      <w:pPr>
        <w:divId w:val="932014534"/>
        <w:rPr>
          <w:rFonts w:eastAsia="Times New Roman"/>
        </w:rPr>
      </w:pPr>
    </w:p>
    <w:p w14:paraId="33B83883" w14:textId="77777777" w:rsidR="00000000" w:rsidRDefault="00E614A4">
      <w:pPr>
        <w:jc w:val="both"/>
        <w:divId w:val="494027775"/>
        <w:rPr>
          <w:rFonts w:eastAsia="Times New Roman"/>
        </w:rPr>
      </w:pPr>
      <w:r>
        <w:rPr>
          <w:rFonts w:eastAsia="Times New Roman"/>
          <w:color w:val="000000"/>
          <w:sz w:val="20"/>
          <w:szCs w:val="20"/>
        </w:rPr>
        <w:t>reducing certain travel, marketing, recruiting and other corporate activities not deemed critical to our business in the current environment.</w:t>
      </w:r>
    </w:p>
    <w:p w14:paraId="3D5CD41B" w14:textId="77777777" w:rsidR="00000000" w:rsidRDefault="00E614A4">
      <w:pPr>
        <w:jc w:val="both"/>
        <w:divId w:val="661349004"/>
        <w:rPr>
          <w:rFonts w:eastAsia="Times New Roman"/>
        </w:rPr>
      </w:pPr>
      <w:r>
        <w:rPr>
          <w:rFonts w:eastAsia="Times New Roman"/>
          <w:color w:val="000000"/>
          <w:sz w:val="20"/>
          <w:szCs w:val="20"/>
        </w:rPr>
        <w:t>On March 27, 2020, Congress en</w:t>
      </w:r>
      <w:r>
        <w:rPr>
          <w:rFonts w:eastAsia="Times New Roman"/>
          <w:color w:val="000000"/>
          <w:sz w:val="20"/>
          <w:szCs w:val="20"/>
        </w:rPr>
        <w:t>acted the Coronavirus Aid, Relief and Economic Security Act ("CARES Act"). The CARES Act, among other things, includes tax provisions for the deferral of certain employer payroll tax liabilities, refundable employee retention credits, rollbacks of Tax Cuts</w:t>
      </w:r>
      <w:r>
        <w:rPr>
          <w:rFonts w:eastAsia="Times New Roman"/>
          <w:color w:val="000000"/>
          <w:sz w:val="20"/>
          <w:szCs w:val="20"/>
        </w:rPr>
        <w:t xml:space="preserve"> and Jobs Act ("TCJA") limitations on net operating losses, the acceleration of alternative minimum tax credit refunds, modifications to the net interest deduction limitations and technical corrections to tax depreciation methods for qualified improvement </w:t>
      </w:r>
      <w:r>
        <w:rPr>
          <w:rFonts w:eastAsia="Times New Roman"/>
          <w:color w:val="000000"/>
          <w:sz w:val="20"/>
          <w:szCs w:val="20"/>
        </w:rPr>
        <w:t>property. We have deferred certain payroll taxes as permitted by the CARES Act and have claimed the employee retention credit created by the CARES Act.</w:t>
      </w:r>
    </w:p>
    <w:p w14:paraId="2D41D378" w14:textId="77777777" w:rsidR="00000000" w:rsidRDefault="00E614A4">
      <w:pPr>
        <w:jc w:val="both"/>
        <w:divId w:val="757679975"/>
        <w:rPr>
          <w:rFonts w:eastAsia="Times New Roman"/>
        </w:rPr>
      </w:pPr>
      <w:r>
        <w:rPr>
          <w:rFonts w:eastAsia="Times New Roman"/>
          <w:color w:val="000000"/>
          <w:sz w:val="20"/>
          <w:szCs w:val="20"/>
        </w:rPr>
        <w:t>On December 27, 2020, Congress enacted the Consolidated Appropriations Act, 2021 ("CAA"), which contains</w:t>
      </w:r>
      <w:r>
        <w:rPr>
          <w:rFonts w:eastAsia="Times New Roman"/>
          <w:color w:val="000000"/>
          <w:sz w:val="20"/>
          <w:szCs w:val="20"/>
        </w:rPr>
        <w:t xml:space="preserve"> a number of additional COVID-19 relief tax provisions and extensions of temporary tax provisions, including an extension and significant expansion of the employee retention credit created by the CARES Act.</w:t>
      </w:r>
    </w:p>
    <w:p w14:paraId="515A7D42" w14:textId="77777777" w:rsidR="00000000" w:rsidRDefault="00E614A4">
      <w:pPr>
        <w:jc w:val="both"/>
        <w:divId w:val="1191601209"/>
        <w:rPr>
          <w:rFonts w:eastAsia="Times New Roman"/>
        </w:rPr>
      </w:pPr>
      <w:r>
        <w:rPr>
          <w:rFonts w:eastAsia="Times New Roman"/>
          <w:color w:val="000000"/>
          <w:sz w:val="20"/>
          <w:szCs w:val="20"/>
        </w:rPr>
        <w:t>We continue to evaluate the impact on our business operations and financial results of the CARES Act, the CAA and additional legislation and government guidance related to the COVID-19 pandemic.</w:t>
      </w:r>
    </w:p>
    <w:p w14:paraId="17841E94" w14:textId="77777777" w:rsidR="00000000" w:rsidRDefault="00E614A4">
      <w:pPr>
        <w:jc w:val="both"/>
        <w:divId w:val="2051765042"/>
        <w:rPr>
          <w:rFonts w:eastAsia="Times New Roman"/>
        </w:rPr>
      </w:pPr>
    </w:p>
    <w:p w14:paraId="4295BFD3" w14:textId="77777777" w:rsidR="00000000" w:rsidRDefault="00E614A4">
      <w:pPr>
        <w:jc w:val="both"/>
        <w:rPr>
          <w:rFonts w:eastAsia="Times New Roman"/>
        </w:rPr>
      </w:pPr>
      <w:r>
        <w:rPr>
          <w:rFonts w:eastAsia="Times New Roman"/>
          <w:b/>
          <w:bCs/>
          <w:color w:val="000000"/>
          <w:sz w:val="20"/>
          <w:szCs w:val="20"/>
        </w:rPr>
        <w:t>Background and Market</w:t>
      </w:r>
    </w:p>
    <w:p w14:paraId="05ECD401" w14:textId="77777777" w:rsidR="00000000" w:rsidRDefault="00E614A4">
      <w:pPr>
        <w:jc w:val="both"/>
        <w:divId w:val="1853376759"/>
        <w:rPr>
          <w:rFonts w:eastAsia="Times New Roman"/>
        </w:rPr>
      </w:pPr>
      <w:r>
        <w:rPr>
          <w:rFonts w:eastAsia="Times New Roman"/>
          <w:color w:val="000000"/>
          <w:sz w:val="20"/>
          <w:szCs w:val="20"/>
        </w:rPr>
        <w:t>We were founded in 1999 on the belief</w:t>
      </w:r>
      <w:r>
        <w:rPr>
          <w:rFonts w:eastAsia="Times New Roman"/>
          <w:color w:val="000000"/>
          <w:sz w:val="20"/>
          <w:szCs w:val="20"/>
        </w:rPr>
        <w:t xml:space="preserve"> that digital technology would transform the interactions between people, media and brands in ways that would generate substantial demand for data and analytics about that interaction. The growing adoption of digital technologies also allowed measurement o</w:t>
      </w:r>
      <w:r>
        <w:rPr>
          <w:rFonts w:eastAsia="Times New Roman"/>
          <w:color w:val="000000"/>
          <w:sz w:val="20"/>
          <w:szCs w:val="20"/>
        </w:rPr>
        <w:t xml:space="preserve">f the behavior of consumers' online activities. Based on this vision, we built a global opt-in panel of over two million </w:t>
      </w:r>
      <w:r>
        <w:rPr>
          <w:rFonts w:eastAsia="Times New Roman"/>
          <w:color w:val="000000"/>
          <w:sz w:val="20"/>
          <w:szCs w:val="20"/>
        </w:rPr>
        <w:lastRenderedPageBreak/>
        <w:t>individuals that provided insight into online activities. In 2002, we acquired Media Metrix, an internet ratings brand with its own pan</w:t>
      </w:r>
      <w:r>
        <w:rPr>
          <w:rFonts w:eastAsia="Times New Roman"/>
          <w:color w:val="000000"/>
          <w:sz w:val="20"/>
          <w:szCs w:val="20"/>
        </w:rPr>
        <w:t xml:space="preserve">el of consumers. Anticipating that mobile would become a key digital platform in the future, we acquired mobile measurement specialist M:Metrics in 2008. In 2009, we introduced our proprietary Unified Digital Measurement ("UDM") methodology, which allowed </w:t>
      </w:r>
      <w:r>
        <w:rPr>
          <w:rFonts w:eastAsia="Times New Roman"/>
          <w:color w:val="000000"/>
          <w:sz w:val="20"/>
          <w:szCs w:val="20"/>
        </w:rPr>
        <w:t xml:space="preserve">us to unite consumer panel data with census-level data from tags that we implemented on websites and their content and later from software development kits on mobile apps. </w:t>
      </w:r>
    </w:p>
    <w:p w14:paraId="698DCF60" w14:textId="77777777" w:rsidR="00000000" w:rsidRDefault="00E614A4">
      <w:pPr>
        <w:jc w:val="both"/>
        <w:divId w:val="1021737707"/>
        <w:rPr>
          <w:rFonts w:eastAsia="Times New Roman"/>
        </w:rPr>
      </w:pPr>
      <w:r>
        <w:rPr>
          <w:rFonts w:eastAsia="Times New Roman"/>
          <w:color w:val="000000"/>
          <w:sz w:val="20"/>
          <w:szCs w:val="20"/>
        </w:rPr>
        <w:t>To expand our global presence in Latin America and Europe, we acquired Certifica in</w:t>
      </w:r>
      <w:r>
        <w:rPr>
          <w:rFonts w:eastAsia="Times New Roman"/>
          <w:color w:val="000000"/>
          <w:sz w:val="20"/>
          <w:szCs w:val="20"/>
        </w:rPr>
        <w:t xml:space="preserve"> 2009 and NedStat in 2010, respectively. To enhance our product offerings and expand our presence in certain markets, we acquired ARS in 2010, M.Labs, LLC in 2014, Proximic, Inc. in 2015, and Compete, Inc. in 2016. As consumer media consumption and the ava</w:t>
      </w:r>
      <w:r>
        <w:rPr>
          <w:rFonts w:eastAsia="Times New Roman"/>
          <w:color w:val="000000"/>
          <w:sz w:val="20"/>
          <w:szCs w:val="20"/>
        </w:rPr>
        <w:t>ilability of television and video programming expanded across a myriad of consumer devices, the ability to measure this dynamic cross-platform world became more important for buyers and sellers of advertising. In response, we pioneered a cross-platform mea</w:t>
      </w:r>
      <w:r>
        <w:rPr>
          <w:rFonts w:eastAsia="Times New Roman"/>
          <w:color w:val="000000"/>
          <w:sz w:val="20"/>
          <w:szCs w:val="20"/>
        </w:rPr>
        <w:t>surement solution in 2015 with the launch of Xmedia. This cross-platform measurement strategy led to our 2015 strategic alliance with WPP plc (together with its affiliates, "WPP"), one of the largest communications services businesses in the world, and our</w:t>
      </w:r>
      <w:r>
        <w:rPr>
          <w:rFonts w:eastAsia="Times New Roman"/>
          <w:color w:val="000000"/>
          <w:sz w:val="20"/>
          <w:szCs w:val="20"/>
        </w:rPr>
        <w:t xml:space="preserve"> 2016 merger with Rentrak Corporation ("Rentrak"), a global media measurement and advanced consumer targeting company serving the entertainment, television, video and advertising industries. Following the Rentrak merger, we have access to millions of telev</w:t>
      </w:r>
      <w:r>
        <w:rPr>
          <w:rFonts w:eastAsia="Times New Roman"/>
          <w:color w:val="000000"/>
          <w:sz w:val="20"/>
          <w:szCs w:val="20"/>
        </w:rPr>
        <w:t>ision and video on demand ("VOD") screens and the ability to measure box office results from movie screens across the world. We also have an opt-in Total Home Panel, which enables measurement of household devices that use a home's internet connection, whet</w:t>
      </w:r>
      <w:r>
        <w:rPr>
          <w:rFonts w:eastAsia="Times New Roman"/>
          <w:color w:val="000000"/>
          <w:sz w:val="20"/>
          <w:szCs w:val="20"/>
        </w:rPr>
        <w:t>her traditional mobile and computer devices, streaming media devices, gaming consoles or Internet of Things ("IOT") devices, which may include devices such as smart speakers, thermostats, and appliances.</w:t>
      </w:r>
    </w:p>
    <w:p w14:paraId="00598BBE" w14:textId="77777777" w:rsidR="00000000" w:rsidRDefault="00E614A4">
      <w:pPr>
        <w:jc w:val="both"/>
        <w:divId w:val="680012879"/>
        <w:rPr>
          <w:rFonts w:eastAsia="Times New Roman"/>
        </w:rPr>
      </w:pPr>
      <w:r>
        <w:rPr>
          <w:rFonts w:eastAsia="Times New Roman"/>
          <w:b/>
          <w:bCs/>
          <w:color w:val="000000"/>
          <w:sz w:val="20"/>
          <w:szCs w:val="20"/>
        </w:rPr>
        <w:t>Our Approach to Media Measurement</w:t>
      </w:r>
    </w:p>
    <w:p w14:paraId="0652A0CA" w14:textId="77777777" w:rsidR="00000000" w:rsidRDefault="00E614A4">
      <w:pPr>
        <w:jc w:val="both"/>
        <w:divId w:val="1727414890"/>
        <w:rPr>
          <w:rFonts w:eastAsia="Times New Roman"/>
        </w:rPr>
      </w:pPr>
      <w:r>
        <w:rPr>
          <w:rFonts w:eastAsia="Times New Roman"/>
          <w:color w:val="000000"/>
          <w:sz w:val="20"/>
          <w:szCs w:val="20"/>
        </w:rPr>
        <w:t>Our approach to measuring media consumption addresses the ubiquitous nature of media content and the fragmentation caused by the variety of platforms and technologies used to access such content. Advertising exposure and e</w:t>
      </w:r>
      <w:r>
        <w:rPr>
          <w:rFonts w:eastAsia="Times New Roman"/>
          <w:color w:val="000000"/>
          <w:sz w:val="20"/>
          <w:szCs w:val="20"/>
        </w:rPr>
        <w:t xml:space="preserve">ffectiveness is another rapidly changing and fragmented area where we apply scale for validation and campaign measurement across devices, platforms and ecosystem technology providers. We believe this fragmentation presents major challenges to using legacy </w:t>
      </w:r>
      <w:r>
        <w:rPr>
          <w:rFonts w:eastAsia="Times New Roman"/>
          <w:color w:val="000000"/>
          <w:sz w:val="20"/>
          <w:szCs w:val="20"/>
        </w:rPr>
        <w:t>measurement systems that are comprised of relatively small panels of cooperating consumers or limited to specific media platforms. Our products and services are built on measurement and analytic capabilities comprised of broad-based data collection, propri</w:t>
      </w:r>
      <w:r>
        <w:rPr>
          <w:rFonts w:eastAsia="Times New Roman"/>
          <w:color w:val="000000"/>
          <w:sz w:val="20"/>
          <w:szCs w:val="20"/>
        </w:rPr>
        <w:t>etary databases, internally developed software and a computational infrastructure to measure, analyze and report on digital, television and movie activity at the level of granularity that we believe the media and advertising industries need.</w:t>
      </w:r>
    </w:p>
    <w:p w14:paraId="2AEF11AB" w14:textId="77777777" w:rsidR="00000000" w:rsidRDefault="00E614A4">
      <w:pPr>
        <w:jc w:val="both"/>
        <w:divId w:val="1728072431"/>
        <w:rPr>
          <w:rFonts w:eastAsia="Times New Roman"/>
        </w:rPr>
      </w:pPr>
      <w:r>
        <w:rPr>
          <w:rFonts w:eastAsia="Times New Roman"/>
          <w:color w:val="000000"/>
          <w:sz w:val="20"/>
          <w:szCs w:val="20"/>
          <w:u w:val="single"/>
        </w:rPr>
        <w:t>Data Collectio</w:t>
      </w:r>
      <w:r>
        <w:rPr>
          <w:rFonts w:eastAsia="Times New Roman"/>
          <w:color w:val="000000"/>
          <w:sz w:val="20"/>
          <w:szCs w:val="20"/>
          <w:u w:val="single"/>
        </w:rPr>
        <w:t xml:space="preserve">n </w:t>
      </w:r>
    </w:p>
    <w:p w14:paraId="30859C62" w14:textId="77777777" w:rsidR="00000000" w:rsidRDefault="00E614A4">
      <w:pPr>
        <w:jc w:val="both"/>
        <w:divId w:val="1070270539"/>
        <w:rPr>
          <w:rFonts w:eastAsia="Times New Roman"/>
        </w:rPr>
      </w:pPr>
      <w:r>
        <w:rPr>
          <w:rFonts w:eastAsia="Times New Roman"/>
          <w:color w:val="000000"/>
          <w:sz w:val="20"/>
          <w:szCs w:val="20"/>
        </w:rPr>
        <w:t>The following collection methods illustrate our extensive data sourcing:</w:t>
      </w:r>
    </w:p>
    <w:p w14:paraId="10CD254C" w14:textId="77777777" w:rsidR="00000000" w:rsidRDefault="00E614A4">
      <w:pPr>
        <w:ind w:hanging="360"/>
        <w:jc w:val="both"/>
        <w:divId w:val="968626671"/>
        <w:rPr>
          <w:rFonts w:eastAsia="Times New Roman"/>
        </w:rPr>
      </w:pPr>
      <w:r>
        <w:rPr>
          <w:rFonts w:eastAsia="Times New Roman"/>
          <w:color w:val="000000"/>
          <w:sz w:val="20"/>
          <w:szCs w:val="20"/>
        </w:rPr>
        <w:t>•We collect data from proprietary consumer panels that measure the use of computers, tablets and smartphones that access the internet. These panelists have agreed to install our pa</w:t>
      </w:r>
      <w:r>
        <w:rPr>
          <w:rFonts w:eastAsia="Times New Roman"/>
          <w:color w:val="000000"/>
          <w:sz w:val="20"/>
          <w:szCs w:val="20"/>
        </w:rPr>
        <w:t>ssive metering software on their devices, home network or both.</w:t>
      </w:r>
    </w:p>
    <w:p w14:paraId="291C8D98" w14:textId="77777777" w:rsidR="00000000" w:rsidRDefault="00E614A4">
      <w:pPr>
        <w:ind w:hanging="360"/>
        <w:jc w:val="both"/>
        <w:divId w:val="56176134"/>
        <w:rPr>
          <w:rFonts w:eastAsia="Times New Roman"/>
        </w:rPr>
      </w:pPr>
      <w:r>
        <w:rPr>
          <w:rFonts w:eastAsia="Times New Roman"/>
          <w:color w:val="000000"/>
          <w:sz w:val="20"/>
          <w:szCs w:val="20"/>
        </w:rPr>
        <w:t>•We collect data from our near-census digital network whereby content publishers implement our software code (referred to as "tagging") on their websites, in mobile applications and video play</w:t>
      </w:r>
      <w:r>
        <w:rPr>
          <w:rFonts w:eastAsia="Times New Roman"/>
          <w:color w:val="000000"/>
          <w:sz w:val="20"/>
          <w:szCs w:val="20"/>
        </w:rPr>
        <w:t xml:space="preserve">ers to provide us usage information. </w:t>
      </w:r>
    </w:p>
    <w:p w14:paraId="4770CC29" w14:textId="77777777" w:rsidR="00000000" w:rsidRDefault="00E614A4">
      <w:pPr>
        <w:ind w:hanging="360"/>
        <w:jc w:val="both"/>
        <w:divId w:val="768627515"/>
        <w:rPr>
          <w:rFonts w:eastAsia="Times New Roman"/>
        </w:rPr>
      </w:pPr>
      <w:r>
        <w:rPr>
          <w:rFonts w:eastAsia="Times New Roman"/>
          <w:color w:val="000000"/>
          <w:sz w:val="20"/>
          <w:szCs w:val="20"/>
        </w:rPr>
        <w:t>•We license certain demographic and behavioral mobile and panel data from third-party data providers.</w:t>
      </w:r>
    </w:p>
    <w:p w14:paraId="4D550B1C" w14:textId="77777777" w:rsidR="00000000" w:rsidRDefault="00E614A4">
      <w:pPr>
        <w:jc w:val="center"/>
        <w:divId w:val="614363629"/>
        <w:rPr>
          <w:rFonts w:eastAsia="Times New Roman"/>
        </w:rPr>
      </w:pPr>
      <w:r>
        <w:rPr>
          <w:rFonts w:eastAsia="Times New Roman"/>
          <w:color w:val="000000"/>
          <w:sz w:val="20"/>
          <w:szCs w:val="20"/>
        </w:rPr>
        <w:t>2</w:t>
      </w:r>
    </w:p>
    <w:p w14:paraId="52981AF8" w14:textId="77777777" w:rsidR="00000000" w:rsidRDefault="00E614A4">
      <w:pPr>
        <w:rPr>
          <w:rFonts w:eastAsia="Times New Roman"/>
        </w:rPr>
      </w:pPr>
      <w:r>
        <w:rPr>
          <w:rFonts w:eastAsia="Times New Roman"/>
        </w:rPr>
        <w:pict w14:anchorId="54034458">
          <v:rect id="_x0000_i1029" style="width:0;height:1.5pt" o:hralign="center" o:hrstd="t" o:hr="t" fillcolor="#a0a0a0" stroked="f"/>
        </w:pict>
      </w:r>
    </w:p>
    <w:p w14:paraId="304F8837" w14:textId="77777777" w:rsidR="00000000" w:rsidRDefault="00E614A4">
      <w:pPr>
        <w:divId w:val="1006636787"/>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62983F0" w14:textId="77777777" w:rsidR="00000000" w:rsidRDefault="00E614A4">
      <w:pPr>
        <w:divId w:val="170728139"/>
        <w:rPr>
          <w:rFonts w:eastAsia="Times New Roman"/>
        </w:rPr>
      </w:pPr>
    </w:p>
    <w:p w14:paraId="31B785D9" w14:textId="77777777" w:rsidR="00000000" w:rsidRDefault="00E614A4">
      <w:pPr>
        <w:ind w:hanging="360"/>
        <w:jc w:val="both"/>
        <w:divId w:val="255139220"/>
        <w:rPr>
          <w:rFonts w:eastAsia="Times New Roman"/>
        </w:rPr>
      </w:pPr>
      <w:r>
        <w:rPr>
          <w:rFonts w:eastAsia="Times New Roman"/>
          <w:color w:val="000000"/>
          <w:sz w:val="20"/>
          <w:szCs w:val="20"/>
        </w:rPr>
        <w:t>•We obtain television viewership information from satellite, telecommunications, connected (Smart) TV and cable operators covering millions of television and VOD screens.</w:t>
      </w:r>
    </w:p>
    <w:p w14:paraId="6896B2D1" w14:textId="77777777" w:rsidR="00000000" w:rsidRDefault="00E614A4">
      <w:pPr>
        <w:ind w:hanging="360"/>
        <w:jc w:val="both"/>
        <w:divId w:val="1378239069"/>
        <w:rPr>
          <w:rFonts w:eastAsia="Times New Roman"/>
        </w:rPr>
      </w:pPr>
      <w:r>
        <w:rPr>
          <w:rFonts w:eastAsia="Times New Roman"/>
          <w:color w:val="000000"/>
          <w:sz w:val="20"/>
          <w:szCs w:val="20"/>
        </w:rPr>
        <w:t xml:space="preserve">•We measure gross receipts </w:t>
      </w:r>
      <w:r>
        <w:rPr>
          <w:rFonts w:eastAsia="Times New Roman"/>
          <w:color w:val="000000"/>
          <w:sz w:val="20"/>
          <w:szCs w:val="20"/>
        </w:rPr>
        <w:t>and attendance information from movie screens across the world.</w:t>
      </w:r>
    </w:p>
    <w:p w14:paraId="7856E5B9" w14:textId="77777777" w:rsidR="00000000" w:rsidRDefault="00E614A4">
      <w:pPr>
        <w:ind w:hanging="360"/>
        <w:jc w:val="both"/>
        <w:divId w:val="1952391344"/>
        <w:rPr>
          <w:rFonts w:eastAsia="Times New Roman"/>
        </w:rPr>
      </w:pPr>
      <w:r>
        <w:rPr>
          <w:rFonts w:eastAsia="Times New Roman"/>
          <w:color w:val="000000"/>
          <w:sz w:val="20"/>
          <w:szCs w:val="20"/>
        </w:rPr>
        <w:t>•We integrate our digital and television viewership information with other third-party datasets that include consumer demographic characteristics, attitudes, lifestyles and purchase behavior.</w:t>
      </w:r>
    </w:p>
    <w:p w14:paraId="38B7D654" w14:textId="77777777" w:rsidR="00000000" w:rsidRDefault="00E614A4">
      <w:pPr>
        <w:ind w:hanging="360"/>
        <w:jc w:val="both"/>
        <w:divId w:val="58865964"/>
        <w:rPr>
          <w:rFonts w:eastAsia="Times New Roman"/>
        </w:rPr>
      </w:pPr>
      <w:r>
        <w:rPr>
          <w:rFonts w:eastAsia="Times New Roman"/>
          <w:color w:val="000000"/>
          <w:sz w:val="20"/>
          <w:szCs w:val="20"/>
        </w:rPr>
        <w:t>•We integrate many of our services with ad serving platforms.</w:t>
      </w:r>
    </w:p>
    <w:p w14:paraId="7FA6328C" w14:textId="77777777" w:rsidR="00000000" w:rsidRDefault="00E614A4">
      <w:pPr>
        <w:ind w:hanging="360"/>
        <w:jc w:val="both"/>
        <w:divId w:val="1768234261"/>
        <w:rPr>
          <w:rFonts w:eastAsia="Times New Roman"/>
        </w:rPr>
      </w:pPr>
      <w:r>
        <w:rPr>
          <w:rFonts w:eastAsia="Times New Roman"/>
          <w:color w:val="000000"/>
          <w:sz w:val="20"/>
          <w:szCs w:val="20"/>
        </w:rPr>
        <w:t>•We utilize knowledgeable in-house industry analysts that span verticals such as pharmaceuticals, media, finance, consumer packaged goods and political information to add value to our data.</w:t>
      </w:r>
    </w:p>
    <w:p w14:paraId="25EE237D" w14:textId="77777777" w:rsidR="00000000" w:rsidRDefault="00E614A4">
      <w:pPr>
        <w:ind w:hanging="360"/>
        <w:jc w:val="both"/>
        <w:divId w:val="1295137795"/>
        <w:rPr>
          <w:rFonts w:eastAsia="Times New Roman"/>
        </w:rPr>
      </w:pPr>
      <w:r>
        <w:rPr>
          <w:rFonts w:eastAsia="Times New Roman"/>
          <w:color w:val="000000"/>
          <w:sz w:val="20"/>
          <w:szCs w:val="20"/>
        </w:rPr>
        <w:t xml:space="preserve">•We </w:t>
      </w:r>
      <w:r>
        <w:rPr>
          <w:rFonts w:eastAsia="Times New Roman"/>
          <w:color w:val="000000"/>
          <w:sz w:val="20"/>
          <w:szCs w:val="20"/>
        </w:rPr>
        <w:t>have created an opt-in Total Home Panel, which can capture data that runs through a home's internet connection. This expands our intelligence to include such activity as game console and IOT device usage.</w:t>
      </w:r>
    </w:p>
    <w:p w14:paraId="3BD44B5A" w14:textId="77777777" w:rsidR="00000000" w:rsidRDefault="00E614A4">
      <w:pPr>
        <w:jc w:val="both"/>
        <w:divId w:val="1407143535"/>
        <w:rPr>
          <w:rFonts w:eastAsia="Times New Roman"/>
        </w:rPr>
      </w:pPr>
      <w:r>
        <w:rPr>
          <w:rFonts w:eastAsia="Times New Roman"/>
          <w:color w:val="000000"/>
          <w:sz w:val="20"/>
          <w:szCs w:val="20"/>
          <w:u w:val="single"/>
        </w:rPr>
        <w:t>Data Science and Management</w:t>
      </w:r>
    </w:p>
    <w:p w14:paraId="5A5B8679" w14:textId="77777777" w:rsidR="00000000" w:rsidRDefault="00E614A4">
      <w:pPr>
        <w:jc w:val="both"/>
        <w:divId w:val="700790674"/>
        <w:rPr>
          <w:rFonts w:eastAsia="Times New Roman"/>
        </w:rPr>
      </w:pPr>
      <w:r>
        <w:rPr>
          <w:rFonts w:eastAsia="Times New Roman"/>
          <w:color w:val="000000"/>
          <w:sz w:val="20"/>
          <w:szCs w:val="20"/>
        </w:rPr>
        <w:t>The ability to integrat</w:t>
      </w:r>
      <w:r>
        <w:rPr>
          <w:rFonts w:eastAsia="Times New Roman"/>
          <w:color w:val="000000"/>
          <w:sz w:val="20"/>
          <w:szCs w:val="20"/>
        </w:rPr>
        <w:t>e, manage and transform massive amounts of data is core to our company. We continue to invest in technologies to enable large-scale measurement with protection of consumer privacy and attractive economics. Our systems contain multiple redundancies and adva</w:t>
      </w:r>
      <w:r>
        <w:rPr>
          <w:rFonts w:eastAsia="Times New Roman"/>
          <w:color w:val="000000"/>
          <w:sz w:val="20"/>
          <w:szCs w:val="20"/>
        </w:rPr>
        <w:t>nced distributed processing technologies. We have created innovations such as:</w:t>
      </w:r>
    </w:p>
    <w:p w14:paraId="0442B471" w14:textId="77777777" w:rsidR="00000000" w:rsidRDefault="00E614A4">
      <w:pPr>
        <w:ind w:hanging="360"/>
        <w:jc w:val="both"/>
        <w:divId w:val="1250011"/>
        <w:rPr>
          <w:rFonts w:eastAsia="Times New Roman"/>
        </w:rPr>
      </w:pPr>
      <w:r>
        <w:rPr>
          <w:rFonts w:eastAsia="Times New Roman"/>
          <w:color w:val="000000"/>
          <w:sz w:val="20"/>
          <w:szCs w:val="20"/>
        </w:rPr>
        <w:t>•Our UDM methodology, which allows us to combine person-centric panel data with website server data. We believe this gives our customers greater accuracy, granularity and releva</w:t>
      </w:r>
      <w:r>
        <w:rPr>
          <w:rFonts w:eastAsia="Times New Roman"/>
          <w:color w:val="000000"/>
          <w:sz w:val="20"/>
          <w:szCs w:val="20"/>
        </w:rPr>
        <w:t xml:space="preserve">nce in audience measurement. </w:t>
      </w:r>
    </w:p>
    <w:p w14:paraId="0E10F66C" w14:textId="77777777" w:rsidR="00000000" w:rsidRDefault="00E614A4">
      <w:pPr>
        <w:ind w:hanging="360"/>
        <w:jc w:val="both"/>
        <w:divId w:val="1464346732"/>
        <w:rPr>
          <w:rFonts w:eastAsia="Times New Roman"/>
        </w:rPr>
      </w:pPr>
      <w:r>
        <w:rPr>
          <w:rFonts w:eastAsia="Times New Roman"/>
          <w:color w:val="000000"/>
          <w:sz w:val="20"/>
          <w:szCs w:val="20"/>
        </w:rPr>
        <w:t>•</w:t>
      </w:r>
      <w:r>
        <w:rPr>
          <w:rFonts w:eastAsia="Times New Roman"/>
          <w:color w:val="000000"/>
          <w:sz w:val="20"/>
          <w:szCs w:val="20"/>
        </w:rPr>
        <w:t>Our TV measurement systems, underpinned by multiple patents, which enable us to provide a consistent measurement of TV audience sizes across national, local, and addressable television to customers evaluating programming as well as customers selling and bu</w:t>
      </w:r>
      <w:r>
        <w:rPr>
          <w:rFonts w:eastAsia="Times New Roman"/>
          <w:color w:val="000000"/>
          <w:sz w:val="20"/>
          <w:szCs w:val="20"/>
        </w:rPr>
        <w:t xml:space="preserve">ying TV advertising. </w:t>
      </w:r>
    </w:p>
    <w:p w14:paraId="3BCA3685" w14:textId="77777777" w:rsidR="00000000" w:rsidRDefault="00E614A4">
      <w:pPr>
        <w:ind w:hanging="360"/>
        <w:jc w:val="both"/>
        <w:divId w:val="1277132129"/>
        <w:rPr>
          <w:rFonts w:eastAsia="Times New Roman"/>
        </w:rPr>
      </w:pPr>
      <w:r>
        <w:rPr>
          <w:rFonts w:eastAsia="Times New Roman"/>
          <w:color w:val="000000"/>
          <w:sz w:val="20"/>
          <w:szCs w:val="20"/>
        </w:rPr>
        <w:t>•An ability to de-duplicate audiences across platforms, which is based on direct observations within our consumer panel and census data combined with proprietary data science. This de-duplication allows us to measure the reach and fre</w:t>
      </w:r>
      <w:r>
        <w:rPr>
          <w:rFonts w:eastAsia="Times New Roman"/>
          <w:color w:val="000000"/>
          <w:sz w:val="20"/>
          <w:szCs w:val="20"/>
        </w:rPr>
        <w:t>quency of advertising and content exposure across platforms and over time.</w:t>
      </w:r>
    </w:p>
    <w:p w14:paraId="579A6960" w14:textId="77777777" w:rsidR="00000000" w:rsidRDefault="00E614A4">
      <w:pPr>
        <w:ind w:hanging="360"/>
        <w:jc w:val="both"/>
        <w:divId w:val="461509188"/>
        <w:rPr>
          <w:rFonts w:eastAsia="Times New Roman"/>
        </w:rPr>
      </w:pPr>
      <w:r>
        <w:rPr>
          <w:rFonts w:eastAsia="Times New Roman"/>
          <w:color w:val="000000"/>
          <w:sz w:val="20"/>
          <w:szCs w:val="20"/>
        </w:rPr>
        <w:t>•</w:t>
      </w:r>
      <w:r>
        <w:rPr>
          <w:rFonts w:eastAsia="Times New Roman"/>
          <w:color w:val="000000"/>
          <w:sz w:val="20"/>
          <w:szCs w:val="20"/>
        </w:rPr>
        <w:t>An ability to validate advertising delivery and detect fraud through our Invalid Traffic and Sophisticated Invalid Traffic filtration methods. These methods have been accredited by the Media Rating Council, which provides our customers with added assurance</w:t>
      </w:r>
      <w:r>
        <w:rPr>
          <w:rFonts w:eastAsia="Times New Roman"/>
          <w:color w:val="000000"/>
          <w:sz w:val="20"/>
          <w:szCs w:val="20"/>
        </w:rPr>
        <w:t>s of validity and reliability.</w:t>
      </w:r>
    </w:p>
    <w:p w14:paraId="59C978A4" w14:textId="77777777" w:rsidR="00000000" w:rsidRDefault="00E614A4">
      <w:pPr>
        <w:ind w:hanging="360"/>
        <w:jc w:val="both"/>
        <w:divId w:val="1014499216"/>
        <w:rPr>
          <w:rFonts w:eastAsia="Times New Roman"/>
        </w:rPr>
      </w:pPr>
      <w:r>
        <w:rPr>
          <w:rFonts w:eastAsia="Times New Roman"/>
          <w:color w:val="000000"/>
          <w:sz w:val="20"/>
          <w:szCs w:val="20"/>
        </w:rPr>
        <w:t>•An ability to capture the full content of a website or app session, which allows us to measure activity beyond page views such as purchase transactions, application submissions and product configurations.</w:t>
      </w:r>
    </w:p>
    <w:p w14:paraId="21261395" w14:textId="77777777" w:rsidR="00000000" w:rsidRDefault="00E614A4">
      <w:pPr>
        <w:ind w:hanging="360"/>
        <w:jc w:val="both"/>
        <w:divId w:val="621763677"/>
        <w:rPr>
          <w:rFonts w:eastAsia="Times New Roman"/>
        </w:rPr>
      </w:pPr>
      <w:r>
        <w:rPr>
          <w:rFonts w:eastAsia="Times New Roman"/>
          <w:color w:val="000000"/>
          <w:sz w:val="20"/>
          <w:szCs w:val="20"/>
        </w:rPr>
        <w:t>•An ability to inte</w:t>
      </w:r>
      <w:r>
        <w:rPr>
          <w:rFonts w:eastAsia="Times New Roman"/>
          <w:color w:val="000000"/>
          <w:sz w:val="20"/>
          <w:szCs w:val="20"/>
        </w:rPr>
        <w:t>lligently categorize massive amounts of web and video content, which allows us to inform targeted and brand-safe advertising.</w:t>
      </w:r>
    </w:p>
    <w:p w14:paraId="4CC9F31A" w14:textId="77777777" w:rsidR="00000000" w:rsidRDefault="00E614A4">
      <w:pPr>
        <w:jc w:val="both"/>
        <w:divId w:val="44187837"/>
        <w:rPr>
          <w:rFonts w:eastAsia="Times New Roman"/>
        </w:rPr>
      </w:pPr>
      <w:r>
        <w:rPr>
          <w:rFonts w:eastAsia="Times New Roman"/>
          <w:color w:val="000000"/>
          <w:sz w:val="20"/>
          <w:szCs w:val="20"/>
          <w:u w:val="single"/>
        </w:rPr>
        <w:t>Product Delivery</w:t>
      </w:r>
    </w:p>
    <w:p w14:paraId="7A7FFA38" w14:textId="77777777" w:rsidR="00000000" w:rsidRDefault="00E614A4">
      <w:pPr>
        <w:jc w:val="both"/>
        <w:divId w:val="814955668"/>
        <w:rPr>
          <w:rFonts w:eastAsia="Times New Roman"/>
        </w:rPr>
      </w:pPr>
      <w:r>
        <w:rPr>
          <w:rFonts w:eastAsia="Times New Roman"/>
          <w:color w:val="000000"/>
          <w:sz w:val="20"/>
          <w:szCs w:val="20"/>
        </w:rPr>
        <w:t>We deliver our products and services through diverse methods to meet the needs of our customers. These include So</w:t>
      </w:r>
      <w:r>
        <w:rPr>
          <w:rFonts w:eastAsia="Times New Roman"/>
          <w:color w:val="000000"/>
          <w:sz w:val="20"/>
          <w:szCs w:val="20"/>
        </w:rPr>
        <w:t>ftware-as-a-Service delivery platforms, application programming interface and other data feeds that integrate directly with customer systems, and integrations with advertising technology providers such as data management platforms and demand-side platforms</w:t>
      </w:r>
      <w:r>
        <w:rPr>
          <w:rFonts w:eastAsia="Times New Roman"/>
          <w:color w:val="000000"/>
          <w:sz w:val="20"/>
          <w:szCs w:val="20"/>
        </w:rPr>
        <w:t xml:space="preserve"> that enable data management, ad management and programmatic ad trading.</w:t>
      </w:r>
    </w:p>
    <w:p w14:paraId="1AAF2504" w14:textId="77777777" w:rsidR="00000000" w:rsidRDefault="00E614A4">
      <w:pPr>
        <w:jc w:val="both"/>
        <w:divId w:val="367220186"/>
        <w:rPr>
          <w:rFonts w:eastAsia="Times New Roman"/>
        </w:rPr>
      </w:pPr>
      <w:r>
        <w:rPr>
          <w:rFonts w:eastAsia="Times New Roman"/>
          <w:b/>
          <w:bCs/>
          <w:color w:val="000000"/>
          <w:sz w:val="20"/>
          <w:szCs w:val="20"/>
        </w:rPr>
        <w:t>Our Products and Services</w:t>
      </w:r>
    </w:p>
    <w:p w14:paraId="4C2BC8DE" w14:textId="77777777" w:rsidR="00000000" w:rsidRDefault="00E614A4">
      <w:pPr>
        <w:jc w:val="both"/>
        <w:divId w:val="645671337"/>
        <w:rPr>
          <w:rFonts w:eastAsia="Times New Roman"/>
        </w:rPr>
      </w:pPr>
      <w:r>
        <w:rPr>
          <w:rFonts w:eastAsia="Times New Roman"/>
          <w:color w:val="000000"/>
          <w:sz w:val="20"/>
          <w:szCs w:val="20"/>
        </w:rPr>
        <w:t>Our products and services help our customers measure audiences and consumer behavior across media platforms, while offering validation of advertising deliver</w:t>
      </w:r>
      <w:r>
        <w:rPr>
          <w:rFonts w:eastAsia="Times New Roman"/>
          <w:color w:val="000000"/>
          <w:sz w:val="20"/>
          <w:szCs w:val="20"/>
        </w:rPr>
        <w:t>y and its effectiveness. Our customers include:</w:t>
      </w:r>
    </w:p>
    <w:p w14:paraId="46C5D240" w14:textId="77777777" w:rsidR="00000000" w:rsidRDefault="00E614A4">
      <w:pPr>
        <w:ind w:hanging="360"/>
        <w:jc w:val="both"/>
        <w:divId w:val="1542790325"/>
        <w:rPr>
          <w:rFonts w:eastAsia="Times New Roman"/>
        </w:rPr>
      </w:pPr>
      <w:r>
        <w:rPr>
          <w:rFonts w:eastAsia="Times New Roman"/>
          <w:color w:val="000000"/>
          <w:sz w:val="20"/>
          <w:szCs w:val="20"/>
        </w:rPr>
        <w:t>•Local and national television broadcasters and content owners;</w:t>
      </w:r>
    </w:p>
    <w:p w14:paraId="2E1FC6C7" w14:textId="77777777" w:rsidR="00000000" w:rsidRDefault="00E614A4">
      <w:pPr>
        <w:ind w:hanging="360"/>
        <w:jc w:val="both"/>
        <w:divId w:val="1554384104"/>
        <w:rPr>
          <w:rFonts w:eastAsia="Times New Roman"/>
        </w:rPr>
      </w:pPr>
      <w:r>
        <w:rPr>
          <w:rFonts w:eastAsia="Times New Roman"/>
          <w:color w:val="000000"/>
          <w:sz w:val="20"/>
          <w:szCs w:val="20"/>
        </w:rPr>
        <w:t>•Network operators including cable companies, mobile operators and internet service providers;</w:t>
      </w:r>
    </w:p>
    <w:p w14:paraId="14199EDB" w14:textId="77777777" w:rsidR="00000000" w:rsidRDefault="00E614A4">
      <w:pPr>
        <w:ind w:hanging="360"/>
        <w:jc w:val="both"/>
        <w:divId w:val="993409872"/>
        <w:rPr>
          <w:rFonts w:eastAsia="Times New Roman"/>
        </w:rPr>
      </w:pPr>
      <w:r>
        <w:rPr>
          <w:rFonts w:eastAsia="Times New Roman"/>
          <w:color w:val="000000"/>
          <w:sz w:val="20"/>
          <w:szCs w:val="20"/>
        </w:rPr>
        <w:t>•OTT providers and distributors of streaming vide</w:t>
      </w:r>
      <w:r>
        <w:rPr>
          <w:rFonts w:eastAsia="Times New Roman"/>
          <w:color w:val="000000"/>
          <w:sz w:val="20"/>
          <w:szCs w:val="20"/>
        </w:rPr>
        <w:t>o content;</w:t>
      </w:r>
    </w:p>
    <w:p w14:paraId="35EFF3E0" w14:textId="77777777" w:rsidR="00000000" w:rsidRDefault="00E614A4">
      <w:pPr>
        <w:ind w:hanging="360"/>
        <w:jc w:val="both"/>
        <w:divId w:val="2093121116"/>
        <w:rPr>
          <w:rFonts w:eastAsia="Times New Roman"/>
        </w:rPr>
      </w:pPr>
      <w:r>
        <w:rPr>
          <w:rFonts w:eastAsia="Times New Roman"/>
          <w:color w:val="000000"/>
          <w:sz w:val="20"/>
          <w:szCs w:val="20"/>
        </w:rPr>
        <w:t xml:space="preserve">•Digital content publishers and internet technology companies; </w:t>
      </w:r>
    </w:p>
    <w:p w14:paraId="516BBAAE" w14:textId="77777777" w:rsidR="00000000" w:rsidRDefault="00E614A4">
      <w:pPr>
        <w:ind w:hanging="360"/>
        <w:jc w:val="both"/>
        <w:divId w:val="795954458"/>
        <w:rPr>
          <w:rFonts w:eastAsia="Times New Roman"/>
        </w:rPr>
      </w:pPr>
      <w:r>
        <w:rPr>
          <w:rFonts w:eastAsia="Times New Roman"/>
          <w:color w:val="000000"/>
          <w:sz w:val="20"/>
          <w:szCs w:val="20"/>
        </w:rPr>
        <w:t xml:space="preserve">•Advertising technology companies that aggregate supply and demand side inventory for sale to end customers; </w:t>
      </w:r>
    </w:p>
    <w:p w14:paraId="2CE58B0A" w14:textId="77777777" w:rsidR="00000000" w:rsidRDefault="00E614A4">
      <w:pPr>
        <w:ind w:hanging="360"/>
        <w:jc w:val="both"/>
        <w:divId w:val="204607909"/>
        <w:rPr>
          <w:rFonts w:eastAsia="Times New Roman"/>
        </w:rPr>
      </w:pPr>
      <w:r>
        <w:rPr>
          <w:rFonts w:eastAsia="Times New Roman"/>
          <w:color w:val="000000"/>
          <w:sz w:val="20"/>
          <w:szCs w:val="20"/>
        </w:rPr>
        <w:t>•Advertising agencies;</w:t>
      </w:r>
    </w:p>
    <w:p w14:paraId="7D13D2B3" w14:textId="77777777" w:rsidR="00000000" w:rsidRDefault="00E614A4">
      <w:pPr>
        <w:ind w:hanging="360"/>
        <w:jc w:val="both"/>
        <w:divId w:val="1935818928"/>
        <w:rPr>
          <w:rFonts w:eastAsia="Times New Roman"/>
        </w:rPr>
      </w:pPr>
      <w:r>
        <w:rPr>
          <w:rFonts w:eastAsia="Times New Roman"/>
          <w:color w:val="000000"/>
          <w:sz w:val="20"/>
          <w:szCs w:val="20"/>
        </w:rPr>
        <w:t>•Movie studios and movie theater operators;</w:t>
      </w:r>
    </w:p>
    <w:p w14:paraId="7C871595" w14:textId="77777777" w:rsidR="00000000" w:rsidRDefault="00E614A4">
      <w:pPr>
        <w:ind w:hanging="360"/>
        <w:jc w:val="both"/>
        <w:divId w:val="1050230334"/>
        <w:rPr>
          <w:rFonts w:eastAsia="Times New Roman"/>
        </w:rPr>
      </w:pPr>
      <w:r>
        <w:rPr>
          <w:rFonts w:eastAsia="Times New Roman"/>
          <w:color w:val="000000"/>
          <w:sz w:val="20"/>
          <w:szCs w:val="20"/>
        </w:rPr>
        <w:t>•Fin</w:t>
      </w:r>
      <w:r>
        <w:rPr>
          <w:rFonts w:eastAsia="Times New Roman"/>
          <w:color w:val="000000"/>
          <w:sz w:val="20"/>
          <w:szCs w:val="20"/>
        </w:rPr>
        <w:t>ancial service companies, including buy and sell-side investment firms, consumer banks and credit card issuers;</w:t>
      </w:r>
    </w:p>
    <w:p w14:paraId="6553FF5F" w14:textId="77777777" w:rsidR="00000000" w:rsidRDefault="00E614A4">
      <w:pPr>
        <w:ind w:hanging="360"/>
        <w:jc w:val="both"/>
        <w:divId w:val="1580289766"/>
        <w:rPr>
          <w:rFonts w:eastAsia="Times New Roman"/>
        </w:rPr>
      </w:pPr>
      <w:r>
        <w:rPr>
          <w:rFonts w:eastAsia="Times New Roman"/>
          <w:color w:val="000000"/>
          <w:sz w:val="20"/>
          <w:szCs w:val="20"/>
        </w:rPr>
        <w:t>•Manufacturers and retailers of consumer products such as consumer packaged goods, pharmaceuticals, automotive and electronics; and</w:t>
      </w:r>
    </w:p>
    <w:p w14:paraId="6278BE4B" w14:textId="77777777" w:rsidR="00000000" w:rsidRDefault="00E614A4">
      <w:pPr>
        <w:ind w:hanging="360"/>
        <w:jc w:val="both"/>
        <w:divId w:val="1877934956"/>
        <w:rPr>
          <w:rFonts w:eastAsia="Times New Roman"/>
        </w:rPr>
      </w:pPr>
      <w:r>
        <w:rPr>
          <w:rFonts w:eastAsia="Times New Roman"/>
          <w:color w:val="000000"/>
          <w:sz w:val="20"/>
          <w:szCs w:val="20"/>
        </w:rPr>
        <w:t>•Political c</w:t>
      </w:r>
      <w:r>
        <w:rPr>
          <w:rFonts w:eastAsia="Times New Roman"/>
          <w:color w:val="000000"/>
          <w:sz w:val="20"/>
          <w:szCs w:val="20"/>
        </w:rPr>
        <w:t xml:space="preserve">ampaigns and related organizations. </w:t>
      </w:r>
    </w:p>
    <w:p w14:paraId="4D293AD5" w14:textId="77777777" w:rsidR="00000000" w:rsidRDefault="00E614A4">
      <w:pPr>
        <w:jc w:val="center"/>
        <w:divId w:val="1028331521"/>
        <w:rPr>
          <w:rFonts w:eastAsia="Times New Roman"/>
        </w:rPr>
      </w:pPr>
      <w:r>
        <w:rPr>
          <w:rFonts w:eastAsia="Times New Roman"/>
          <w:color w:val="000000"/>
          <w:sz w:val="20"/>
          <w:szCs w:val="20"/>
        </w:rPr>
        <w:t>3</w:t>
      </w:r>
    </w:p>
    <w:p w14:paraId="41C2D352" w14:textId="77777777" w:rsidR="00000000" w:rsidRDefault="00E614A4">
      <w:pPr>
        <w:rPr>
          <w:rFonts w:eastAsia="Times New Roman"/>
        </w:rPr>
      </w:pPr>
      <w:r>
        <w:rPr>
          <w:rFonts w:eastAsia="Times New Roman"/>
        </w:rPr>
        <w:pict w14:anchorId="1C61C587">
          <v:rect id="_x0000_i1030" style="width:0;height:1.5pt" o:hralign="center" o:hrstd="t" o:hr="t" fillcolor="#a0a0a0" stroked="f"/>
        </w:pict>
      </w:r>
    </w:p>
    <w:p w14:paraId="6A31D7BD" w14:textId="77777777" w:rsidR="00000000" w:rsidRDefault="00E614A4">
      <w:pPr>
        <w:divId w:val="108272114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52E5D88" w14:textId="77777777" w:rsidR="00000000" w:rsidRDefault="00E614A4">
      <w:pPr>
        <w:divId w:val="705372505"/>
        <w:rPr>
          <w:rFonts w:eastAsia="Times New Roman"/>
        </w:rPr>
      </w:pPr>
    </w:p>
    <w:p w14:paraId="2EC6E527" w14:textId="77777777" w:rsidR="00000000" w:rsidRDefault="00E614A4">
      <w:pPr>
        <w:jc w:val="both"/>
        <w:divId w:val="389812445"/>
        <w:rPr>
          <w:rFonts w:eastAsia="Times New Roman"/>
        </w:rPr>
      </w:pPr>
      <w:r>
        <w:rPr>
          <w:rFonts w:eastAsia="Times New Roman"/>
          <w:color w:val="000000"/>
          <w:sz w:val="20"/>
          <w:szCs w:val="20"/>
        </w:rPr>
        <w:t>Our products and services are organized around three solution groups that address customer needs:</w:t>
      </w:r>
    </w:p>
    <w:p w14:paraId="1F51CC3B" w14:textId="77777777" w:rsidR="00000000" w:rsidRDefault="00E614A4">
      <w:pPr>
        <w:ind w:hanging="360"/>
        <w:jc w:val="both"/>
        <w:divId w:val="2080444746"/>
        <w:rPr>
          <w:rFonts w:eastAsia="Times New Roman"/>
        </w:rPr>
      </w:pPr>
      <w:r>
        <w:rPr>
          <w:rFonts w:eastAsia="Times New Roman"/>
          <w:color w:val="000000"/>
          <w:sz w:val="20"/>
          <w:szCs w:val="20"/>
        </w:rPr>
        <w:t>•Ratings and Planning products and services that provide measurement of the behavior and characteristics of audiences of content and advertising, across telev</w:t>
      </w:r>
      <w:r>
        <w:rPr>
          <w:rFonts w:eastAsia="Times New Roman"/>
          <w:color w:val="000000"/>
          <w:sz w:val="20"/>
          <w:szCs w:val="20"/>
        </w:rPr>
        <w:t>ision and digital platforms including connected (Smart) televisions, computers, tablets, mobile devices, and other connected devices;</w:t>
      </w:r>
    </w:p>
    <w:p w14:paraId="2014BCB7" w14:textId="77777777" w:rsidR="00000000" w:rsidRDefault="00E614A4">
      <w:pPr>
        <w:ind w:hanging="360"/>
        <w:jc w:val="both"/>
        <w:divId w:val="1113982094"/>
        <w:rPr>
          <w:rFonts w:eastAsia="Times New Roman"/>
        </w:rPr>
      </w:pPr>
      <w:r>
        <w:rPr>
          <w:rFonts w:eastAsia="Times New Roman"/>
          <w:color w:val="000000"/>
          <w:sz w:val="20"/>
          <w:szCs w:val="20"/>
        </w:rPr>
        <w:t xml:space="preserve">•Analytics and Optimization products and services including custom solutions, activation, lift and survey-based products, </w:t>
      </w:r>
      <w:r>
        <w:rPr>
          <w:rFonts w:eastAsia="Times New Roman"/>
          <w:color w:val="000000"/>
          <w:sz w:val="20"/>
          <w:szCs w:val="20"/>
        </w:rPr>
        <w:t>that provide end-to-end solutions for planning, optimization and evaluation of advertising campaigns and brand protection; and</w:t>
      </w:r>
    </w:p>
    <w:p w14:paraId="569884AE" w14:textId="77777777" w:rsidR="00000000" w:rsidRDefault="00E614A4">
      <w:pPr>
        <w:ind w:hanging="360"/>
        <w:jc w:val="both"/>
        <w:divId w:val="1311133410"/>
        <w:rPr>
          <w:rFonts w:eastAsia="Times New Roman"/>
        </w:rPr>
      </w:pPr>
      <w:r>
        <w:rPr>
          <w:rFonts w:eastAsia="Times New Roman"/>
          <w:color w:val="000000"/>
          <w:sz w:val="20"/>
          <w:szCs w:val="20"/>
        </w:rPr>
        <w:t>•Movies Reporting and Analytics products and services that measure movie viewership and box office results by capturing movie tic</w:t>
      </w:r>
      <w:r>
        <w:rPr>
          <w:rFonts w:eastAsia="Times New Roman"/>
          <w:color w:val="000000"/>
          <w:sz w:val="20"/>
          <w:szCs w:val="20"/>
        </w:rPr>
        <w:t>ket sales in real time or near real time and include box office analytics, trend analysis and insights for movie studios and movie theater operators worldwide.</w:t>
      </w:r>
    </w:p>
    <w:p w14:paraId="3426FD00" w14:textId="77777777" w:rsidR="00000000" w:rsidRDefault="00E614A4">
      <w:pPr>
        <w:jc w:val="both"/>
        <w:divId w:val="1630279111"/>
        <w:rPr>
          <w:rFonts w:eastAsia="Times New Roman"/>
        </w:rPr>
      </w:pPr>
      <w:r>
        <w:rPr>
          <w:rFonts w:eastAsia="Times New Roman"/>
          <w:color w:val="000000"/>
          <w:sz w:val="20"/>
          <w:szCs w:val="20"/>
        </w:rPr>
        <w:t xml:space="preserve">We categorize our revenue along these three solution groups; however, our shared cost structure </w:t>
      </w:r>
      <w:r>
        <w:rPr>
          <w:rFonts w:eastAsia="Times New Roman"/>
          <w:color w:val="000000"/>
          <w:sz w:val="20"/>
          <w:szCs w:val="20"/>
        </w:rPr>
        <w:t>is defined and tracked by function and not by our solution groups. These shared costs include employee costs, operational overhead, data centers and our technology that supports our product offerings.</w:t>
      </w:r>
    </w:p>
    <w:p w14:paraId="56C4B128" w14:textId="77777777" w:rsidR="00000000" w:rsidRDefault="00E614A4">
      <w:pPr>
        <w:jc w:val="both"/>
        <w:divId w:val="175272687"/>
        <w:rPr>
          <w:rFonts w:eastAsia="Times New Roman"/>
        </w:rPr>
      </w:pPr>
      <w:r>
        <w:rPr>
          <w:rFonts w:eastAsia="Times New Roman"/>
          <w:b/>
          <w:bCs/>
          <w:color w:val="000000"/>
          <w:sz w:val="20"/>
          <w:szCs w:val="20"/>
        </w:rPr>
        <w:t>Ratings and Planning</w:t>
      </w:r>
      <w:r>
        <w:rPr>
          <w:rFonts w:eastAsia="Times New Roman"/>
          <w:color w:val="000000"/>
          <w:sz w:val="20"/>
          <w:szCs w:val="20"/>
        </w:rPr>
        <w:t xml:space="preserve"> products and services are designed</w:t>
      </w:r>
      <w:r>
        <w:rPr>
          <w:rFonts w:eastAsia="Times New Roman"/>
          <w:color w:val="000000"/>
          <w:sz w:val="20"/>
          <w:szCs w:val="20"/>
        </w:rPr>
        <w:t xml:space="preserve"> to help customers find the most relevant viewing audience, whether that viewing is linear, non-linear, online or on-demand. These products and services include:</w:t>
      </w:r>
    </w:p>
    <w:p w14:paraId="52CD224C" w14:textId="77777777" w:rsidR="00000000" w:rsidRDefault="00E614A4">
      <w:pPr>
        <w:ind w:hanging="360"/>
        <w:jc w:val="both"/>
        <w:divId w:val="1727298734"/>
        <w:rPr>
          <w:rFonts w:eastAsia="Times New Roman"/>
        </w:rPr>
      </w:pPr>
      <w:r>
        <w:rPr>
          <w:rFonts w:eastAsia="Times New Roman"/>
          <w:color w:val="000000"/>
          <w:sz w:val="20"/>
          <w:szCs w:val="20"/>
        </w:rPr>
        <w:t>•</w:t>
      </w:r>
      <w:r>
        <w:rPr>
          <w:rFonts w:eastAsia="Times New Roman"/>
          <w:color w:val="000000"/>
          <w:sz w:val="20"/>
          <w:szCs w:val="20"/>
        </w:rPr>
        <w:t>Media Metrix Multi-Platform and Mobile Metrix, which measure websites and apps on computers, smartphones and tablets across dozens of countries, are leading currencies for online media planning and enable customers to analyze audience size, reach, engageme</w:t>
      </w:r>
      <w:r>
        <w:rPr>
          <w:rFonts w:eastAsia="Times New Roman"/>
          <w:color w:val="000000"/>
          <w:sz w:val="20"/>
          <w:szCs w:val="20"/>
        </w:rPr>
        <w:t>nt, demographics and other characteristics. Publishers use Media Metrix Multi-Platform and Mobile Metrix to demonstrate the value of their audiences and understand market dynamics, and advertisers and their agencies use Media Metrix Multi-Platform and Mobi</w:t>
      </w:r>
      <w:r>
        <w:rPr>
          <w:rFonts w:eastAsia="Times New Roman"/>
          <w:color w:val="000000"/>
          <w:sz w:val="20"/>
          <w:szCs w:val="20"/>
        </w:rPr>
        <w:t>le Metrix to plan and execute effective marketing and content campaigns. These products also provide competitive intelligence such as cross-site visiting patterns, traffic source/loss reporting and local market trends.</w:t>
      </w:r>
    </w:p>
    <w:p w14:paraId="22A9A47D" w14:textId="77777777" w:rsidR="00000000" w:rsidRDefault="00E614A4">
      <w:pPr>
        <w:ind w:hanging="360"/>
        <w:jc w:val="both"/>
        <w:divId w:val="1008144518"/>
        <w:rPr>
          <w:rFonts w:eastAsia="Times New Roman"/>
        </w:rPr>
      </w:pPr>
      <w:r>
        <w:rPr>
          <w:rFonts w:eastAsia="Times New Roman"/>
          <w:color w:val="000000"/>
          <w:sz w:val="20"/>
          <w:szCs w:val="20"/>
        </w:rPr>
        <w:t>•Video Metrix Multi-Platform, which d</w:t>
      </w:r>
      <w:r>
        <w:rPr>
          <w:rFonts w:eastAsia="Times New Roman"/>
          <w:color w:val="000000"/>
          <w:sz w:val="20"/>
          <w:szCs w:val="20"/>
        </w:rPr>
        <w:t>elivers unduplicated measurement of digital video consumption across computer, smartphone, tablet and OTT devices and provides TV-comparable reach and engagement metrics, as well as audience demographics.</w:t>
      </w:r>
    </w:p>
    <w:p w14:paraId="611811F2" w14:textId="77777777" w:rsidR="00000000" w:rsidRDefault="00E614A4">
      <w:pPr>
        <w:ind w:hanging="360"/>
        <w:jc w:val="both"/>
        <w:divId w:val="2138329923"/>
        <w:rPr>
          <w:rFonts w:eastAsia="Times New Roman"/>
        </w:rPr>
      </w:pPr>
      <w:r>
        <w:rPr>
          <w:rFonts w:eastAsia="Times New Roman"/>
          <w:color w:val="000000"/>
          <w:sz w:val="20"/>
          <w:szCs w:val="20"/>
        </w:rPr>
        <w:t>•Plan Metrix, which provides an understanding of co</w:t>
      </w:r>
      <w:r>
        <w:rPr>
          <w:rFonts w:eastAsia="Times New Roman"/>
          <w:color w:val="000000"/>
          <w:sz w:val="20"/>
          <w:szCs w:val="20"/>
        </w:rPr>
        <w:t>nsumer lifestyle, buying and other consumption habits, online and offline, by integrating attitudes and interests with online behavior and provides customers with insight into patterns and trends needed to develop and execute advertising and marketing camp</w:t>
      </w:r>
      <w:r>
        <w:rPr>
          <w:rFonts w:eastAsia="Times New Roman"/>
          <w:color w:val="000000"/>
          <w:sz w:val="20"/>
          <w:szCs w:val="20"/>
        </w:rPr>
        <w:t>aigns.</w:t>
      </w:r>
    </w:p>
    <w:p w14:paraId="73755624" w14:textId="77777777" w:rsidR="00000000" w:rsidRDefault="00E614A4">
      <w:pPr>
        <w:ind w:hanging="360"/>
        <w:jc w:val="both"/>
        <w:divId w:val="1272473474"/>
        <w:rPr>
          <w:rFonts w:eastAsia="Times New Roman"/>
        </w:rPr>
      </w:pPr>
      <w:r>
        <w:rPr>
          <w:rFonts w:eastAsia="Times New Roman"/>
          <w:color w:val="000000"/>
          <w:sz w:val="20"/>
          <w:szCs w:val="20"/>
        </w:rPr>
        <w:t>•TV Essentials ("TVE"), which combines TV viewing information with marketing segmentation and consumer databases for enhanced audience intelligence. TVE data is also used in analytical applications to help customers better understand the performance</w:t>
      </w:r>
      <w:r>
        <w:rPr>
          <w:rFonts w:eastAsia="Times New Roman"/>
          <w:color w:val="000000"/>
          <w:sz w:val="20"/>
          <w:szCs w:val="20"/>
        </w:rPr>
        <w:t xml:space="preserve"> of network advertising campaigns.</w:t>
      </w:r>
    </w:p>
    <w:p w14:paraId="77768C20" w14:textId="77777777" w:rsidR="00000000" w:rsidRDefault="00E614A4">
      <w:pPr>
        <w:ind w:hanging="360"/>
        <w:jc w:val="both"/>
        <w:divId w:val="2096895997"/>
        <w:rPr>
          <w:rFonts w:eastAsia="Times New Roman"/>
        </w:rPr>
      </w:pPr>
      <w:r>
        <w:rPr>
          <w:rFonts w:eastAsia="Times New Roman"/>
          <w:color w:val="000000"/>
          <w:sz w:val="20"/>
          <w:szCs w:val="20"/>
        </w:rPr>
        <w:t>•StationView Essentials ("SVE"), which allows customers to better understand consumer viewing patterns and characteristics across local TV stations and cable channels in their market(s) to promote viewership of a particul</w:t>
      </w:r>
      <w:r>
        <w:rPr>
          <w:rFonts w:eastAsia="Times New Roman"/>
          <w:color w:val="000000"/>
          <w:sz w:val="20"/>
          <w:szCs w:val="20"/>
        </w:rPr>
        <w:t>ar station and negotiate inventory pricing based on the size, value and relevance of the audience.</w:t>
      </w:r>
    </w:p>
    <w:p w14:paraId="19EA9AF1" w14:textId="77777777" w:rsidR="00000000" w:rsidRDefault="00E614A4">
      <w:pPr>
        <w:ind w:hanging="360"/>
        <w:jc w:val="both"/>
        <w:divId w:val="1571034482"/>
        <w:rPr>
          <w:rFonts w:eastAsia="Times New Roman"/>
        </w:rPr>
      </w:pPr>
      <w:r>
        <w:rPr>
          <w:rFonts w:eastAsia="Times New Roman"/>
          <w:color w:val="000000"/>
          <w:sz w:val="20"/>
          <w:szCs w:val="20"/>
        </w:rPr>
        <w:t xml:space="preserve">•Cross-Platform Suite, including Xmedia, Local Cross-Platform and National Cross Platform (formerly known as Extended TV), which provides the integration of </w:t>
      </w:r>
      <w:r>
        <w:rPr>
          <w:rFonts w:eastAsia="Times New Roman"/>
          <w:color w:val="000000"/>
          <w:sz w:val="20"/>
          <w:szCs w:val="20"/>
        </w:rPr>
        <w:t>person-level linear TV viewership with digital audience data and enables the creation of cross-platform media plans based on an analysis of de-duplicated reach, engagement and audience overlap across TV and digital platforms using a self-service tool. Cust</w:t>
      </w:r>
      <w:r>
        <w:rPr>
          <w:rFonts w:eastAsia="Times New Roman"/>
          <w:color w:val="000000"/>
          <w:sz w:val="20"/>
          <w:szCs w:val="20"/>
        </w:rPr>
        <w:t>omers can simulate cross-platform media planning and share scenarios, understand incremental reach and frequency that digital provides compared to that of linear TV media buys, and simulate various media-mix scenarios to better understand the optimal mix.</w:t>
      </w:r>
    </w:p>
    <w:p w14:paraId="5846D801" w14:textId="77777777" w:rsidR="00000000" w:rsidRDefault="00E614A4">
      <w:pPr>
        <w:ind w:hanging="360"/>
        <w:jc w:val="both"/>
        <w:divId w:val="1053113337"/>
        <w:rPr>
          <w:rFonts w:eastAsia="Times New Roman"/>
        </w:rPr>
      </w:pPr>
      <w:r>
        <w:rPr>
          <w:rFonts w:eastAsia="Times New Roman"/>
          <w:color w:val="000000"/>
          <w:sz w:val="20"/>
          <w:szCs w:val="20"/>
        </w:rPr>
        <w:t>•OnDemand Essentials, which provides multichannel video programming distributors and content providers with transactional tracking and reporting based on millions of television screens, enabling our customers to plan advertising campaigns that more precise</w:t>
      </w:r>
      <w:r>
        <w:rPr>
          <w:rFonts w:eastAsia="Times New Roman"/>
          <w:color w:val="000000"/>
          <w:sz w:val="20"/>
          <w:szCs w:val="20"/>
        </w:rPr>
        <w:t>ly target consumers watching on-demand video content.</w:t>
      </w:r>
    </w:p>
    <w:p w14:paraId="30D99101" w14:textId="77777777" w:rsidR="00000000" w:rsidRDefault="00E614A4">
      <w:pPr>
        <w:ind w:hanging="360"/>
        <w:jc w:val="both"/>
        <w:divId w:val="1528519191"/>
        <w:rPr>
          <w:rFonts w:eastAsia="Times New Roman"/>
        </w:rPr>
      </w:pPr>
      <w:r>
        <w:rPr>
          <w:rFonts w:eastAsia="Times New Roman"/>
          <w:color w:val="000000"/>
          <w:sz w:val="20"/>
          <w:szCs w:val="20"/>
        </w:rPr>
        <w:t>•Comscore Campaign Ratings ("CCR"), which expands upon validated Campaign Essentials ("vCE") verification of mobile and desktop video campaigns with the addition of video advertising delivered via OTT a</w:t>
      </w:r>
      <w:r>
        <w:rPr>
          <w:rFonts w:eastAsia="Times New Roman"/>
          <w:color w:val="000000"/>
          <w:sz w:val="20"/>
          <w:szCs w:val="20"/>
        </w:rPr>
        <w:t>nd TV and provides unduplicated reporting that enables ad buyers and sellers to negotiate and evaluate campaigns across media platforms.</w:t>
      </w:r>
    </w:p>
    <w:p w14:paraId="259CA9C2" w14:textId="77777777" w:rsidR="00000000" w:rsidRDefault="00E614A4">
      <w:pPr>
        <w:ind w:hanging="360"/>
        <w:jc w:val="both"/>
        <w:divId w:val="1324703480"/>
        <w:rPr>
          <w:rFonts w:eastAsia="Times New Roman"/>
        </w:rPr>
      </w:pPr>
      <w:r>
        <w:rPr>
          <w:rFonts w:eastAsia="Times New Roman"/>
          <w:color w:val="000000"/>
          <w:sz w:val="20"/>
          <w:szCs w:val="20"/>
        </w:rPr>
        <w:t>•vCE, which validates whether digital ad impressions are visible to humans, identifies those that are fraudulent (e.g.,</w:t>
      </w:r>
      <w:r>
        <w:rPr>
          <w:rFonts w:eastAsia="Times New Roman"/>
          <w:color w:val="000000"/>
          <w:sz w:val="20"/>
          <w:szCs w:val="20"/>
        </w:rPr>
        <w:t xml:space="preserve"> delivered to automated bots or requested by malware), and verifies that ads are shown in brand safe content and delivered to the right audience targets. Advertisers and their agencies use vCE as the basis for negotiating and evaluating campaign performanc</w:t>
      </w:r>
      <w:r>
        <w:rPr>
          <w:rFonts w:eastAsia="Times New Roman"/>
          <w:color w:val="000000"/>
          <w:sz w:val="20"/>
          <w:szCs w:val="20"/>
        </w:rPr>
        <w:t>e against their contracts with, and payments to, digital publishers for ad campaigns.</w:t>
      </w:r>
    </w:p>
    <w:p w14:paraId="06293B84" w14:textId="77777777" w:rsidR="00000000" w:rsidRDefault="00E614A4">
      <w:pPr>
        <w:ind w:hanging="360"/>
        <w:jc w:val="both"/>
        <w:divId w:val="1929382899"/>
        <w:rPr>
          <w:rFonts w:eastAsia="Times New Roman"/>
        </w:rPr>
      </w:pPr>
      <w:r>
        <w:rPr>
          <w:rFonts w:eastAsia="Times New Roman"/>
          <w:color w:val="000000"/>
          <w:sz w:val="20"/>
          <w:szCs w:val="20"/>
        </w:rPr>
        <w:t>•Total Home Panel Suite, including OTT Intelligence and Connected Home, which capture OTT, connected TV ("CTV"), and IOT device usage and content consumption. Comscore Co</w:t>
      </w:r>
      <w:r>
        <w:rPr>
          <w:rFonts w:eastAsia="Times New Roman"/>
          <w:color w:val="000000"/>
          <w:sz w:val="20"/>
          <w:szCs w:val="20"/>
        </w:rPr>
        <w:t xml:space="preserve">nnected Home enables users to better understand consumer engagement with technology and media by measuring behavior across network and router-connected devices in the home. Comscore OTT Intelligence provides clients with critical insight into consumer OTT </w:t>
      </w:r>
      <w:r>
        <w:rPr>
          <w:rFonts w:eastAsia="Times New Roman"/>
          <w:color w:val="000000"/>
          <w:sz w:val="20"/>
          <w:szCs w:val="20"/>
        </w:rPr>
        <w:t xml:space="preserve">streaming activity on TV-connected devices, including smart TVs, streaming sticks and boxes, and gaming consoles. </w:t>
      </w:r>
    </w:p>
    <w:p w14:paraId="76DCE7BA" w14:textId="77777777" w:rsidR="00000000" w:rsidRDefault="00E614A4">
      <w:pPr>
        <w:jc w:val="center"/>
        <w:divId w:val="2059936947"/>
        <w:rPr>
          <w:rFonts w:eastAsia="Times New Roman"/>
        </w:rPr>
      </w:pPr>
      <w:r>
        <w:rPr>
          <w:rFonts w:eastAsia="Times New Roman"/>
          <w:color w:val="000000"/>
          <w:sz w:val="20"/>
          <w:szCs w:val="20"/>
        </w:rPr>
        <w:t>4</w:t>
      </w:r>
    </w:p>
    <w:p w14:paraId="13B2D44B" w14:textId="77777777" w:rsidR="00000000" w:rsidRDefault="00E614A4">
      <w:pPr>
        <w:rPr>
          <w:rFonts w:eastAsia="Times New Roman"/>
        </w:rPr>
      </w:pPr>
      <w:r>
        <w:rPr>
          <w:rFonts w:eastAsia="Times New Roman"/>
        </w:rPr>
        <w:pict w14:anchorId="6DE3928C">
          <v:rect id="_x0000_i1031" style="width:0;height:1.5pt" o:hralign="center" o:hrstd="t" o:hr="t" fillcolor="#a0a0a0" stroked="f"/>
        </w:pict>
      </w:r>
    </w:p>
    <w:p w14:paraId="4E86EF54" w14:textId="77777777" w:rsidR="00000000" w:rsidRDefault="00E614A4">
      <w:pPr>
        <w:divId w:val="5112293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9983831" w14:textId="77777777" w:rsidR="00000000" w:rsidRDefault="00E614A4">
      <w:pPr>
        <w:divId w:val="1867787091"/>
        <w:rPr>
          <w:rFonts w:eastAsia="Times New Roman"/>
        </w:rPr>
      </w:pPr>
    </w:p>
    <w:p w14:paraId="4FB07F00" w14:textId="77777777" w:rsidR="00000000" w:rsidRDefault="00E614A4">
      <w:pPr>
        <w:jc w:val="both"/>
        <w:divId w:val="1667322622"/>
        <w:rPr>
          <w:rFonts w:eastAsia="Times New Roman"/>
        </w:rPr>
      </w:pPr>
      <w:r>
        <w:rPr>
          <w:rFonts w:eastAsia="Times New Roman"/>
          <w:b/>
          <w:bCs/>
          <w:color w:val="000000"/>
          <w:sz w:val="20"/>
          <w:szCs w:val="20"/>
        </w:rPr>
        <w:t>Analytics and Optimization</w:t>
      </w:r>
      <w:r>
        <w:rPr>
          <w:rFonts w:eastAsia="Times New Roman"/>
          <w:color w:val="000000"/>
          <w:sz w:val="20"/>
          <w:szCs w:val="20"/>
        </w:rPr>
        <w:t xml:space="preserve"> products and services provide end-to-end solutions for planning, optimization and evaluation of advertising campaigns and brand protection. These products are primarily a part of customized data </w:t>
      </w:r>
      <w:r>
        <w:rPr>
          <w:rFonts w:eastAsia="Times New Roman"/>
          <w:color w:val="000000"/>
          <w:sz w:val="20"/>
          <w:szCs w:val="20"/>
        </w:rPr>
        <w:t>services. These products and services include:</w:t>
      </w:r>
    </w:p>
    <w:p w14:paraId="4104FC9D" w14:textId="77777777" w:rsidR="00000000" w:rsidRDefault="00E614A4">
      <w:pPr>
        <w:ind w:hanging="360"/>
        <w:jc w:val="both"/>
        <w:divId w:val="187763753"/>
        <w:rPr>
          <w:rFonts w:eastAsia="Times New Roman"/>
        </w:rPr>
      </w:pPr>
      <w:r>
        <w:rPr>
          <w:rFonts w:eastAsia="Times New Roman"/>
          <w:color w:val="000000"/>
          <w:sz w:val="20"/>
          <w:szCs w:val="20"/>
        </w:rPr>
        <w:t>•</w:t>
      </w:r>
      <w:r>
        <w:rPr>
          <w:rFonts w:eastAsia="Times New Roman"/>
          <w:color w:val="000000"/>
          <w:sz w:val="20"/>
          <w:szCs w:val="20"/>
        </w:rPr>
        <w:t>Comscore Marketing Solutions, which provide analytics that integrate online visitation and advertising data, TV viewing, purchase transactions, attitudinal research and other information assets. These custom deliverables are designed to meet client needs i</w:t>
      </w:r>
      <w:r>
        <w:rPr>
          <w:rFonts w:eastAsia="Times New Roman"/>
          <w:color w:val="000000"/>
          <w:sz w:val="20"/>
          <w:szCs w:val="20"/>
        </w:rPr>
        <w:t>n specific industries such as automotive, financial services, media, retail, travel, telecommunications and technology. Applications include path-to-purchase analyses, competitive benchmarking, and market segmentation studies.</w:t>
      </w:r>
    </w:p>
    <w:p w14:paraId="775BF62A" w14:textId="77777777" w:rsidR="00000000" w:rsidRDefault="00E614A4">
      <w:pPr>
        <w:ind w:hanging="360"/>
        <w:jc w:val="both"/>
        <w:divId w:val="264466538"/>
        <w:rPr>
          <w:rFonts w:eastAsia="Times New Roman"/>
        </w:rPr>
      </w:pPr>
      <w:r>
        <w:rPr>
          <w:rFonts w:eastAsia="Times New Roman"/>
          <w:color w:val="000000"/>
          <w:sz w:val="20"/>
          <w:szCs w:val="20"/>
        </w:rPr>
        <w:t>•Lift Models, which measure t</w:t>
      </w:r>
      <w:r>
        <w:rPr>
          <w:rFonts w:eastAsia="Times New Roman"/>
          <w:color w:val="000000"/>
          <w:sz w:val="20"/>
          <w:szCs w:val="20"/>
        </w:rPr>
        <w:t>he impact of advertising on a brand across multiple behavioral and attitudinal dimensions such as brand awareness, purchase intent, online visitation, online and offline purchase behavior and retail store visitation, enabling customers to fine tune campaig</w:t>
      </w:r>
      <w:r>
        <w:rPr>
          <w:rFonts w:eastAsia="Times New Roman"/>
          <w:color w:val="000000"/>
          <w:sz w:val="20"/>
          <w:szCs w:val="20"/>
        </w:rPr>
        <w:t>n strategy and execution.</w:t>
      </w:r>
    </w:p>
    <w:p w14:paraId="1DFF8F03" w14:textId="77777777" w:rsidR="00000000" w:rsidRDefault="00E614A4">
      <w:pPr>
        <w:ind w:hanging="360"/>
        <w:jc w:val="both"/>
        <w:divId w:val="924611207"/>
        <w:rPr>
          <w:rFonts w:eastAsia="Times New Roman"/>
        </w:rPr>
      </w:pPr>
      <w:r>
        <w:rPr>
          <w:rFonts w:eastAsia="Times New Roman"/>
          <w:color w:val="000000"/>
          <w:sz w:val="20"/>
          <w:szCs w:val="20"/>
        </w:rPr>
        <w:t>•Survey Analytics, which measure various types of consumer insights including brand health metrics.</w:t>
      </w:r>
    </w:p>
    <w:p w14:paraId="701E3357" w14:textId="77777777" w:rsidR="00000000" w:rsidRDefault="00E614A4">
      <w:pPr>
        <w:ind w:hanging="360"/>
        <w:jc w:val="both"/>
        <w:divId w:val="1413774557"/>
        <w:rPr>
          <w:rFonts w:eastAsia="Times New Roman"/>
        </w:rPr>
      </w:pPr>
      <w:r>
        <w:rPr>
          <w:rFonts w:eastAsia="Times New Roman"/>
          <w:color w:val="000000"/>
          <w:sz w:val="20"/>
          <w:szCs w:val="20"/>
        </w:rPr>
        <w:t>•Activation Solutions, including Audience Activation and Content Activation. Comscore Audience Activation offers targeting with de</w:t>
      </w:r>
      <w:r>
        <w:rPr>
          <w:rFonts w:eastAsia="Times New Roman"/>
          <w:color w:val="000000"/>
          <w:sz w:val="20"/>
          <w:szCs w:val="20"/>
        </w:rPr>
        <w:t>mographics and cross-screen behaviors for digital, mobile and CTV campaigns. Comscore Content Activation provides a robust set of pre-bid inventory filters to help marketers and media companies achieve brand-safe, relevant campaign delivery across desktop,</w:t>
      </w:r>
      <w:r>
        <w:rPr>
          <w:rFonts w:eastAsia="Times New Roman"/>
          <w:color w:val="000000"/>
          <w:sz w:val="20"/>
          <w:szCs w:val="20"/>
        </w:rPr>
        <w:t xml:space="preserve"> mobile, podcasts, and CTV.</w:t>
      </w:r>
    </w:p>
    <w:p w14:paraId="51A474DC" w14:textId="77777777" w:rsidR="00000000" w:rsidRDefault="00E614A4">
      <w:pPr>
        <w:ind w:hanging="360"/>
        <w:jc w:val="both"/>
        <w:divId w:val="1272084925"/>
        <w:rPr>
          <w:rFonts w:eastAsia="Times New Roman"/>
        </w:rPr>
      </w:pPr>
      <w:r>
        <w:rPr>
          <w:rFonts w:eastAsia="Times New Roman"/>
          <w:color w:val="000000"/>
          <w:sz w:val="20"/>
          <w:szCs w:val="20"/>
        </w:rPr>
        <w:t>•Branded Content Analytics, which measure the impact and value of brand integrations into content such as TV programs.</w:t>
      </w:r>
    </w:p>
    <w:p w14:paraId="2D23F743" w14:textId="77777777" w:rsidR="00000000" w:rsidRDefault="00E614A4">
      <w:pPr>
        <w:jc w:val="both"/>
        <w:divId w:val="32198369"/>
        <w:rPr>
          <w:rFonts w:eastAsia="Times New Roman"/>
        </w:rPr>
      </w:pPr>
      <w:r>
        <w:rPr>
          <w:rFonts w:eastAsia="Times New Roman"/>
          <w:b/>
          <w:bCs/>
          <w:color w:val="000000"/>
          <w:sz w:val="20"/>
          <w:szCs w:val="20"/>
        </w:rPr>
        <w:t>Movies Reporting and Analytics</w:t>
      </w:r>
      <w:r>
        <w:rPr>
          <w:rFonts w:eastAsia="Times New Roman"/>
          <w:color w:val="000000"/>
          <w:sz w:val="20"/>
          <w:szCs w:val="20"/>
        </w:rPr>
        <w:t xml:space="preserve"> products and services measure movie viewership and box office results by captu</w:t>
      </w:r>
      <w:r>
        <w:rPr>
          <w:rFonts w:eastAsia="Times New Roman"/>
          <w:color w:val="000000"/>
          <w:sz w:val="20"/>
          <w:szCs w:val="20"/>
        </w:rPr>
        <w:t>ring movie ticket sales in real time or near real time and include box office analytics, trend analysis and insights for movie studios and movie theater operators worldwide. These products and services include:</w:t>
      </w:r>
    </w:p>
    <w:p w14:paraId="57D188ED" w14:textId="77777777" w:rsidR="00000000" w:rsidRDefault="00E614A4">
      <w:pPr>
        <w:ind w:hanging="360"/>
        <w:jc w:val="both"/>
        <w:divId w:val="585578221"/>
        <w:rPr>
          <w:rFonts w:eastAsia="Times New Roman"/>
        </w:rPr>
      </w:pPr>
      <w:r>
        <w:rPr>
          <w:rFonts w:eastAsia="Times New Roman"/>
          <w:color w:val="000000"/>
          <w:sz w:val="20"/>
          <w:szCs w:val="20"/>
        </w:rPr>
        <w:t xml:space="preserve">•Box Office Essentials and International Box </w:t>
      </w:r>
      <w:r>
        <w:rPr>
          <w:rFonts w:eastAsia="Times New Roman"/>
          <w:color w:val="000000"/>
          <w:sz w:val="20"/>
          <w:szCs w:val="20"/>
        </w:rPr>
        <w:t>Office Essentials, which provide detailed measurement of domestic and international theatrical gross receipts and attendance, with movie-specific information across the globe.</w:t>
      </w:r>
    </w:p>
    <w:p w14:paraId="1C7EBFCC" w14:textId="77777777" w:rsidR="00000000" w:rsidRDefault="00E614A4">
      <w:pPr>
        <w:ind w:hanging="360"/>
        <w:jc w:val="both"/>
        <w:divId w:val="1209223768"/>
        <w:rPr>
          <w:rFonts w:eastAsia="Times New Roman"/>
        </w:rPr>
      </w:pPr>
      <w:r>
        <w:rPr>
          <w:rFonts w:eastAsia="Times New Roman"/>
          <w:color w:val="000000"/>
          <w:sz w:val="20"/>
          <w:szCs w:val="20"/>
        </w:rPr>
        <w:t>•PostTrak, which is an exit polling service that reports audience demographics a</w:t>
      </w:r>
      <w:r>
        <w:rPr>
          <w:rFonts w:eastAsia="Times New Roman"/>
          <w:color w:val="000000"/>
          <w:sz w:val="20"/>
          <w:szCs w:val="20"/>
        </w:rPr>
        <w:t>nd the aspects of each title that trigger interest and attendance.</w:t>
      </w:r>
    </w:p>
    <w:p w14:paraId="4590A477" w14:textId="77777777" w:rsidR="00000000" w:rsidRDefault="00E614A4">
      <w:pPr>
        <w:ind w:hanging="360"/>
        <w:jc w:val="both"/>
        <w:divId w:val="701781697"/>
        <w:rPr>
          <w:rFonts w:eastAsia="Times New Roman"/>
        </w:rPr>
      </w:pPr>
      <w:r>
        <w:rPr>
          <w:rFonts w:eastAsia="Times New Roman"/>
          <w:color w:val="000000"/>
          <w:sz w:val="20"/>
          <w:szCs w:val="20"/>
        </w:rPr>
        <w:t>•Swift, which is an electronic box office reporting system that facilitates the flow of reconciled theater-level ticket transactions.</w:t>
      </w:r>
    </w:p>
    <w:p w14:paraId="59023B47" w14:textId="77777777" w:rsidR="00000000" w:rsidRDefault="00E614A4">
      <w:pPr>
        <w:ind w:hanging="360"/>
        <w:jc w:val="both"/>
        <w:divId w:val="970673984"/>
        <w:rPr>
          <w:rFonts w:eastAsia="Times New Roman"/>
        </w:rPr>
      </w:pPr>
      <w:r>
        <w:rPr>
          <w:rFonts w:eastAsia="Times New Roman"/>
          <w:color w:val="000000"/>
          <w:sz w:val="20"/>
          <w:szCs w:val="20"/>
        </w:rPr>
        <w:t>•Hollywood Software Suite, including Comscore Theatrica</w:t>
      </w:r>
      <w:r>
        <w:rPr>
          <w:rFonts w:eastAsia="Times New Roman"/>
          <w:color w:val="000000"/>
          <w:sz w:val="20"/>
          <w:szCs w:val="20"/>
        </w:rPr>
        <w:t>l Distribution System ("TDS"), Comscore Exhibitor Management System ("EMS"), Comscore Enterprise Web, and Cinema Auditorium Control Engine ("ACE"). Comscore TDS is an advanced software to help manage theatrical distribution worldwide. Comscore EMS provides</w:t>
      </w:r>
      <w:r>
        <w:rPr>
          <w:rFonts w:eastAsia="Times New Roman"/>
          <w:color w:val="000000"/>
          <w:sz w:val="20"/>
          <w:szCs w:val="20"/>
        </w:rPr>
        <w:t xml:space="preserve"> a virtual staff of booking assistants and accountants working to consolidate point-of-sale data. Comscore Enterprise Web gives circuit managers an over-the-shoulder look at operations inside their theaters. Cinema ACE is a theater management system that d</w:t>
      </w:r>
      <w:r>
        <w:rPr>
          <w:rFonts w:eastAsia="Times New Roman"/>
          <w:color w:val="000000"/>
          <w:sz w:val="20"/>
          <w:szCs w:val="20"/>
        </w:rPr>
        <w:t xml:space="preserve">rives productivity and efficiency across digital cinema operations. </w:t>
      </w:r>
    </w:p>
    <w:p w14:paraId="45A8E8A9" w14:textId="77777777" w:rsidR="00000000" w:rsidRDefault="00E614A4">
      <w:pPr>
        <w:jc w:val="both"/>
        <w:divId w:val="1581021542"/>
        <w:rPr>
          <w:rFonts w:eastAsia="Times New Roman"/>
        </w:rPr>
      </w:pPr>
      <w:r>
        <w:rPr>
          <w:rFonts w:eastAsia="Times New Roman"/>
          <w:b/>
          <w:bCs/>
          <w:color w:val="000000"/>
          <w:sz w:val="20"/>
          <w:szCs w:val="20"/>
        </w:rPr>
        <w:t xml:space="preserve">Research and Development </w:t>
      </w:r>
    </w:p>
    <w:p w14:paraId="7BF27B60" w14:textId="77777777" w:rsidR="00000000" w:rsidRDefault="00E614A4">
      <w:pPr>
        <w:jc w:val="both"/>
        <w:divId w:val="1851486469"/>
        <w:rPr>
          <w:rFonts w:eastAsia="Times New Roman"/>
        </w:rPr>
      </w:pPr>
      <w:r>
        <w:rPr>
          <w:rFonts w:eastAsia="Times New Roman"/>
          <w:color w:val="000000"/>
          <w:sz w:val="20"/>
          <w:szCs w:val="20"/>
        </w:rPr>
        <w:t>Our research and development activities span our business of media and cross-platform measurement, encompassing data collection, data science, analytical applica</w:t>
      </w:r>
      <w:r>
        <w:rPr>
          <w:rFonts w:eastAsia="Times New Roman"/>
          <w:color w:val="000000"/>
          <w:sz w:val="20"/>
          <w:szCs w:val="20"/>
        </w:rPr>
        <w:t xml:space="preserve">tion development and product delivery. We continue to focus on expanding our coverage and scale, precision and granularity across diverse types of media, devices and geographies using our census, panel and other data assets. </w:t>
      </w:r>
    </w:p>
    <w:p w14:paraId="207405DE" w14:textId="77777777" w:rsidR="00000000" w:rsidRDefault="00E614A4">
      <w:pPr>
        <w:jc w:val="both"/>
        <w:divId w:val="2037391555"/>
        <w:rPr>
          <w:rFonts w:eastAsia="Times New Roman"/>
        </w:rPr>
      </w:pPr>
      <w:r>
        <w:rPr>
          <w:rFonts w:eastAsia="Times New Roman"/>
          <w:color w:val="000000"/>
          <w:sz w:val="20"/>
          <w:szCs w:val="20"/>
        </w:rPr>
        <w:t xml:space="preserve">Examples of our research and development initiatives include: </w:t>
      </w:r>
    </w:p>
    <w:p w14:paraId="1E11D005" w14:textId="77777777" w:rsidR="00000000" w:rsidRDefault="00E614A4">
      <w:pPr>
        <w:ind w:hanging="360"/>
        <w:jc w:val="both"/>
        <w:divId w:val="1845050673"/>
        <w:rPr>
          <w:rFonts w:eastAsia="Times New Roman"/>
        </w:rPr>
      </w:pPr>
      <w:r>
        <w:rPr>
          <w:rFonts w:eastAsia="Times New Roman"/>
          <w:color w:val="000000"/>
          <w:sz w:val="20"/>
          <w:szCs w:val="20"/>
        </w:rPr>
        <w:t>•Enhancing our recruiting methods and software applications;</w:t>
      </w:r>
    </w:p>
    <w:p w14:paraId="2C661666" w14:textId="77777777" w:rsidR="00000000" w:rsidRDefault="00E614A4">
      <w:pPr>
        <w:ind w:hanging="360"/>
        <w:jc w:val="both"/>
        <w:divId w:val="432240841"/>
        <w:rPr>
          <w:rFonts w:eastAsia="Times New Roman"/>
        </w:rPr>
      </w:pPr>
      <w:r>
        <w:rPr>
          <w:rFonts w:eastAsia="Times New Roman"/>
          <w:color w:val="000000"/>
          <w:sz w:val="20"/>
          <w:szCs w:val="20"/>
        </w:rPr>
        <w:t>•Developing new technologies to manage, stage and deliver cross-platform data and analytics through traditional web-based user inter</w:t>
      </w:r>
      <w:r>
        <w:rPr>
          <w:rFonts w:eastAsia="Times New Roman"/>
          <w:color w:val="000000"/>
          <w:sz w:val="20"/>
          <w:szCs w:val="20"/>
        </w:rPr>
        <w:t>faces and via integration with customer systems;</w:t>
      </w:r>
    </w:p>
    <w:p w14:paraId="637624F0" w14:textId="77777777" w:rsidR="00000000" w:rsidRDefault="00E614A4">
      <w:pPr>
        <w:ind w:hanging="360"/>
        <w:jc w:val="both"/>
        <w:divId w:val="1895042186"/>
        <w:rPr>
          <w:rFonts w:eastAsia="Times New Roman"/>
        </w:rPr>
      </w:pPr>
      <w:r>
        <w:rPr>
          <w:rFonts w:eastAsia="Times New Roman"/>
          <w:color w:val="000000"/>
          <w:sz w:val="20"/>
          <w:szCs w:val="20"/>
        </w:rPr>
        <w:t>•Designing new approaches to measurement challenges such as lift measurement, campaign measurement, and other areas that become more difficult as consumers increase their level of control over data pertainin</w:t>
      </w:r>
      <w:r>
        <w:rPr>
          <w:rFonts w:eastAsia="Times New Roman"/>
          <w:color w:val="000000"/>
          <w:sz w:val="20"/>
          <w:szCs w:val="20"/>
        </w:rPr>
        <w:t>g to their activities;</w:t>
      </w:r>
    </w:p>
    <w:p w14:paraId="4673FBE1" w14:textId="77777777" w:rsidR="00000000" w:rsidRDefault="00E614A4">
      <w:pPr>
        <w:ind w:hanging="360"/>
        <w:jc w:val="both"/>
        <w:divId w:val="589391348"/>
        <w:rPr>
          <w:rFonts w:eastAsia="Times New Roman"/>
        </w:rPr>
      </w:pPr>
      <w:r>
        <w:rPr>
          <w:rFonts w:eastAsia="Times New Roman"/>
          <w:color w:val="000000"/>
          <w:sz w:val="20"/>
          <w:szCs w:val="20"/>
        </w:rPr>
        <w:t>•Creating new methodologies to measure person-level TV and digital consumption at scale and across platforms; and</w:t>
      </w:r>
    </w:p>
    <w:p w14:paraId="6A92C7C5" w14:textId="77777777" w:rsidR="00000000" w:rsidRDefault="00E614A4">
      <w:pPr>
        <w:ind w:hanging="360"/>
        <w:jc w:val="both"/>
        <w:divId w:val="1690596835"/>
        <w:rPr>
          <w:rFonts w:eastAsia="Times New Roman"/>
        </w:rPr>
      </w:pPr>
      <w:r>
        <w:rPr>
          <w:rFonts w:eastAsia="Times New Roman"/>
          <w:color w:val="000000"/>
          <w:sz w:val="20"/>
          <w:szCs w:val="20"/>
        </w:rPr>
        <w:t>•Continuing to develop expertise in combining our data assets with those of partner companies, which allows us to enhan</w:t>
      </w:r>
      <w:r>
        <w:rPr>
          <w:rFonts w:eastAsia="Times New Roman"/>
          <w:color w:val="000000"/>
          <w:sz w:val="20"/>
          <w:szCs w:val="20"/>
        </w:rPr>
        <w:t>ce existing services and create new audience rating products and insight into audience behavior.</w:t>
      </w:r>
    </w:p>
    <w:p w14:paraId="1C06B306" w14:textId="77777777" w:rsidR="00000000" w:rsidRDefault="00E614A4">
      <w:pPr>
        <w:jc w:val="both"/>
        <w:divId w:val="672535408"/>
        <w:rPr>
          <w:rFonts w:eastAsia="Times New Roman"/>
        </w:rPr>
      </w:pPr>
      <w:r>
        <w:rPr>
          <w:rFonts w:eastAsia="Times New Roman"/>
          <w:b/>
          <w:bCs/>
          <w:color w:val="000000"/>
          <w:sz w:val="20"/>
          <w:szCs w:val="20"/>
        </w:rPr>
        <w:t>New Product Investments and Releases</w:t>
      </w:r>
    </w:p>
    <w:p w14:paraId="480EBA95" w14:textId="77777777" w:rsidR="00000000" w:rsidRDefault="00E614A4">
      <w:pPr>
        <w:jc w:val="both"/>
        <w:divId w:val="1090931794"/>
        <w:rPr>
          <w:rFonts w:eastAsia="Times New Roman"/>
        </w:rPr>
      </w:pPr>
      <w:r>
        <w:rPr>
          <w:rFonts w:eastAsia="Times New Roman"/>
          <w:color w:val="000000"/>
          <w:sz w:val="20"/>
          <w:szCs w:val="20"/>
          <w:u w:val="single"/>
        </w:rPr>
        <w:t>Cookieless - Engineering Products in a Privacy Centric World</w:t>
      </w:r>
    </w:p>
    <w:p w14:paraId="7818B1F4" w14:textId="77777777" w:rsidR="00000000" w:rsidRDefault="00E614A4">
      <w:pPr>
        <w:jc w:val="both"/>
        <w:divId w:val="2138719711"/>
        <w:rPr>
          <w:rFonts w:eastAsia="Times New Roman"/>
        </w:rPr>
      </w:pPr>
      <w:r>
        <w:rPr>
          <w:rFonts w:eastAsia="Times New Roman"/>
          <w:color w:val="000000"/>
          <w:sz w:val="20"/>
          <w:szCs w:val="20"/>
        </w:rPr>
        <w:t>Our digital measurement is centered upon using first party pa</w:t>
      </w:r>
      <w:r>
        <w:rPr>
          <w:rFonts w:eastAsia="Times New Roman"/>
          <w:color w:val="000000"/>
          <w:sz w:val="20"/>
          <w:szCs w:val="20"/>
        </w:rPr>
        <w:t>nel data combined with additional information captured through census measurement and data partnerships. Historically, we have used cookies and mobile advertising IDs to provide additional context and scale to our digital audience measurement solutions, as</w:t>
      </w:r>
      <w:r>
        <w:rPr>
          <w:rFonts w:eastAsia="Times New Roman"/>
          <w:color w:val="000000"/>
          <w:sz w:val="20"/>
          <w:szCs w:val="20"/>
        </w:rPr>
        <w:t xml:space="preserve"> well as to assist in more targeted measurement and reportability. The development of new opt-in permissions and enhanced focus on consent-based measurement provide the benefit of limiting the transfer of consumer personal information, but also mean change</w:t>
      </w:r>
      <w:r>
        <w:rPr>
          <w:rFonts w:eastAsia="Times New Roman"/>
          <w:color w:val="000000"/>
          <w:sz w:val="20"/>
          <w:szCs w:val="20"/>
        </w:rPr>
        <w:t xml:space="preserve">s to data collection and measurement processes. </w:t>
      </w:r>
    </w:p>
    <w:p w14:paraId="666FD6F3" w14:textId="77777777" w:rsidR="00000000" w:rsidRDefault="00E614A4">
      <w:pPr>
        <w:jc w:val="center"/>
        <w:divId w:val="228157527"/>
        <w:rPr>
          <w:rFonts w:eastAsia="Times New Roman"/>
        </w:rPr>
      </w:pPr>
      <w:r>
        <w:rPr>
          <w:rFonts w:eastAsia="Times New Roman"/>
          <w:color w:val="000000"/>
          <w:sz w:val="20"/>
          <w:szCs w:val="20"/>
        </w:rPr>
        <w:t>5</w:t>
      </w:r>
    </w:p>
    <w:p w14:paraId="6B96051C" w14:textId="77777777" w:rsidR="00000000" w:rsidRDefault="00E614A4">
      <w:pPr>
        <w:rPr>
          <w:rFonts w:eastAsia="Times New Roman"/>
        </w:rPr>
      </w:pPr>
      <w:r>
        <w:rPr>
          <w:rFonts w:eastAsia="Times New Roman"/>
        </w:rPr>
        <w:pict w14:anchorId="4E7A0224">
          <v:rect id="_x0000_i1032" style="width:0;height:1.5pt" o:hralign="center" o:hrstd="t" o:hr="t" fillcolor="#a0a0a0" stroked="f"/>
        </w:pict>
      </w:r>
    </w:p>
    <w:p w14:paraId="754F0565" w14:textId="77777777" w:rsidR="00000000" w:rsidRDefault="00E614A4">
      <w:pPr>
        <w:divId w:val="1239947552"/>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38EE834" w14:textId="77777777" w:rsidR="00000000" w:rsidRDefault="00E614A4">
      <w:pPr>
        <w:divId w:val="1692099733"/>
        <w:rPr>
          <w:rFonts w:eastAsia="Times New Roman"/>
        </w:rPr>
      </w:pPr>
    </w:p>
    <w:p w14:paraId="4C6EFE1D" w14:textId="77777777" w:rsidR="00000000" w:rsidRDefault="00E614A4">
      <w:pPr>
        <w:jc w:val="both"/>
        <w:divId w:val="472989970"/>
        <w:rPr>
          <w:rFonts w:eastAsia="Times New Roman"/>
        </w:rPr>
      </w:pPr>
      <w:r>
        <w:rPr>
          <w:rFonts w:eastAsia="Times New Roman"/>
          <w:color w:val="000000"/>
          <w:sz w:val="20"/>
          <w:szCs w:val="20"/>
        </w:rPr>
        <w:t>We are adopting new methodologies to lead this transition to a more privacy-centric world. A key component is leveraging our capabilities in panels, which we believe give us a competitive advantage in digital and cross-platform management. In parallel, our</w:t>
      </w:r>
      <w:r>
        <w:rPr>
          <w:rFonts w:eastAsia="Times New Roman"/>
          <w:color w:val="000000"/>
          <w:sz w:val="20"/>
          <w:szCs w:val="20"/>
        </w:rPr>
        <w:t xml:space="preserve"> work with existing and new partners to collaborate and test emerging solutions is intended to expand the reach of our census-level integrations. We are creating measurement innovations designed to produce stronger products engineered for privacy.</w:t>
      </w:r>
    </w:p>
    <w:p w14:paraId="591775AD" w14:textId="77777777" w:rsidR="00000000" w:rsidRDefault="00E614A4">
      <w:pPr>
        <w:jc w:val="both"/>
        <w:divId w:val="1873683547"/>
        <w:rPr>
          <w:rFonts w:eastAsia="Times New Roman"/>
        </w:rPr>
      </w:pPr>
      <w:r>
        <w:rPr>
          <w:rFonts w:eastAsia="Times New Roman"/>
          <w:color w:val="000000"/>
          <w:sz w:val="20"/>
          <w:szCs w:val="20"/>
        </w:rPr>
        <w:t>We are a</w:t>
      </w:r>
      <w:r>
        <w:rPr>
          <w:rFonts w:eastAsia="Times New Roman"/>
          <w:color w:val="000000"/>
          <w:sz w:val="20"/>
          <w:szCs w:val="20"/>
        </w:rPr>
        <w:t>lso engaged in industry initiatives that focus on the viability and success of the "free web," which is driven by advertising investment. One of these initiatives, championed by Google and Facebook, is a proposal from the World Federation of Advertisers ("</w:t>
      </w:r>
      <w:r>
        <w:rPr>
          <w:rFonts w:eastAsia="Times New Roman"/>
          <w:color w:val="000000"/>
          <w:sz w:val="20"/>
          <w:szCs w:val="20"/>
        </w:rPr>
        <w:t xml:space="preserve">WFA"). We are actively involved in WFA working sessions and are proposing a real-world test implementation to begin in the first half of 2021. Moreover, to counter the possibility of commoditization of digital measurement, we are developing two additional </w:t>
      </w:r>
      <w:r>
        <w:rPr>
          <w:rFonts w:eastAsia="Times New Roman"/>
          <w:color w:val="000000"/>
          <w:sz w:val="20"/>
          <w:szCs w:val="20"/>
        </w:rPr>
        <w:t>paths that are incremental to the WFA approach. One of these is to offer "WFA Plus" solutions, with enhanced features beyond the basic WFA methodology. The other is to offer an alternative, non-WFA measurement for those publishers who decline to participat</w:t>
      </w:r>
      <w:r>
        <w:rPr>
          <w:rFonts w:eastAsia="Times New Roman"/>
          <w:color w:val="000000"/>
          <w:sz w:val="20"/>
          <w:szCs w:val="20"/>
        </w:rPr>
        <w:t>e in the WFA framework. We expect this alternative approach to be interoperable with WFA-based measurements.</w:t>
      </w:r>
    </w:p>
    <w:p w14:paraId="740A5133" w14:textId="77777777" w:rsidR="00000000" w:rsidRDefault="00E614A4">
      <w:pPr>
        <w:jc w:val="both"/>
        <w:divId w:val="1337002314"/>
        <w:rPr>
          <w:rFonts w:eastAsia="Times New Roman"/>
        </w:rPr>
      </w:pPr>
      <w:r>
        <w:rPr>
          <w:rFonts w:eastAsia="Times New Roman"/>
          <w:color w:val="000000"/>
          <w:sz w:val="20"/>
          <w:szCs w:val="20"/>
          <w:u w:val="single"/>
        </w:rPr>
        <w:t>Comscore Markets</w:t>
      </w:r>
    </w:p>
    <w:p w14:paraId="4ADA0C2F" w14:textId="77777777" w:rsidR="00000000" w:rsidRDefault="00E614A4">
      <w:pPr>
        <w:jc w:val="both"/>
        <w:divId w:val="1430471268"/>
        <w:rPr>
          <w:rFonts w:eastAsia="Times New Roman"/>
        </w:rPr>
      </w:pPr>
      <w:r>
        <w:rPr>
          <w:rFonts w:eastAsia="Times New Roman"/>
          <w:color w:val="000000"/>
          <w:sz w:val="20"/>
          <w:szCs w:val="20"/>
        </w:rPr>
        <w:t xml:space="preserve">In 2020, we developed and deployed our own market definitions (known as Comscore Markets) into our television, digital, and cross </w:t>
      </w:r>
      <w:r>
        <w:rPr>
          <w:rFonts w:eastAsia="Times New Roman"/>
          <w:color w:val="000000"/>
          <w:sz w:val="20"/>
          <w:szCs w:val="20"/>
        </w:rPr>
        <w:t>platform products. During this time, we worked with agencies, local stations, and third-party processors so that Comscore Markets would be supported in existing media transactional systems. We expect these market definitions to provide the flexibility need</w:t>
      </w:r>
      <w:r>
        <w:rPr>
          <w:rFonts w:eastAsia="Times New Roman"/>
          <w:color w:val="000000"/>
          <w:sz w:val="20"/>
          <w:szCs w:val="20"/>
        </w:rPr>
        <w:t>ed for rapid innovation.</w:t>
      </w:r>
    </w:p>
    <w:p w14:paraId="2A124E41" w14:textId="77777777" w:rsidR="00000000" w:rsidRDefault="00E614A4">
      <w:pPr>
        <w:jc w:val="both"/>
        <w:divId w:val="447970820"/>
        <w:rPr>
          <w:rFonts w:eastAsia="Times New Roman"/>
        </w:rPr>
      </w:pPr>
      <w:r>
        <w:rPr>
          <w:rFonts w:eastAsia="Times New Roman"/>
          <w:color w:val="000000"/>
          <w:sz w:val="20"/>
          <w:szCs w:val="20"/>
          <w:u w:val="single"/>
        </w:rPr>
        <w:t>Comcast Integration</w:t>
      </w:r>
    </w:p>
    <w:p w14:paraId="1B50CBAA" w14:textId="77777777" w:rsidR="00000000" w:rsidRDefault="00E614A4">
      <w:pPr>
        <w:jc w:val="both"/>
        <w:divId w:val="2081706497"/>
        <w:rPr>
          <w:rFonts w:eastAsia="Times New Roman"/>
        </w:rPr>
      </w:pPr>
      <w:r>
        <w:rPr>
          <w:rFonts w:eastAsia="Times New Roman"/>
          <w:color w:val="000000"/>
          <w:sz w:val="20"/>
          <w:szCs w:val="20"/>
        </w:rPr>
        <w:t>Also in 2020, we announced an agreement with Comcast to include de-identified Comcast set-top box data in our syndicated TV products. We completed the integration of the Comcast data into our TVE and SVE product</w:t>
      </w:r>
      <w:r>
        <w:rPr>
          <w:rFonts w:eastAsia="Times New Roman"/>
          <w:color w:val="000000"/>
          <w:sz w:val="20"/>
          <w:szCs w:val="20"/>
        </w:rPr>
        <w:t>s in December 2020, and local and national clients will begin to receive TVE and SVE data that includes Comcast contributions beginning with broadcasts in January 2021.</w:t>
      </w:r>
    </w:p>
    <w:p w14:paraId="05A1E724" w14:textId="77777777" w:rsidR="00000000" w:rsidRDefault="00E614A4">
      <w:pPr>
        <w:jc w:val="both"/>
        <w:divId w:val="76636739"/>
        <w:rPr>
          <w:rFonts w:eastAsia="Times New Roman"/>
        </w:rPr>
      </w:pPr>
      <w:r>
        <w:rPr>
          <w:rFonts w:eastAsia="Times New Roman"/>
          <w:color w:val="000000"/>
          <w:sz w:val="20"/>
          <w:szCs w:val="20"/>
          <w:u w:val="single"/>
        </w:rPr>
        <w:t>Google Ads Data Hub</w:t>
      </w:r>
    </w:p>
    <w:p w14:paraId="2F2D1444" w14:textId="77777777" w:rsidR="00000000" w:rsidRDefault="00E614A4">
      <w:pPr>
        <w:jc w:val="both"/>
        <w:divId w:val="1017659287"/>
        <w:rPr>
          <w:rFonts w:eastAsia="Times New Roman"/>
        </w:rPr>
      </w:pPr>
      <w:r>
        <w:rPr>
          <w:rFonts w:eastAsia="Times New Roman"/>
          <w:color w:val="000000"/>
          <w:sz w:val="20"/>
          <w:szCs w:val="20"/>
        </w:rPr>
        <w:t>Throughout 2020, we partnered with Google to build the next generat</w:t>
      </w:r>
      <w:r>
        <w:rPr>
          <w:rFonts w:eastAsia="Times New Roman"/>
          <w:color w:val="000000"/>
          <w:sz w:val="20"/>
          <w:szCs w:val="20"/>
        </w:rPr>
        <w:t>ion of YouTube measurement without third-party pixels. In August, we announced the completion of our integration with Google's Ads Data Hub, or ADH. We were the first company to complete integration for Reach in ADH. During the remainder of 2020, we enhanc</w:t>
      </w:r>
      <w:r>
        <w:rPr>
          <w:rFonts w:eastAsia="Times New Roman"/>
          <w:color w:val="000000"/>
          <w:sz w:val="20"/>
          <w:szCs w:val="20"/>
        </w:rPr>
        <w:t>ed our ad-measurement services to include ADH, ensuring measurement continuity while enhancing reporting to include YouTube mobile applications utilizing our cross-platform panels.</w:t>
      </w:r>
    </w:p>
    <w:p w14:paraId="6F6F336A" w14:textId="77777777" w:rsidR="00000000" w:rsidRDefault="00E614A4">
      <w:pPr>
        <w:jc w:val="both"/>
        <w:divId w:val="745109847"/>
        <w:rPr>
          <w:rFonts w:eastAsia="Times New Roman"/>
        </w:rPr>
      </w:pPr>
      <w:r>
        <w:rPr>
          <w:rFonts w:eastAsia="Times New Roman"/>
          <w:color w:val="000000"/>
          <w:sz w:val="20"/>
          <w:szCs w:val="20"/>
          <w:u w:val="single"/>
        </w:rPr>
        <w:t>Mobile Video into MMX MP</w:t>
      </w:r>
    </w:p>
    <w:p w14:paraId="18146AFD" w14:textId="77777777" w:rsidR="00000000" w:rsidRDefault="00E614A4">
      <w:pPr>
        <w:jc w:val="both"/>
        <w:divId w:val="675571304"/>
        <w:rPr>
          <w:rFonts w:eastAsia="Times New Roman"/>
        </w:rPr>
      </w:pPr>
      <w:r>
        <w:rPr>
          <w:rFonts w:eastAsia="Times New Roman"/>
          <w:color w:val="000000"/>
          <w:sz w:val="20"/>
          <w:szCs w:val="20"/>
        </w:rPr>
        <w:t>As part of our ongoing effort to provide solutions</w:t>
      </w:r>
      <w:r>
        <w:rPr>
          <w:rFonts w:eastAsia="Times New Roman"/>
          <w:color w:val="000000"/>
          <w:sz w:val="20"/>
          <w:szCs w:val="20"/>
        </w:rPr>
        <w:t xml:space="preserve"> that measure digital audiences across all platforms, we introduced data enhancements to our Media Metrix Multi-Platform product in late 2020 that added video measurement from mobile smartphone and tablet devices. This product now provides digital reach an</w:t>
      </w:r>
      <w:r>
        <w:rPr>
          <w:rFonts w:eastAsia="Times New Roman"/>
          <w:color w:val="000000"/>
          <w:sz w:val="20"/>
          <w:szCs w:val="20"/>
        </w:rPr>
        <w:t>d engagement that is de-duplicated across content consumption methods for desktop and mobile devices, giving clients a better understanding of how their digital properties perform.</w:t>
      </w:r>
    </w:p>
    <w:p w14:paraId="62591A97" w14:textId="77777777" w:rsidR="00000000" w:rsidRDefault="00E614A4">
      <w:pPr>
        <w:jc w:val="both"/>
        <w:divId w:val="1408965137"/>
        <w:rPr>
          <w:rFonts w:eastAsia="Times New Roman"/>
        </w:rPr>
      </w:pPr>
      <w:r>
        <w:rPr>
          <w:rFonts w:eastAsia="Times New Roman"/>
          <w:color w:val="000000"/>
          <w:sz w:val="20"/>
          <w:szCs w:val="20"/>
          <w:u w:val="single"/>
        </w:rPr>
        <w:t>Quick Score</w:t>
      </w:r>
    </w:p>
    <w:p w14:paraId="0F5DF2EB" w14:textId="77777777" w:rsidR="00000000" w:rsidRDefault="00E614A4">
      <w:pPr>
        <w:jc w:val="both"/>
        <w:divId w:val="135146559"/>
        <w:rPr>
          <w:rFonts w:eastAsia="Times New Roman"/>
        </w:rPr>
      </w:pPr>
      <w:r>
        <w:rPr>
          <w:rFonts w:eastAsia="Times New Roman"/>
          <w:color w:val="000000"/>
          <w:sz w:val="20"/>
          <w:szCs w:val="20"/>
        </w:rPr>
        <w:t xml:space="preserve">Also in 2020, we introduced Comscore Quick Score, a television </w:t>
      </w:r>
      <w:r>
        <w:rPr>
          <w:rFonts w:eastAsia="Times New Roman"/>
          <w:color w:val="000000"/>
          <w:sz w:val="20"/>
          <w:szCs w:val="20"/>
        </w:rPr>
        <w:t xml:space="preserve">ratings report that provides viewership insights to local media within 48 hours of broadcast for faster, more efficient ad sales, programming and promotional decisions. Quick Score builds on the same data collection and processing backbone that powers TVE </w:t>
      </w:r>
      <w:r>
        <w:rPr>
          <w:rFonts w:eastAsia="Times New Roman"/>
          <w:color w:val="000000"/>
          <w:sz w:val="20"/>
          <w:szCs w:val="20"/>
        </w:rPr>
        <w:t>and SVE, while adding new algorithms and forecasting methods to generate estimates based on partial data. The footprint of the data informing Quick Score spans millions of TV households.</w:t>
      </w:r>
    </w:p>
    <w:p w14:paraId="223CCF9B" w14:textId="77777777" w:rsidR="00000000" w:rsidRDefault="00E614A4">
      <w:pPr>
        <w:jc w:val="both"/>
        <w:divId w:val="286661526"/>
        <w:rPr>
          <w:rFonts w:eastAsia="Times New Roman"/>
        </w:rPr>
      </w:pPr>
      <w:r>
        <w:rPr>
          <w:rFonts w:eastAsia="Times New Roman"/>
          <w:color w:val="000000"/>
          <w:sz w:val="20"/>
          <w:szCs w:val="20"/>
          <w:u w:val="single"/>
        </w:rPr>
        <w:t>LiveRamp Data Plus Math Integration</w:t>
      </w:r>
    </w:p>
    <w:p w14:paraId="11F5238F" w14:textId="77777777" w:rsidR="00000000" w:rsidRDefault="00E614A4">
      <w:pPr>
        <w:jc w:val="both"/>
        <w:divId w:val="1440639973"/>
        <w:rPr>
          <w:rFonts w:eastAsia="Times New Roman"/>
        </w:rPr>
      </w:pPr>
      <w:r>
        <w:rPr>
          <w:rFonts w:eastAsia="Times New Roman"/>
          <w:color w:val="000000"/>
          <w:sz w:val="20"/>
          <w:szCs w:val="20"/>
        </w:rPr>
        <w:t>In October 2020, we partnered wit</w:t>
      </w:r>
      <w:r>
        <w:rPr>
          <w:rFonts w:eastAsia="Times New Roman"/>
          <w:color w:val="000000"/>
          <w:sz w:val="20"/>
          <w:szCs w:val="20"/>
        </w:rPr>
        <w:t>h LiveRamp to launch the next generation of outcome-based measurement with the latest version of LiveRamp's Data Plus Math powered by Comscore. The expanded partnership and offering are designed to help advertisers, TV networks and multichannel video progr</w:t>
      </w:r>
      <w:r>
        <w:rPr>
          <w:rFonts w:eastAsia="Times New Roman"/>
          <w:color w:val="000000"/>
          <w:sz w:val="20"/>
          <w:szCs w:val="20"/>
        </w:rPr>
        <w:t>amming distributors ("MVPDs") maximize outcomes for advertising campaigns by allowing marketers to measure TV's impact on business outcomes at scale, across screens, and across formats. The enhanced Data Plus Math solution leverages our comprehensive cross</w:t>
      </w:r>
      <w:r>
        <w:rPr>
          <w:rFonts w:eastAsia="Times New Roman"/>
          <w:color w:val="000000"/>
          <w:sz w:val="20"/>
          <w:szCs w:val="20"/>
        </w:rPr>
        <w:t>-platform ad exposure information from both set-top boxes and automatic content recognition enabled TVs.</w:t>
      </w:r>
    </w:p>
    <w:p w14:paraId="0461EBE9" w14:textId="77777777" w:rsidR="00000000" w:rsidRDefault="00E614A4">
      <w:pPr>
        <w:jc w:val="both"/>
        <w:divId w:val="1654137564"/>
        <w:rPr>
          <w:rFonts w:eastAsia="Times New Roman"/>
        </w:rPr>
      </w:pPr>
      <w:r>
        <w:rPr>
          <w:rFonts w:eastAsia="Times New Roman"/>
          <w:color w:val="000000"/>
          <w:sz w:val="20"/>
          <w:szCs w:val="20"/>
          <w:u w:val="single"/>
        </w:rPr>
        <w:t>Content Activation for Livestreaming Video</w:t>
      </w:r>
    </w:p>
    <w:p w14:paraId="3BA3FDA5" w14:textId="77777777" w:rsidR="00000000" w:rsidRDefault="00E614A4">
      <w:pPr>
        <w:jc w:val="both"/>
        <w:divId w:val="1829635771"/>
        <w:rPr>
          <w:rFonts w:eastAsia="Times New Roman"/>
        </w:rPr>
      </w:pPr>
      <w:r>
        <w:rPr>
          <w:rFonts w:eastAsia="Times New Roman"/>
          <w:color w:val="000000"/>
          <w:sz w:val="20"/>
          <w:szCs w:val="20"/>
        </w:rPr>
        <w:t>In 2020, we launched a CTV and video contextual targeting solution to help empower advertisers to target relevant and brand-safe CTV and video content programmatically. This enhancement marks the next evolution in our Activation suite, which is designed to</w:t>
      </w:r>
      <w:r>
        <w:rPr>
          <w:rFonts w:eastAsia="Times New Roman"/>
          <w:color w:val="000000"/>
          <w:sz w:val="20"/>
          <w:szCs w:val="20"/>
        </w:rPr>
        <w:t xml:space="preserve"> </w:t>
      </w:r>
    </w:p>
    <w:p w14:paraId="1D467F08" w14:textId="77777777" w:rsidR="00000000" w:rsidRDefault="00E614A4">
      <w:pPr>
        <w:jc w:val="center"/>
        <w:divId w:val="939491178"/>
        <w:rPr>
          <w:rFonts w:eastAsia="Times New Roman"/>
        </w:rPr>
      </w:pPr>
      <w:r>
        <w:rPr>
          <w:rFonts w:eastAsia="Times New Roman"/>
          <w:color w:val="000000"/>
          <w:sz w:val="20"/>
          <w:szCs w:val="20"/>
        </w:rPr>
        <w:t>6</w:t>
      </w:r>
    </w:p>
    <w:p w14:paraId="34841273" w14:textId="77777777" w:rsidR="00000000" w:rsidRDefault="00E614A4">
      <w:pPr>
        <w:rPr>
          <w:rFonts w:eastAsia="Times New Roman"/>
        </w:rPr>
      </w:pPr>
      <w:r>
        <w:rPr>
          <w:rFonts w:eastAsia="Times New Roman"/>
        </w:rPr>
        <w:pict w14:anchorId="39B0ED87">
          <v:rect id="_x0000_i1033" style="width:0;height:1.5pt" o:hralign="center" o:hrstd="t" o:hr="t" fillcolor="#a0a0a0" stroked="f"/>
        </w:pict>
      </w:r>
    </w:p>
    <w:p w14:paraId="49C496A0" w14:textId="77777777" w:rsidR="00000000" w:rsidRDefault="00E614A4">
      <w:pPr>
        <w:divId w:val="30566869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5D35198" w14:textId="77777777" w:rsidR="00000000" w:rsidRDefault="00E614A4">
      <w:pPr>
        <w:divId w:val="1808163637"/>
        <w:rPr>
          <w:rFonts w:eastAsia="Times New Roman"/>
        </w:rPr>
      </w:pPr>
    </w:p>
    <w:p w14:paraId="66EDE30C" w14:textId="77777777" w:rsidR="00000000" w:rsidRDefault="00E614A4">
      <w:pPr>
        <w:jc w:val="both"/>
        <w:divId w:val="226454642"/>
        <w:rPr>
          <w:rFonts w:eastAsia="Times New Roman"/>
        </w:rPr>
      </w:pPr>
      <w:r>
        <w:rPr>
          <w:rFonts w:eastAsia="Times New Roman"/>
          <w:color w:val="000000"/>
          <w:sz w:val="20"/>
          <w:szCs w:val="20"/>
        </w:rPr>
        <w:t>help advertisers reach specific demographics, and behavioral TV and OTT audience</w:t>
      </w:r>
      <w:r>
        <w:rPr>
          <w:rFonts w:eastAsia="Times New Roman"/>
          <w:color w:val="000000"/>
          <w:sz w:val="20"/>
          <w:szCs w:val="20"/>
        </w:rPr>
        <w:t>s in brand-safe, relevant contexts across desktop, mobile, and CTV.</w:t>
      </w:r>
    </w:p>
    <w:p w14:paraId="4F2C315A" w14:textId="77777777" w:rsidR="00000000" w:rsidRDefault="00E614A4">
      <w:pPr>
        <w:jc w:val="both"/>
        <w:divId w:val="2136169255"/>
        <w:rPr>
          <w:rFonts w:eastAsia="Times New Roman"/>
        </w:rPr>
      </w:pPr>
      <w:r>
        <w:rPr>
          <w:rFonts w:eastAsia="Times New Roman"/>
          <w:b/>
          <w:bCs/>
          <w:color w:val="000000"/>
          <w:sz w:val="20"/>
          <w:szCs w:val="20"/>
        </w:rPr>
        <w:t>Intellectual Property</w:t>
      </w:r>
    </w:p>
    <w:p w14:paraId="6D6E3C68" w14:textId="77777777" w:rsidR="00000000" w:rsidRDefault="00E614A4">
      <w:pPr>
        <w:jc w:val="both"/>
        <w:divId w:val="108478611"/>
        <w:rPr>
          <w:rFonts w:eastAsia="Times New Roman"/>
        </w:rPr>
      </w:pPr>
      <w:r>
        <w:rPr>
          <w:rFonts w:eastAsia="Times New Roman"/>
          <w:color w:val="000000"/>
          <w:sz w:val="20"/>
          <w:szCs w:val="20"/>
        </w:rPr>
        <w:t>Our intellectual property assets are important to protect our business. We protect our innovations and products with numerous patents, trademarks, copyrights, trade secrets, and other intellectual property. In particular, we file for, and seek to acquire p</w:t>
      </w:r>
      <w:r>
        <w:rPr>
          <w:rFonts w:eastAsia="Times New Roman"/>
          <w:color w:val="000000"/>
          <w:sz w:val="20"/>
          <w:szCs w:val="20"/>
        </w:rPr>
        <w:t>atent rights for our innovations and we continue to seek to enhance our patent portfolio through targeted and strategic patent filings and licensing opportunities. We believe that we own the material trademarks used in connection with the marketing, distri</w:t>
      </w:r>
      <w:r>
        <w:rPr>
          <w:rFonts w:eastAsia="Times New Roman"/>
          <w:color w:val="000000"/>
          <w:sz w:val="20"/>
          <w:szCs w:val="20"/>
        </w:rPr>
        <w:t>bution and sale of our products, both domestically and internationally. We will continue to pursue intellectual property opportunities in areas and technologies that we deem to be strategic and appropriate for our business.</w:t>
      </w:r>
    </w:p>
    <w:p w14:paraId="39106582" w14:textId="77777777" w:rsidR="00000000" w:rsidRDefault="00E614A4">
      <w:pPr>
        <w:jc w:val="both"/>
        <w:divId w:val="1595817604"/>
        <w:rPr>
          <w:rFonts w:eastAsia="Times New Roman"/>
        </w:rPr>
      </w:pPr>
      <w:r>
        <w:rPr>
          <w:rFonts w:eastAsia="Times New Roman"/>
          <w:color w:val="000000"/>
          <w:sz w:val="20"/>
          <w:szCs w:val="20"/>
          <w:u w:val="single"/>
        </w:rPr>
        <w:t>Patents</w:t>
      </w:r>
    </w:p>
    <w:p w14:paraId="4512EC4A" w14:textId="77777777" w:rsidR="00000000" w:rsidRDefault="00E614A4">
      <w:pPr>
        <w:jc w:val="both"/>
        <w:divId w:val="1666788369"/>
        <w:rPr>
          <w:rFonts w:eastAsia="Times New Roman"/>
        </w:rPr>
      </w:pPr>
      <w:r>
        <w:rPr>
          <w:rFonts w:eastAsia="Times New Roman"/>
          <w:color w:val="000000"/>
          <w:sz w:val="20"/>
          <w:szCs w:val="20"/>
        </w:rPr>
        <w:t>Our patents extend acros</w:t>
      </w:r>
      <w:r>
        <w:rPr>
          <w:rFonts w:eastAsia="Times New Roman"/>
          <w:color w:val="000000"/>
          <w:sz w:val="20"/>
          <w:szCs w:val="20"/>
        </w:rPr>
        <w:t>s our data capture and processing techniques and include the following:</w:t>
      </w:r>
    </w:p>
    <w:p w14:paraId="01FFB857" w14:textId="77777777" w:rsidR="00000000" w:rsidRDefault="00E614A4">
      <w:pPr>
        <w:ind w:hanging="360"/>
        <w:jc w:val="both"/>
        <w:divId w:val="789784797"/>
        <w:rPr>
          <w:rFonts w:eastAsia="Times New Roman"/>
        </w:rPr>
      </w:pPr>
      <w:r>
        <w:rPr>
          <w:rFonts w:eastAsia="Times New Roman"/>
          <w:color w:val="000000"/>
          <w:sz w:val="20"/>
          <w:szCs w:val="20"/>
        </w:rPr>
        <w:t>•</w:t>
      </w:r>
      <w:r>
        <w:rPr>
          <w:rFonts w:eastAsia="Times New Roman"/>
          <w:color w:val="000000"/>
          <w:sz w:val="20"/>
          <w:szCs w:val="20"/>
          <w:u w:val="single"/>
        </w:rPr>
        <w:t>Data Collection</w:t>
      </w:r>
      <w:r>
        <w:rPr>
          <w:rFonts w:eastAsia="Times New Roman"/>
          <w:color w:val="000000"/>
          <w:sz w:val="20"/>
          <w:szCs w:val="20"/>
        </w:rPr>
        <w:t xml:space="preserve"> - metering such as biometrics and audio fingerprinting, tagging such as video viewability, browser optimization, IP obfuscation and TV-off measurement methodology.</w:t>
      </w:r>
    </w:p>
    <w:p w14:paraId="4A4F92D5" w14:textId="77777777" w:rsidR="00000000" w:rsidRDefault="00E614A4">
      <w:pPr>
        <w:ind w:hanging="360"/>
        <w:jc w:val="both"/>
        <w:divId w:val="705762838"/>
        <w:rPr>
          <w:rFonts w:eastAsia="Times New Roman"/>
        </w:rPr>
      </w:pPr>
      <w:r>
        <w:rPr>
          <w:rFonts w:eastAsia="Times New Roman"/>
          <w:color w:val="000000"/>
          <w:sz w:val="20"/>
          <w:szCs w:val="20"/>
        </w:rPr>
        <w:t>•</w:t>
      </w:r>
      <w:r>
        <w:rPr>
          <w:rFonts w:eastAsia="Times New Roman"/>
          <w:color w:val="000000"/>
          <w:sz w:val="20"/>
          <w:szCs w:val="20"/>
          <w:u w:val="single"/>
        </w:rPr>
        <w:t>Da</w:t>
      </w:r>
      <w:r>
        <w:rPr>
          <w:rFonts w:eastAsia="Times New Roman"/>
          <w:color w:val="000000"/>
          <w:sz w:val="20"/>
          <w:szCs w:val="20"/>
          <w:u w:val="single"/>
        </w:rPr>
        <w:t>ta Processing</w:t>
      </w:r>
      <w:r>
        <w:rPr>
          <w:rFonts w:eastAsia="Times New Roman"/>
          <w:color w:val="000000"/>
          <w:sz w:val="20"/>
          <w:szCs w:val="20"/>
        </w:rPr>
        <w:t xml:space="preserve"> - traffic and content categorization, demographic attribution, ad effectiveness measurement, data overlap and fusion, invalid traffic detection, data weighting, projection and processing of return path data.</w:t>
      </w:r>
    </w:p>
    <w:p w14:paraId="69C0DC2E" w14:textId="77777777" w:rsidR="00000000" w:rsidRDefault="00E614A4">
      <w:pPr>
        <w:jc w:val="both"/>
        <w:divId w:val="1276059155"/>
        <w:rPr>
          <w:rFonts w:eastAsia="Times New Roman"/>
        </w:rPr>
      </w:pPr>
      <w:r>
        <w:rPr>
          <w:rFonts w:eastAsia="Times New Roman"/>
          <w:color w:val="000000"/>
          <w:sz w:val="20"/>
          <w:szCs w:val="20"/>
          <w:u w:val="single"/>
        </w:rPr>
        <w:t>Trademarks</w:t>
      </w:r>
    </w:p>
    <w:p w14:paraId="26CBC9A6" w14:textId="77777777" w:rsidR="00000000" w:rsidRDefault="00E614A4">
      <w:pPr>
        <w:jc w:val="both"/>
        <w:divId w:val="1540313010"/>
        <w:rPr>
          <w:rFonts w:eastAsia="Times New Roman"/>
        </w:rPr>
      </w:pPr>
      <w:r>
        <w:rPr>
          <w:rFonts w:eastAsia="Times New Roman"/>
          <w:color w:val="000000"/>
          <w:sz w:val="20"/>
          <w:szCs w:val="20"/>
        </w:rPr>
        <w:t>We file and maintain tr</w:t>
      </w:r>
      <w:r>
        <w:rPr>
          <w:rFonts w:eastAsia="Times New Roman"/>
          <w:color w:val="000000"/>
          <w:sz w:val="20"/>
          <w:szCs w:val="20"/>
        </w:rPr>
        <w:t>ademark protection for our products and services. We rely on trademarks and service marks to protect our intellectual property assets and believe these are important to our marketing efforts and the competitive value of our products and services. We have r</w:t>
      </w:r>
      <w:r>
        <w:rPr>
          <w:rFonts w:eastAsia="Times New Roman"/>
          <w:color w:val="000000"/>
          <w:sz w:val="20"/>
          <w:szCs w:val="20"/>
        </w:rPr>
        <w:t>egistered trademarks around the globe, including Unified Digital Measurement®, UDM®, vCE®, Metrix®, Essentials®, Box Office Essentials®, OnDemand Essentials®, OnDemand Everywhere®, and TV Essentials®. This 10-K also contains additional trademarks and trade</w:t>
      </w:r>
      <w:r>
        <w:rPr>
          <w:rFonts w:eastAsia="Times New Roman"/>
          <w:color w:val="000000"/>
          <w:sz w:val="20"/>
          <w:szCs w:val="20"/>
        </w:rPr>
        <w:t xml:space="preserve"> names of our Company and our subsidiaries. All trademarks and trade names appearing in this 10-K are the property of their respective holders.</w:t>
      </w:r>
    </w:p>
    <w:p w14:paraId="73039F39" w14:textId="77777777" w:rsidR="00000000" w:rsidRDefault="00E614A4">
      <w:pPr>
        <w:jc w:val="both"/>
        <w:divId w:val="1933539235"/>
        <w:rPr>
          <w:rFonts w:eastAsia="Times New Roman"/>
        </w:rPr>
      </w:pPr>
      <w:r>
        <w:rPr>
          <w:rFonts w:eastAsia="Times New Roman"/>
          <w:color w:val="000000"/>
          <w:sz w:val="20"/>
          <w:szCs w:val="20"/>
          <w:u w:val="single"/>
        </w:rPr>
        <w:t>Licenses</w:t>
      </w:r>
    </w:p>
    <w:p w14:paraId="6D003734" w14:textId="77777777" w:rsidR="00000000" w:rsidRDefault="00E614A4">
      <w:pPr>
        <w:jc w:val="both"/>
        <w:divId w:val="1331060747"/>
        <w:rPr>
          <w:rFonts w:eastAsia="Times New Roman"/>
        </w:rPr>
      </w:pPr>
      <w:r>
        <w:rPr>
          <w:rFonts w:eastAsia="Times New Roman"/>
          <w:color w:val="000000"/>
          <w:sz w:val="20"/>
          <w:szCs w:val="20"/>
        </w:rPr>
        <w:t>We license data from third-party providers across the media platforms that we measure. Our licenses inc</w:t>
      </w:r>
      <w:r>
        <w:rPr>
          <w:rFonts w:eastAsia="Times New Roman"/>
          <w:color w:val="000000"/>
          <w:sz w:val="20"/>
          <w:szCs w:val="20"/>
        </w:rPr>
        <w:t>lude agreements with satellite, telecommunications and cable operators covering television and VOD viewership data, third-party scheduling datasets and data matching partners, and agreements with providers of demographic and behavioral mobile and panel dat</w:t>
      </w:r>
      <w:r>
        <w:rPr>
          <w:rFonts w:eastAsia="Times New Roman"/>
          <w:color w:val="000000"/>
          <w:sz w:val="20"/>
          <w:szCs w:val="20"/>
        </w:rPr>
        <w:t>a. See "Our Approach to Media Measurement" above for a discussion of our data sourcing.</w:t>
      </w:r>
    </w:p>
    <w:p w14:paraId="3C52BC81" w14:textId="77777777" w:rsidR="00000000" w:rsidRDefault="00E614A4">
      <w:pPr>
        <w:jc w:val="both"/>
        <w:divId w:val="672998689"/>
        <w:rPr>
          <w:rFonts w:eastAsia="Times New Roman"/>
        </w:rPr>
      </w:pPr>
      <w:r>
        <w:rPr>
          <w:rFonts w:eastAsia="Times New Roman"/>
          <w:b/>
          <w:bCs/>
          <w:color w:val="000000"/>
          <w:sz w:val="20"/>
          <w:szCs w:val="20"/>
        </w:rPr>
        <w:t>Competition</w:t>
      </w:r>
    </w:p>
    <w:p w14:paraId="4D166905" w14:textId="77777777" w:rsidR="00000000" w:rsidRDefault="00E614A4">
      <w:pPr>
        <w:jc w:val="both"/>
        <w:divId w:val="1820614622"/>
        <w:rPr>
          <w:rFonts w:eastAsia="Times New Roman"/>
        </w:rPr>
      </w:pPr>
      <w:r>
        <w:rPr>
          <w:rFonts w:eastAsia="Times New Roman"/>
          <w:color w:val="000000"/>
          <w:sz w:val="20"/>
          <w:szCs w:val="20"/>
        </w:rPr>
        <w:t>The market for audience and advertising measurement products is highly competitive and is evolving rapidly. We compete primarily with other providers of med</w:t>
      </w:r>
      <w:r>
        <w:rPr>
          <w:rFonts w:eastAsia="Times New Roman"/>
          <w:color w:val="000000"/>
          <w:sz w:val="20"/>
          <w:szCs w:val="20"/>
        </w:rPr>
        <w:t>ia intelligence and related analytical products and services. We also compete with providers of marketing services and solutions, with full-service survey providers and with internal solutions developed by customers and potential customers. Our principal c</w:t>
      </w:r>
      <w:r>
        <w:rPr>
          <w:rFonts w:eastAsia="Times New Roman"/>
          <w:color w:val="000000"/>
          <w:sz w:val="20"/>
          <w:szCs w:val="20"/>
        </w:rPr>
        <w:t>ompetitors include:</w:t>
      </w:r>
    </w:p>
    <w:p w14:paraId="6FC7BB95" w14:textId="77777777" w:rsidR="00000000" w:rsidRDefault="00E614A4">
      <w:pPr>
        <w:ind w:hanging="360"/>
        <w:jc w:val="both"/>
        <w:divId w:val="1903297130"/>
        <w:rPr>
          <w:rFonts w:eastAsia="Times New Roman"/>
        </w:rPr>
      </w:pPr>
      <w:r>
        <w:rPr>
          <w:rFonts w:eastAsia="Times New Roman"/>
          <w:color w:val="000000"/>
          <w:sz w:val="20"/>
          <w:szCs w:val="20"/>
        </w:rPr>
        <w:t>•Full-service market research firms, including Nielsen, Ipsos and GfK;</w:t>
      </w:r>
    </w:p>
    <w:p w14:paraId="5C742A01" w14:textId="77777777" w:rsidR="00000000" w:rsidRDefault="00E614A4">
      <w:pPr>
        <w:ind w:hanging="360"/>
        <w:jc w:val="both"/>
        <w:divId w:val="532183849"/>
        <w:rPr>
          <w:rFonts w:eastAsia="Times New Roman"/>
        </w:rPr>
      </w:pPr>
      <w:r>
        <w:rPr>
          <w:rFonts w:eastAsia="Times New Roman"/>
          <w:color w:val="000000"/>
          <w:sz w:val="20"/>
          <w:szCs w:val="20"/>
        </w:rPr>
        <w:t>•Companies that provide audience ratings for TV, radio and other media that have extended or may extend their current services, particularly in certain international</w:t>
      </w:r>
      <w:r>
        <w:rPr>
          <w:rFonts w:eastAsia="Times New Roman"/>
          <w:color w:val="000000"/>
          <w:sz w:val="20"/>
          <w:szCs w:val="20"/>
        </w:rPr>
        <w:t xml:space="preserve"> markets, to the measurement of digital media, including Nielsen Audio (formerly Arbitron) and Xperi Corporation;</w:t>
      </w:r>
    </w:p>
    <w:p w14:paraId="6F7C5156" w14:textId="77777777" w:rsidR="00000000" w:rsidRDefault="00E614A4">
      <w:pPr>
        <w:ind w:hanging="360"/>
        <w:jc w:val="both"/>
        <w:divId w:val="293296040"/>
        <w:rPr>
          <w:rFonts w:eastAsia="Times New Roman"/>
        </w:rPr>
      </w:pPr>
      <w:r>
        <w:rPr>
          <w:rFonts w:eastAsia="Times New Roman"/>
          <w:color w:val="000000"/>
          <w:sz w:val="20"/>
          <w:szCs w:val="20"/>
        </w:rPr>
        <w:t>•Online advertising companies that provide measurement of online ad effectiveness and ad delivery used for billing purposes, including Nielsen</w:t>
      </w:r>
      <w:r>
        <w:rPr>
          <w:rFonts w:eastAsia="Times New Roman"/>
          <w:color w:val="000000"/>
          <w:sz w:val="20"/>
          <w:szCs w:val="20"/>
        </w:rPr>
        <w:t>, Google and Facebook;</w:t>
      </w:r>
    </w:p>
    <w:p w14:paraId="0F493C71" w14:textId="77777777" w:rsidR="00000000" w:rsidRDefault="00E614A4">
      <w:pPr>
        <w:ind w:hanging="360"/>
        <w:jc w:val="both"/>
        <w:divId w:val="1650747700"/>
        <w:rPr>
          <w:rFonts w:eastAsia="Times New Roman"/>
        </w:rPr>
      </w:pPr>
      <w:r>
        <w:rPr>
          <w:rFonts w:eastAsia="Times New Roman"/>
          <w:color w:val="000000"/>
          <w:sz w:val="20"/>
          <w:szCs w:val="20"/>
        </w:rPr>
        <w:t>•Companies that provide digital advertising technology point solutions, including DoubleVerify, Integral Ad Science, Moat (owned by Oracle), and WhiteOps;</w:t>
      </w:r>
    </w:p>
    <w:p w14:paraId="07A0799F" w14:textId="77777777" w:rsidR="00000000" w:rsidRDefault="00E614A4">
      <w:pPr>
        <w:ind w:hanging="360"/>
        <w:jc w:val="both"/>
        <w:divId w:val="651712304"/>
        <w:rPr>
          <w:rFonts w:eastAsia="Times New Roman"/>
        </w:rPr>
      </w:pPr>
      <w:r>
        <w:rPr>
          <w:rFonts w:eastAsia="Times New Roman"/>
          <w:color w:val="000000"/>
          <w:sz w:val="20"/>
          <w:szCs w:val="20"/>
        </w:rPr>
        <w:t>•Companies that provide audience measurement and competitive intelligence acro</w:t>
      </w:r>
      <w:r>
        <w:rPr>
          <w:rFonts w:eastAsia="Times New Roman"/>
          <w:color w:val="000000"/>
          <w:sz w:val="20"/>
          <w:szCs w:val="20"/>
        </w:rPr>
        <w:t>ss digital platforms, including Nielsen, SimilarWeb, and App Annie;</w:t>
      </w:r>
    </w:p>
    <w:p w14:paraId="32666F93" w14:textId="77777777" w:rsidR="00000000" w:rsidRDefault="00E614A4">
      <w:pPr>
        <w:ind w:hanging="360"/>
        <w:jc w:val="both"/>
        <w:divId w:val="1735160965"/>
        <w:rPr>
          <w:rFonts w:eastAsia="Times New Roman"/>
        </w:rPr>
      </w:pPr>
      <w:r>
        <w:rPr>
          <w:rFonts w:eastAsia="Times New Roman"/>
          <w:color w:val="000000"/>
          <w:sz w:val="20"/>
          <w:szCs w:val="20"/>
        </w:rPr>
        <w:t>•Analytical services companies that provide customers with detailed information about behavior on their own websites, including Adobe Analytics, IBM Digital Analytics and WebTrends Inc.;</w:t>
      </w:r>
    </w:p>
    <w:p w14:paraId="1ED337B1" w14:textId="77777777" w:rsidR="00000000" w:rsidRDefault="00E614A4">
      <w:pPr>
        <w:ind w:hanging="360"/>
        <w:jc w:val="both"/>
        <w:divId w:val="1234000758"/>
        <w:rPr>
          <w:rFonts w:eastAsia="Times New Roman"/>
        </w:rPr>
      </w:pPr>
      <w:r>
        <w:rPr>
          <w:rFonts w:eastAsia="Times New Roman"/>
          <w:color w:val="000000"/>
          <w:sz w:val="20"/>
          <w:szCs w:val="20"/>
        </w:rPr>
        <w:t>•</w:t>
      </w:r>
      <w:r>
        <w:rPr>
          <w:rFonts w:eastAsia="Times New Roman"/>
          <w:color w:val="000000"/>
          <w:sz w:val="20"/>
          <w:szCs w:val="20"/>
        </w:rPr>
        <w:t>Companies that report Smart TV data such as Vizio, Alphonso, Samsung, and Samba TV; and</w:t>
      </w:r>
    </w:p>
    <w:p w14:paraId="280C3A40" w14:textId="77777777" w:rsidR="00000000" w:rsidRDefault="00E614A4">
      <w:pPr>
        <w:ind w:hanging="360"/>
        <w:jc w:val="both"/>
        <w:divId w:val="1333071561"/>
        <w:rPr>
          <w:rFonts w:eastAsia="Times New Roman"/>
        </w:rPr>
      </w:pPr>
      <w:r>
        <w:rPr>
          <w:rFonts w:eastAsia="Times New Roman"/>
          <w:color w:val="000000"/>
          <w:sz w:val="20"/>
          <w:szCs w:val="20"/>
        </w:rPr>
        <w:t>•Companies that provide consumers with TV and digital services such as AT&amp;T and Comcast.</w:t>
      </w:r>
    </w:p>
    <w:p w14:paraId="78235E85" w14:textId="77777777" w:rsidR="00000000" w:rsidRDefault="00E614A4">
      <w:pPr>
        <w:jc w:val="both"/>
        <w:divId w:val="1065760111"/>
        <w:rPr>
          <w:rFonts w:eastAsia="Times New Roman"/>
        </w:rPr>
      </w:pPr>
      <w:r>
        <w:rPr>
          <w:rFonts w:eastAsia="Times New Roman"/>
          <w:color w:val="000000"/>
          <w:sz w:val="20"/>
          <w:szCs w:val="20"/>
        </w:rPr>
        <w:t>We compete based on the following principal factors:</w:t>
      </w:r>
    </w:p>
    <w:p w14:paraId="7FEE1A23" w14:textId="77777777" w:rsidR="00000000" w:rsidRDefault="00E614A4">
      <w:pPr>
        <w:ind w:hanging="360"/>
        <w:jc w:val="both"/>
        <w:divId w:val="128938227"/>
        <w:rPr>
          <w:rFonts w:eastAsia="Times New Roman"/>
        </w:rPr>
      </w:pPr>
      <w:r>
        <w:rPr>
          <w:rFonts w:eastAsia="Times New Roman"/>
          <w:color w:val="000000"/>
          <w:sz w:val="20"/>
          <w:szCs w:val="20"/>
        </w:rPr>
        <w:t>•The ability to provide accurate measurement of digital audiences across multiple digital platforms;</w:t>
      </w:r>
    </w:p>
    <w:p w14:paraId="6C6D9A70" w14:textId="77777777" w:rsidR="00000000" w:rsidRDefault="00E614A4">
      <w:pPr>
        <w:jc w:val="center"/>
        <w:divId w:val="1159538101"/>
        <w:rPr>
          <w:rFonts w:eastAsia="Times New Roman"/>
        </w:rPr>
      </w:pPr>
      <w:r>
        <w:rPr>
          <w:rFonts w:eastAsia="Times New Roman"/>
          <w:color w:val="000000"/>
          <w:sz w:val="20"/>
          <w:szCs w:val="20"/>
        </w:rPr>
        <w:t>7</w:t>
      </w:r>
    </w:p>
    <w:p w14:paraId="43CA9FEA" w14:textId="77777777" w:rsidR="00000000" w:rsidRDefault="00E614A4">
      <w:pPr>
        <w:rPr>
          <w:rFonts w:eastAsia="Times New Roman"/>
        </w:rPr>
      </w:pPr>
      <w:r>
        <w:rPr>
          <w:rFonts w:eastAsia="Times New Roman"/>
        </w:rPr>
        <w:pict w14:anchorId="539534B3">
          <v:rect id="_x0000_i1034" style="width:0;height:1.5pt" o:hralign="center" o:hrstd="t" o:hr="t" fillcolor="#a0a0a0" stroked="f"/>
        </w:pict>
      </w:r>
    </w:p>
    <w:p w14:paraId="4F65BD22" w14:textId="77777777" w:rsidR="00000000" w:rsidRDefault="00E614A4">
      <w:pPr>
        <w:divId w:val="656420912"/>
        <w:rPr>
          <w:rFonts w:eastAsia="Times New Roman"/>
        </w:rPr>
      </w:pPr>
      <w:hyperlink w:anchor="ided6989bcc374020961c421c465250ee_7" w:history="1">
        <w:r>
          <w:rPr>
            <w:rStyle w:val="a3"/>
            <w:rFonts w:eastAsia="Times New Roman"/>
            <w:sz w:val="20"/>
            <w:szCs w:val="20"/>
          </w:rPr>
          <w:t xml:space="preserve">Table </w:t>
        </w:r>
        <w:r>
          <w:rPr>
            <w:rStyle w:val="a3"/>
            <w:rFonts w:eastAsia="Times New Roman"/>
            <w:sz w:val="20"/>
            <w:szCs w:val="20"/>
          </w:rPr>
          <w:t>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D159520" w14:textId="77777777" w:rsidR="00000000" w:rsidRDefault="00E614A4">
      <w:pPr>
        <w:divId w:val="984894116"/>
        <w:rPr>
          <w:rFonts w:eastAsia="Times New Roman"/>
        </w:rPr>
      </w:pPr>
    </w:p>
    <w:p w14:paraId="1006A2F4" w14:textId="77777777" w:rsidR="00000000" w:rsidRDefault="00E614A4">
      <w:pPr>
        <w:ind w:hanging="360"/>
        <w:jc w:val="both"/>
        <w:divId w:val="843596406"/>
        <w:rPr>
          <w:rFonts w:eastAsia="Times New Roman"/>
        </w:rPr>
      </w:pPr>
      <w:r>
        <w:rPr>
          <w:rFonts w:eastAsia="Times New Roman"/>
          <w:color w:val="000000"/>
          <w:sz w:val="20"/>
          <w:szCs w:val="20"/>
        </w:rPr>
        <w:t>•</w:t>
      </w:r>
      <w:r>
        <w:rPr>
          <w:rFonts w:eastAsia="Times New Roman"/>
          <w:color w:val="000000"/>
          <w:sz w:val="20"/>
          <w:szCs w:val="20"/>
        </w:rPr>
        <w:t>The ability to provide TV audience measurement based on near-census data that increases accuracy and reduces variability;</w:t>
      </w:r>
    </w:p>
    <w:p w14:paraId="69A61233" w14:textId="77777777" w:rsidR="00000000" w:rsidRDefault="00E614A4">
      <w:pPr>
        <w:ind w:hanging="360"/>
        <w:jc w:val="both"/>
        <w:divId w:val="1005942823"/>
        <w:rPr>
          <w:rFonts w:eastAsia="Times New Roman"/>
        </w:rPr>
      </w:pPr>
      <w:r>
        <w:rPr>
          <w:rFonts w:eastAsia="Times New Roman"/>
          <w:color w:val="000000"/>
          <w:sz w:val="20"/>
          <w:szCs w:val="20"/>
        </w:rPr>
        <w:t>•The ability to provide de-duplicated audience measurement across platforms;</w:t>
      </w:r>
    </w:p>
    <w:p w14:paraId="23152B23" w14:textId="77777777" w:rsidR="00000000" w:rsidRDefault="00E614A4">
      <w:pPr>
        <w:ind w:hanging="360"/>
        <w:jc w:val="both"/>
        <w:divId w:val="566259327"/>
        <w:rPr>
          <w:rFonts w:eastAsia="Times New Roman"/>
        </w:rPr>
      </w:pPr>
      <w:r>
        <w:rPr>
          <w:rFonts w:eastAsia="Times New Roman"/>
          <w:color w:val="000000"/>
          <w:sz w:val="20"/>
          <w:szCs w:val="20"/>
        </w:rPr>
        <w:t>•The ability to provide actual, accurate and reliable dat</w:t>
      </w:r>
      <w:r>
        <w:rPr>
          <w:rFonts w:eastAsia="Times New Roman"/>
          <w:color w:val="000000"/>
          <w:sz w:val="20"/>
          <w:szCs w:val="20"/>
        </w:rPr>
        <w:t>a regarding audience behavior and activity in a timely manner, including the ability to maintain large and statistically representative panels;</w:t>
      </w:r>
    </w:p>
    <w:p w14:paraId="7E2493CF" w14:textId="77777777" w:rsidR="00000000" w:rsidRDefault="00E614A4">
      <w:pPr>
        <w:ind w:hanging="360"/>
        <w:jc w:val="both"/>
        <w:divId w:val="388068250"/>
        <w:rPr>
          <w:rFonts w:eastAsia="Times New Roman"/>
        </w:rPr>
      </w:pPr>
      <w:r>
        <w:rPr>
          <w:rFonts w:eastAsia="Times New Roman"/>
          <w:color w:val="000000"/>
          <w:sz w:val="20"/>
          <w:szCs w:val="20"/>
        </w:rPr>
        <w:t>•The ability to provide reliable and objective third-party data that, as needed, is able to receive industry-acc</w:t>
      </w:r>
      <w:r>
        <w:rPr>
          <w:rFonts w:eastAsia="Times New Roman"/>
          <w:color w:val="000000"/>
          <w:sz w:val="20"/>
          <w:szCs w:val="20"/>
        </w:rPr>
        <w:t>epted accreditation;</w:t>
      </w:r>
    </w:p>
    <w:p w14:paraId="5C4771F2" w14:textId="77777777" w:rsidR="00000000" w:rsidRDefault="00E614A4">
      <w:pPr>
        <w:ind w:hanging="360"/>
        <w:jc w:val="both"/>
        <w:divId w:val="358430115"/>
        <w:rPr>
          <w:rFonts w:eastAsia="Times New Roman"/>
        </w:rPr>
      </w:pPr>
      <w:r>
        <w:rPr>
          <w:rFonts w:eastAsia="Times New Roman"/>
          <w:color w:val="000000"/>
          <w:sz w:val="20"/>
          <w:szCs w:val="20"/>
        </w:rPr>
        <w:t>•The ability to adapt product offerings to emerging digital media technologies and standards;</w:t>
      </w:r>
    </w:p>
    <w:p w14:paraId="3BEB3398" w14:textId="77777777" w:rsidR="00000000" w:rsidRDefault="00E614A4">
      <w:pPr>
        <w:ind w:hanging="360"/>
        <w:jc w:val="both"/>
        <w:divId w:val="1264612940"/>
        <w:rPr>
          <w:rFonts w:eastAsia="Times New Roman"/>
        </w:rPr>
      </w:pPr>
      <w:r>
        <w:rPr>
          <w:rFonts w:eastAsia="Times New Roman"/>
          <w:color w:val="000000"/>
          <w:sz w:val="20"/>
          <w:szCs w:val="20"/>
        </w:rPr>
        <w:t>•The breadth and depth of products and their flexibility and ease of use;</w:t>
      </w:r>
    </w:p>
    <w:p w14:paraId="49273086" w14:textId="77777777" w:rsidR="00000000" w:rsidRDefault="00E614A4">
      <w:pPr>
        <w:ind w:hanging="360"/>
        <w:jc w:val="both"/>
        <w:divId w:val="1631278198"/>
        <w:rPr>
          <w:rFonts w:eastAsia="Times New Roman"/>
        </w:rPr>
      </w:pPr>
      <w:r>
        <w:rPr>
          <w:rFonts w:eastAsia="Times New Roman"/>
          <w:color w:val="000000"/>
          <w:sz w:val="20"/>
          <w:szCs w:val="20"/>
        </w:rPr>
        <w:t>•The availability of data across various industry verticals and geo</w:t>
      </w:r>
      <w:r>
        <w:rPr>
          <w:rFonts w:eastAsia="Times New Roman"/>
          <w:color w:val="000000"/>
          <w:sz w:val="20"/>
          <w:szCs w:val="20"/>
        </w:rPr>
        <w:t>graphic areas and expertise across these verticals and in these geographic areas; and</w:t>
      </w:r>
    </w:p>
    <w:p w14:paraId="7F7D6A81" w14:textId="77777777" w:rsidR="00000000" w:rsidRDefault="00E614A4">
      <w:pPr>
        <w:ind w:hanging="360"/>
        <w:jc w:val="both"/>
        <w:divId w:val="1570849594"/>
        <w:rPr>
          <w:rFonts w:eastAsia="Times New Roman"/>
        </w:rPr>
      </w:pPr>
      <w:r>
        <w:rPr>
          <w:rFonts w:eastAsia="Times New Roman"/>
          <w:color w:val="000000"/>
          <w:sz w:val="20"/>
          <w:szCs w:val="20"/>
        </w:rPr>
        <w:t>•The ability to offer products that meet the changing needs of customers, particularly in the evolving privacy environment.</w:t>
      </w:r>
    </w:p>
    <w:p w14:paraId="096BD14D" w14:textId="77777777" w:rsidR="00000000" w:rsidRDefault="00E614A4">
      <w:pPr>
        <w:jc w:val="both"/>
        <w:divId w:val="888031173"/>
        <w:rPr>
          <w:rFonts w:eastAsia="Times New Roman"/>
        </w:rPr>
      </w:pPr>
      <w:r>
        <w:rPr>
          <w:rFonts w:eastAsia="Times New Roman"/>
          <w:color w:val="000000"/>
          <w:sz w:val="20"/>
          <w:szCs w:val="20"/>
        </w:rPr>
        <w:t>We believe we compete favorably on these facto</w:t>
      </w:r>
      <w:r>
        <w:rPr>
          <w:rFonts w:eastAsia="Times New Roman"/>
          <w:color w:val="000000"/>
          <w:sz w:val="20"/>
          <w:szCs w:val="20"/>
        </w:rPr>
        <w:t>rs and that our vision and investments in the future of media measurement across platforms will deliver products and services that our customers will continue to trust and value.</w:t>
      </w:r>
    </w:p>
    <w:p w14:paraId="084922F6" w14:textId="77777777" w:rsidR="00000000" w:rsidRDefault="00E614A4">
      <w:pPr>
        <w:jc w:val="both"/>
        <w:divId w:val="1685739753"/>
        <w:rPr>
          <w:rFonts w:eastAsia="Times New Roman"/>
        </w:rPr>
      </w:pPr>
      <w:r>
        <w:rPr>
          <w:rFonts w:eastAsia="Times New Roman"/>
          <w:b/>
          <w:bCs/>
          <w:color w:val="000000"/>
          <w:sz w:val="20"/>
          <w:szCs w:val="20"/>
        </w:rPr>
        <w:t xml:space="preserve">Government Regulation and Privacy </w:t>
      </w:r>
    </w:p>
    <w:p w14:paraId="78CEDC61" w14:textId="77777777" w:rsidR="00000000" w:rsidRDefault="00E614A4">
      <w:pPr>
        <w:jc w:val="both"/>
        <w:divId w:val="185488475"/>
        <w:rPr>
          <w:rFonts w:eastAsia="Times New Roman"/>
        </w:rPr>
      </w:pPr>
      <w:r>
        <w:rPr>
          <w:rFonts w:eastAsia="Times New Roman"/>
          <w:color w:val="000000"/>
          <w:sz w:val="20"/>
          <w:szCs w:val="20"/>
        </w:rPr>
        <w:t>U.S. and international data security and p</w:t>
      </w:r>
      <w:r>
        <w:rPr>
          <w:rFonts w:eastAsia="Times New Roman"/>
          <w:color w:val="000000"/>
          <w:sz w:val="20"/>
          <w:szCs w:val="20"/>
        </w:rPr>
        <w:t>rivacy laws apply to our various businesses. We have programs in place to detect, contain and respond to data security incidents; however, increasing technology risks or unauthorized users who successfully breach our network security could misappropriate o</w:t>
      </w:r>
      <w:r>
        <w:rPr>
          <w:rFonts w:eastAsia="Times New Roman"/>
          <w:color w:val="000000"/>
          <w:sz w:val="20"/>
          <w:szCs w:val="20"/>
        </w:rPr>
        <w:t>r misuse our proprietary information or cause interruptions in our services. Many countries have data protection laws with different requirements than those in the U.S., and many states in the U.S. have or are developing their own data protection and priva</w:t>
      </w:r>
      <w:r>
        <w:rPr>
          <w:rFonts w:eastAsia="Times New Roman"/>
          <w:color w:val="000000"/>
          <w:sz w:val="20"/>
          <w:szCs w:val="20"/>
        </w:rPr>
        <w:t xml:space="preserve">cy requirements. This may result in inconsistent requirements and differing interpretations across jurisdictions. Governments, privacy advocates and class action attorneys are increasingly scrutinizing how companies collect, process, use, store, share and </w:t>
      </w:r>
      <w:r>
        <w:rPr>
          <w:rFonts w:eastAsia="Times New Roman"/>
          <w:color w:val="000000"/>
          <w:sz w:val="20"/>
          <w:szCs w:val="20"/>
        </w:rPr>
        <w:t>transmit personal data. Laws such as the California Consumer Privacy Act ("CCPA"), Brazil's General Data Protection Law ("LGPD"), the General Data Protection Regulation ("GDPR") in Europe and industry self-regulatory codes have been enacted, and more are b</w:t>
      </w:r>
      <w:r>
        <w:rPr>
          <w:rFonts w:eastAsia="Times New Roman"/>
          <w:color w:val="000000"/>
          <w:sz w:val="20"/>
          <w:szCs w:val="20"/>
        </w:rPr>
        <w:t>eing considered that will affect our ability (and our customers' ability) to reach current and prospective customers, to respond to individual customer requests under the laws, and to implement our business models effectively. The GDPR took effect in May 2</w:t>
      </w:r>
      <w:r>
        <w:rPr>
          <w:rFonts w:eastAsia="Times New Roman"/>
          <w:color w:val="000000"/>
          <w:sz w:val="20"/>
          <w:szCs w:val="20"/>
        </w:rPr>
        <w:t>018 and includes requirements regarding the collection and handling of individuals' personal data. The CCPA went into effect in January 2020, and the LGPD went into effect in September 2020. In addition, regulators in the European Union and elsewhere are i</w:t>
      </w:r>
      <w:r>
        <w:rPr>
          <w:rFonts w:eastAsia="Times New Roman"/>
          <w:color w:val="000000"/>
          <w:sz w:val="20"/>
          <w:szCs w:val="20"/>
        </w:rPr>
        <w:t>ncreasingly focused on consent and the collection of data using tracking technologies, including recent guidance from the U.K.'s Information Commissioner's Office and other data protection agencies. Failure to meet the applicable GDPR, CCPA or LGPD require</w:t>
      </w:r>
      <w:r>
        <w:rPr>
          <w:rFonts w:eastAsia="Times New Roman"/>
          <w:color w:val="000000"/>
          <w:sz w:val="20"/>
          <w:szCs w:val="20"/>
        </w:rPr>
        <w:t>ments, or failure to comply with privacy, data collection or consent requirements in other jurisdictions, could result in substantial penalties.</w:t>
      </w:r>
    </w:p>
    <w:p w14:paraId="32E96B1A" w14:textId="77777777" w:rsidR="00000000" w:rsidRDefault="00E614A4">
      <w:pPr>
        <w:jc w:val="both"/>
        <w:divId w:val="1166625440"/>
        <w:rPr>
          <w:rFonts w:eastAsia="Times New Roman"/>
        </w:rPr>
      </w:pPr>
      <w:r>
        <w:rPr>
          <w:rFonts w:eastAsia="Times New Roman"/>
          <w:color w:val="000000"/>
          <w:sz w:val="20"/>
          <w:szCs w:val="20"/>
        </w:rPr>
        <w:t>We also monitor actions by the Federal Communications Commission and the Federal Trade Commission, including re</w:t>
      </w:r>
      <w:r>
        <w:rPr>
          <w:rFonts w:eastAsia="Times New Roman"/>
          <w:color w:val="000000"/>
          <w:sz w:val="20"/>
          <w:szCs w:val="20"/>
        </w:rPr>
        <w:t>gulatory developments affecting Internet Service Providers and other industry participants.</w:t>
      </w:r>
    </w:p>
    <w:p w14:paraId="3FBE93A5" w14:textId="77777777" w:rsidR="00000000" w:rsidRDefault="00E614A4">
      <w:pPr>
        <w:jc w:val="both"/>
        <w:divId w:val="182742092"/>
        <w:rPr>
          <w:rFonts w:eastAsia="Times New Roman"/>
        </w:rPr>
      </w:pPr>
      <w:r>
        <w:rPr>
          <w:rFonts w:eastAsia="Times New Roman"/>
          <w:b/>
          <w:bCs/>
          <w:color w:val="000000"/>
          <w:sz w:val="20"/>
          <w:szCs w:val="20"/>
        </w:rPr>
        <w:t>Human Capital Management</w:t>
      </w:r>
    </w:p>
    <w:p w14:paraId="0D32FA8F" w14:textId="77777777" w:rsidR="00000000" w:rsidRDefault="00E614A4">
      <w:pPr>
        <w:jc w:val="both"/>
        <w:divId w:val="1428648878"/>
        <w:rPr>
          <w:rFonts w:eastAsia="Times New Roman"/>
        </w:rPr>
      </w:pPr>
      <w:r>
        <w:rPr>
          <w:rFonts w:eastAsia="Times New Roman"/>
          <w:color w:val="000000"/>
          <w:sz w:val="20"/>
          <w:szCs w:val="20"/>
        </w:rPr>
        <w:t>Our management of human capital is essential to the success of our company, and our management team is actively engaged in developing a str</w:t>
      </w:r>
      <w:r>
        <w:rPr>
          <w:rFonts w:eastAsia="Times New Roman"/>
          <w:color w:val="000000"/>
          <w:sz w:val="20"/>
          <w:szCs w:val="20"/>
        </w:rPr>
        <w:t xml:space="preserve">ong, engaged team to execute on our business plans. </w:t>
      </w:r>
    </w:p>
    <w:p w14:paraId="77C2FCB7" w14:textId="77777777" w:rsidR="00000000" w:rsidRDefault="00E614A4">
      <w:pPr>
        <w:jc w:val="both"/>
        <w:divId w:val="220599327"/>
        <w:rPr>
          <w:rFonts w:eastAsia="Times New Roman"/>
        </w:rPr>
      </w:pPr>
      <w:r>
        <w:rPr>
          <w:rFonts w:eastAsia="Times New Roman"/>
          <w:color w:val="000000"/>
          <w:sz w:val="20"/>
          <w:szCs w:val="20"/>
        </w:rPr>
        <w:t>As of February 28, 2021, we had approximately 1,340 employees and 140 contingent providers/contractors. Our employee population, which is comprised 93% of full-time employees and 7% of part-time employee</w:t>
      </w:r>
      <w:r>
        <w:rPr>
          <w:rFonts w:eastAsia="Times New Roman"/>
          <w:color w:val="000000"/>
          <w:sz w:val="20"/>
          <w:szCs w:val="20"/>
        </w:rPr>
        <w:t>s, is dispersed across the globe, as outlined below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7083"/>
        <w:gridCol w:w="36"/>
        <w:gridCol w:w="69"/>
        <w:gridCol w:w="1013"/>
        <w:gridCol w:w="36"/>
      </w:tblGrid>
      <w:tr w:rsidR="00000000" w14:paraId="7489B107" w14:textId="77777777">
        <w:trPr>
          <w:divId w:val="500969558"/>
        </w:trPr>
        <w:tc>
          <w:tcPr>
            <w:tcW w:w="50" w:type="pct"/>
            <w:vAlign w:val="center"/>
            <w:hideMark/>
          </w:tcPr>
          <w:p w14:paraId="0E65DE3D" w14:textId="77777777" w:rsidR="00000000" w:rsidRDefault="00E614A4">
            <w:pPr>
              <w:jc w:val="both"/>
              <w:rPr>
                <w:rFonts w:eastAsia="Times New Roman"/>
              </w:rPr>
            </w:pPr>
          </w:p>
        </w:tc>
        <w:tc>
          <w:tcPr>
            <w:tcW w:w="4271" w:type="pct"/>
            <w:vAlign w:val="center"/>
            <w:hideMark/>
          </w:tcPr>
          <w:p w14:paraId="750B710C" w14:textId="77777777" w:rsidR="00000000" w:rsidRDefault="00E614A4">
            <w:pPr>
              <w:rPr>
                <w:rFonts w:eastAsia="Times New Roman"/>
                <w:sz w:val="20"/>
                <w:szCs w:val="20"/>
              </w:rPr>
            </w:pPr>
          </w:p>
        </w:tc>
        <w:tc>
          <w:tcPr>
            <w:tcW w:w="5" w:type="pct"/>
            <w:vAlign w:val="center"/>
            <w:hideMark/>
          </w:tcPr>
          <w:p w14:paraId="52FCBD9D" w14:textId="77777777" w:rsidR="00000000" w:rsidRDefault="00E614A4">
            <w:pPr>
              <w:rPr>
                <w:rFonts w:eastAsia="Times New Roman"/>
                <w:sz w:val="20"/>
                <w:szCs w:val="20"/>
              </w:rPr>
            </w:pPr>
          </w:p>
        </w:tc>
        <w:tc>
          <w:tcPr>
            <w:tcW w:w="50" w:type="pct"/>
            <w:vAlign w:val="center"/>
            <w:hideMark/>
          </w:tcPr>
          <w:p w14:paraId="45030B5F" w14:textId="77777777" w:rsidR="00000000" w:rsidRDefault="00E614A4">
            <w:pPr>
              <w:rPr>
                <w:rFonts w:eastAsia="Times New Roman"/>
                <w:sz w:val="20"/>
                <w:szCs w:val="20"/>
              </w:rPr>
            </w:pPr>
          </w:p>
        </w:tc>
        <w:tc>
          <w:tcPr>
            <w:tcW w:w="618" w:type="pct"/>
            <w:vAlign w:val="center"/>
            <w:hideMark/>
          </w:tcPr>
          <w:p w14:paraId="20D82576" w14:textId="77777777" w:rsidR="00000000" w:rsidRDefault="00E614A4">
            <w:pPr>
              <w:rPr>
                <w:rFonts w:eastAsia="Times New Roman"/>
                <w:sz w:val="20"/>
                <w:szCs w:val="20"/>
              </w:rPr>
            </w:pPr>
          </w:p>
        </w:tc>
        <w:tc>
          <w:tcPr>
            <w:tcW w:w="5" w:type="pct"/>
            <w:vAlign w:val="center"/>
            <w:hideMark/>
          </w:tcPr>
          <w:p w14:paraId="1F21F390" w14:textId="77777777" w:rsidR="00000000" w:rsidRDefault="00E614A4">
            <w:pPr>
              <w:rPr>
                <w:rFonts w:eastAsia="Times New Roman"/>
                <w:sz w:val="20"/>
                <w:szCs w:val="20"/>
              </w:rPr>
            </w:pPr>
          </w:p>
        </w:tc>
      </w:tr>
      <w:tr w:rsidR="00000000" w14:paraId="2026E215" w14:textId="77777777">
        <w:trPr>
          <w:divId w:val="500969558"/>
        </w:trPr>
        <w:tc>
          <w:tcPr>
            <w:tcW w:w="0" w:type="auto"/>
            <w:gridSpan w:val="3"/>
            <w:tcMar>
              <w:top w:w="0" w:type="dxa"/>
              <w:left w:w="20" w:type="dxa"/>
              <w:bottom w:w="0" w:type="dxa"/>
              <w:right w:w="20" w:type="dxa"/>
            </w:tcMar>
            <w:vAlign w:val="center"/>
            <w:hideMark/>
          </w:tcPr>
          <w:p w14:paraId="615951F3" w14:textId="77777777" w:rsidR="00000000" w:rsidRDefault="00E614A4">
            <w:pPr>
              <w:rPr>
                <w:rFonts w:eastAsia="Times New Roman"/>
                <w:sz w:val="20"/>
                <w:szCs w:val="20"/>
              </w:rPr>
            </w:pPr>
          </w:p>
        </w:tc>
        <w:tc>
          <w:tcPr>
            <w:tcW w:w="0" w:type="auto"/>
            <w:gridSpan w:val="3"/>
            <w:tcMar>
              <w:top w:w="30" w:type="dxa"/>
              <w:left w:w="20" w:type="dxa"/>
              <w:bottom w:w="30" w:type="dxa"/>
              <w:right w:w="20" w:type="dxa"/>
            </w:tcMar>
            <w:vAlign w:val="bottom"/>
            <w:hideMark/>
          </w:tcPr>
          <w:p w14:paraId="3AA9D396" w14:textId="77777777" w:rsidR="00000000" w:rsidRDefault="00E614A4">
            <w:pPr>
              <w:jc w:val="center"/>
              <w:rPr>
                <w:rFonts w:eastAsia="Times New Roman"/>
              </w:rPr>
            </w:pPr>
            <w:r>
              <w:rPr>
                <w:rFonts w:eastAsia="Times New Roman"/>
                <w:b/>
                <w:bCs/>
                <w:color w:val="000000"/>
                <w:sz w:val="16"/>
                <w:szCs w:val="16"/>
              </w:rPr>
              <w:t>Percent of Employees</w:t>
            </w:r>
          </w:p>
        </w:tc>
      </w:tr>
      <w:tr w:rsidR="00000000" w14:paraId="36E3F7EE" w14:textId="77777777">
        <w:trPr>
          <w:divId w:val="500969558"/>
        </w:trPr>
        <w:tc>
          <w:tcPr>
            <w:tcW w:w="0" w:type="auto"/>
            <w:gridSpan w:val="3"/>
            <w:shd w:val="clear" w:color="auto" w:fill="CCEEFF"/>
            <w:tcMar>
              <w:top w:w="30" w:type="dxa"/>
              <w:left w:w="20" w:type="dxa"/>
              <w:bottom w:w="30" w:type="dxa"/>
              <w:right w:w="20" w:type="dxa"/>
            </w:tcMar>
            <w:vAlign w:val="bottom"/>
            <w:hideMark/>
          </w:tcPr>
          <w:p w14:paraId="0EBC0923" w14:textId="77777777" w:rsidR="00000000" w:rsidRDefault="00E614A4">
            <w:pPr>
              <w:rPr>
                <w:rFonts w:eastAsia="Times New Roman"/>
              </w:rPr>
            </w:pPr>
            <w:r>
              <w:rPr>
                <w:rFonts w:eastAsia="Times New Roman"/>
                <w:color w:val="000000"/>
                <w:sz w:val="18"/>
                <w:szCs w:val="18"/>
              </w:rPr>
              <w:t>North America</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B73E75" w14:textId="77777777" w:rsidR="00000000" w:rsidRDefault="00E614A4">
            <w:pPr>
              <w:jc w:val="center"/>
              <w:rPr>
                <w:rFonts w:eastAsia="Times New Roman"/>
              </w:rPr>
            </w:pPr>
            <w:r>
              <w:rPr>
                <w:rFonts w:eastAsia="Times New Roman"/>
                <w:color w:val="000000"/>
                <w:sz w:val="18"/>
                <w:szCs w:val="18"/>
              </w:rPr>
              <w:t>66%</w:t>
            </w:r>
          </w:p>
        </w:tc>
      </w:tr>
      <w:tr w:rsidR="00000000" w14:paraId="44AEAF7F" w14:textId="77777777">
        <w:trPr>
          <w:divId w:val="500969558"/>
        </w:trPr>
        <w:tc>
          <w:tcPr>
            <w:tcW w:w="0" w:type="auto"/>
            <w:gridSpan w:val="3"/>
            <w:shd w:val="clear" w:color="auto" w:fill="FFFFFF"/>
            <w:tcMar>
              <w:top w:w="30" w:type="dxa"/>
              <w:left w:w="20" w:type="dxa"/>
              <w:bottom w:w="30" w:type="dxa"/>
              <w:right w:w="20" w:type="dxa"/>
            </w:tcMar>
            <w:vAlign w:val="bottom"/>
            <w:hideMark/>
          </w:tcPr>
          <w:p w14:paraId="62AB2EBD" w14:textId="77777777" w:rsidR="00000000" w:rsidRDefault="00E614A4">
            <w:pPr>
              <w:rPr>
                <w:rFonts w:eastAsia="Times New Roman"/>
              </w:rPr>
            </w:pPr>
            <w:r>
              <w:rPr>
                <w:rFonts w:eastAsia="Times New Roman"/>
                <w:color w:val="000000"/>
                <w:sz w:val="18"/>
                <w:szCs w:val="18"/>
              </w:rPr>
              <w:t>Europe</w:t>
            </w:r>
          </w:p>
        </w:tc>
        <w:tc>
          <w:tcPr>
            <w:tcW w:w="0" w:type="auto"/>
            <w:gridSpan w:val="3"/>
            <w:shd w:val="clear" w:color="auto" w:fill="FFFFFF"/>
            <w:tcMar>
              <w:top w:w="30" w:type="dxa"/>
              <w:left w:w="20" w:type="dxa"/>
              <w:bottom w:w="30" w:type="dxa"/>
              <w:right w:w="20" w:type="dxa"/>
            </w:tcMar>
            <w:vAlign w:val="bottom"/>
            <w:hideMark/>
          </w:tcPr>
          <w:p w14:paraId="5C2CFB39" w14:textId="77777777" w:rsidR="00000000" w:rsidRDefault="00E614A4">
            <w:pPr>
              <w:jc w:val="center"/>
              <w:rPr>
                <w:rFonts w:eastAsia="Times New Roman"/>
              </w:rPr>
            </w:pPr>
            <w:r>
              <w:rPr>
                <w:rFonts w:eastAsia="Times New Roman"/>
                <w:color w:val="000000"/>
                <w:sz w:val="18"/>
                <w:szCs w:val="18"/>
              </w:rPr>
              <w:t>13%</w:t>
            </w:r>
          </w:p>
        </w:tc>
      </w:tr>
      <w:tr w:rsidR="00000000" w14:paraId="0B70591F" w14:textId="77777777">
        <w:trPr>
          <w:divId w:val="500969558"/>
        </w:trPr>
        <w:tc>
          <w:tcPr>
            <w:tcW w:w="0" w:type="auto"/>
            <w:gridSpan w:val="3"/>
            <w:shd w:val="clear" w:color="auto" w:fill="CCEEFF"/>
            <w:tcMar>
              <w:top w:w="30" w:type="dxa"/>
              <w:left w:w="20" w:type="dxa"/>
              <w:bottom w:w="30" w:type="dxa"/>
              <w:right w:w="20" w:type="dxa"/>
            </w:tcMar>
            <w:vAlign w:val="bottom"/>
            <w:hideMark/>
          </w:tcPr>
          <w:p w14:paraId="7C8F634A" w14:textId="77777777" w:rsidR="00000000" w:rsidRDefault="00E614A4">
            <w:pPr>
              <w:rPr>
                <w:rFonts w:eastAsia="Times New Roman"/>
              </w:rPr>
            </w:pPr>
            <w:r>
              <w:rPr>
                <w:rFonts w:eastAsia="Times New Roman"/>
                <w:color w:val="000000"/>
                <w:sz w:val="18"/>
                <w:szCs w:val="18"/>
              </w:rPr>
              <w:t>Asia-Pacific Rim</w:t>
            </w:r>
          </w:p>
        </w:tc>
        <w:tc>
          <w:tcPr>
            <w:tcW w:w="0" w:type="auto"/>
            <w:gridSpan w:val="3"/>
            <w:shd w:val="clear" w:color="auto" w:fill="CCEEFF"/>
            <w:tcMar>
              <w:top w:w="30" w:type="dxa"/>
              <w:left w:w="20" w:type="dxa"/>
              <w:bottom w:w="30" w:type="dxa"/>
              <w:right w:w="20" w:type="dxa"/>
            </w:tcMar>
            <w:vAlign w:val="bottom"/>
            <w:hideMark/>
          </w:tcPr>
          <w:p w14:paraId="23E10B04" w14:textId="77777777" w:rsidR="00000000" w:rsidRDefault="00E614A4">
            <w:pPr>
              <w:jc w:val="center"/>
              <w:rPr>
                <w:rFonts w:eastAsia="Times New Roman"/>
              </w:rPr>
            </w:pPr>
            <w:r>
              <w:rPr>
                <w:rFonts w:eastAsia="Times New Roman"/>
                <w:color w:val="000000"/>
                <w:sz w:val="18"/>
                <w:szCs w:val="18"/>
              </w:rPr>
              <w:t>13%</w:t>
            </w:r>
          </w:p>
        </w:tc>
      </w:tr>
      <w:tr w:rsidR="00000000" w14:paraId="4C51CB03" w14:textId="77777777">
        <w:trPr>
          <w:divId w:val="500969558"/>
        </w:trPr>
        <w:tc>
          <w:tcPr>
            <w:tcW w:w="0" w:type="auto"/>
            <w:gridSpan w:val="3"/>
            <w:shd w:val="clear" w:color="auto" w:fill="FFFFFF"/>
            <w:tcMar>
              <w:top w:w="30" w:type="dxa"/>
              <w:left w:w="20" w:type="dxa"/>
              <w:bottom w:w="30" w:type="dxa"/>
              <w:right w:w="20" w:type="dxa"/>
            </w:tcMar>
            <w:vAlign w:val="bottom"/>
            <w:hideMark/>
          </w:tcPr>
          <w:p w14:paraId="7017A45E" w14:textId="77777777" w:rsidR="00000000" w:rsidRDefault="00E614A4">
            <w:pPr>
              <w:rPr>
                <w:rFonts w:eastAsia="Times New Roman"/>
              </w:rPr>
            </w:pPr>
            <w:r>
              <w:rPr>
                <w:rFonts w:eastAsia="Times New Roman"/>
                <w:color w:val="000000"/>
                <w:sz w:val="18"/>
                <w:szCs w:val="18"/>
              </w:rPr>
              <w:t>Latin America</w:t>
            </w:r>
          </w:p>
        </w:tc>
        <w:tc>
          <w:tcPr>
            <w:tcW w:w="0" w:type="auto"/>
            <w:gridSpan w:val="3"/>
            <w:shd w:val="clear" w:color="auto" w:fill="FFFFFF"/>
            <w:tcMar>
              <w:top w:w="30" w:type="dxa"/>
              <w:left w:w="20" w:type="dxa"/>
              <w:bottom w:w="30" w:type="dxa"/>
              <w:right w:w="20" w:type="dxa"/>
            </w:tcMar>
            <w:vAlign w:val="bottom"/>
            <w:hideMark/>
          </w:tcPr>
          <w:p w14:paraId="5609AD7F" w14:textId="77777777" w:rsidR="00000000" w:rsidRDefault="00E614A4">
            <w:pPr>
              <w:jc w:val="center"/>
              <w:rPr>
                <w:rFonts w:eastAsia="Times New Roman"/>
              </w:rPr>
            </w:pPr>
            <w:r>
              <w:rPr>
                <w:rFonts w:eastAsia="Times New Roman"/>
                <w:color w:val="000000"/>
                <w:sz w:val="18"/>
                <w:szCs w:val="18"/>
              </w:rPr>
              <w:t>8%</w:t>
            </w:r>
          </w:p>
        </w:tc>
      </w:tr>
    </w:tbl>
    <w:p w14:paraId="78E5FED0" w14:textId="77777777" w:rsidR="00000000" w:rsidRDefault="00E614A4">
      <w:pPr>
        <w:jc w:val="both"/>
        <w:divId w:val="1783457643"/>
        <w:rPr>
          <w:rFonts w:eastAsia="Times New Roman"/>
        </w:rPr>
      </w:pPr>
      <w:r>
        <w:rPr>
          <w:rFonts w:eastAsia="Times New Roman"/>
          <w:color w:val="000000"/>
          <w:sz w:val="20"/>
          <w:szCs w:val="20"/>
        </w:rPr>
        <w:t>The following table outlines the percentage of employees in different functional areas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68"/>
        <w:gridCol w:w="7083"/>
        <w:gridCol w:w="37"/>
        <w:gridCol w:w="69"/>
        <w:gridCol w:w="1013"/>
        <w:gridCol w:w="36"/>
      </w:tblGrid>
      <w:tr w:rsidR="00000000" w14:paraId="502CA74B" w14:textId="77777777">
        <w:trPr>
          <w:divId w:val="1098602358"/>
        </w:trPr>
        <w:tc>
          <w:tcPr>
            <w:tcW w:w="50" w:type="pct"/>
            <w:vAlign w:val="center"/>
            <w:hideMark/>
          </w:tcPr>
          <w:p w14:paraId="2A6D71C4" w14:textId="77777777" w:rsidR="00000000" w:rsidRDefault="00E614A4">
            <w:pPr>
              <w:jc w:val="both"/>
              <w:rPr>
                <w:rFonts w:eastAsia="Times New Roman"/>
              </w:rPr>
            </w:pPr>
          </w:p>
        </w:tc>
        <w:tc>
          <w:tcPr>
            <w:tcW w:w="4271" w:type="pct"/>
            <w:vAlign w:val="center"/>
            <w:hideMark/>
          </w:tcPr>
          <w:p w14:paraId="43B23DF3" w14:textId="77777777" w:rsidR="00000000" w:rsidRDefault="00E614A4">
            <w:pPr>
              <w:rPr>
                <w:rFonts w:eastAsia="Times New Roman"/>
                <w:sz w:val="20"/>
                <w:szCs w:val="20"/>
              </w:rPr>
            </w:pPr>
          </w:p>
        </w:tc>
        <w:tc>
          <w:tcPr>
            <w:tcW w:w="5" w:type="pct"/>
            <w:vAlign w:val="center"/>
            <w:hideMark/>
          </w:tcPr>
          <w:p w14:paraId="27FF73A3" w14:textId="77777777" w:rsidR="00000000" w:rsidRDefault="00E614A4">
            <w:pPr>
              <w:rPr>
                <w:rFonts w:eastAsia="Times New Roman"/>
                <w:sz w:val="20"/>
                <w:szCs w:val="20"/>
              </w:rPr>
            </w:pPr>
          </w:p>
        </w:tc>
        <w:tc>
          <w:tcPr>
            <w:tcW w:w="50" w:type="pct"/>
            <w:vAlign w:val="center"/>
            <w:hideMark/>
          </w:tcPr>
          <w:p w14:paraId="0E03FE53" w14:textId="77777777" w:rsidR="00000000" w:rsidRDefault="00E614A4">
            <w:pPr>
              <w:rPr>
                <w:rFonts w:eastAsia="Times New Roman"/>
                <w:sz w:val="20"/>
                <w:szCs w:val="20"/>
              </w:rPr>
            </w:pPr>
          </w:p>
        </w:tc>
        <w:tc>
          <w:tcPr>
            <w:tcW w:w="618" w:type="pct"/>
            <w:vAlign w:val="center"/>
            <w:hideMark/>
          </w:tcPr>
          <w:p w14:paraId="4A405BEA" w14:textId="77777777" w:rsidR="00000000" w:rsidRDefault="00E614A4">
            <w:pPr>
              <w:rPr>
                <w:rFonts w:eastAsia="Times New Roman"/>
                <w:sz w:val="20"/>
                <w:szCs w:val="20"/>
              </w:rPr>
            </w:pPr>
          </w:p>
        </w:tc>
        <w:tc>
          <w:tcPr>
            <w:tcW w:w="5" w:type="pct"/>
            <w:vAlign w:val="center"/>
            <w:hideMark/>
          </w:tcPr>
          <w:p w14:paraId="22130ED4" w14:textId="77777777" w:rsidR="00000000" w:rsidRDefault="00E614A4">
            <w:pPr>
              <w:rPr>
                <w:rFonts w:eastAsia="Times New Roman"/>
                <w:sz w:val="20"/>
                <w:szCs w:val="20"/>
              </w:rPr>
            </w:pPr>
          </w:p>
        </w:tc>
      </w:tr>
      <w:tr w:rsidR="00000000" w14:paraId="53E4272D" w14:textId="77777777">
        <w:trPr>
          <w:divId w:val="1098602358"/>
        </w:trPr>
        <w:tc>
          <w:tcPr>
            <w:tcW w:w="0" w:type="auto"/>
            <w:gridSpan w:val="3"/>
            <w:tcMar>
              <w:top w:w="0" w:type="dxa"/>
              <w:left w:w="20" w:type="dxa"/>
              <w:bottom w:w="0" w:type="dxa"/>
              <w:right w:w="20" w:type="dxa"/>
            </w:tcMar>
            <w:vAlign w:val="center"/>
            <w:hideMark/>
          </w:tcPr>
          <w:p w14:paraId="5C1ABEA3" w14:textId="77777777" w:rsidR="00000000" w:rsidRDefault="00E614A4">
            <w:pPr>
              <w:rPr>
                <w:rFonts w:eastAsia="Times New Roman"/>
                <w:sz w:val="20"/>
                <w:szCs w:val="20"/>
              </w:rPr>
            </w:pPr>
          </w:p>
        </w:tc>
        <w:tc>
          <w:tcPr>
            <w:tcW w:w="0" w:type="auto"/>
            <w:gridSpan w:val="3"/>
            <w:tcMar>
              <w:top w:w="30" w:type="dxa"/>
              <w:left w:w="20" w:type="dxa"/>
              <w:bottom w:w="30" w:type="dxa"/>
              <w:right w:w="20" w:type="dxa"/>
            </w:tcMar>
            <w:vAlign w:val="bottom"/>
            <w:hideMark/>
          </w:tcPr>
          <w:p w14:paraId="09105D9E" w14:textId="77777777" w:rsidR="00000000" w:rsidRDefault="00E614A4">
            <w:pPr>
              <w:jc w:val="center"/>
              <w:rPr>
                <w:rFonts w:eastAsia="Times New Roman"/>
              </w:rPr>
            </w:pPr>
            <w:r>
              <w:rPr>
                <w:rFonts w:eastAsia="Times New Roman"/>
                <w:b/>
                <w:bCs/>
                <w:color w:val="000000"/>
                <w:sz w:val="16"/>
                <w:szCs w:val="16"/>
              </w:rPr>
              <w:t>Percent of Employees</w:t>
            </w:r>
          </w:p>
        </w:tc>
      </w:tr>
      <w:tr w:rsidR="00000000" w14:paraId="473DC5C0" w14:textId="77777777">
        <w:trPr>
          <w:divId w:val="1098602358"/>
        </w:trPr>
        <w:tc>
          <w:tcPr>
            <w:tcW w:w="0" w:type="auto"/>
            <w:gridSpan w:val="3"/>
            <w:shd w:val="clear" w:color="auto" w:fill="CCEEFF"/>
            <w:tcMar>
              <w:top w:w="30" w:type="dxa"/>
              <w:left w:w="20" w:type="dxa"/>
              <w:bottom w:w="30" w:type="dxa"/>
              <w:right w:w="20" w:type="dxa"/>
            </w:tcMar>
            <w:vAlign w:val="bottom"/>
            <w:hideMark/>
          </w:tcPr>
          <w:p w14:paraId="72BFCCB3" w14:textId="77777777" w:rsidR="00000000" w:rsidRDefault="00E614A4">
            <w:pPr>
              <w:rPr>
                <w:rFonts w:eastAsia="Times New Roman"/>
              </w:rPr>
            </w:pPr>
            <w:r>
              <w:rPr>
                <w:rFonts w:eastAsia="Times New Roman"/>
                <w:color w:val="000000"/>
                <w:sz w:val="18"/>
                <w:szCs w:val="18"/>
              </w:rPr>
              <w:t>Product and Technology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1CE9AF" w14:textId="77777777" w:rsidR="00000000" w:rsidRDefault="00E614A4">
            <w:pPr>
              <w:jc w:val="center"/>
              <w:rPr>
                <w:rFonts w:eastAsia="Times New Roman"/>
              </w:rPr>
            </w:pPr>
            <w:r>
              <w:rPr>
                <w:rFonts w:eastAsia="Times New Roman"/>
                <w:color w:val="000000"/>
                <w:sz w:val="18"/>
                <w:szCs w:val="18"/>
              </w:rPr>
              <w:t>52%</w:t>
            </w:r>
          </w:p>
        </w:tc>
      </w:tr>
      <w:tr w:rsidR="00000000" w14:paraId="34E269C4" w14:textId="77777777">
        <w:trPr>
          <w:divId w:val="1098602358"/>
        </w:trPr>
        <w:tc>
          <w:tcPr>
            <w:tcW w:w="0" w:type="auto"/>
            <w:gridSpan w:val="3"/>
            <w:shd w:val="clear" w:color="auto" w:fill="FFFFFF"/>
            <w:tcMar>
              <w:top w:w="30" w:type="dxa"/>
              <w:left w:w="20" w:type="dxa"/>
              <w:bottom w:w="30" w:type="dxa"/>
              <w:right w:w="20" w:type="dxa"/>
            </w:tcMar>
            <w:vAlign w:val="bottom"/>
            <w:hideMark/>
          </w:tcPr>
          <w:p w14:paraId="27D83529" w14:textId="77777777" w:rsidR="00000000" w:rsidRDefault="00E614A4">
            <w:pPr>
              <w:rPr>
                <w:rFonts w:eastAsia="Times New Roman"/>
              </w:rPr>
            </w:pPr>
            <w:r>
              <w:rPr>
                <w:rFonts w:eastAsia="Times New Roman"/>
                <w:color w:val="000000"/>
                <w:sz w:val="18"/>
                <w:szCs w:val="18"/>
              </w:rPr>
              <w:t>Sales and Service</w:t>
            </w:r>
          </w:p>
        </w:tc>
        <w:tc>
          <w:tcPr>
            <w:tcW w:w="0" w:type="auto"/>
            <w:gridSpan w:val="3"/>
            <w:shd w:val="clear" w:color="auto" w:fill="FFFFFF"/>
            <w:tcMar>
              <w:top w:w="30" w:type="dxa"/>
              <w:left w:w="20" w:type="dxa"/>
              <w:bottom w:w="30" w:type="dxa"/>
              <w:right w:w="20" w:type="dxa"/>
            </w:tcMar>
            <w:vAlign w:val="bottom"/>
            <w:hideMark/>
          </w:tcPr>
          <w:p w14:paraId="2C7C3AA4" w14:textId="77777777" w:rsidR="00000000" w:rsidRDefault="00E614A4">
            <w:pPr>
              <w:jc w:val="center"/>
              <w:rPr>
                <w:rFonts w:eastAsia="Times New Roman"/>
              </w:rPr>
            </w:pPr>
            <w:r>
              <w:rPr>
                <w:rFonts w:eastAsia="Times New Roman"/>
                <w:color w:val="000000"/>
                <w:sz w:val="18"/>
                <w:szCs w:val="18"/>
              </w:rPr>
              <w:t>23%</w:t>
            </w:r>
          </w:p>
        </w:tc>
      </w:tr>
      <w:tr w:rsidR="00000000" w14:paraId="222FC618" w14:textId="77777777">
        <w:trPr>
          <w:divId w:val="1098602358"/>
        </w:trPr>
        <w:tc>
          <w:tcPr>
            <w:tcW w:w="0" w:type="auto"/>
            <w:gridSpan w:val="3"/>
            <w:shd w:val="clear" w:color="auto" w:fill="CCEEFF"/>
            <w:tcMar>
              <w:top w:w="30" w:type="dxa"/>
              <w:left w:w="20" w:type="dxa"/>
              <w:bottom w:w="30" w:type="dxa"/>
              <w:right w:w="20" w:type="dxa"/>
            </w:tcMar>
            <w:vAlign w:val="bottom"/>
            <w:hideMark/>
          </w:tcPr>
          <w:p w14:paraId="6D0042EA" w14:textId="77777777" w:rsidR="00000000" w:rsidRDefault="00E614A4">
            <w:pPr>
              <w:rPr>
                <w:rFonts w:eastAsia="Times New Roman"/>
              </w:rPr>
            </w:pPr>
            <w:r>
              <w:rPr>
                <w:rFonts w:eastAsia="Times New Roman"/>
                <w:color w:val="000000"/>
                <w:sz w:val="18"/>
                <w:szCs w:val="18"/>
              </w:rPr>
              <w:t>Movies</w:t>
            </w:r>
          </w:p>
        </w:tc>
        <w:tc>
          <w:tcPr>
            <w:tcW w:w="0" w:type="auto"/>
            <w:gridSpan w:val="3"/>
            <w:shd w:val="clear" w:color="auto" w:fill="CCEEFF"/>
            <w:tcMar>
              <w:top w:w="30" w:type="dxa"/>
              <w:left w:w="20" w:type="dxa"/>
              <w:bottom w:w="30" w:type="dxa"/>
              <w:right w:w="20" w:type="dxa"/>
            </w:tcMar>
            <w:vAlign w:val="bottom"/>
            <w:hideMark/>
          </w:tcPr>
          <w:p w14:paraId="3E140C7C" w14:textId="77777777" w:rsidR="00000000" w:rsidRDefault="00E614A4">
            <w:pPr>
              <w:jc w:val="center"/>
              <w:rPr>
                <w:rFonts w:eastAsia="Times New Roman"/>
              </w:rPr>
            </w:pPr>
            <w:r>
              <w:rPr>
                <w:rFonts w:eastAsia="Times New Roman"/>
                <w:color w:val="000000"/>
                <w:sz w:val="18"/>
                <w:szCs w:val="18"/>
              </w:rPr>
              <w:t>15%</w:t>
            </w:r>
          </w:p>
        </w:tc>
      </w:tr>
      <w:tr w:rsidR="00000000" w14:paraId="61A27D0E" w14:textId="77777777">
        <w:trPr>
          <w:divId w:val="1098602358"/>
        </w:trPr>
        <w:tc>
          <w:tcPr>
            <w:tcW w:w="0" w:type="auto"/>
            <w:gridSpan w:val="3"/>
            <w:shd w:val="clear" w:color="auto" w:fill="FFFFFF"/>
            <w:tcMar>
              <w:top w:w="30" w:type="dxa"/>
              <w:left w:w="20" w:type="dxa"/>
              <w:bottom w:w="30" w:type="dxa"/>
              <w:right w:w="20" w:type="dxa"/>
            </w:tcMar>
            <w:vAlign w:val="bottom"/>
            <w:hideMark/>
          </w:tcPr>
          <w:p w14:paraId="1DCF406A" w14:textId="77777777" w:rsidR="00000000" w:rsidRDefault="00E614A4">
            <w:pPr>
              <w:rPr>
                <w:rFonts w:eastAsia="Times New Roman"/>
              </w:rPr>
            </w:pPr>
            <w:r>
              <w:rPr>
                <w:rFonts w:eastAsia="Times New Roman"/>
                <w:color w:val="000000"/>
                <w:sz w:val="18"/>
                <w:szCs w:val="18"/>
              </w:rPr>
              <w:t>General and Administrative</w:t>
            </w:r>
          </w:p>
        </w:tc>
        <w:tc>
          <w:tcPr>
            <w:tcW w:w="0" w:type="auto"/>
            <w:gridSpan w:val="3"/>
            <w:shd w:val="clear" w:color="auto" w:fill="FFFFFF"/>
            <w:tcMar>
              <w:top w:w="30" w:type="dxa"/>
              <w:left w:w="20" w:type="dxa"/>
              <w:bottom w:w="30" w:type="dxa"/>
              <w:right w:w="20" w:type="dxa"/>
            </w:tcMar>
            <w:vAlign w:val="bottom"/>
            <w:hideMark/>
          </w:tcPr>
          <w:p w14:paraId="32E6F71A" w14:textId="77777777" w:rsidR="00000000" w:rsidRDefault="00E614A4">
            <w:pPr>
              <w:jc w:val="center"/>
              <w:rPr>
                <w:rFonts w:eastAsia="Times New Roman"/>
              </w:rPr>
            </w:pPr>
            <w:r>
              <w:rPr>
                <w:rFonts w:eastAsia="Times New Roman"/>
                <w:color w:val="000000"/>
                <w:sz w:val="18"/>
                <w:szCs w:val="18"/>
              </w:rPr>
              <w:t>10%</w:t>
            </w:r>
          </w:p>
        </w:tc>
      </w:tr>
      <w:tr w:rsidR="00000000" w14:paraId="5E153E87" w14:textId="77777777">
        <w:trPr>
          <w:divId w:val="1098602358"/>
        </w:trPr>
        <w:tc>
          <w:tcPr>
            <w:tcW w:w="0" w:type="auto"/>
            <w:gridSpan w:val="3"/>
            <w:vAlign w:val="center"/>
            <w:hideMark/>
          </w:tcPr>
          <w:p w14:paraId="31A46F68" w14:textId="77777777" w:rsidR="00000000" w:rsidRDefault="00E614A4">
            <w:pPr>
              <w:jc w:val="center"/>
              <w:rPr>
                <w:rFonts w:eastAsia="Times New Roman"/>
              </w:rPr>
            </w:pPr>
          </w:p>
        </w:tc>
        <w:tc>
          <w:tcPr>
            <w:tcW w:w="0" w:type="auto"/>
            <w:gridSpan w:val="3"/>
            <w:vAlign w:val="center"/>
            <w:hideMark/>
          </w:tcPr>
          <w:p w14:paraId="0C52C326" w14:textId="77777777" w:rsidR="00000000" w:rsidRDefault="00E614A4">
            <w:pPr>
              <w:rPr>
                <w:rFonts w:eastAsia="Times New Roman"/>
                <w:sz w:val="20"/>
                <w:szCs w:val="20"/>
              </w:rPr>
            </w:pPr>
          </w:p>
        </w:tc>
      </w:tr>
    </w:tbl>
    <w:p w14:paraId="700CA3F2" w14:textId="77777777" w:rsidR="00000000" w:rsidRDefault="00E614A4">
      <w:pPr>
        <w:divId w:val="1544564200"/>
        <w:rPr>
          <w:rFonts w:eastAsia="Times New Roman"/>
        </w:rPr>
      </w:pPr>
    </w:p>
    <w:p w14:paraId="2FFA7220" w14:textId="77777777" w:rsidR="00000000" w:rsidRDefault="00E614A4">
      <w:pPr>
        <w:jc w:val="center"/>
        <w:divId w:val="876160644"/>
        <w:rPr>
          <w:rFonts w:eastAsia="Times New Roman"/>
        </w:rPr>
      </w:pPr>
      <w:r>
        <w:rPr>
          <w:rFonts w:eastAsia="Times New Roman"/>
          <w:color w:val="000000"/>
          <w:sz w:val="20"/>
          <w:szCs w:val="20"/>
        </w:rPr>
        <w:t>8</w:t>
      </w:r>
    </w:p>
    <w:p w14:paraId="35F90F2A" w14:textId="77777777" w:rsidR="00000000" w:rsidRDefault="00E614A4">
      <w:pPr>
        <w:rPr>
          <w:rFonts w:eastAsia="Times New Roman"/>
        </w:rPr>
      </w:pPr>
      <w:r>
        <w:rPr>
          <w:rFonts w:eastAsia="Times New Roman"/>
        </w:rPr>
        <w:pict w14:anchorId="1E139D02">
          <v:rect id="_x0000_i1035" style="width:0;height:1.5pt" o:hralign="center" o:hrstd="t" o:hr="t" fillcolor="#a0a0a0" stroked="f"/>
        </w:pict>
      </w:r>
    </w:p>
    <w:p w14:paraId="2EC79A6C" w14:textId="77777777" w:rsidR="00000000" w:rsidRDefault="00E614A4">
      <w:pPr>
        <w:divId w:val="134829229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A7BE4BF" w14:textId="77777777" w:rsidR="00000000" w:rsidRDefault="00E614A4">
      <w:pPr>
        <w:divId w:val="122697330"/>
        <w:rPr>
          <w:rFonts w:eastAsia="Times New Roman"/>
        </w:rPr>
      </w:pPr>
    </w:p>
    <w:p w14:paraId="3E03401D" w14:textId="77777777" w:rsidR="00000000" w:rsidRDefault="00E614A4">
      <w:pPr>
        <w:divId w:val="93944632"/>
        <w:rPr>
          <w:rFonts w:eastAsia="Times New Roman"/>
        </w:rPr>
      </w:pPr>
      <w:r>
        <w:rPr>
          <w:rFonts w:eastAsia="Times New Roman"/>
          <w:color w:val="000000"/>
          <w:sz w:val="20"/>
          <w:szCs w:val="20"/>
          <w:u w:val="single"/>
        </w:rPr>
        <w:t>Employee Engagement &amp; Retention</w:t>
      </w:r>
    </w:p>
    <w:p w14:paraId="1DBF7260" w14:textId="77777777" w:rsidR="00000000" w:rsidRDefault="00E614A4">
      <w:pPr>
        <w:jc w:val="both"/>
        <w:divId w:val="777019809"/>
        <w:rPr>
          <w:rFonts w:eastAsia="Times New Roman"/>
        </w:rPr>
      </w:pPr>
      <w:r>
        <w:rPr>
          <w:rFonts w:eastAsia="Times New Roman"/>
          <w:color w:val="000000"/>
          <w:sz w:val="20"/>
          <w:szCs w:val="20"/>
        </w:rPr>
        <w:t>The development, attraction and retention of talent is critical to the success of our business. We focus on building employee engagement; developing a positive culture of trust, transparency, learning, and involvement; and competitive pay and benefits stru</w:t>
      </w:r>
      <w:r>
        <w:rPr>
          <w:rFonts w:eastAsia="Times New Roman"/>
          <w:color w:val="000000"/>
          <w:sz w:val="20"/>
          <w:szCs w:val="20"/>
        </w:rPr>
        <w:t>ctures to attract and retain employees and protect the intellectual capital that we have built. We regularly review our employee turnover and satisfaction rates, and develop strategies and tactics to improve employee engagement and retention. On average, e</w:t>
      </w:r>
      <w:r>
        <w:rPr>
          <w:rFonts w:eastAsia="Times New Roman"/>
          <w:color w:val="000000"/>
          <w:sz w:val="20"/>
          <w:szCs w:val="20"/>
        </w:rPr>
        <w:t xml:space="preserve">mployee tenure is over six years, and more than 20% of our employees have been employed by our company for more than ten years. </w:t>
      </w:r>
    </w:p>
    <w:p w14:paraId="54939E8C" w14:textId="77777777" w:rsidR="00000000" w:rsidRDefault="00E614A4">
      <w:pPr>
        <w:jc w:val="both"/>
        <w:divId w:val="264970221"/>
        <w:rPr>
          <w:rFonts w:eastAsia="Times New Roman"/>
        </w:rPr>
      </w:pPr>
      <w:r>
        <w:rPr>
          <w:rFonts w:eastAsia="Times New Roman"/>
          <w:color w:val="000000"/>
          <w:sz w:val="20"/>
          <w:szCs w:val="20"/>
        </w:rPr>
        <w:t>We seek to attract and retain the best talent from a diverse group of sources around the world, in order to meet our current an</w:t>
      </w:r>
      <w:r>
        <w:rPr>
          <w:rFonts w:eastAsia="Times New Roman"/>
          <w:color w:val="000000"/>
          <w:sz w:val="20"/>
          <w:szCs w:val="20"/>
        </w:rPr>
        <w:t>d future staffing needs. In addition to a robust employee referral practice and independent outreach, we have developed relationships with universities, professional associations, and industry alliances to further increase our outreach and talent pool. Our</w:t>
      </w:r>
      <w:r>
        <w:rPr>
          <w:rFonts w:eastAsia="Times New Roman"/>
          <w:color w:val="000000"/>
          <w:sz w:val="20"/>
          <w:szCs w:val="20"/>
        </w:rPr>
        <w:t xml:space="preserve"> company conducted limited hiring in North America and Europe in 2020, but initiated a plan to increase staffing in our Pune, India and Santiago, Chile locations in order to meet staffing needs in a cost-effective manner. </w:t>
      </w:r>
    </w:p>
    <w:p w14:paraId="3E363A40" w14:textId="77777777" w:rsidR="00000000" w:rsidRDefault="00E614A4">
      <w:pPr>
        <w:jc w:val="both"/>
        <w:divId w:val="1757510228"/>
        <w:rPr>
          <w:rFonts w:eastAsia="Times New Roman"/>
        </w:rPr>
      </w:pPr>
      <w:r>
        <w:rPr>
          <w:rFonts w:eastAsia="Times New Roman"/>
          <w:color w:val="000000"/>
          <w:sz w:val="20"/>
          <w:szCs w:val="20"/>
        </w:rPr>
        <w:t>Where feasible within the countri</w:t>
      </w:r>
      <w:r>
        <w:rPr>
          <w:rFonts w:eastAsia="Times New Roman"/>
          <w:color w:val="000000"/>
          <w:sz w:val="20"/>
          <w:szCs w:val="20"/>
        </w:rPr>
        <w:t>es in which we operate, we provide a competitive and varied portfolio of healthcare, wellness, financial, and other benefit offerings to suit the diverse needs and lifestyles of our employees. Within the United States, 88% of our employee population was en</w:t>
      </w:r>
      <w:r>
        <w:rPr>
          <w:rFonts w:eastAsia="Times New Roman"/>
          <w:color w:val="000000"/>
          <w:sz w:val="20"/>
          <w:szCs w:val="20"/>
        </w:rPr>
        <w:t>rolled in one of our healthcare plans as of December 31, 2020.</w:t>
      </w:r>
    </w:p>
    <w:p w14:paraId="4165777A" w14:textId="77777777" w:rsidR="00000000" w:rsidRDefault="00E614A4">
      <w:pPr>
        <w:jc w:val="both"/>
        <w:divId w:val="631134563"/>
        <w:rPr>
          <w:rFonts w:eastAsia="Times New Roman"/>
        </w:rPr>
      </w:pPr>
      <w:r>
        <w:rPr>
          <w:rFonts w:eastAsia="Times New Roman"/>
          <w:color w:val="000000"/>
          <w:sz w:val="20"/>
          <w:szCs w:val="20"/>
        </w:rPr>
        <w:t xml:space="preserve">We provide virtual, on-demand learning opportunities to all employees, and we also develop and deliver custom learning programs to meet specific business needs and employee interests. In 2020, </w:t>
      </w:r>
      <w:r>
        <w:rPr>
          <w:rFonts w:eastAsia="Times New Roman"/>
          <w:color w:val="000000"/>
          <w:sz w:val="20"/>
          <w:szCs w:val="20"/>
        </w:rPr>
        <w:t xml:space="preserve">approximately 64% of our employees participated in learning activities through the on-demand portal. </w:t>
      </w:r>
    </w:p>
    <w:p w14:paraId="6CA54F12" w14:textId="77777777" w:rsidR="00000000" w:rsidRDefault="00E614A4">
      <w:pPr>
        <w:jc w:val="both"/>
        <w:divId w:val="1367945392"/>
        <w:rPr>
          <w:rFonts w:eastAsia="Times New Roman"/>
        </w:rPr>
      </w:pPr>
      <w:r>
        <w:rPr>
          <w:rFonts w:eastAsia="Times New Roman"/>
          <w:color w:val="000000"/>
          <w:sz w:val="20"/>
          <w:szCs w:val="20"/>
        </w:rPr>
        <w:t>We believe we have strong labor practices and employee-friendly policies that enable a culture of trust, collaboration, and compliance. Our employment sta</w:t>
      </w:r>
      <w:r>
        <w:rPr>
          <w:rFonts w:eastAsia="Times New Roman"/>
          <w:color w:val="000000"/>
          <w:sz w:val="20"/>
          <w:szCs w:val="20"/>
        </w:rPr>
        <w:t>ndards begin and end with respect for the dignity and worth of each person. Employees have multiple avenues through which to express opinions, ideas, and concerns, which enables an open culture of communication and inclusion; our policies require that comp</w:t>
      </w:r>
      <w:r>
        <w:rPr>
          <w:rFonts w:eastAsia="Times New Roman"/>
          <w:color w:val="000000"/>
          <w:sz w:val="20"/>
          <w:szCs w:val="20"/>
        </w:rPr>
        <w:t>laints are investigated and any findings are addressed. Our employees are not represented by labor unions outside of those few countries where union representation is a customary practice of doing business. The Company operates a Compliance Management Syst</w:t>
      </w:r>
      <w:r>
        <w:rPr>
          <w:rFonts w:eastAsia="Times New Roman"/>
          <w:color w:val="000000"/>
          <w:sz w:val="20"/>
          <w:szCs w:val="20"/>
        </w:rPr>
        <w:t>em, a key component of which is mandatory training for all employees in areas including workplace harassment and our code of business conduct.</w:t>
      </w:r>
    </w:p>
    <w:p w14:paraId="1CD757E2" w14:textId="77777777" w:rsidR="00000000" w:rsidRDefault="00E614A4">
      <w:pPr>
        <w:jc w:val="both"/>
        <w:divId w:val="1987279549"/>
        <w:rPr>
          <w:rFonts w:eastAsia="Times New Roman"/>
        </w:rPr>
      </w:pPr>
      <w:r>
        <w:rPr>
          <w:rFonts w:eastAsia="Times New Roman"/>
          <w:color w:val="000000"/>
          <w:sz w:val="20"/>
          <w:szCs w:val="20"/>
          <w:u w:val="single"/>
        </w:rPr>
        <w:t>Work Environment</w:t>
      </w:r>
    </w:p>
    <w:p w14:paraId="0C5333C6" w14:textId="77777777" w:rsidR="00000000" w:rsidRDefault="00E614A4">
      <w:pPr>
        <w:jc w:val="both"/>
        <w:divId w:val="1244101574"/>
        <w:rPr>
          <w:rFonts w:eastAsia="Times New Roman"/>
        </w:rPr>
      </w:pPr>
      <w:r>
        <w:rPr>
          <w:rFonts w:eastAsia="Times New Roman"/>
          <w:color w:val="000000"/>
          <w:sz w:val="20"/>
          <w:szCs w:val="20"/>
        </w:rPr>
        <w:t>We believe we have created a work environment, whether in person or virtually, that represents o</w:t>
      </w:r>
      <w:r>
        <w:rPr>
          <w:rFonts w:eastAsia="Times New Roman"/>
          <w:color w:val="000000"/>
          <w:sz w:val="20"/>
          <w:szCs w:val="20"/>
        </w:rPr>
        <w:t>ur commitment to safety and wellness. This was exemplified at the onset of the COVID-19 pandemic, when we acted quickly and conservatively to ensure that employees could work effectively from their homes and protect their own health and that of their house</w:t>
      </w:r>
      <w:r>
        <w:rPr>
          <w:rFonts w:eastAsia="Times New Roman"/>
          <w:color w:val="000000"/>
          <w:sz w:val="20"/>
          <w:szCs w:val="20"/>
        </w:rPr>
        <w:t>holds. Over the course of the pandemic, we provided both system and technology capability as well as personal support, including wellness activities and resources, virtual social activities, support for working parents, and locational flexibility. Supporti</w:t>
      </w:r>
      <w:r>
        <w:rPr>
          <w:rFonts w:eastAsia="Times New Roman"/>
          <w:color w:val="000000"/>
          <w:sz w:val="20"/>
          <w:szCs w:val="20"/>
        </w:rPr>
        <w:t xml:space="preserve">ng the person, not just the "worker," allowed us to pivot quickly and maintain business operations without endangering employees or customers. We had no safety incidents or incidents of work-related COVID-19 infections reported in 2020. </w:t>
      </w:r>
    </w:p>
    <w:p w14:paraId="6EF5EF05" w14:textId="77777777" w:rsidR="00000000" w:rsidRDefault="00E614A4">
      <w:pPr>
        <w:jc w:val="both"/>
        <w:divId w:val="342245844"/>
        <w:rPr>
          <w:rFonts w:eastAsia="Times New Roman"/>
        </w:rPr>
      </w:pPr>
      <w:r>
        <w:rPr>
          <w:rFonts w:eastAsia="Times New Roman"/>
          <w:color w:val="000000"/>
          <w:sz w:val="20"/>
          <w:szCs w:val="20"/>
          <w:u w:val="single"/>
        </w:rPr>
        <w:t>Diversity and Incl</w:t>
      </w:r>
      <w:r>
        <w:rPr>
          <w:rFonts w:eastAsia="Times New Roman"/>
          <w:color w:val="000000"/>
          <w:sz w:val="20"/>
          <w:szCs w:val="20"/>
          <w:u w:val="single"/>
        </w:rPr>
        <w:t>usion</w:t>
      </w:r>
    </w:p>
    <w:p w14:paraId="6BDF8694" w14:textId="77777777" w:rsidR="00000000" w:rsidRDefault="00E614A4">
      <w:pPr>
        <w:jc w:val="both"/>
        <w:divId w:val="1940916523"/>
        <w:rPr>
          <w:rFonts w:eastAsia="Times New Roman"/>
        </w:rPr>
      </w:pPr>
      <w:r>
        <w:rPr>
          <w:rFonts w:eastAsia="Times New Roman"/>
          <w:color w:val="000000"/>
          <w:sz w:val="20"/>
          <w:szCs w:val="20"/>
        </w:rPr>
        <w:t xml:space="preserve">We strive to build and develop a workforce that reflects diversity, equity, and inclusion at all levels of the organization. As of December 31, 2020, approximately 40% of our global workforce was female and approximately 36% of our executive leaders </w:t>
      </w:r>
      <w:r>
        <w:rPr>
          <w:rFonts w:eastAsia="Times New Roman"/>
          <w:color w:val="000000"/>
          <w:sz w:val="20"/>
          <w:szCs w:val="20"/>
        </w:rPr>
        <w:t>were female. Within the United States, approximately 36% of our employees identified as a person of color or as other than white. Our view is that our culture of involvement and appreciation of others enables us to more fully develop and leverage the stren</w:t>
      </w:r>
      <w:r>
        <w:rPr>
          <w:rFonts w:eastAsia="Times New Roman"/>
          <w:color w:val="000000"/>
          <w:sz w:val="20"/>
          <w:szCs w:val="20"/>
        </w:rPr>
        <w:t>gths of our workforce to meet our business objectives. We place a high value on inclusion and employee-led opportunities across the Company, including the Employee Resource Groups ("ERGs") which are sponsored by senior leadership but are developed and main</w:t>
      </w:r>
      <w:r>
        <w:rPr>
          <w:rFonts w:eastAsia="Times New Roman"/>
          <w:color w:val="000000"/>
          <w:sz w:val="20"/>
          <w:szCs w:val="20"/>
        </w:rPr>
        <w:t>tained by diverse groups of employees who share or champion common interests, representations, or causes. We currently have ERGs in support of LGBTQ+ persons, people of color, women, young professionals, and remote workers. We have amplified our conversati</w:t>
      </w:r>
      <w:r>
        <w:rPr>
          <w:rFonts w:eastAsia="Times New Roman"/>
          <w:color w:val="000000"/>
          <w:sz w:val="20"/>
          <w:szCs w:val="20"/>
        </w:rPr>
        <w:t>on and actions relating specifically to inclusion and diversity in the last year, taking a more active executive stance and implementing learning and development initiatives, additional ERGs, virtual employee gatherings and activities, and talent acquisiti</w:t>
      </w:r>
      <w:r>
        <w:rPr>
          <w:rFonts w:eastAsia="Times New Roman"/>
          <w:color w:val="000000"/>
          <w:sz w:val="20"/>
          <w:szCs w:val="20"/>
        </w:rPr>
        <w:t>on opportunities.</w:t>
      </w:r>
    </w:p>
    <w:p w14:paraId="793ACE07" w14:textId="77777777" w:rsidR="00000000" w:rsidRDefault="00E614A4">
      <w:pPr>
        <w:jc w:val="both"/>
        <w:divId w:val="1145051968"/>
        <w:rPr>
          <w:rFonts w:eastAsia="Times New Roman"/>
        </w:rPr>
      </w:pPr>
      <w:r>
        <w:rPr>
          <w:rFonts w:eastAsia="Times New Roman"/>
          <w:b/>
          <w:bCs/>
          <w:color w:val="000000"/>
          <w:sz w:val="20"/>
          <w:szCs w:val="20"/>
        </w:rPr>
        <w:t>Locations and Geographic Areas</w:t>
      </w:r>
    </w:p>
    <w:p w14:paraId="5FFEE2E5" w14:textId="77777777" w:rsidR="00000000" w:rsidRDefault="00E614A4">
      <w:pPr>
        <w:jc w:val="both"/>
        <w:divId w:val="1847860186"/>
        <w:rPr>
          <w:rFonts w:eastAsia="Times New Roman"/>
        </w:rPr>
      </w:pPr>
      <w:r>
        <w:rPr>
          <w:rFonts w:eastAsia="Times New Roman"/>
          <w:color w:val="000000"/>
          <w:sz w:val="20"/>
          <w:szCs w:val="20"/>
        </w:rPr>
        <w:t>We are located around the globe with employees in 20 countries. Our primary geographic market is the United States, followed by Europe, Latin America, Canada and Asia. For information with respect to sales b</w:t>
      </w:r>
      <w:r>
        <w:rPr>
          <w:rFonts w:eastAsia="Times New Roman"/>
          <w:color w:val="000000"/>
          <w:sz w:val="20"/>
          <w:szCs w:val="20"/>
        </w:rPr>
        <w:t xml:space="preserve">y geographic markets, refer to </w:t>
      </w:r>
      <w:hyperlink w:anchor="ided6989bcc374020961c421c465250ee_115" w:history="1">
        <w:r>
          <w:rPr>
            <w:rStyle w:val="a3"/>
            <w:rFonts w:eastAsia="Times New Roman"/>
            <w:sz w:val="20"/>
            <w:szCs w:val="20"/>
          </w:rPr>
          <w:t>Footnote 3</w:t>
        </w:r>
      </w:hyperlink>
      <w:r>
        <w:rPr>
          <w:rFonts w:eastAsia="Times New Roman"/>
          <w:color w:val="000000"/>
          <w:sz w:val="20"/>
          <w:szCs w:val="20"/>
        </w:rPr>
        <w:t xml:space="preserve">, </w:t>
      </w:r>
      <w:r>
        <w:rPr>
          <w:rFonts w:eastAsia="Times New Roman"/>
          <w:i/>
          <w:iCs/>
          <w:color w:val="000000"/>
          <w:sz w:val="20"/>
          <w:szCs w:val="20"/>
        </w:rPr>
        <w:t>Revenue Recognition</w:t>
      </w:r>
      <w:r>
        <w:rPr>
          <w:rFonts w:eastAsia="Times New Roman"/>
          <w:color w:val="000000"/>
          <w:sz w:val="20"/>
          <w:szCs w:val="20"/>
        </w:rPr>
        <w:t>, of the Notes to Consolidated Financial Statements.</w:t>
      </w:r>
    </w:p>
    <w:p w14:paraId="50534AE0" w14:textId="77777777" w:rsidR="00000000" w:rsidRDefault="00E614A4">
      <w:pPr>
        <w:jc w:val="both"/>
        <w:divId w:val="2132361755"/>
        <w:rPr>
          <w:rFonts w:eastAsia="Times New Roman"/>
        </w:rPr>
      </w:pPr>
      <w:r>
        <w:rPr>
          <w:rFonts w:eastAsia="Times New Roman"/>
          <w:b/>
          <w:bCs/>
          <w:color w:val="000000"/>
          <w:sz w:val="20"/>
          <w:szCs w:val="20"/>
        </w:rPr>
        <w:t>Executive Officers and Directors</w:t>
      </w:r>
    </w:p>
    <w:p w14:paraId="266C4B7E" w14:textId="77777777" w:rsidR="00000000" w:rsidRDefault="00E614A4">
      <w:pPr>
        <w:jc w:val="both"/>
        <w:divId w:val="488981226"/>
        <w:rPr>
          <w:rFonts w:eastAsia="Times New Roman"/>
        </w:rPr>
      </w:pPr>
      <w:r>
        <w:rPr>
          <w:rFonts w:eastAsia="Times New Roman"/>
          <w:color w:val="000000"/>
          <w:sz w:val="20"/>
          <w:szCs w:val="20"/>
          <w:u w:val="single"/>
        </w:rPr>
        <w:t>Executive Officers and Executive Director</w:t>
      </w:r>
    </w:p>
    <w:p w14:paraId="2398EBA1" w14:textId="77777777" w:rsidR="00000000" w:rsidRDefault="00E614A4">
      <w:pPr>
        <w:jc w:val="both"/>
        <w:divId w:val="420104594"/>
        <w:rPr>
          <w:rFonts w:eastAsia="Times New Roman"/>
        </w:rPr>
      </w:pPr>
      <w:r>
        <w:rPr>
          <w:rFonts w:eastAsia="Times New Roman"/>
          <w:i/>
          <w:iCs/>
          <w:color w:val="000000"/>
          <w:sz w:val="20"/>
          <w:szCs w:val="20"/>
        </w:rPr>
        <w:t>Willia</w:t>
      </w:r>
      <w:r>
        <w:rPr>
          <w:rFonts w:eastAsia="Times New Roman"/>
          <w:i/>
          <w:iCs/>
          <w:color w:val="000000"/>
          <w:sz w:val="20"/>
          <w:szCs w:val="20"/>
        </w:rPr>
        <w:t>m (Bill) Livek</w:t>
      </w:r>
      <w:r>
        <w:rPr>
          <w:rFonts w:eastAsia="Times New Roman"/>
          <w:color w:val="000000"/>
          <w:sz w:val="20"/>
          <w:szCs w:val="20"/>
        </w:rPr>
        <w:t xml:space="preserve"> has served as our Chief Executive Officer since November 2019 and as our Vice Chairman since January 2016. He was our President from January 2016 through May 2018. Mr. Livek previously served as Vice Chairman and Chief Executive Officer of R</w:t>
      </w:r>
      <w:r>
        <w:rPr>
          <w:rFonts w:eastAsia="Times New Roman"/>
          <w:color w:val="000000"/>
          <w:sz w:val="20"/>
          <w:szCs w:val="20"/>
        </w:rPr>
        <w:t xml:space="preserve">entrak Corporation, a media measurement and consumer targeting company, from June 2009 until our merger with </w:t>
      </w:r>
    </w:p>
    <w:p w14:paraId="3C944493" w14:textId="77777777" w:rsidR="00000000" w:rsidRDefault="00E614A4">
      <w:pPr>
        <w:jc w:val="center"/>
        <w:divId w:val="301811536"/>
        <w:rPr>
          <w:rFonts w:eastAsia="Times New Roman"/>
        </w:rPr>
      </w:pPr>
      <w:r>
        <w:rPr>
          <w:rFonts w:eastAsia="Times New Roman"/>
          <w:color w:val="000000"/>
          <w:sz w:val="20"/>
          <w:szCs w:val="20"/>
        </w:rPr>
        <w:t>9</w:t>
      </w:r>
    </w:p>
    <w:p w14:paraId="1F178103" w14:textId="77777777" w:rsidR="00000000" w:rsidRDefault="00E614A4">
      <w:pPr>
        <w:rPr>
          <w:rFonts w:eastAsia="Times New Roman"/>
        </w:rPr>
      </w:pPr>
      <w:r>
        <w:rPr>
          <w:rFonts w:eastAsia="Times New Roman"/>
        </w:rPr>
        <w:pict w14:anchorId="717B115E">
          <v:rect id="_x0000_i1036" style="width:0;height:1.5pt" o:hralign="center" o:hrstd="t" o:hr="t" fillcolor="#a0a0a0" stroked="f"/>
        </w:pict>
      </w:r>
    </w:p>
    <w:p w14:paraId="63BD201D" w14:textId="77777777" w:rsidR="00000000" w:rsidRDefault="00E614A4">
      <w:pPr>
        <w:divId w:val="180685263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985D212" w14:textId="77777777" w:rsidR="00000000" w:rsidRDefault="00E614A4">
      <w:pPr>
        <w:divId w:val="1418596179"/>
        <w:rPr>
          <w:rFonts w:eastAsia="Times New Roman"/>
        </w:rPr>
      </w:pPr>
    </w:p>
    <w:p w14:paraId="4DD8FF10" w14:textId="77777777" w:rsidR="00000000" w:rsidRDefault="00E614A4">
      <w:pPr>
        <w:jc w:val="both"/>
        <w:divId w:val="842859324"/>
        <w:rPr>
          <w:rFonts w:eastAsia="Times New Roman"/>
        </w:rPr>
      </w:pPr>
      <w:r>
        <w:rPr>
          <w:rFonts w:eastAsia="Times New Roman"/>
          <w:color w:val="000000"/>
          <w:sz w:val="20"/>
          <w:szCs w:val="20"/>
        </w:rPr>
        <w:t>Rentrak in January 2016. Prior to Rentrak, Mr. Livek was founder and Chief Executive Officer of Symmetrical Capital, an investment and consulting firm; Senior Vice President, Strategic Allianc</w:t>
      </w:r>
      <w:r>
        <w:rPr>
          <w:rFonts w:eastAsia="Times New Roman"/>
          <w:color w:val="000000"/>
          <w:sz w:val="20"/>
          <w:szCs w:val="20"/>
        </w:rPr>
        <w:t>es and International Expansion, of Experian Information Solutions, Inc., a provider of information, analytical and marketing services; and co-President of Experian's subsidiary Experian Research Services. He holds a B.S. degree in Communications Radio/Tele</w:t>
      </w:r>
      <w:r>
        <w:rPr>
          <w:rFonts w:eastAsia="Times New Roman"/>
          <w:color w:val="000000"/>
          <w:sz w:val="20"/>
          <w:szCs w:val="20"/>
        </w:rPr>
        <w:t>vision from Southern Illinois University. Mr. Livek brings substantial industry experience and audience measurement expertise to our Board and management team.</w:t>
      </w:r>
    </w:p>
    <w:p w14:paraId="18BDF2B0" w14:textId="77777777" w:rsidR="00000000" w:rsidRDefault="00E614A4">
      <w:pPr>
        <w:jc w:val="both"/>
        <w:divId w:val="494152694"/>
        <w:rPr>
          <w:rFonts w:eastAsia="Times New Roman"/>
        </w:rPr>
      </w:pPr>
      <w:r>
        <w:rPr>
          <w:rFonts w:eastAsia="Times New Roman"/>
          <w:i/>
          <w:iCs/>
          <w:color w:val="000000"/>
          <w:sz w:val="20"/>
          <w:szCs w:val="20"/>
        </w:rPr>
        <w:t>Gregory Fink</w:t>
      </w:r>
      <w:r>
        <w:rPr>
          <w:rFonts w:eastAsia="Times New Roman"/>
          <w:color w:val="000000"/>
          <w:sz w:val="20"/>
          <w:szCs w:val="20"/>
        </w:rPr>
        <w:t xml:space="preserve"> has served as our Chief Financial Officer and Treasurer since October 2017 and prev</w:t>
      </w:r>
      <w:r>
        <w:rPr>
          <w:rFonts w:eastAsia="Times New Roman"/>
          <w:color w:val="000000"/>
          <w:sz w:val="20"/>
          <w:szCs w:val="20"/>
        </w:rPr>
        <w:t>iously served as our Executive Vice President, Finance since joining the Company earlier in October 2017. Prior to joining the Company, Mr. Fink was the Senior Vice President, Controller and Chief Accounting Officer at Fannie Mae, a government-sponsored en</w:t>
      </w:r>
      <w:r>
        <w:rPr>
          <w:rFonts w:eastAsia="Times New Roman"/>
          <w:color w:val="000000"/>
          <w:sz w:val="20"/>
          <w:szCs w:val="20"/>
        </w:rPr>
        <w:t>terprise in the mortgage industry, since 2011. He has more than 30 years of experience in accounting, financial reporting, business analytics, budgeting, internal controls and talent development. Mr. Fink holds a B.S. in Business Administration with an acc</w:t>
      </w:r>
      <w:r>
        <w:rPr>
          <w:rFonts w:eastAsia="Times New Roman"/>
          <w:color w:val="000000"/>
          <w:sz w:val="20"/>
          <w:szCs w:val="20"/>
        </w:rPr>
        <w:t>ounting emphasis from San Diego State University and is a Certified Public Accountant.</w:t>
      </w:r>
    </w:p>
    <w:p w14:paraId="4A1416AA" w14:textId="77777777" w:rsidR="00000000" w:rsidRDefault="00E614A4">
      <w:pPr>
        <w:jc w:val="both"/>
        <w:divId w:val="312763522"/>
        <w:rPr>
          <w:rFonts w:eastAsia="Times New Roman"/>
        </w:rPr>
      </w:pPr>
      <w:r>
        <w:rPr>
          <w:rFonts w:eastAsia="Times New Roman"/>
          <w:i/>
          <w:iCs/>
          <w:color w:val="000000"/>
          <w:sz w:val="20"/>
          <w:szCs w:val="20"/>
        </w:rPr>
        <w:t>Christopher Wilson</w:t>
      </w:r>
      <w:r>
        <w:rPr>
          <w:rFonts w:eastAsia="Times New Roman"/>
          <w:color w:val="000000"/>
          <w:sz w:val="20"/>
          <w:szCs w:val="20"/>
        </w:rPr>
        <w:t xml:space="preserve"> has served as our Chief Commercial Officer since April 2019. He previously served as our Chief Revenue Officer from June 2017 to December 2018 and as </w:t>
      </w:r>
      <w:r>
        <w:rPr>
          <w:rFonts w:eastAsia="Times New Roman"/>
          <w:color w:val="000000"/>
          <w:sz w:val="20"/>
          <w:szCs w:val="20"/>
        </w:rPr>
        <w:t>our Executive Vice President, Commercial from January 2016 to June 2017. Prior to joining the Company, Mr. Wilson served as President, National Television at Rentrak Corporation from 2010 until our merger with Rentrak in January 2016. Before Rentrak, he wa</w:t>
      </w:r>
      <w:r>
        <w:rPr>
          <w:rFonts w:eastAsia="Times New Roman"/>
          <w:color w:val="000000"/>
          <w:sz w:val="20"/>
          <w:szCs w:val="20"/>
        </w:rPr>
        <w:t xml:space="preserve">s Senior Vice President, Sales at Scarborough Research Company; President at Experian Research Services; President and COO of Simmons Market Research Bureau; and CEO and President of LogicLab, a division of Merkle LLC. Mr. Wilson holds a bachelor's degree </w:t>
      </w:r>
      <w:r>
        <w:rPr>
          <w:rFonts w:eastAsia="Times New Roman"/>
          <w:color w:val="000000"/>
          <w:sz w:val="20"/>
          <w:szCs w:val="20"/>
        </w:rPr>
        <w:t>in Broadcast Communications from Southern Illinois University, Carbondale.</w:t>
      </w:r>
    </w:p>
    <w:p w14:paraId="7FB65198" w14:textId="77777777" w:rsidR="00000000" w:rsidRDefault="00E614A4">
      <w:pPr>
        <w:jc w:val="both"/>
        <w:divId w:val="1883395313"/>
        <w:rPr>
          <w:rFonts w:eastAsia="Times New Roman"/>
        </w:rPr>
      </w:pPr>
      <w:r>
        <w:rPr>
          <w:rFonts w:eastAsia="Times New Roman"/>
          <w:color w:val="000000"/>
          <w:sz w:val="20"/>
          <w:szCs w:val="20"/>
          <w:u w:val="single"/>
        </w:rPr>
        <w:t>Non-Executive Directors</w:t>
      </w:r>
    </w:p>
    <w:p w14:paraId="10652C42" w14:textId="77777777" w:rsidR="00000000" w:rsidRDefault="00E614A4">
      <w:pPr>
        <w:jc w:val="both"/>
        <w:divId w:val="877204746"/>
        <w:rPr>
          <w:rFonts w:eastAsia="Times New Roman"/>
        </w:rPr>
      </w:pPr>
      <w:r>
        <w:rPr>
          <w:rFonts w:eastAsia="Times New Roman"/>
          <w:i/>
          <w:iCs/>
          <w:color w:val="000000"/>
          <w:sz w:val="20"/>
          <w:szCs w:val="20"/>
        </w:rPr>
        <w:t>Brent Rosenthal</w:t>
      </w:r>
      <w:r>
        <w:rPr>
          <w:rFonts w:eastAsia="Times New Roman"/>
          <w:color w:val="000000"/>
          <w:sz w:val="20"/>
          <w:szCs w:val="20"/>
        </w:rPr>
        <w:t xml:space="preserve"> has served as Chairman of the Board since April 2018 and as a director since January 2016. Mr. Rosenthal is the Founder of Mountain Hawk Capi</w:t>
      </w:r>
      <w:r>
        <w:rPr>
          <w:rFonts w:eastAsia="Times New Roman"/>
          <w:color w:val="000000"/>
          <w:sz w:val="20"/>
          <w:szCs w:val="20"/>
        </w:rPr>
        <w:t>tal Partners, LLC, an investment fund focused on small and microcap equities in the technology, media, telecom (TMT) and food industries. Mr. Rosenthal has been the Lead Independent Director/Non-Executive Chairman of the board of directors of RiceBran Tech</w:t>
      </w:r>
      <w:r>
        <w:rPr>
          <w:rFonts w:eastAsia="Times New Roman"/>
          <w:color w:val="000000"/>
          <w:sz w:val="20"/>
          <w:szCs w:val="20"/>
        </w:rPr>
        <w:t>nologies, a food company, since July 2016 and served as an advisor to the board of directors and executive management of FLYHT Aerospace from December 2019 to June 2020 and as a member of the FLYHT Aerospace board of directors since June 2020. He also serv</w:t>
      </w:r>
      <w:r>
        <w:rPr>
          <w:rFonts w:eastAsia="Times New Roman"/>
          <w:color w:val="000000"/>
          <w:sz w:val="20"/>
          <w:szCs w:val="20"/>
        </w:rPr>
        <w:t>ed on the board of directors of SITO Mobile, Ltd., a mobile location-based media platform, from August 2016 to July 2018, and as Non-Executive Chairman of its board of directors from June 2017 to July 2018. Previously, Mr. Rosenthal was a Partner in affili</w:t>
      </w:r>
      <w:r>
        <w:rPr>
          <w:rFonts w:eastAsia="Times New Roman"/>
          <w:color w:val="000000"/>
          <w:sz w:val="20"/>
          <w:szCs w:val="20"/>
        </w:rPr>
        <w:t>ates of W.R. Huff Asset Management where he worked from 2002 to 2016. Mr. Rosenthal served as the Non-Executive Chairman of Rentrak Corporation from 2011 to 2016. He was Special Advisor to the board of directors of Park City Group from November 2015 to Feb</w:t>
      </w:r>
      <w:r>
        <w:rPr>
          <w:rFonts w:eastAsia="Times New Roman"/>
          <w:color w:val="000000"/>
          <w:sz w:val="20"/>
          <w:szCs w:val="20"/>
        </w:rPr>
        <w:t xml:space="preserve">ruary 2018. Mr. Rosenthal earned his B.S. from Lehigh University and M.B.A. from the S.C. Johnson Graduate School of Management at Cornell University. He is an inactive Certified Public Accountant. Mr. Rosenthal brings to our Board financial expertise and </w:t>
      </w:r>
      <w:r>
        <w:rPr>
          <w:rFonts w:eastAsia="Times New Roman"/>
          <w:color w:val="000000"/>
          <w:sz w:val="20"/>
          <w:szCs w:val="20"/>
        </w:rPr>
        <w:t>experience in the media and information industries.</w:t>
      </w:r>
    </w:p>
    <w:p w14:paraId="145F9328" w14:textId="77777777" w:rsidR="00000000" w:rsidRDefault="00E614A4">
      <w:pPr>
        <w:jc w:val="both"/>
        <w:divId w:val="725303476"/>
        <w:rPr>
          <w:rFonts w:eastAsia="Times New Roman"/>
        </w:rPr>
      </w:pPr>
      <w:r>
        <w:rPr>
          <w:rFonts w:eastAsia="Times New Roman"/>
          <w:i/>
          <w:iCs/>
          <w:color w:val="000000"/>
          <w:sz w:val="20"/>
          <w:szCs w:val="20"/>
        </w:rPr>
        <w:t>Irwin Gotlieb</w:t>
      </w:r>
      <w:r>
        <w:rPr>
          <w:rFonts w:eastAsia="Times New Roman"/>
          <w:color w:val="000000"/>
          <w:sz w:val="20"/>
          <w:szCs w:val="20"/>
        </w:rPr>
        <w:t xml:space="preserve"> has served as a director since April 2019. Mr. Gotlieb was a senior advisor to WPP plc, a multinational advertising and public relations company, from April 2018 through December 2020. He wa</w:t>
      </w:r>
      <w:r>
        <w:rPr>
          <w:rFonts w:eastAsia="Times New Roman"/>
          <w:color w:val="000000"/>
          <w:sz w:val="20"/>
          <w:szCs w:val="20"/>
        </w:rPr>
        <w:t>s formerly the global Chief Executive Officer and Chairman of GroupM, a global media investment group, from its formation in early 2003 to 2012 and Chairman of GroupM until April 2018. Mr. Gotlieb served on the board of directors of Invidi, a media solutio</w:t>
      </w:r>
      <w:r>
        <w:rPr>
          <w:rFonts w:eastAsia="Times New Roman"/>
          <w:color w:val="000000"/>
          <w:sz w:val="20"/>
          <w:szCs w:val="20"/>
        </w:rPr>
        <w:t>ns company, from October 2007 to June 2020, and on the advisory board of Harland Clarke, a payment solutions company, from January 2014 to December 2018. Mr. Gotlieb brings over 40 years of industry experience to the Board and is the first media agency exe</w:t>
      </w:r>
      <w:r>
        <w:rPr>
          <w:rFonts w:eastAsia="Times New Roman"/>
          <w:color w:val="000000"/>
          <w:sz w:val="20"/>
          <w:szCs w:val="20"/>
        </w:rPr>
        <w:t>cutive inducted into both the American Advertising Federation Hall of Fame and the Broadcasting &amp; Cable Hall of Fame.</w:t>
      </w:r>
    </w:p>
    <w:p w14:paraId="319D1B55" w14:textId="77777777" w:rsidR="00000000" w:rsidRDefault="00E614A4">
      <w:pPr>
        <w:jc w:val="both"/>
        <w:divId w:val="1500804583"/>
        <w:rPr>
          <w:rFonts w:eastAsia="Times New Roman"/>
        </w:rPr>
      </w:pPr>
      <w:r>
        <w:rPr>
          <w:rFonts w:eastAsia="Times New Roman"/>
          <w:i/>
          <w:iCs/>
          <w:color w:val="000000"/>
          <w:sz w:val="20"/>
          <w:szCs w:val="20"/>
        </w:rPr>
        <w:t>Jacques Kerrest</w:t>
      </w:r>
      <w:r>
        <w:rPr>
          <w:rFonts w:eastAsia="Times New Roman"/>
          <w:color w:val="000000"/>
          <w:sz w:val="20"/>
          <w:szCs w:val="20"/>
        </w:rPr>
        <w:t xml:space="preserve"> has served as a director since June 2017. Mr. Kerrest served as Executive Vice President and CFO of Intelsat S.A., a commu</w:t>
      </w:r>
      <w:r>
        <w:rPr>
          <w:rFonts w:eastAsia="Times New Roman"/>
          <w:color w:val="000000"/>
          <w:sz w:val="20"/>
          <w:szCs w:val="20"/>
        </w:rPr>
        <w:t>nications satellite services provider, from February 2016 to June 2019. Prior to his appointment at Intelsat, he held executive-level roles at numerous leading technology and communications companies, including ActivIdentity Corporation, Virgin Media Inc.,</w:t>
      </w:r>
      <w:r>
        <w:rPr>
          <w:rFonts w:eastAsia="Times New Roman"/>
          <w:color w:val="000000"/>
          <w:sz w:val="20"/>
          <w:szCs w:val="20"/>
        </w:rPr>
        <w:t xml:space="preserve"> Harte-Hanks Corporation and Chancellor Broadcasting Company. Previously, Mr. Kerrest served on the boards of directors of several public companies. Mr. Kerrest received his Master of Science Degree from Faculté des Sciences Économiques in Paris, France, a</w:t>
      </w:r>
      <w:r>
        <w:rPr>
          <w:rFonts w:eastAsia="Times New Roman"/>
          <w:color w:val="000000"/>
          <w:sz w:val="20"/>
          <w:szCs w:val="20"/>
        </w:rPr>
        <w:t>nd an M.B.A. from Institut D'Etudes Politiques De Paris in Paris, France as well as the Thunderbird School of Global Management in Glendale, Arizona. Mr. Kerrest's deep financial expertise and background enable him to bring valuable perspective to our Boar</w:t>
      </w:r>
      <w:r>
        <w:rPr>
          <w:rFonts w:eastAsia="Times New Roman"/>
          <w:color w:val="000000"/>
          <w:sz w:val="20"/>
          <w:szCs w:val="20"/>
        </w:rPr>
        <w:t>d.</w:t>
      </w:r>
    </w:p>
    <w:p w14:paraId="732E4F63" w14:textId="77777777" w:rsidR="00000000" w:rsidRDefault="00E614A4">
      <w:pPr>
        <w:jc w:val="both"/>
        <w:divId w:val="1007438398"/>
        <w:rPr>
          <w:rFonts w:eastAsia="Times New Roman"/>
        </w:rPr>
      </w:pPr>
      <w:r>
        <w:rPr>
          <w:rFonts w:eastAsia="Times New Roman"/>
          <w:i/>
          <w:iCs/>
          <w:color w:val="000000"/>
          <w:sz w:val="20"/>
          <w:szCs w:val="20"/>
        </w:rPr>
        <w:t>Kathleen Lov</w:t>
      </w:r>
      <w:r>
        <w:rPr>
          <w:rFonts w:eastAsia="Times New Roman"/>
          <w:color w:val="000000"/>
          <w:sz w:val="20"/>
          <w:szCs w:val="20"/>
        </w:rPr>
        <w:t>e has served as a director since April 2019. Ms. Love is currently the Chief Executive Officer of Motherwell Resources LLC, a company devoted to management consulting and executive coaching, which she founded in 2013. Prior to founding Mothe</w:t>
      </w:r>
      <w:r>
        <w:rPr>
          <w:rFonts w:eastAsia="Times New Roman"/>
          <w:color w:val="000000"/>
          <w:sz w:val="20"/>
          <w:szCs w:val="20"/>
        </w:rPr>
        <w:t>rwell, Ms. Love served as the President and Chief Executive Officer of GFK MRI (formerly Mediamark Research), a media research company, from 2000 to 2013. Prior to joining MRI, Ms. Love held executive positions at The New York Times, EMAP Publishing and Th</w:t>
      </w:r>
      <w:r>
        <w:rPr>
          <w:rFonts w:eastAsia="Times New Roman"/>
          <w:color w:val="000000"/>
          <w:sz w:val="20"/>
          <w:szCs w:val="20"/>
        </w:rPr>
        <w:t>e Magazine Publishers of America. She has been an adjunct or guest instructor at Rutgers University, Brooklyn College and Queens College. Ms. Love holds a B.A. degree from Douglass College, Rutgers - The State University, an M.A. from Michigan State Univer</w:t>
      </w:r>
      <w:r>
        <w:rPr>
          <w:rFonts w:eastAsia="Times New Roman"/>
          <w:color w:val="000000"/>
          <w:sz w:val="20"/>
          <w:szCs w:val="20"/>
        </w:rPr>
        <w:t>sity and an M.Phil. from The Graduate Center, C.U.N.Y. She has advanced to candidacy for a Ph.D. in psychology. Ms. Love brings over 30 years of industry experience in media and marketing research, strategic planning and business development to our Board.</w:t>
      </w:r>
    </w:p>
    <w:p w14:paraId="52A87C0E" w14:textId="77777777" w:rsidR="00000000" w:rsidRDefault="00E614A4">
      <w:pPr>
        <w:jc w:val="both"/>
        <w:divId w:val="947540574"/>
        <w:rPr>
          <w:rFonts w:eastAsia="Times New Roman"/>
        </w:rPr>
      </w:pPr>
      <w:r>
        <w:rPr>
          <w:rFonts w:eastAsia="Times New Roman"/>
          <w:i/>
          <w:iCs/>
          <w:color w:val="000000"/>
          <w:sz w:val="20"/>
          <w:szCs w:val="20"/>
        </w:rPr>
        <w:t>John Martin</w:t>
      </w:r>
      <w:r>
        <w:rPr>
          <w:rFonts w:eastAsia="Times New Roman"/>
          <w:color w:val="000000"/>
          <w:sz w:val="20"/>
          <w:szCs w:val="20"/>
        </w:rPr>
        <w:t xml:space="preserve"> has served as a director since May 2019. Mr. Martin was the Chairman and CEO of Turner Broadcasting System, Inc., a media and entertainment company, from January 2014 through June 2018. At Turner Broadcasting, Mr. Martin oversaw a portfolio of </w:t>
      </w:r>
      <w:r>
        <w:rPr>
          <w:rFonts w:eastAsia="Times New Roman"/>
          <w:color w:val="000000"/>
          <w:sz w:val="20"/>
          <w:szCs w:val="20"/>
        </w:rPr>
        <w:t xml:space="preserve">networks including CNN, TBS, TNT, Cartoon Network, Adult Swim and Turner Sports. Prior to Turner Broadcasting, Mr. Martin was </w:t>
      </w:r>
    </w:p>
    <w:p w14:paraId="24ABFEED" w14:textId="77777777" w:rsidR="00000000" w:rsidRDefault="00E614A4">
      <w:pPr>
        <w:jc w:val="center"/>
        <w:divId w:val="2018727262"/>
        <w:rPr>
          <w:rFonts w:eastAsia="Times New Roman"/>
        </w:rPr>
      </w:pPr>
      <w:r>
        <w:rPr>
          <w:rFonts w:eastAsia="Times New Roman"/>
          <w:color w:val="000000"/>
          <w:sz w:val="20"/>
          <w:szCs w:val="20"/>
        </w:rPr>
        <w:t>10</w:t>
      </w:r>
    </w:p>
    <w:p w14:paraId="755F9BC4" w14:textId="77777777" w:rsidR="00000000" w:rsidRDefault="00E614A4">
      <w:pPr>
        <w:rPr>
          <w:rFonts w:eastAsia="Times New Roman"/>
        </w:rPr>
      </w:pPr>
      <w:r>
        <w:rPr>
          <w:rFonts w:eastAsia="Times New Roman"/>
        </w:rPr>
        <w:pict w14:anchorId="19563378">
          <v:rect id="_x0000_i1037" style="width:0;height:1.5pt" o:hralign="center" o:hrstd="t" o:hr="t" fillcolor="#a0a0a0" stroked="f"/>
        </w:pict>
      </w:r>
    </w:p>
    <w:p w14:paraId="6FE7ADF4" w14:textId="77777777" w:rsidR="00000000" w:rsidRDefault="00E614A4">
      <w:pPr>
        <w:divId w:val="181452099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6095E4E" w14:textId="77777777" w:rsidR="00000000" w:rsidRDefault="00E614A4">
      <w:pPr>
        <w:divId w:val="1493638924"/>
        <w:rPr>
          <w:rFonts w:eastAsia="Times New Roman"/>
        </w:rPr>
      </w:pPr>
    </w:p>
    <w:p w14:paraId="5073A922" w14:textId="77777777" w:rsidR="00000000" w:rsidRDefault="00E614A4">
      <w:pPr>
        <w:jc w:val="both"/>
        <w:divId w:val="1754744248"/>
        <w:rPr>
          <w:rFonts w:eastAsia="Times New Roman"/>
        </w:rPr>
      </w:pPr>
      <w:r>
        <w:rPr>
          <w:rFonts w:eastAsia="Times New Roman"/>
          <w:color w:val="000000"/>
          <w:sz w:val="20"/>
          <w:szCs w:val="20"/>
        </w:rPr>
        <w:t>the Chief Financial and Administrative Officer of Time Warner, Inc. for six years. M</w:t>
      </w:r>
      <w:r>
        <w:rPr>
          <w:rFonts w:eastAsia="Times New Roman"/>
          <w:color w:val="000000"/>
          <w:sz w:val="20"/>
          <w:szCs w:val="20"/>
        </w:rPr>
        <w:t>r. Martin holds an M.B.A. from Columbia University and a B.S. from the Wharton School of Business. Mr. Martin brings substantial industry experience and financial expertise to our Board.</w:t>
      </w:r>
    </w:p>
    <w:p w14:paraId="002C4C2E" w14:textId="77777777" w:rsidR="00000000" w:rsidRDefault="00E614A4">
      <w:pPr>
        <w:jc w:val="both"/>
        <w:divId w:val="1397241707"/>
        <w:rPr>
          <w:rFonts w:eastAsia="Times New Roman"/>
        </w:rPr>
      </w:pPr>
      <w:r>
        <w:rPr>
          <w:rFonts w:eastAsia="Times New Roman"/>
          <w:b/>
          <w:bCs/>
          <w:color w:val="000000"/>
          <w:sz w:val="20"/>
          <w:szCs w:val="20"/>
        </w:rPr>
        <w:t>Available Information</w:t>
      </w:r>
    </w:p>
    <w:p w14:paraId="3E73377C" w14:textId="77777777" w:rsidR="00000000" w:rsidRDefault="00E614A4">
      <w:pPr>
        <w:jc w:val="both"/>
        <w:divId w:val="727416180"/>
        <w:rPr>
          <w:rFonts w:eastAsia="Times New Roman"/>
        </w:rPr>
      </w:pPr>
      <w:r>
        <w:rPr>
          <w:rFonts w:eastAsia="Times New Roman"/>
          <w:color w:val="000000"/>
          <w:sz w:val="20"/>
          <w:szCs w:val="20"/>
        </w:rPr>
        <w:t>We make our periodic and current reports along with amendments to such reports available, free of charge, on our website as soon as reasonably practicable after such material is electronically filed with or furnished to the SEC. Our website address is www.</w:t>
      </w:r>
      <w:r>
        <w:rPr>
          <w:rFonts w:eastAsia="Times New Roman"/>
          <w:color w:val="000000"/>
          <w:sz w:val="20"/>
          <w:szCs w:val="20"/>
        </w:rPr>
        <w:t>comscore.com, and such reports are filed under "SEC Filings" in the Investor Relations section of our website. Information contained on our website is not part of this 10-K and is not incorporated herein by reference.</w:t>
      </w:r>
    </w:p>
    <w:p w14:paraId="6524616B" w14:textId="77777777" w:rsidR="00000000" w:rsidRDefault="00E614A4">
      <w:pPr>
        <w:jc w:val="both"/>
        <w:divId w:val="10766535"/>
        <w:rPr>
          <w:rFonts w:eastAsia="Times New Roman"/>
        </w:rPr>
      </w:pPr>
      <w:r>
        <w:rPr>
          <w:rFonts w:eastAsia="Times New Roman"/>
          <w:color w:val="000000"/>
          <w:sz w:val="20"/>
          <w:szCs w:val="20"/>
        </w:rPr>
        <w:t>You can read our SEC filings, includin</w:t>
      </w:r>
      <w:r>
        <w:rPr>
          <w:rFonts w:eastAsia="Times New Roman"/>
          <w:color w:val="000000"/>
          <w:sz w:val="20"/>
          <w:szCs w:val="20"/>
        </w:rPr>
        <w:t xml:space="preserve">g this 10-K as well as our other periodic and current reports, on the SEC's website at </w:t>
      </w:r>
      <w:r>
        <w:rPr>
          <w:rFonts w:eastAsia="Times New Roman"/>
          <w:color w:val="0E32E1"/>
          <w:sz w:val="20"/>
          <w:szCs w:val="20"/>
          <w:u w:val="single"/>
        </w:rPr>
        <w:t>www.sec.gov</w:t>
      </w:r>
      <w:r>
        <w:rPr>
          <w:rFonts w:eastAsia="Times New Roman"/>
          <w:color w:val="000000"/>
          <w:sz w:val="20"/>
          <w:szCs w:val="20"/>
        </w:rPr>
        <w:t>.</w:t>
      </w:r>
    </w:p>
    <w:p w14:paraId="3FBA3823" w14:textId="77777777" w:rsidR="00000000" w:rsidRDefault="00E614A4">
      <w:pPr>
        <w:jc w:val="both"/>
        <w:divId w:val="260072788"/>
        <w:rPr>
          <w:rFonts w:eastAsia="Times New Roman"/>
        </w:rPr>
      </w:pPr>
    </w:p>
    <w:p w14:paraId="660870A0" w14:textId="77777777" w:rsidR="00000000" w:rsidRDefault="00E614A4">
      <w:pPr>
        <w:jc w:val="both"/>
        <w:divId w:val="1999190551"/>
        <w:rPr>
          <w:rFonts w:eastAsia="Times New Roman"/>
        </w:rPr>
      </w:pPr>
    </w:p>
    <w:p w14:paraId="6CD5A920" w14:textId="77777777" w:rsidR="00000000" w:rsidRDefault="00E614A4">
      <w:pPr>
        <w:jc w:val="both"/>
        <w:divId w:val="574902700"/>
        <w:rPr>
          <w:rFonts w:eastAsia="Times New Roman"/>
        </w:rPr>
      </w:pPr>
    </w:p>
    <w:p w14:paraId="5BC62C41" w14:textId="77777777" w:rsidR="00000000" w:rsidRDefault="00E614A4">
      <w:pPr>
        <w:jc w:val="center"/>
        <w:divId w:val="1129933306"/>
        <w:rPr>
          <w:rFonts w:eastAsia="Times New Roman"/>
        </w:rPr>
      </w:pPr>
      <w:r>
        <w:rPr>
          <w:rFonts w:eastAsia="Times New Roman"/>
          <w:color w:val="000000"/>
          <w:sz w:val="20"/>
          <w:szCs w:val="20"/>
        </w:rPr>
        <w:t>11</w:t>
      </w:r>
    </w:p>
    <w:p w14:paraId="5C9CAEBA" w14:textId="77777777" w:rsidR="00000000" w:rsidRDefault="00E614A4">
      <w:pPr>
        <w:rPr>
          <w:rFonts w:eastAsia="Times New Roman"/>
        </w:rPr>
      </w:pPr>
      <w:r>
        <w:rPr>
          <w:rFonts w:eastAsia="Times New Roman"/>
        </w:rPr>
        <w:pict w14:anchorId="1B0140DD">
          <v:rect id="_x0000_i1038" style="width:0;height:1.5pt" o:hralign="center" o:hrstd="t" o:hr="t" fillcolor="#a0a0a0" stroked="f"/>
        </w:pict>
      </w:r>
    </w:p>
    <w:p w14:paraId="01E7EBBE" w14:textId="77777777" w:rsidR="00000000" w:rsidRDefault="00E614A4">
      <w:pPr>
        <w:divId w:val="148821042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94B8727" w14:textId="77777777" w:rsidR="00000000" w:rsidRDefault="00E614A4">
      <w:pPr>
        <w:divId w:val="33372825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89"/>
        <w:gridCol w:w="821"/>
        <w:gridCol w:w="36"/>
        <w:gridCol w:w="37"/>
        <w:gridCol w:w="7287"/>
        <w:gridCol w:w="36"/>
      </w:tblGrid>
      <w:tr w:rsidR="00000000" w14:paraId="6E442DA4" w14:textId="77777777">
        <w:trPr>
          <w:divId w:val="1217737835"/>
          <w:jc w:val="center"/>
        </w:trPr>
        <w:tc>
          <w:tcPr>
            <w:tcW w:w="50" w:type="pct"/>
            <w:vAlign w:val="center"/>
            <w:hideMark/>
          </w:tcPr>
          <w:p w14:paraId="218CC6AD" w14:textId="77777777" w:rsidR="00000000" w:rsidRDefault="00E614A4">
            <w:pPr>
              <w:rPr>
                <w:rFonts w:eastAsia="Times New Roman"/>
              </w:rPr>
            </w:pPr>
          </w:p>
        </w:tc>
        <w:tc>
          <w:tcPr>
            <w:tcW w:w="465" w:type="pct"/>
            <w:vAlign w:val="center"/>
            <w:hideMark/>
          </w:tcPr>
          <w:p w14:paraId="30AEADB8" w14:textId="77777777" w:rsidR="00000000" w:rsidRDefault="00E614A4">
            <w:pPr>
              <w:rPr>
                <w:rFonts w:eastAsia="Times New Roman"/>
                <w:sz w:val="20"/>
                <w:szCs w:val="20"/>
              </w:rPr>
            </w:pPr>
          </w:p>
        </w:tc>
        <w:tc>
          <w:tcPr>
            <w:tcW w:w="5" w:type="pct"/>
            <w:vAlign w:val="center"/>
            <w:hideMark/>
          </w:tcPr>
          <w:p w14:paraId="384B41A3" w14:textId="77777777" w:rsidR="00000000" w:rsidRDefault="00E614A4">
            <w:pPr>
              <w:rPr>
                <w:rFonts w:eastAsia="Times New Roman"/>
                <w:sz w:val="20"/>
                <w:szCs w:val="20"/>
              </w:rPr>
            </w:pPr>
          </w:p>
        </w:tc>
        <w:tc>
          <w:tcPr>
            <w:tcW w:w="50" w:type="pct"/>
            <w:vAlign w:val="center"/>
            <w:hideMark/>
          </w:tcPr>
          <w:p w14:paraId="3A21E33B" w14:textId="77777777" w:rsidR="00000000" w:rsidRDefault="00E614A4">
            <w:pPr>
              <w:rPr>
                <w:rFonts w:eastAsia="Times New Roman"/>
                <w:sz w:val="20"/>
                <w:szCs w:val="20"/>
              </w:rPr>
            </w:pPr>
          </w:p>
        </w:tc>
        <w:tc>
          <w:tcPr>
            <w:tcW w:w="4424" w:type="pct"/>
            <w:vAlign w:val="center"/>
            <w:hideMark/>
          </w:tcPr>
          <w:p w14:paraId="4117202E" w14:textId="77777777" w:rsidR="00000000" w:rsidRDefault="00E614A4">
            <w:pPr>
              <w:rPr>
                <w:rFonts w:eastAsia="Times New Roman"/>
                <w:sz w:val="20"/>
                <w:szCs w:val="20"/>
              </w:rPr>
            </w:pPr>
          </w:p>
        </w:tc>
        <w:tc>
          <w:tcPr>
            <w:tcW w:w="5" w:type="pct"/>
            <w:vAlign w:val="center"/>
            <w:hideMark/>
          </w:tcPr>
          <w:p w14:paraId="2F3A6512" w14:textId="77777777" w:rsidR="00000000" w:rsidRDefault="00E614A4">
            <w:pPr>
              <w:rPr>
                <w:rFonts w:eastAsia="Times New Roman"/>
                <w:sz w:val="20"/>
                <w:szCs w:val="20"/>
              </w:rPr>
            </w:pPr>
          </w:p>
        </w:tc>
      </w:tr>
      <w:tr w:rsidR="00000000" w14:paraId="3BCF6BEA" w14:textId="77777777">
        <w:trPr>
          <w:divId w:val="1217737835"/>
          <w:jc w:val="center"/>
        </w:trPr>
        <w:tc>
          <w:tcPr>
            <w:tcW w:w="0" w:type="auto"/>
            <w:gridSpan w:val="3"/>
            <w:tcMar>
              <w:top w:w="30" w:type="dxa"/>
              <w:left w:w="20" w:type="dxa"/>
              <w:bottom w:w="30" w:type="dxa"/>
              <w:right w:w="20" w:type="dxa"/>
            </w:tcMar>
            <w:vAlign w:val="bottom"/>
            <w:hideMark/>
          </w:tcPr>
          <w:p w14:paraId="4897DF11" w14:textId="77777777" w:rsidR="00000000" w:rsidRDefault="00E614A4">
            <w:pPr>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vAlign w:val="bottom"/>
            <w:hideMark/>
          </w:tcPr>
          <w:p w14:paraId="05557E00" w14:textId="77777777" w:rsidR="00000000" w:rsidRDefault="00E614A4">
            <w:pPr>
              <w:rPr>
                <w:rFonts w:eastAsia="Times New Roman"/>
              </w:rPr>
            </w:pPr>
            <w:r>
              <w:rPr>
                <w:rFonts w:eastAsia="Times New Roman"/>
                <w:b/>
                <w:bCs/>
                <w:i/>
                <w:iCs/>
                <w:color w:val="000000"/>
                <w:sz w:val="20"/>
                <w:szCs w:val="20"/>
              </w:rPr>
              <w:t>RISK FACTORS</w:t>
            </w:r>
          </w:p>
        </w:tc>
      </w:tr>
    </w:tbl>
    <w:p w14:paraId="1F6BC667" w14:textId="77777777" w:rsidR="00000000" w:rsidRDefault="00E614A4">
      <w:pPr>
        <w:jc w:val="both"/>
        <w:divId w:val="2119253213"/>
        <w:rPr>
          <w:rFonts w:eastAsia="Times New Roman"/>
        </w:rPr>
      </w:pPr>
      <w:r>
        <w:rPr>
          <w:rFonts w:eastAsia="Times New Roman"/>
          <w:i/>
          <w:iCs/>
          <w:color w:val="000000"/>
          <w:sz w:val="20"/>
          <w:szCs w:val="20"/>
        </w:rPr>
        <w:t>An investment in our Common Stock involves a substantial risk of loss. You should carefully consider the following risk factors, together with all of the other information included in this 10-K, before you decide whether to invest in shares of our Common S</w:t>
      </w:r>
      <w:r>
        <w:rPr>
          <w:rFonts w:eastAsia="Times New Roman"/>
          <w:i/>
          <w:iCs/>
          <w:color w:val="000000"/>
          <w:sz w:val="20"/>
          <w:szCs w:val="20"/>
        </w:rPr>
        <w:t xml:space="preserve">tock. The risks identified below could materially and adversely affect our business, financial condition and operating results. In that case, the trading price of our Common Stock could decline, and you could lose part or all of your investment. The risks </w:t>
      </w:r>
      <w:r>
        <w:rPr>
          <w:rFonts w:eastAsia="Times New Roman"/>
          <w:i/>
          <w:iCs/>
          <w:color w:val="000000"/>
          <w:sz w:val="20"/>
          <w:szCs w:val="20"/>
        </w:rPr>
        <w:t>described below are not the only risks we face. Additional risks and uncertainties not currently known to us or that we currently deem to be immaterial also may materially and adversely affect our business, financial condition and operating results, and ma</w:t>
      </w:r>
      <w:r>
        <w:rPr>
          <w:rFonts w:eastAsia="Times New Roman"/>
          <w:i/>
          <w:iCs/>
          <w:color w:val="000000"/>
          <w:sz w:val="20"/>
          <w:szCs w:val="20"/>
        </w:rPr>
        <w:t>y result in the loss of part or all of your investment.</w:t>
      </w:r>
    </w:p>
    <w:p w14:paraId="04A72175" w14:textId="77777777" w:rsidR="00000000" w:rsidRDefault="00E614A4">
      <w:pPr>
        <w:jc w:val="both"/>
        <w:divId w:val="362051783"/>
        <w:rPr>
          <w:rFonts w:eastAsia="Times New Roman"/>
        </w:rPr>
      </w:pPr>
      <w:r>
        <w:rPr>
          <w:rFonts w:eastAsia="Times New Roman"/>
          <w:b/>
          <w:bCs/>
          <w:color w:val="000000"/>
          <w:sz w:val="20"/>
          <w:szCs w:val="20"/>
        </w:rPr>
        <w:t>Summary Risk Factors</w:t>
      </w:r>
    </w:p>
    <w:p w14:paraId="1ABB3649" w14:textId="77777777" w:rsidR="00000000" w:rsidRDefault="00E614A4">
      <w:pPr>
        <w:jc w:val="both"/>
        <w:divId w:val="90470561"/>
        <w:rPr>
          <w:rFonts w:eastAsia="Times New Roman"/>
        </w:rPr>
      </w:pPr>
      <w:r>
        <w:rPr>
          <w:rFonts w:eastAsia="Times New Roman"/>
          <w:color w:val="000000"/>
          <w:sz w:val="20"/>
          <w:szCs w:val="20"/>
        </w:rPr>
        <w:t>Our business is subject to a number of risks, including risks that may prevent us from achieving our business objectives or may adversely affect our business, financial condition, results of operations, cash flows and prospects. These risks are discussed m</w:t>
      </w:r>
      <w:r>
        <w:rPr>
          <w:rFonts w:eastAsia="Times New Roman"/>
          <w:color w:val="000000"/>
          <w:sz w:val="20"/>
          <w:szCs w:val="20"/>
        </w:rPr>
        <w:t>ore fully below and include, but are not limited to:</w:t>
      </w:r>
    </w:p>
    <w:p w14:paraId="1B1E4B84" w14:textId="77777777" w:rsidR="00000000" w:rsidRDefault="00E614A4">
      <w:pPr>
        <w:jc w:val="both"/>
        <w:divId w:val="1832716978"/>
        <w:rPr>
          <w:rFonts w:eastAsia="Times New Roman"/>
        </w:rPr>
      </w:pPr>
      <w:r>
        <w:rPr>
          <w:rFonts w:eastAsia="Times New Roman"/>
          <w:b/>
          <w:bCs/>
          <w:i/>
          <w:iCs/>
          <w:color w:val="000000"/>
          <w:sz w:val="20"/>
          <w:szCs w:val="20"/>
        </w:rPr>
        <w:t>Risks Related to the Convertible Preferred Stock Investment Transactions</w:t>
      </w:r>
    </w:p>
    <w:p w14:paraId="7443B4E2" w14:textId="77777777" w:rsidR="00000000" w:rsidRDefault="00E614A4">
      <w:pPr>
        <w:ind w:hanging="360"/>
        <w:jc w:val="both"/>
        <w:divId w:val="1544439072"/>
        <w:rPr>
          <w:rFonts w:eastAsia="Times New Roman"/>
        </w:rPr>
      </w:pPr>
      <w:r>
        <w:rPr>
          <w:rFonts w:eastAsia="Times New Roman"/>
          <w:color w:val="000000"/>
          <w:sz w:val="20"/>
          <w:szCs w:val="20"/>
        </w:rPr>
        <w:t>•Our pending strategic investment transactions may not be consummated, which could materially impact our financial condition, grow</w:t>
      </w:r>
      <w:r>
        <w:rPr>
          <w:rFonts w:eastAsia="Times New Roman"/>
          <w:color w:val="000000"/>
          <w:sz w:val="20"/>
          <w:szCs w:val="20"/>
        </w:rPr>
        <w:t>th prospects and stock price.</w:t>
      </w:r>
    </w:p>
    <w:p w14:paraId="647F2933" w14:textId="77777777" w:rsidR="00000000" w:rsidRDefault="00E614A4">
      <w:pPr>
        <w:ind w:hanging="360"/>
        <w:jc w:val="both"/>
        <w:divId w:val="1849710285"/>
        <w:rPr>
          <w:rFonts w:eastAsia="Times New Roman"/>
        </w:rPr>
      </w:pPr>
      <w:r>
        <w:rPr>
          <w:rFonts w:eastAsia="Times New Roman"/>
          <w:color w:val="000000"/>
          <w:sz w:val="20"/>
          <w:szCs w:val="20"/>
        </w:rPr>
        <w:t>•Litigation relating to the transactions could prevent or delay the transactions closing or result in damages.</w:t>
      </w:r>
    </w:p>
    <w:p w14:paraId="7D5C8754" w14:textId="77777777" w:rsidR="00000000" w:rsidRDefault="00E614A4">
      <w:pPr>
        <w:ind w:hanging="360"/>
        <w:jc w:val="both"/>
        <w:divId w:val="356736079"/>
        <w:rPr>
          <w:rFonts w:eastAsia="Times New Roman"/>
        </w:rPr>
      </w:pPr>
      <w:r>
        <w:rPr>
          <w:rFonts w:eastAsia="Times New Roman"/>
          <w:color w:val="000000"/>
          <w:sz w:val="20"/>
          <w:szCs w:val="20"/>
        </w:rPr>
        <w:t>•We have incurred, and will incur, significant costs in connection with the transactions.</w:t>
      </w:r>
    </w:p>
    <w:p w14:paraId="61C0A0BE" w14:textId="77777777" w:rsidR="00000000" w:rsidRDefault="00E614A4">
      <w:pPr>
        <w:ind w:hanging="360"/>
        <w:jc w:val="both"/>
        <w:divId w:val="1797528466"/>
        <w:rPr>
          <w:rFonts w:eastAsia="Times New Roman"/>
        </w:rPr>
      </w:pPr>
      <w:r>
        <w:rPr>
          <w:rFonts w:eastAsia="Times New Roman"/>
          <w:color w:val="000000"/>
          <w:sz w:val="20"/>
          <w:szCs w:val="20"/>
        </w:rPr>
        <w:t>•Our new investors will h</w:t>
      </w:r>
      <w:r>
        <w:rPr>
          <w:rFonts w:eastAsia="Times New Roman"/>
          <w:color w:val="000000"/>
          <w:sz w:val="20"/>
          <w:szCs w:val="20"/>
        </w:rPr>
        <w:t>ave significant influence over the Company, and their interests may conflict with other stockholders.</w:t>
      </w:r>
    </w:p>
    <w:p w14:paraId="35E38359" w14:textId="77777777" w:rsidR="00000000" w:rsidRDefault="00E614A4">
      <w:pPr>
        <w:ind w:hanging="360"/>
        <w:jc w:val="both"/>
        <w:divId w:val="894007405"/>
        <w:rPr>
          <w:rFonts w:eastAsia="Times New Roman"/>
        </w:rPr>
      </w:pPr>
      <w:r>
        <w:rPr>
          <w:rFonts w:eastAsia="Times New Roman"/>
          <w:color w:val="000000"/>
          <w:sz w:val="20"/>
          <w:szCs w:val="20"/>
        </w:rPr>
        <w:t>•We may not realize the anticipated benefits of the transactions.</w:t>
      </w:r>
    </w:p>
    <w:p w14:paraId="7432BD81" w14:textId="77777777" w:rsidR="00000000" w:rsidRDefault="00E614A4">
      <w:pPr>
        <w:ind w:hanging="360"/>
        <w:jc w:val="both"/>
        <w:divId w:val="238827506"/>
        <w:rPr>
          <w:rFonts w:eastAsia="Times New Roman"/>
        </w:rPr>
      </w:pPr>
      <w:r>
        <w:rPr>
          <w:rFonts w:eastAsia="Times New Roman"/>
          <w:color w:val="000000"/>
          <w:sz w:val="20"/>
          <w:szCs w:val="20"/>
        </w:rPr>
        <w:t>•If consummated, the transactions will cause dilution to our current stockholders, which</w:t>
      </w:r>
      <w:r>
        <w:rPr>
          <w:rFonts w:eastAsia="Times New Roman"/>
          <w:color w:val="000000"/>
          <w:sz w:val="20"/>
          <w:szCs w:val="20"/>
        </w:rPr>
        <w:t xml:space="preserve"> may negatively affect the market price of our Common Stock.</w:t>
      </w:r>
    </w:p>
    <w:p w14:paraId="599CE557" w14:textId="77777777" w:rsidR="00000000" w:rsidRDefault="00E614A4">
      <w:pPr>
        <w:ind w:hanging="360"/>
        <w:jc w:val="both"/>
        <w:divId w:val="1368068659"/>
        <w:rPr>
          <w:rFonts w:eastAsia="Times New Roman"/>
        </w:rPr>
      </w:pPr>
      <w:r>
        <w:rPr>
          <w:rFonts w:eastAsia="Times New Roman"/>
          <w:color w:val="000000"/>
          <w:sz w:val="20"/>
          <w:szCs w:val="20"/>
        </w:rPr>
        <w:t>•</w:t>
      </w:r>
      <w:r>
        <w:rPr>
          <w:rFonts w:eastAsia="Times New Roman"/>
          <w:color w:val="000000"/>
          <w:sz w:val="20"/>
          <w:szCs w:val="20"/>
        </w:rPr>
        <w:t>The market value of our Common Stock could decline if the new investors sell their Convertible Preferred Stock or Common Stock, or if our current stockholders sell large amounts of Common Stock following the transactions.</w:t>
      </w:r>
    </w:p>
    <w:p w14:paraId="73170E99" w14:textId="77777777" w:rsidR="00000000" w:rsidRDefault="00E614A4">
      <w:pPr>
        <w:jc w:val="both"/>
        <w:divId w:val="796727568"/>
        <w:rPr>
          <w:rFonts w:eastAsia="Times New Roman"/>
        </w:rPr>
      </w:pPr>
      <w:r>
        <w:rPr>
          <w:rFonts w:eastAsia="Times New Roman"/>
          <w:b/>
          <w:bCs/>
          <w:i/>
          <w:iCs/>
          <w:color w:val="000000"/>
          <w:sz w:val="20"/>
          <w:szCs w:val="20"/>
        </w:rPr>
        <w:t xml:space="preserve">Risks Related to Our Business and </w:t>
      </w:r>
      <w:r>
        <w:rPr>
          <w:rFonts w:eastAsia="Times New Roman"/>
          <w:b/>
          <w:bCs/>
          <w:i/>
          <w:iCs/>
          <w:color w:val="000000"/>
          <w:sz w:val="20"/>
          <w:szCs w:val="20"/>
        </w:rPr>
        <w:t>Our Technologies</w:t>
      </w:r>
    </w:p>
    <w:p w14:paraId="5697F52C" w14:textId="77777777" w:rsidR="00000000" w:rsidRDefault="00E614A4">
      <w:pPr>
        <w:ind w:hanging="360"/>
        <w:jc w:val="both"/>
        <w:divId w:val="379012961"/>
        <w:rPr>
          <w:rFonts w:eastAsia="Times New Roman"/>
        </w:rPr>
      </w:pPr>
      <w:r>
        <w:rPr>
          <w:rFonts w:ascii="Arial" w:eastAsia="Times New Roman" w:hAnsi="Arial" w:cs="Arial"/>
          <w:color w:val="000000"/>
          <w:sz w:val="20"/>
          <w:szCs w:val="20"/>
        </w:rPr>
        <w:t>•</w:t>
      </w:r>
      <w:r>
        <w:rPr>
          <w:rFonts w:eastAsia="Times New Roman"/>
          <w:color w:val="000000"/>
          <w:sz w:val="20"/>
          <w:szCs w:val="20"/>
        </w:rPr>
        <w:t>The COVID-19 pandemic could have material adverse effects on our business.</w:t>
      </w:r>
    </w:p>
    <w:p w14:paraId="1EA580EA" w14:textId="77777777" w:rsidR="00000000" w:rsidRDefault="00E614A4">
      <w:pPr>
        <w:ind w:hanging="360"/>
        <w:jc w:val="both"/>
        <w:divId w:val="2090078348"/>
        <w:rPr>
          <w:rFonts w:eastAsia="Times New Roman"/>
        </w:rPr>
      </w:pPr>
      <w:r>
        <w:rPr>
          <w:rFonts w:ascii="Arial" w:eastAsia="Times New Roman" w:hAnsi="Arial" w:cs="Arial"/>
          <w:color w:val="000000"/>
          <w:sz w:val="20"/>
          <w:szCs w:val="20"/>
        </w:rPr>
        <w:t>•</w:t>
      </w:r>
      <w:r>
        <w:rPr>
          <w:rFonts w:eastAsia="Times New Roman"/>
          <w:color w:val="000000"/>
          <w:sz w:val="20"/>
          <w:szCs w:val="20"/>
        </w:rPr>
        <w:t>The market for our products is highly competitive, and our revenues could decline if we cannot compete effectively or if the market for cross-platform products do</w:t>
      </w:r>
      <w:r>
        <w:rPr>
          <w:rFonts w:eastAsia="Times New Roman"/>
          <w:color w:val="000000"/>
          <w:sz w:val="20"/>
          <w:szCs w:val="20"/>
        </w:rPr>
        <w:t>es not develop as we expect.</w:t>
      </w:r>
    </w:p>
    <w:p w14:paraId="4E4F4203" w14:textId="77777777" w:rsidR="00000000" w:rsidRDefault="00E614A4">
      <w:pPr>
        <w:ind w:hanging="360"/>
        <w:jc w:val="both"/>
        <w:divId w:val="1204248484"/>
        <w:rPr>
          <w:rFonts w:eastAsia="Times New Roman"/>
        </w:rPr>
      </w:pPr>
      <w:r>
        <w:rPr>
          <w:rFonts w:ascii="Arial" w:eastAsia="Times New Roman" w:hAnsi="Arial" w:cs="Arial"/>
          <w:color w:val="000000"/>
          <w:sz w:val="20"/>
          <w:szCs w:val="20"/>
        </w:rPr>
        <w:t>•</w:t>
      </w:r>
      <w:r>
        <w:rPr>
          <w:rFonts w:eastAsia="Times New Roman"/>
          <w:color w:val="000000"/>
          <w:sz w:val="20"/>
          <w:szCs w:val="20"/>
        </w:rPr>
        <w:t>If we are unable to provide complete analytics, our ability to maintain and grow our business may be harmed.</w:t>
      </w:r>
    </w:p>
    <w:p w14:paraId="51A43EFC" w14:textId="77777777" w:rsidR="00000000" w:rsidRDefault="00E614A4">
      <w:pPr>
        <w:ind w:hanging="360"/>
        <w:jc w:val="both"/>
        <w:divId w:val="782918181"/>
        <w:rPr>
          <w:rFonts w:eastAsia="Times New Roman"/>
        </w:rPr>
      </w:pPr>
      <w:r>
        <w:rPr>
          <w:rFonts w:ascii="Arial" w:eastAsia="Times New Roman" w:hAnsi="Arial" w:cs="Arial"/>
          <w:color w:val="000000"/>
          <w:sz w:val="20"/>
          <w:szCs w:val="20"/>
        </w:rPr>
        <w:t>•</w:t>
      </w:r>
      <w:r>
        <w:rPr>
          <w:rFonts w:eastAsia="Times New Roman"/>
          <w:color w:val="000000"/>
          <w:sz w:val="20"/>
          <w:szCs w:val="20"/>
        </w:rPr>
        <w:t>We depend on third parties for data and hosting/delivery services that are critical to our business.</w:t>
      </w:r>
    </w:p>
    <w:p w14:paraId="251137D8" w14:textId="77777777" w:rsidR="00000000" w:rsidRDefault="00E614A4">
      <w:pPr>
        <w:ind w:hanging="360"/>
        <w:jc w:val="both"/>
        <w:divId w:val="1142045284"/>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If we fail to </w:t>
      </w:r>
      <w:r>
        <w:rPr>
          <w:rFonts w:eastAsia="Times New Roman"/>
          <w:color w:val="000000"/>
          <w:sz w:val="20"/>
          <w:szCs w:val="20"/>
        </w:rPr>
        <w:t>respond to technological developments or evolving industry standards, our products may become obsolete or less competitive.</w:t>
      </w:r>
    </w:p>
    <w:p w14:paraId="20981B55" w14:textId="77777777" w:rsidR="00000000" w:rsidRDefault="00E614A4">
      <w:pPr>
        <w:ind w:hanging="360"/>
        <w:jc w:val="both"/>
        <w:divId w:val="884415649"/>
        <w:rPr>
          <w:rFonts w:eastAsia="Times New Roman"/>
        </w:rPr>
      </w:pPr>
      <w:r>
        <w:rPr>
          <w:rFonts w:ascii="Arial" w:eastAsia="Times New Roman" w:hAnsi="Arial" w:cs="Arial"/>
          <w:color w:val="000000"/>
          <w:sz w:val="20"/>
          <w:szCs w:val="20"/>
        </w:rPr>
        <w:t>•</w:t>
      </w:r>
      <w:r>
        <w:rPr>
          <w:rFonts w:eastAsia="Times New Roman"/>
          <w:color w:val="000000"/>
          <w:sz w:val="20"/>
          <w:szCs w:val="20"/>
        </w:rPr>
        <w:t>Our business may be harmed if we deliver inaccurate information products, change our methodologies or the scope of information we c</w:t>
      </w:r>
      <w:r>
        <w:rPr>
          <w:rFonts w:eastAsia="Times New Roman"/>
          <w:color w:val="000000"/>
          <w:sz w:val="20"/>
          <w:szCs w:val="20"/>
        </w:rPr>
        <w:t>ollect, or are unable to maintain sufficient panels.</w:t>
      </w:r>
    </w:p>
    <w:p w14:paraId="065D58C2" w14:textId="77777777" w:rsidR="00000000" w:rsidRDefault="00E614A4">
      <w:pPr>
        <w:ind w:hanging="360"/>
        <w:jc w:val="both"/>
        <w:divId w:val="1457481882"/>
        <w:rPr>
          <w:rFonts w:eastAsia="Times New Roman"/>
        </w:rPr>
      </w:pPr>
      <w:r>
        <w:rPr>
          <w:rFonts w:ascii="Arial" w:eastAsia="Times New Roman" w:hAnsi="Arial" w:cs="Arial"/>
          <w:color w:val="000000"/>
          <w:sz w:val="20"/>
          <w:szCs w:val="20"/>
        </w:rPr>
        <w:t>•</w:t>
      </w:r>
      <w:r>
        <w:rPr>
          <w:rFonts w:eastAsia="Times New Roman"/>
          <w:color w:val="000000"/>
          <w:sz w:val="20"/>
          <w:szCs w:val="20"/>
        </w:rPr>
        <w:t>We derive a significant portion of our revenues from subscription-based products, and our customers could terminate or fail to renew their subscriptions.</w:t>
      </w:r>
    </w:p>
    <w:p w14:paraId="4622CBE4" w14:textId="77777777" w:rsidR="00000000" w:rsidRDefault="00E614A4">
      <w:pPr>
        <w:ind w:hanging="360"/>
        <w:jc w:val="both"/>
        <w:divId w:val="197082380"/>
        <w:rPr>
          <w:rFonts w:eastAsia="Times New Roman"/>
        </w:rPr>
      </w:pPr>
      <w:r>
        <w:rPr>
          <w:rFonts w:ascii="Arial" w:eastAsia="Times New Roman" w:hAnsi="Arial" w:cs="Arial"/>
          <w:color w:val="000000"/>
          <w:sz w:val="20"/>
          <w:szCs w:val="20"/>
        </w:rPr>
        <w:t>•</w:t>
      </w:r>
      <w:r>
        <w:rPr>
          <w:rFonts w:eastAsia="Times New Roman"/>
          <w:color w:val="000000"/>
          <w:sz w:val="20"/>
          <w:szCs w:val="20"/>
        </w:rPr>
        <w:t>Our financial results may suffer if we are unab</w:t>
      </w:r>
      <w:r>
        <w:rPr>
          <w:rFonts w:eastAsia="Times New Roman"/>
          <w:color w:val="000000"/>
          <w:sz w:val="20"/>
          <w:szCs w:val="20"/>
        </w:rPr>
        <w:t>le to retain or add large customers or if we cannot persuade customers to substitute our products for incumbent providers.</w:t>
      </w:r>
    </w:p>
    <w:p w14:paraId="3FF4B342" w14:textId="77777777" w:rsidR="00000000" w:rsidRDefault="00E614A4">
      <w:pPr>
        <w:ind w:hanging="360"/>
        <w:jc w:val="both"/>
        <w:divId w:val="573441197"/>
        <w:rPr>
          <w:rFonts w:eastAsia="Times New Roman"/>
        </w:rPr>
      </w:pPr>
      <w:r>
        <w:rPr>
          <w:rFonts w:ascii="Arial" w:eastAsia="Times New Roman" w:hAnsi="Arial" w:cs="Arial"/>
          <w:color w:val="000000"/>
          <w:sz w:val="20"/>
          <w:szCs w:val="20"/>
        </w:rPr>
        <w:t>•</w:t>
      </w:r>
      <w:r>
        <w:rPr>
          <w:rFonts w:eastAsia="Times New Roman"/>
          <w:color w:val="000000"/>
          <w:sz w:val="20"/>
          <w:szCs w:val="20"/>
        </w:rPr>
        <w:t>Our acquisitions or partnerships with other companies may not be successful and may divert our management's attention.</w:t>
      </w:r>
    </w:p>
    <w:p w14:paraId="298DC51E" w14:textId="77777777" w:rsidR="00000000" w:rsidRDefault="00E614A4">
      <w:pPr>
        <w:ind w:hanging="360"/>
        <w:jc w:val="both"/>
        <w:divId w:val="1679238521"/>
        <w:rPr>
          <w:rFonts w:eastAsia="Times New Roman"/>
        </w:rPr>
      </w:pPr>
      <w:r>
        <w:rPr>
          <w:rFonts w:ascii="Arial" w:eastAsia="Times New Roman" w:hAnsi="Arial" w:cs="Arial"/>
          <w:color w:val="000000"/>
          <w:sz w:val="20"/>
          <w:szCs w:val="20"/>
        </w:rPr>
        <w:t>•</w:t>
      </w:r>
      <w:r>
        <w:rPr>
          <w:rFonts w:eastAsia="Times New Roman"/>
          <w:color w:val="000000"/>
          <w:sz w:val="20"/>
          <w:szCs w:val="20"/>
        </w:rPr>
        <w:t>System failu</w:t>
      </w:r>
      <w:r>
        <w:rPr>
          <w:rFonts w:eastAsia="Times New Roman"/>
          <w:color w:val="000000"/>
          <w:sz w:val="20"/>
          <w:szCs w:val="20"/>
        </w:rPr>
        <w:t>res, security breaches, delays in system operations, or failure to pass customer/partner security reviews may harm our business.</w:t>
      </w:r>
    </w:p>
    <w:p w14:paraId="3ECFD715" w14:textId="77777777" w:rsidR="00000000" w:rsidRDefault="00E614A4">
      <w:pPr>
        <w:ind w:hanging="360"/>
        <w:jc w:val="both"/>
        <w:divId w:val="444929065"/>
        <w:rPr>
          <w:rFonts w:eastAsia="Times New Roman"/>
        </w:rPr>
      </w:pPr>
      <w:r>
        <w:rPr>
          <w:rFonts w:ascii="Arial" w:eastAsia="Times New Roman" w:hAnsi="Arial" w:cs="Arial"/>
          <w:color w:val="000000"/>
          <w:sz w:val="20"/>
          <w:szCs w:val="20"/>
        </w:rPr>
        <w:t>•</w:t>
      </w:r>
      <w:r>
        <w:rPr>
          <w:rFonts w:eastAsia="Times New Roman"/>
          <w:color w:val="000000"/>
          <w:sz w:val="20"/>
          <w:szCs w:val="20"/>
        </w:rPr>
        <w:t>We rely heavily on our management team and may need additional personnel to operate and grow our business.</w:t>
      </w:r>
    </w:p>
    <w:p w14:paraId="467B0989" w14:textId="77777777" w:rsidR="00000000" w:rsidRDefault="00E614A4">
      <w:pPr>
        <w:jc w:val="both"/>
        <w:divId w:val="1723288484"/>
        <w:rPr>
          <w:rFonts w:eastAsia="Times New Roman"/>
        </w:rPr>
      </w:pPr>
      <w:r>
        <w:rPr>
          <w:rFonts w:eastAsia="Times New Roman"/>
          <w:b/>
          <w:bCs/>
          <w:i/>
          <w:iCs/>
          <w:color w:val="000000"/>
          <w:sz w:val="20"/>
          <w:szCs w:val="20"/>
        </w:rPr>
        <w:t>Risks Related to Ou</w:t>
      </w:r>
      <w:r>
        <w:rPr>
          <w:rFonts w:eastAsia="Times New Roman"/>
          <w:b/>
          <w:bCs/>
          <w:i/>
          <w:iCs/>
          <w:color w:val="000000"/>
          <w:sz w:val="20"/>
          <w:szCs w:val="20"/>
        </w:rPr>
        <w:t>r Results of Operations</w:t>
      </w:r>
    </w:p>
    <w:p w14:paraId="79299C7D" w14:textId="77777777" w:rsidR="00000000" w:rsidRDefault="00E614A4">
      <w:pPr>
        <w:ind w:hanging="360"/>
        <w:jc w:val="both"/>
        <w:divId w:val="2033147268"/>
        <w:rPr>
          <w:rFonts w:eastAsia="Times New Roman"/>
        </w:rPr>
      </w:pPr>
      <w:r>
        <w:rPr>
          <w:rFonts w:eastAsia="Times New Roman"/>
          <w:color w:val="000000"/>
          <w:sz w:val="20"/>
          <w:szCs w:val="20"/>
        </w:rPr>
        <w:t>•We may fail to meet the expectations of securities analysts or investors, which could cause our stock price to decline.</w:t>
      </w:r>
    </w:p>
    <w:p w14:paraId="4C6571CD" w14:textId="77777777" w:rsidR="00000000" w:rsidRDefault="00E614A4">
      <w:pPr>
        <w:ind w:hanging="360"/>
        <w:jc w:val="both"/>
        <w:divId w:val="983893548"/>
        <w:rPr>
          <w:rFonts w:eastAsia="Times New Roman"/>
        </w:rPr>
      </w:pPr>
      <w:r>
        <w:rPr>
          <w:rFonts w:eastAsia="Times New Roman"/>
          <w:color w:val="000000"/>
          <w:sz w:val="20"/>
          <w:szCs w:val="20"/>
        </w:rPr>
        <w:t>•We may not generate sufficient cash to service our debt, dividend obligations, lease facilities and trade paya</w:t>
      </w:r>
      <w:r>
        <w:rPr>
          <w:rFonts w:eastAsia="Times New Roman"/>
          <w:color w:val="000000"/>
          <w:sz w:val="20"/>
          <w:szCs w:val="20"/>
        </w:rPr>
        <w:t>bles.</w:t>
      </w:r>
    </w:p>
    <w:p w14:paraId="6ACBB231" w14:textId="77777777" w:rsidR="00000000" w:rsidRDefault="00E614A4">
      <w:pPr>
        <w:ind w:hanging="360"/>
        <w:jc w:val="both"/>
        <w:divId w:val="1100025816"/>
        <w:rPr>
          <w:rFonts w:eastAsia="Times New Roman"/>
        </w:rPr>
      </w:pPr>
      <w:r>
        <w:rPr>
          <w:rFonts w:eastAsia="Times New Roman"/>
          <w:color w:val="000000"/>
          <w:sz w:val="20"/>
          <w:szCs w:val="20"/>
        </w:rPr>
        <w:t>•We may incur an impairment of goodwill or other intangible assets.</w:t>
      </w:r>
    </w:p>
    <w:p w14:paraId="237FF125" w14:textId="77777777" w:rsidR="00000000" w:rsidRDefault="00E614A4">
      <w:pPr>
        <w:ind w:hanging="360"/>
        <w:jc w:val="both"/>
        <w:divId w:val="1608999374"/>
        <w:rPr>
          <w:rFonts w:eastAsia="Times New Roman"/>
        </w:rPr>
      </w:pPr>
      <w:r>
        <w:rPr>
          <w:rFonts w:eastAsia="Times New Roman"/>
          <w:color w:val="000000"/>
          <w:sz w:val="20"/>
          <w:szCs w:val="20"/>
        </w:rPr>
        <w:t>•Changes in the fair value of our financing derivatives or warrants could adversely affect our financial condition and results.</w:t>
      </w:r>
    </w:p>
    <w:p w14:paraId="7E52EF48" w14:textId="77777777" w:rsidR="00000000" w:rsidRDefault="00E614A4">
      <w:pPr>
        <w:ind w:hanging="360"/>
        <w:jc w:val="both"/>
        <w:divId w:val="1162430142"/>
        <w:rPr>
          <w:rFonts w:eastAsia="Times New Roman"/>
        </w:rPr>
      </w:pPr>
      <w:r>
        <w:rPr>
          <w:rFonts w:eastAsia="Times New Roman"/>
          <w:color w:val="000000"/>
          <w:sz w:val="20"/>
          <w:szCs w:val="20"/>
        </w:rPr>
        <w:t>•We may encounter difficulties managing our costs, may</w:t>
      </w:r>
      <w:r>
        <w:rPr>
          <w:rFonts w:eastAsia="Times New Roman"/>
          <w:color w:val="000000"/>
          <w:sz w:val="20"/>
          <w:szCs w:val="20"/>
        </w:rPr>
        <w:t xml:space="preserve"> continue to incur net losses, and may not achieve profitability.</w:t>
      </w:r>
    </w:p>
    <w:p w14:paraId="4EB28B00" w14:textId="77777777" w:rsidR="00000000" w:rsidRDefault="00E614A4">
      <w:pPr>
        <w:ind w:hanging="360"/>
        <w:jc w:val="both"/>
        <w:divId w:val="551456"/>
        <w:rPr>
          <w:rFonts w:eastAsia="Times New Roman"/>
        </w:rPr>
      </w:pPr>
      <w:r>
        <w:rPr>
          <w:rFonts w:eastAsia="Times New Roman"/>
          <w:color w:val="000000"/>
          <w:sz w:val="20"/>
          <w:szCs w:val="20"/>
        </w:rPr>
        <w:t>•Our net operating loss carryforwards may expire unutilized or underutilized.</w:t>
      </w:r>
    </w:p>
    <w:p w14:paraId="328B63EE" w14:textId="77777777" w:rsidR="00000000" w:rsidRDefault="00E614A4">
      <w:pPr>
        <w:jc w:val="center"/>
        <w:divId w:val="1782602554"/>
        <w:rPr>
          <w:rFonts w:eastAsia="Times New Roman"/>
        </w:rPr>
      </w:pPr>
      <w:r>
        <w:rPr>
          <w:rFonts w:eastAsia="Times New Roman"/>
          <w:color w:val="000000"/>
          <w:sz w:val="20"/>
          <w:szCs w:val="20"/>
        </w:rPr>
        <w:t>12</w:t>
      </w:r>
    </w:p>
    <w:p w14:paraId="28856EA4" w14:textId="77777777" w:rsidR="00000000" w:rsidRDefault="00E614A4">
      <w:pPr>
        <w:rPr>
          <w:rFonts w:eastAsia="Times New Roman"/>
        </w:rPr>
      </w:pPr>
      <w:r>
        <w:rPr>
          <w:rFonts w:eastAsia="Times New Roman"/>
        </w:rPr>
        <w:pict w14:anchorId="1A220F97">
          <v:rect id="_x0000_i1039" style="width:0;height:1.5pt" o:hralign="center" o:hrstd="t" o:hr="t" fillcolor="#a0a0a0" stroked="f"/>
        </w:pict>
      </w:r>
    </w:p>
    <w:p w14:paraId="21F24081" w14:textId="77777777" w:rsidR="00000000" w:rsidRDefault="00E614A4">
      <w:pPr>
        <w:divId w:val="1323192672"/>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5A14DCF" w14:textId="77777777" w:rsidR="00000000" w:rsidRDefault="00E614A4">
      <w:pPr>
        <w:divId w:val="2114126403"/>
        <w:rPr>
          <w:rFonts w:eastAsia="Times New Roman"/>
        </w:rPr>
      </w:pPr>
    </w:p>
    <w:p w14:paraId="7832D9D5" w14:textId="77777777" w:rsidR="00000000" w:rsidRDefault="00E614A4">
      <w:pPr>
        <w:ind w:hanging="360"/>
        <w:jc w:val="both"/>
        <w:divId w:val="486827026"/>
        <w:rPr>
          <w:rFonts w:eastAsia="Times New Roman"/>
        </w:rPr>
      </w:pPr>
      <w:r>
        <w:rPr>
          <w:rFonts w:eastAsia="Times New Roman"/>
          <w:color w:val="000000"/>
          <w:sz w:val="20"/>
          <w:szCs w:val="20"/>
        </w:rPr>
        <w:t>•We have limited experience with respect to our pricing model for our new offerings.</w:t>
      </w:r>
    </w:p>
    <w:p w14:paraId="51DBC633" w14:textId="77777777" w:rsidR="00000000" w:rsidRDefault="00E614A4">
      <w:pPr>
        <w:jc w:val="both"/>
        <w:divId w:val="601039119"/>
        <w:rPr>
          <w:rFonts w:eastAsia="Times New Roman"/>
        </w:rPr>
      </w:pPr>
      <w:r>
        <w:rPr>
          <w:rFonts w:eastAsia="Times New Roman"/>
          <w:b/>
          <w:bCs/>
          <w:i/>
          <w:iCs/>
          <w:color w:val="000000"/>
          <w:sz w:val="20"/>
          <w:szCs w:val="20"/>
        </w:rPr>
        <w:t>Risks Related to Legal and Regulatory Compliance, Litigation and Tax Matters</w:t>
      </w:r>
    </w:p>
    <w:p w14:paraId="774F7C40" w14:textId="77777777" w:rsidR="00000000" w:rsidRDefault="00E614A4">
      <w:pPr>
        <w:ind w:hanging="360"/>
        <w:jc w:val="both"/>
        <w:divId w:val="1012995623"/>
        <w:rPr>
          <w:rFonts w:eastAsia="Times New Roman"/>
        </w:rPr>
      </w:pPr>
      <w:r>
        <w:rPr>
          <w:rFonts w:eastAsia="Times New Roman"/>
          <w:color w:val="000000"/>
          <w:sz w:val="20"/>
          <w:szCs w:val="20"/>
        </w:rPr>
        <w:t>•Concern over pr</w:t>
      </w:r>
      <w:r>
        <w:rPr>
          <w:rFonts w:eastAsia="Times New Roman"/>
          <w:color w:val="000000"/>
          <w:sz w:val="20"/>
          <w:szCs w:val="20"/>
        </w:rPr>
        <w:t>ivacy violations and data breaches could harm our business.</w:t>
      </w:r>
    </w:p>
    <w:p w14:paraId="3F5E8867" w14:textId="77777777" w:rsidR="00000000" w:rsidRDefault="00E614A4">
      <w:pPr>
        <w:ind w:hanging="360"/>
        <w:jc w:val="both"/>
        <w:divId w:val="1493914749"/>
        <w:rPr>
          <w:rFonts w:eastAsia="Times New Roman"/>
        </w:rPr>
      </w:pPr>
      <w:r>
        <w:rPr>
          <w:rFonts w:eastAsia="Times New Roman"/>
          <w:color w:val="000000"/>
          <w:sz w:val="20"/>
          <w:szCs w:val="20"/>
        </w:rPr>
        <w:t>•</w:t>
      </w:r>
      <w:r>
        <w:rPr>
          <w:rFonts w:eastAsia="Times New Roman"/>
          <w:color w:val="000000"/>
          <w:sz w:val="20"/>
          <w:szCs w:val="20"/>
        </w:rPr>
        <w:t>Domestic or foreign laws may limit our ability to collect and incorporate media usage information in our products.</w:t>
      </w:r>
    </w:p>
    <w:p w14:paraId="28A3B9A7" w14:textId="77777777" w:rsidR="00000000" w:rsidRDefault="00E614A4">
      <w:pPr>
        <w:ind w:hanging="360"/>
        <w:jc w:val="both"/>
        <w:divId w:val="1912498432"/>
        <w:rPr>
          <w:rFonts w:eastAsia="Times New Roman"/>
        </w:rPr>
      </w:pPr>
      <w:r>
        <w:rPr>
          <w:rFonts w:eastAsia="Times New Roman"/>
          <w:color w:val="000000"/>
          <w:sz w:val="20"/>
          <w:szCs w:val="20"/>
        </w:rPr>
        <w:t>•Third parties could assert that we are infringing their intellectual property rights, or we could be unable to protect and enforce our own i</w:t>
      </w:r>
      <w:r>
        <w:rPr>
          <w:rFonts w:eastAsia="Times New Roman"/>
          <w:color w:val="000000"/>
          <w:sz w:val="20"/>
          <w:szCs w:val="20"/>
        </w:rPr>
        <w:t>ntellectual property rights.</w:t>
      </w:r>
    </w:p>
    <w:p w14:paraId="2C15F42A" w14:textId="77777777" w:rsidR="00000000" w:rsidRDefault="00E614A4">
      <w:pPr>
        <w:ind w:hanging="360"/>
        <w:jc w:val="both"/>
        <w:divId w:val="1333333600"/>
        <w:rPr>
          <w:rFonts w:eastAsia="Times New Roman"/>
        </w:rPr>
      </w:pPr>
      <w:r>
        <w:rPr>
          <w:rFonts w:eastAsia="Times New Roman"/>
          <w:color w:val="000000"/>
          <w:sz w:val="20"/>
          <w:szCs w:val="20"/>
        </w:rPr>
        <w:t>•We may be named in litigation or regulatory proceedings.</w:t>
      </w:r>
    </w:p>
    <w:p w14:paraId="6144C772" w14:textId="77777777" w:rsidR="00000000" w:rsidRDefault="00E614A4">
      <w:pPr>
        <w:ind w:hanging="360"/>
        <w:jc w:val="both"/>
        <w:divId w:val="345325436"/>
        <w:rPr>
          <w:rFonts w:eastAsia="Times New Roman"/>
        </w:rPr>
      </w:pPr>
      <w:r>
        <w:rPr>
          <w:rFonts w:eastAsia="Times New Roman"/>
          <w:color w:val="000000"/>
          <w:sz w:val="20"/>
          <w:szCs w:val="20"/>
        </w:rPr>
        <w:t>•There could be adverse developments in tax laws or disagreements with our tax positions in the jurisdictions where we operate.</w:t>
      </w:r>
    </w:p>
    <w:p w14:paraId="26A4589A" w14:textId="77777777" w:rsidR="00000000" w:rsidRDefault="00E614A4">
      <w:pPr>
        <w:jc w:val="both"/>
        <w:divId w:val="218784275"/>
        <w:rPr>
          <w:rFonts w:eastAsia="Times New Roman"/>
        </w:rPr>
      </w:pPr>
      <w:r>
        <w:rPr>
          <w:rFonts w:eastAsia="Times New Roman"/>
          <w:b/>
          <w:bCs/>
          <w:i/>
          <w:iCs/>
          <w:color w:val="000000"/>
          <w:sz w:val="20"/>
          <w:szCs w:val="20"/>
        </w:rPr>
        <w:t>Risks Related to International Operations</w:t>
      </w:r>
    </w:p>
    <w:p w14:paraId="09E7CCE9" w14:textId="77777777" w:rsidR="00000000" w:rsidRDefault="00E614A4">
      <w:pPr>
        <w:ind w:hanging="360"/>
        <w:jc w:val="both"/>
        <w:divId w:val="545676443"/>
        <w:rPr>
          <w:rFonts w:eastAsia="Times New Roman"/>
        </w:rPr>
      </w:pPr>
      <w:r>
        <w:rPr>
          <w:rFonts w:eastAsia="Times New Roman"/>
          <w:color w:val="000000"/>
          <w:sz w:val="20"/>
          <w:szCs w:val="20"/>
        </w:rPr>
        <w:t>•Our business could become increasingly susceptible to risks associated with international operations, including those detailed below.</w:t>
      </w:r>
    </w:p>
    <w:p w14:paraId="1CACCCA1" w14:textId="77777777" w:rsidR="00000000" w:rsidRDefault="00E614A4">
      <w:pPr>
        <w:ind w:hanging="360"/>
        <w:jc w:val="both"/>
        <w:divId w:val="1033382160"/>
        <w:rPr>
          <w:rFonts w:eastAsia="Times New Roman"/>
        </w:rPr>
      </w:pPr>
      <w:r>
        <w:rPr>
          <w:rFonts w:eastAsia="Times New Roman"/>
          <w:color w:val="000000"/>
          <w:sz w:val="20"/>
          <w:szCs w:val="20"/>
        </w:rPr>
        <w:t>•Export controls and sanctions laws could impair our ability to compete in international markets and subject us to liabi</w:t>
      </w:r>
      <w:r>
        <w:rPr>
          <w:rFonts w:eastAsia="Times New Roman"/>
          <w:color w:val="000000"/>
          <w:sz w:val="20"/>
          <w:szCs w:val="20"/>
        </w:rPr>
        <w:t>lity.</w:t>
      </w:r>
    </w:p>
    <w:p w14:paraId="2C3308FE" w14:textId="77777777" w:rsidR="00000000" w:rsidRDefault="00E614A4">
      <w:pPr>
        <w:ind w:hanging="360"/>
        <w:jc w:val="both"/>
        <w:divId w:val="1793858345"/>
        <w:rPr>
          <w:rFonts w:eastAsia="Times New Roman"/>
        </w:rPr>
      </w:pPr>
      <w:r>
        <w:rPr>
          <w:rFonts w:eastAsia="Times New Roman"/>
          <w:color w:val="000000"/>
          <w:sz w:val="20"/>
          <w:szCs w:val="20"/>
        </w:rPr>
        <w:t>•Changes in foreign currencies could have a significant effect on our operating results.</w:t>
      </w:r>
    </w:p>
    <w:p w14:paraId="3CECBD35" w14:textId="77777777" w:rsidR="00000000" w:rsidRDefault="00E614A4">
      <w:pPr>
        <w:ind w:hanging="360"/>
        <w:jc w:val="both"/>
        <w:divId w:val="84959377"/>
        <w:rPr>
          <w:rFonts w:eastAsia="Times New Roman"/>
        </w:rPr>
      </w:pPr>
      <w:r>
        <w:rPr>
          <w:rFonts w:eastAsia="Times New Roman"/>
          <w:color w:val="000000"/>
          <w:sz w:val="20"/>
          <w:szCs w:val="20"/>
        </w:rPr>
        <w:t>•Brexit could adversely affect our business.</w:t>
      </w:r>
    </w:p>
    <w:p w14:paraId="6123784A" w14:textId="77777777" w:rsidR="00000000" w:rsidRDefault="00E614A4">
      <w:pPr>
        <w:jc w:val="both"/>
        <w:divId w:val="1042630613"/>
        <w:rPr>
          <w:rFonts w:eastAsia="Times New Roman"/>
        </w:rPr>
      </w:pPr>
      <w:r>
        <w:rPr>
          <w:rFonts w:eastAsia="Times New Roman"/>
          <w:b/>
          <w:bCs/>
          <w:i/>
          <w:iCs/>
          <w:color w:val="000000"/>
          <w:sz w:val="20"/>
          <w:szCs w:val="20"/>
        </w:rPr>
        <w:t>Risks Related to Our Capital Structure and Financings</w:t>
      </w:r>
    </w:p>
    <w:p w14:paraId="28CA8726" w14:textId="77777777" w:rsidR="00000000" w:rsidRDefault="00E614A4">
      <w:pPr>
        <w:ind w:hanging="360"/>
        <w:jc w:val="both"/>
        <w:divId w:val="1438791392"/>
        <w:rPr>
          <w:rFonts w:eastAsia="Times New Roman"/>
        </w:rPr>
      </w:pPr>
      <w:r>
        <w:rPr>
          <w:rFonts w:eastAsia="Times New Roman"/>
          <w:color w:val="000000"/>
          <w:sz w:val="20"/>
          <w:szCs w:val="20"/>
        </w:rPr>
        <w:t>•Our financing covenants could restrict our operating flexibil</w:t>
      </w:r>
      <w:r>
        <w:rPr>
          <w:rFonts w:eastAsia="Times New Roman"/>
          <w:color w:val="000000"/>
          <w:sz w:val="20"/>
          <w:szCs w:val="20"/>
        </w:rPr>
        <w:t>ity.</w:t>
      </w:r>
    </w:p>
    <w:p w14:paraId="7CAF9597" w14:textId="77777777" w:rsidR="00000000" w:rsidRDefault="00E614A4">
      <w:pPr>
        <w:ind w:hanging="360"/>
        <w:jc w:val="both"/>
        <w:divId w:val="1502693257"/>
        <w:rPr>
          <w:rFonts w:eastAsia="Times New Roman"/>
        </w:rPr>
      </w:pPr>
      <w:r>
        <w:rPr>
          <w:rFonts w:eastAsia="Times New Roman"/>
          <w:color w:val="000000"/>
          <w:sz w:val="20"/>
          <w:szCs w:val="20"/>
        </w:rPr>
        <w:t>•We may need additional capital, which may not be available on acceptable terms or at all.</w:t>
      </w:r>
    </w:p>
    <w:p w14:paraId="770ACB6C" w14:textId="77777777" w:rsidR="00000000" w:rsidRDefault="00E614A4">
      <w:pPr>
        <w:ind w:hanging="360"/>
        <w:jc w:val="both"/>
        <w:divId w:val="1912501532"/>
        <w:rPr>
          <w:rFonts w:eastAsia="Times New Roman"/>
        </w:rPr>
      </w:pPr>
      <w:r>
        <w:rPr>
          <w:rFonts w:eastAsia="Times New Roman"/>
          <w:color w:val="000000"/>
          <w:sz w:val="20"/>
          <w:szCs w:val="20"/>
        </w:rPr>
        <w:t>•The issuance of shares of Common Stock upon conversion or payment of interest on our Notes and the exercise of warrants could substantially dilute your investm</w:t>
      </w:r>
      <w:r>
        <w:rPr>
          <w:rFonts w:eastAsia="Times New Roman"/>
          <w:color w:val="000000"/>
          <w:sz w:val="20"/>
          <w:szCs w:val="20"/>
        </w:rPr>
        <w:t>ent.</w:t>
      </w:r>
    </w:p>
    <w:p w14:paraId="742ADAF4" w14:textId="77777777" w:rsidR="00000000" w:rsidRDefault="00E614A4">
      <w:pPr>
        <w:ind w:hanging="360"/>
        <w:jc w:val="both"/>
        <w:divId w:val="1322007725"/>
        <w:rPr>
          <w:rFonts w:eastAsia="Times New Roman"/>
        </w:rPr>
      </w:pPr>
      <w:r>
        <w:rPr>
          <w:rFonts w:eastAsia="Times New Roman"/>
          <w:color w:val="000000"/>
          <w:sz w:val="20"/>
          <w:szCs w:val="20"/>
        </w:rPr>
        <w:t>•Our financing arrangements could impede our ability to enter into corporate transactions or obtain additional financing.</w:t>
      </w:r>
    </w:p>
    <w:p w14:paraId="2B1EB210" w14:textId="77777777" w:rsidR="00000000" w:rsidRDefault="00E614A4">
      <w:pPr>
        <w:ind w:hanging="360"/>
        <w:jc w:val="both"/>
        <w:divId w:val="1603295741"/>
        <w:rPr>
          <w:rFonts w:eastAsia="Times New Roman"/>
        </w:rPr>
      </w:pPr>
      <w:r>
        <w:rPr>
          <w:rFonts w:eastAsia="Times New Roman"/>
          <w:color w:val="000000"/>
          <w:sz w:val="20"/>
          <w:szCs w:val="20"/>
        </w:rPr>
        <w:t>•We may be obligated to redeem our Notes at a premium upon the occurrence of an event of default or change of control.</w:t>
      </w:r>
    </w:p>
    <w:p w14:paraId="53A1C72F" w14:textId="77777777" w:rsidR="00000000" w:rsidRDefault="00E614A4">
      <w:pPr>
        <w:jc w:val="both"/>
        <w:divId w:val="1594896249"/>
        <w:rPr>
          <w:rFonts w:eastAsia="Times New Roman"/>
        </w:rPr>
      </w:pPr>
      <w:r>
        <w:rPr>
          <w:rFonts w:eastAsia="Times New Roman"/>
          <w:b/>
          <w:bCs/>
          <w:i/>
          <w:iCs/>
          <w:color w:val="000000"/>
          <w:sz w:val="20"/>
          <w:szCs w:val="20"/>
        </w:rPr>
        <w:t>General Ri</w:t>
      </w:r>
      <w:r>
        <w:rPr>
          <w:rFonts w:eastAsia="Times New Roman"/>
          <w:b/>
          <w:bCs/>
          <w:i/>
          <w:iCs/>
          <w:color w:val="000000"/>
          <w:sz w:val="20"/>
          <w:szCs w:val="20"/>
        </w:rPr>
        <w:t>sks Related to Ownership of Our Common Stock</w:t>
      </w:r>
    </w:p>
    <w:p w14:paraId="006338D5" w14:textId="77777777" w:rsidR="00000000" w:rsidRDefault="00E614A4">
      <w:pPr>
        <w:ind w:hanging="360"/>
        <w:jc w:val="both"/>
        <w:divId w:val="940720026"/>
        <w:rPr>
          <w:rFonts w:eastAsia="Times New Roman"/>
        </w:rPr>
      </w:pPr>
      <w:r>
        <w:rPr>
          <w:rFonts w:ascii="Arial" w:eastAsia="Times New Roman" w:hAnsi="Arial" w:cs="Arial"/>
          <w:color w:val="000000"/>
          <w:sz w:val="20"/>
          <w:szCs w:val="20"/>
        </w:rPr>
        <w:t>•</w:t>
      </w:r>
      <w:r>
        <w:rPr>
          <w:rFonts w:eastAsia="Times New Roman"/>
          <w:color w:val="000000"/>
          <w:sz w:val="20"/>
          <w:szCs w:val="20"/>
        </w:rPr>
        <w:t>Securities that we may become obligated to issue under existing or future agreements may cause immediate and substantial dilution to our current stockholders.</w:t>
      </w:r>
    </w:p>
    <w:p w14:paraId="79880649" w14:textId="77777777" w:rsidR="00000000" w:rsidRDefault="00E614A4">
      <w:pPr>
        <w:ind w:hanging="360"/>
        <w:jc w:val="both"/>
        <w:divId w:val="280578888"/>
        <w:rPr>
          <w:rFonts w:eastAsia="Times New Roman"/>
        </w:rPr>
      </w:pPr>
      <w:r>
        <w:rPr>
          <w:rFonts w:eastAsia="Times New Roman"/>
          <w:color w:val="000000"/>
          <w:sz w:val="20"/>
          <w:szCs w:val="20"/>
        </w:rPr>
        <w:t>•</w:t>
      </w:r>
      <w:r>
        <w:rPr>
          <w:rFonts w:eastAsia="Times New Roman"/>
          <w:color w:val="000000"/>
          <w:sz w:val="20"/>
          <w:szCs w:val="20"/>
        </w:rPr>
        <w:t>Provisions in our governing documents and under Delaware law might discourage, delay or prevent a change of control or changes in our management.</w:t>
      </w:r>
    </w:p>
    <w:p w14:paraId="72662697" w14:textId="77777777" w:rsidR="00000000" w:rsidRDefault="00E614A4">
      <w:pPr>
        <w:jc w:val="both"/>
        <w:divId w:val="547375988"/>
        <w:rPr>
          <w:rFonts w:eastAsia="Times New Roman"/>
        </w:rPr>
      </w:pPr>
      <w:r>
        <w:rPr>
          <w:rFonts w:eastAsia="Times New Roman"/>
          <w:b/>
          <w:bCs/>
          <w:color w:val="000000"/>
          <w:sz w:val="20"/>
          <w:szCs w:val="20"/>
        </w:rPr>
        <w:t>Risks Related to the Convertible Preferred Stock Investment Transactions</w:t>
      </w:r>
    </w:p>
    <w:p w14:paraId="53E351AF" w14:textId="77777777" w:rsidR="00000000" w:rsidRDefault="00E614A4">
      <w:pPr>
        <w:jc w:val="both"/>
        <w:divId w:val="1314405293"/>
        <w:rPr>
          <w:rFonts w:eastAsia="Times New Roman"/>
        </w:rPr>
      </w:pPr>
      <w:r>
        <w:rPr>
          <w:rFonts w:eastAsia="Times New Roman"/>
          <w:b/>
          <w:bCs/>
          <w:i/>
          <w:iCs/>
          <w:color w:val="000000"/>
          <w:sz w:val="20"/>
          <w:szCs w:val="20"/>
        </w:rPr>
        <w:t>The pending strategic investment Tran</w:t>
      </w:r>
      <w:r>
        <w:rPr>
          <w:rFonts w:eastAsia="Times New Roman"/>
          <w:b/>
          <w:bCs/>
          <w:i/>
          <w:iCs/>
          <w:color w:val="000000"/>
          <w:sz w:val="20"/>
          <w:szCs w:val="20"/>
        </w:rPr>
        <w:t>sactions may not be consummated, and failure to complete the Transactions could materially impact our financial condition, growth prospects and stock price.</w:t>
      </w:r>
    </w:p>
    <w:p w14:paraId="52C196E4" w14:textId="77777777" w:rsidR="00000000" w:rsidRDefault="00E614A4">
      <w:pPr>
        <w:jc w:val="both"/>
        <w:divId w:val="1729838402"/>
        <w:rPr>
          <w:rFonts w:eastAsia="Times New Roman"/>
        </w:rPr>
      </w:pPr>
      <w:r>
        <w:rPr>
          <w:rFonts w:eastAsia="Times New Roman"/>
          <w:color w:val="000000"/>
          <w:sz w:val="20"/>
          <w:szCs w:val="20"/>
        </w:rPr>
        <w:t xml:space="preserve">As described in </w:t>
      </w:r>
      <w:hyperlink w:anchor="ided6989bcc374020961c421c465250ee_16" w:history="1">
        <w:r>
          <w:rPr>
            <w:rStyle w:val="a3"/>
            <w:rFonts w:eastAsia="Times New Roman"/>
            <w:sz w:val="20"/>
            <w:szCs w:val="20"/>
          </w:rPr>
          <w:t>Item 1</w:t>
        </w:r>
      </w:hyperlink>
      <w:r>
        <w:rPr>
          <w:rFonts w:eastAsia="Times New Roman"/>
          <w:color w:val="000000"/>
          <w:sz w:val="20"/>
          <w:szCs w:val="20"/>
        </w:rPr>
        <w:t xml:space="preserve">, </w:t>
      </w:r>
      <w:r>
        <w:rPr>
          <w:rFonts w:eastAsia="Times New Roman"/>
          <w:i/>
          <w:iCs/>
          <w:color w:val="000000"/>
          <w:sz w:val="20"/>
          <w:szCs w:val="20"/>
        </w:rPr>
        <w:t>Business</w:t>
      </w:r>
      <w:r>
        <w:rPr>
          <w:rFonts w:eastAsia="Times New Roman"/>
          <w:color w:val="000000"/>
          <w:sz w:val="20"/>
          <w:szCs w:val="20"/>
        </w:rPr>
        <w:t>, on Jan</w:t>
      </w:r>
      <w:r>
        <w:rPr>
          <w:rFonts w:eastAsia="Times New Roman"/>
          <w:color w:val="000000"/>
          <w:sz w:val="20"/>
          <w:szCs w:val="20"/>
        </w:rPr>
        <w:t xml:space="preserve">uary 7, 2021, we entered into separate Series B Convertible Preferred Stock Purchase Agreements (collectively, the "Securities Purchase Agreements") with each of Charter, Qurate and Pine (collectively, the "Investors") pursuant to which, at the closing of </w:t>
      </w:r>
      <w:r>
        <w:rPr>
          <w:rFonts w:eastAsia="Times New Roman"/>
          <w:color w:val="000000"/>
          <w:sz w:val="20"/>
          <w:szCs w:val="20"/>
        </w:rPr>
        <w:t xml:space="preserve">the Transactions contemplated thereby, we will issue and sell to each Investor shares of Series B Convertible Preferred Stock, par value $0.001 per share ("Convertible Preferred Stock"). Proceeds from the Transactions will be used to repay our outstanding </w:t>
      </w:r>
      <w:r>
        <w:rPr>
          <w:rFonts w:eastAsia="Times New Roman"/>
          <w:color w:val="000000"/>
          <w:sz w:val="20"/>
          <w:szCs w:val="20"/>
        </w:rPr>
        <w:t>senior secured convertible notes (the "Notes"). In connection with the Transactions, we will also enter into a long-term data license with Charter, which we believe could significantly enhance our ability to execute on our strategic plans and growth initia</w:t>
      </w:r>
      <w:r>
        <w:rPr>
          <w:rFonts w:eastAsia="Times New Roman"/>
          <w:color w:val="000000"/>
          <w:sz w:val="20"/>
          <w:szCs w:val="20"/>
        </w:rPr>
        <w:t>tives.</w:t>
      </w:r>
    </w:p>
    <w:p w14:paraId="67C68D61" w14:textId="77777777" w:rsidR="00000000" w:rsidRDefault="00E614A4">
      <w:pPr>
        <w:jc w:val="both"/>
        <w:divId w:val="339740508"/>
        <w:rPr>
          <w:rFonts w:eastAsia="Times New Roman"/>
        </w:rPr>
      </w:pPr>
      <w:r>
        <w:rPr>
          <w:rFonts w:eastAsia="Times New Roman"/>
          <w:color w:val="000000"/>
          <w:sz w:val="20"/>
          <w:szCs w:val="20"/>
        </w:rPr>
        <w:t xml:space="preserve">Consummation of the Transactions is subject to certain closing conditions. We can provide no assurance that all closing conditions will be satisfied or waived (where permissible) or that the Transactions will be consummated timely or at all. If the </w:t>
      </w:r>
      <w:r>
        <w:rPr>
          <w:rFonts w:eastAsia="Times New Roman"/>
          <w:color w:val="000000"/>
          <w:sz w:val="20"/>
          <w:szCs w:val="20"/>
        </w:rPr>
        <w:t>Transactions are not consummated, our ongoing business and financial results may be materially adversely affected and we will be subject to a number of risks, including the following:</w:t>
      </w:r>
    </w:p>
    <w:p w14:paraId="472AB94D" w14:textId="77777777" w:rsidR="00000000" w:rsidRDefault="00E614A4">
      <w:pPr>
        <w:ind w:hanging="360"/>
        <w:jc w:val="both"/>
        <w:divId w:val="1828092320"/>
        <w:rPr>
          <w:rFonts w:eastAsia="Times New Roman"/>
        </w:rPr>
      </w:pPr>
      <w:r>
        <w:rPr>
          <w:rFonts w:ascii="Arial" w:eastAsia="Times New Roman" w:hAnsi="Arial" w:cs="Arial"/>
          <w:color w:val="000000"/>
          <w:sz w:val="20"/>
          <w:szCs w:val="20"/>
        </w:rPr>
        <w:t>•</w:t>
      </w:r>
      <w:r>
        <w:rPr>
          <w:rFonts w:eastAsia="Times New Roman"/>
          <w:color w:val="000000"/>
          <w:sz w:val="20"/>
          <w:szCs w:val="20"/>
        </w:rPr>
        <w:t>we may be unable to meet our debt maintenance or repayment obligations,</w:t>
      </w:r>
      <w:r>
        <w:rPr>
          <w:rFonts w:eastAsia="Times New Roman"/>
          <w:color w:val="000000"/>
          <w:sz w:val="20"/>
          <w:szCs w:val="20"/>
        </w:rPr>
        <w:t xml:space="preserve"> including pursuant to the Notes, which mature on January 16, 2022, and our Secured Term Note, which matures on December 31, 2021;</w:t>
      </w:r>
    </w:p>
    <w:p w14:paraId="4D138A80" w14:textId="77777777" w:rsidR="00000000" w:rsidRDefault="00E614A4">
      <w:pPr>
        <w:ind w:hanging="360"/>
        <w:jc w:val="both"/>
        <w:divId w:val="453329577"/>
        <w:rPr>
          <w:rFonts w:eastAsia="Times New Roman"/>
        </w:rPr>
      </w:pPr>
      <w:r>
        <w:rPr>
          <w:rFonts w:ascii="Arial" w:eastAsia="Times New Roman" w:hAnsi="Arial" w:cs="Arial"/>
          <w:color w:val="000000"/>
          <w:sz w:val="20"/>
          <w:szCs w:val="20"/>
        </w:rPr>
        <w:t>•</w:t>
      </w:r>
      <w:r>
        <w:rPr>
          <w:rFonts w:eastAsia="Times New Roman"/>
          <w:color w:val="000000"/>
          <w:sz w:val="20"/>
          <w:szCs w:val="20"/>
        </w:rPr>
        <w:t>we may lose the anticipated commercial benefits of the Transactions, including the long-term data license with Charter and o</w:t>
      </w:r>
      <w:r>
        <w:rPr>
          <w:rFonts w:eastAsia="Times New Roman"/>
          <w:color w:val="000000"/>
          <w:sz w:val="20"/>
          <w:szCs w:val="20"/>
        </w:rPr>
        <w:t>ther relationships and expertise of the Investors, which could negatively impact our financial results, growth prospects and strategic plans; and</w:t>
      </w:r>
    </w:p>
    <w:p w14:paraId="01B52DF1" w14:textId="77777777" w:rsidR="00000000" w:rsidRDefault="00E614A4">
      <w:pPr>
        <w:ind w:hanging="360"/>
        <w:jc w:val="both"/>
        <w:divId w:val="1595167414"/>
        <w:rPr>
          <w:rFonts w:eastAsia="Times New Roman"/>
        </w:rPr>
      </w:pPr>
      <w:r>
        <w:rPr>
          <w:rFonts w:ascii="Arial" w:eastAsia="Times New Roman" w:hAnsi="Arial" w:cs="Arial"/>
          <w:color w:val="000000"/>
          <w:sz w:val="20"/>
          <w:szCs w:val="20"/>
        </w:rPr>
        <w:t>•</w:t>
      </w:r>
      <w:r>
        <w:rPr>
          <w:rFonts w:eastAsia="Times New Roman"/>
          <w:color w:val="000000"/>
          <w:sz w:val="20"/>
          <w:szCs w:val="20"/>
        </w:rPr>
        <w:t>we may be required to pay termination fees as required under the Securities Purchase Agreements.</w:t>
      </w:r>
    </w:p>
    <w:p w14:paraId="1EB01712" w14:textId="77777777" w:rsidR="00000000" w:rsidRDefault="00E614A4">
      <w:pPr>
        <w:jc w:val="both"/>
        <w:divId w:val="738599285"/>
        <w:rPr>
          <w:rFonts w:eastAsia="Times New Roman"/>
        </w:rPr>
      </w:pPr>
      <w:r>
        <w:rPr>
          <w:rFonts w:eastAsia="Times New Roman"/>
          <w:color w:val="000000"/>
          <w:sz w:val="20"/>
          <w:szCs w:val="20"/>
        </w:rPr>
        <w:t>In addition,</w:t>
      </w:r>
      <w:r>
        <w:rPr>
          <w:rFonts w:eastAsia="Times New Roman"/>
          <w:color w:val="000000"/>
          <w:sz w:val="20"/>
          <w:szCs w:val="20"/>
        </w:rPr>
        <w:t xml:space="preserve"> if the Transactions are not completed, we may experience negative reactions from the financial markets and from our existing stockholders, customers, partners, employees, vendors and creditors. We may be unable to find a comparable alternative </w:t>
      </w:r>
    </w:p>
    <w:p w14:paraId="6471E0EF" w14:textId="77777777" w:rsidR="00000000" w:rsidRDefault="00E614A4">
      <w:pPr>
        <w:jc w:val="center"/>
        <w:divId w:val="298455823"/>
        <w:rPr>
          <w:rFonts w:eastAsia="Times New Roman"/>
        </w:rPr>
      </w:pPr>
      <w:r>
        <w:rPr>
          <w:rFonts w:eastAsia="Times New Roman"/>
          <w:color w:val="000000"/>
          <w:sz w:val="20"/>
          <w:szCs w:val="20"/>
        </w:rPr>
        <w:t>13</w:t>
      </w:r>
    </w:p>
    <w:p w14:paraId="7FCF2808" w14:textId="77777777" w:rsidR="00000000" w:rsidRDefault="00E614A4">
      <w:pPr>
        <w:rPr>
          <w:rFonts w:eastAsia="Times New Roman"/>
        </w:rPr>
      </w:pPr>
      <w:r>
        <w:rPr>
          <w:rFonts w:eastAsia="Times New Roman"/>
        </w:rPr>
        <w:pict w14:anchorId="27BCDB44">
          <v:rect id="_x0000_i1040" style="width:0;height:1.5pt" o:hralign="center" o:hrstd="t" o:hr="t" fillcolor="#a0a0a0" stroked="f"/>
        </w:pict>
      </w:r>
    </w:p>
    <w:p w14:paraId="493FBABC" w14:textId="77777777" w:rsidR="00000000" w:rsidRDefault="00E614A4">
      <w:pPr>
        <w:divId w:val="158120912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CEB93A4" w14:textId="77777777" w:rsidR="00000000" w:rsidRDefault="00E614A4">
      <w:pPr>
        <w:divId w:val="886725312"/>
        <w:rPr>
          <w:rFonts w:eastAsia="Times New Roman"/>
        </w:rPr>
      </w:pPr>
    </w:p>
    <w:p w14:paraId="648BD025" w14:textId="77777777" w:rsidR="00000000" w:rsidRDefault="00E614A4">
      <w:pPr>
        <w:jc w:val="both"/>
        <w:divId w:val="47387597"/>
        <w:rPr>
          <w:rFonts w:eastAsia="Times New Roman"/>
        </w:rPr>
      </w:pPr>
      <w:r>
        <w:rPr>
          <w:rFonts w:eastAsia="Times New Roman"/>
          <w:color w:val="000000"/>
          <w:sz w:val="20"/>
          <w:szCs w:val="20"/>
        </w:rPr>
        <w:t>transaction that would allow us to meet our debt and other obligations as they come due, which could have important consequences, including potentially forcing us into bankruptcy or liquidation. These risks may materialize and may adversely affect our busi</w:t>
      </w:r>
      <w:r>
        <w:rPr>
          <w:rFonts w:eastAsia="Times New Roman"/>
          <w:color w:val="000000"/>
          <w:sz w:val="20"/>
          <w:szCs w:val="20"/>
        </w:rPr>
        <w:t>ness, financial position, results of operations and cash flows, as well as the price of our common stock, par value $0.001 per share (the "Common Stock").</w:t>
      </w:r>
    </w:p>
    <w:p w14:paraId="62BD05EA" w14:textId="77777777" w:rsidR="00000000" w:rsidRDefault="00E614A4">
      <w:pPr>
        <w:jc w:val="both"/>
        <w:divId w:val="962855546"/>
        <w:rPr>
          <w:rFonts w:eastAsia="Times New Roman"/>
        </w:rPr>
      </w:pPr>
      <w:r>
        <w:rPr>
          <w:rFonts w:eastAsia="Times New Roman"/>
          <w:b/>
          <w:bCs/>
          <w:i/>
          <w:iCs/>
          <w:color w:val="000000"/>
          <w:sz w:val="20"/>
          <w:szCs w:val="20"/>
        </w:rPr>
        <w:t>Litigation relating to the Transactions may be filed that could prevent or delay the Transactions clo</w:t>
      </w:r>
      <w:r>
        <w:rPr>
          <w:rFonts w:eastAsia="Times New Roman"/>
          <w:b/>
          <w:bCs/>
          <w:i/>
          <w:iCs/>
          <w:color w:val="000000"/>
          <w:sz w:val="20"/>
          <w:szCs w:val="20"/>
        </w:rPr>
        <w:t>sing and/or result in the payment of damages following the closing.</w:t>
      </w:r>
    </w:p>
    <w:p w14:paraId="0898C01F" w14:textId="77777777" w:rsidR="00000000" w:rsidRDefault="00E614A4">
      <w:pPr>
        <w:jc w:val="both"/>
        <w:divId w:val="288436771"/>
        <w:rPr>
          <w:rFonts w:eastAsia="Times New Roman"/>
        </w:rPr>
      </w:pPr>
      <w:r>
        <w:rPr>
          <w:rFonts w:eastAsia="Times New Roman"/>
          <w:color w:val="000000"/>
          <w:sz w:val="20"/>
          <w:szCs w:val="20"/>
        </w:rPr>
        <w:t>In connection with the Transactions, it is possible that stockholders or other parties may file putative class action or other lawsuits against us or the Investors. Among other remedies, t</w:t>
      </w:r>
      <w:r>
        <w:rPr>
          <w:rFonts w:eastAsia="Times New Roman"/>
          <w:color w:val="000000"/>
          <w:sz w:val="20"/>
          <w:szCs w:val="20"/>
        </w:rPr>
        <w:t>hese parties could seek damages and/or to enjoin the Transactions. The outcome of any litigation is uncertain, and any such potential lawsuits could prevent or delay the closing of the Transactions and/or result in substantial costs to the Company. Any suc</w:t>
      </w:r>
      <w:r>
        <w:rPr>
          <w:rFonts w:eastAsia="Times New Roman"/>
          <w:color w:val="000000"/>
          <w:sz w:val="20"/>
          <w:szCs w:val="20"/>
        </w:rPr>
        <w:t>h actions may create uncertainty relating to the Transactions and may be costly and distracting to management. Further, the defense or settlement of any lawsuit or claim that remains unresolved at the time the Transactions are completed may adversely affec</w:t>
      </w:r>
      <w:r>
        <w:rPr>
          <w:rFonts w:eastAsia="Times New Roman"/>
          <w:color w:val="000000"/>
          <w:sz w:val="20"/>
          <w:szCs w:val="20"/>
        </w:rPr>
        <w:t>t our business, financial condition, results of operations and cash flows.</w:t>
      </w:r>
    </w:p>
    <w:p w14:paraId="670F1E21" w14:textId="77777777" w:rsidR="00000000" w:rsidRDefault="00E614A4">
      <w:pPr>
        <w:jc w:val="both"/>
        <w:divId w:val="187793317"/>
        <w:rPr>
          <w:rFonts w:eastAsia="Times New Roman"/>
        </w:rPr>
      </w:pPr>
      <w:r>
        <w:rPr>
          <w:rFonts w:eastAsia="Times New Roman"/>
          <w:b/>
          <w:bCs/>
          <w:i/>
          <w:iCs/>
          <w:color w:val="000000"/>
          <w:sz w:val="20"/>
          <w:szCs w:val="20"/>
        </w:rPr>
        <w:t>The Securities Purchase Agreements limit our ability to pursue alternatives to the Transactions.</w:t>
      </w:r>
    </w:p>
    <w:p w14:paraId="4A03D305" w14:textId="77777777" w:rsidR="00000000" w:rsidRDefault="00E614A4">
      <w:pPr>
        <w:jc w:val="both"/>
        <w:divId w:val="2013217116"/>
        <w:rPr>
          <w:rFonts w:eastAsia="Times New Roman"/>
        </w:rPr>
      </w:pPr>
      <w:r>
        <w:rPr>
          <w:rFonts w:eastAsia="Times New Roman"/>
          <w:color w:val="000000"/>
          <w:sz w:val="20"/>
          <w:szCs w:val="20"/>
        </w:rPr>
        <w:t>The Securities Purchase Agreements contain provisions that make it more difficult fo</w:t>
      </w:r>
      <w:r>
        <w:rPr>
          <w:rFonts w:eastAsia="Times New Roman"/>
          <w:color w:val="000000"/>
          <w:sz w:val="20"/>
          <w:szCs w:val="20"/>
        </w:rPr>
        <w:t>r us to pursue or enter into alternative transactions. The Securities Purchase Agreements contain certain provisions that restrict our ability to, among other things, solicit, initiate or knowingly facilitate or encourage any inquiries or the making of any</w:t>
      </w:r>
      <w:r>
        <w:rPr>
          <w:rFonts w:eastAsia="Times New Roman"/>
          <w:color w:val="000000"/>
          <w:sz w:val="20"/>
          <w:szCs w:val="20"/>
        </w:rPr>
        <w:t xml:space="preserve"> proposal that would reasonably be expected to lead to an acquisition proposal prior to the termination of the Securities Purchase Agreements or the closing, whichever occurs earlier. Moreover, we may be required to pay a termination fee of $1.8 million to</w:t>
      </w:r>
      <w:r>
        <w:rPr>
          <w:rFonts w:eastAsia="Times New Roman"/>
          <w:color w:val="000000"/>
          <w:sz w:val="20"/>
          <w:szCs w:val="20"/>
        </w:rPr>
        <w:t xml:space="preserve"> each Investor (for an aggregate of $5.4 million to all Investors) if the Securities Purchase Agreements are validly terminated under certain circumstances. The payment of termination fees could affect the structure, pricing and terms proposed by a third p</w:t>
      </w:r>
      <w:r>
        <w:rPr>
          <w:rFonts w:eastAsia="Times New Roman"/>
          <w:color w:val="000000"/>
          <w:sz w:val="20"/>
          <w:szCs w:val="20"/>
        </w:rPr>
        <w:t xml:space="preserve">arty seeking to acquire or merge with us or deter a third party from making a competing proposal. </w:t>
      </w:r>
    </w:p>
    <w:p w14:paraId="0FC34A66" w14:textId="77777777" w:rsidR="00000000" w:rsidRDefault="00E614A4">
      <w:pPr>
        <w:jc w:val="both"/>
        <w:divId w:val="277029954"/>
        <w:rPr>
          <w:rFonts w:eastAsia="Times New Roman"/>
        </w:rPr>
      </w:pPr>
      <w:r>
        <w:rPr>
          <w:rFonts w:eastAsia="Times New Roman"/>
          <w:b/>
          <w:bCs/>
          <w:i/>
          <w:iCs/>
          <w:color w:val="000000"/>
          <w:sz w:val="20"/>
          <w:szCs w:val="20"/>
        </w:rPr>
        <w:t>We have incurred, and will incur, significant costs in connection with the Transactions.</w:t>
      </w:r>
    </w:p>
    <w:p w14:paraId="5209EDE4" w14:textId="77777777" w:rsidR="00000000" w:rsidRDefault="00E614A4">
      <w:pPr>
        <w:jc w:val="both"/>
        <w:divId w:val="298845161"/>
        <w:rPr>
          <w:rFonts w:eastAsia="Times New Roman"/>
        </w:rPr>
      </w:pPr>
      <w:r>
        <w:rPr>
          <w:rFonts w:eastAsia="Times New Roman"/>
          <w:color w:val="000000"/>
          <w:sz w:val="20"/>
          <w:szCs w:val="20"/>
        </w:rPr>
        <w:t>We have incurred, and will incur, substantial expenses in connection</w:t>
      </w:r>
      <w:r>
        <w:rPr>
          <w:rFonts w:eastAsia="Times New Roman"/>
          <w:color w:val="000000"/>
          <w:sz w:val="20"/>
          <w:szCs w:val="20"/>
        </w:rPr>
        <w:t xml:space="preserve"> with and as a result of the Transactions, including financial advisory, legal, accounting, consulting and other advisory fees and expenses, as well as expenses related to our special meeting of stockholders held on March 9, 2021 and closing of the Transac</w:t>
      </w:r>
      <w:r>
        <w:rPr>
          <w:rFonts w:eastAsia="Times New Roman"/>
          <w:color w:val="000000"/>
          <w:sz w:val="20"/>
          <w:szCs w:val="20"/>
        </w:rPr>
        <w:t>tions. A portion of the costs related to the Transactions will be incurred regardless of whether the Transactions are completed. While we have assumed that a certain level of transaction expenses will be incurred, factors beyond our control could affect th</w:t>
      </w:r>
      <w:r>
        <w:rPr>
          <w:rFonts w:eastAsia="Times New Roman"/>
          <w:color w:val="000000"/>
          <w:sz w:val="20"/>
          <w:szCs w:val="20"/>
        </w:rPr>
        <w:t>e total amount or the timing of these expenses. Some of the expenses that will be incurred, by their nature, are difficult to estimate accurately. These expenses will exceed the costs historically borne by the Company and could adversely affect our financi</w:t>
      </w:r>
      <w:r>
        <w:rPr>
          <w:rFonts w:eastAsia="Times New Roman"/>
          <w:color w:val="000000"/>
          <w:sz w:val="20"/>
          <w:szCs w:val="20"/>
        </w:rPr>
        <w:t>al condition and results of operations prior to and following the Transactions.</w:t>
      </w:r>
    </w:p>
    <w:p w14:paraId="61F81E91" w14:textId="77777777" w:rsidR="00000000" w:rsidRDefault="00E614A4">
      <w:pPr>
        <w:jc w:val="both"/>
        <w:divId w:val="426196358"/>
        <w:rPr>
          <w:rFonts w:eastAsia="Times New Roman"/>
        </w:rPr>
      </w:pPr>
      <w:r>
        <w:rPr>
          <w:rFonts w:eastAsia="Times New Roman"/>
          <w:b/>
          <w:bCs/>
          <w:i/>
          <w:iCs/>
          <w:color w:val="000000"/>
          <w:sz w:val="20"/>
          <w:szCs w:val="20"/>
        </w:rPr>
        <w:t xml:space="preserve">The Investors will have significance influence over the Company and may prevent other stockholders from influencing significant corporate decisions following completion of the </w:t>
      </w:r>
      <w:r>
        <w:rPr>
          <w:rFonts w:eastAsia="Times New Roman"/>
          <w:b/>
          <w:bCs/>
          <w:i/>
          <w:iCs/>
          <w:color w:val="000000"/>
          <w:sz w:val="20"/>
          <w:szCs w:val="20"/>
        </w:rPr>
        <w:t>Transactions, and the Investors' interests may conflict with those of our other stockholders.</w:t>
      </w:r>
    </w:p>
    <w:p w14:paraId="06B9793F" w14:textId="77777777" w:rsidR="00000000" w:rsidRDefault="00E614A4">
      <w:pPr>
        <w:jc w:val="both"/>
        <w:divId w:val="1665427307"/>
        <w:rPr>
          <w:rFonts w:eastAsia="Times New Roman"/>
        </w:rPr>
      </w:pPr>
      <w:r>
        <w:rPr>
          <w:rFonts w:eastAsia="Times New Roman"/>
          <w:color w:val="000000"/>
          <w:sz w:val="20"/>
          <w:szCs w:val="20"/>
        </w:rPr>
        <w:t>Following the closing, the Convertible Preferred Stock will initially be convertible into an aggregate of 82,527,609 shares of our Common Stock (subject to adjust</w:t>
      </w:r>
      <w:r>
        <w:rPr>
          <w:rFonts w:eastAsia="Times New Roman"/>
          <w:color w:val="000000"/>
          <w:sz w:val="20"/>
          <w:szCs w:val="20"/>
        </w:rPr>
        <w:t>ment). On an as-converted basis, we expect this to collectively represent approximately 50.6% of our issued and outstanding Common Stock immediately following the closing (equating to approximately 16.9% per Investor) based on the number of shares of Commo</w:t>
      </w:r>
      <w:r>
        <w:rPr>
          <w:rFonts w:eastAsia="Times New Roman"/>
          <w:color w:val="000000"/>
          <w:sz w:val="20"/>
          <w:szCs w:val="20"/>
        </w:rPr>
        <w:t>n Stock currently projected to be outstanding immediately following closing. As a result, the Investors are expected to represent the largest stockholders of the Company. This concentration of ownership, together with the voting rights, director designatio</w:t>
      </w:r>
      <w:r>
        <w:rPr>
          <w:rFonts w:eastAsia="Times New Roman"/>
          <w:color w:val="000000"/>
          <w:sz w:val="20"/>
          <w:szCs w:val="20"/>
        </w:rPr>
        <w:t>n rights and consent rights described below, may be perceived negatively by other investors and, as a result, may adversely affect the market price of our Common Stock.</w:t>
      </w:r>
    </w:p>
    <w:p w14:paraId="146D0DD4" w14:textId="77777777" w:rsidR="00000000" w:rsidRDefault="00E614A4">
      <w:pPr>
        <w:jc w:val="both"/>
        <w:divId w:val="703362067"/>
        <w:rPr>
          <w:rFonts w:eastAsia="Times New Roman"/>
        </w:rPr>
      </w:pPr>
      <w:r>
        <w:rPr>
          <w:rFonts w:eastAsia="Times New Roman"/>
          <w:color w:val="000000"/>
          <w:sz w:val="20"/>
          <w:szCs w:val="20"/>
        </w:rPr>
        <w:t xml:space="preserve">Upon closing, each Investor is expected to hold 16.66% of the outstanding voting power </w:t>
      </w:r>
      <w:r>
        <w:rPr>
          <w:rFonts w:eastAsia="Times New Roman"/>
          <w:color w:val="000000"/>
          <w:sz w:val="20"/>
          <w:szCs w:val="20"/>
        </w:rPr>
        <w:t>of the Company on an as-converted basis. In addition, under the Stockholders Agreement that will be entered into in connection with closing, each Investor will have the right to designate two directors to serve on our board of directors until the earlier o</w:t>
      </w:r>
      <w:r>
        <w:rPr>
          <w:rFonts w:eastAsia="Times New Roman"/>
          <w:color w:val="000000"/>
          <w:sz w:val="20"/>
          <w:szCs w:val="20"/>
        </w:rPr>
        <w:t>f such time as the Investor (a) beneficially owns less than 50% of the shares of Convertible Preferred Stock held by such Investor as of the date of the closing (the "Initial Preferred Stock Ownership") as a result of the Investor's transfer of such shares</w:t>
      </w:r>
      <w:r>
        <w:rPr>
          <w:rFonts w:eastAsia="Times New Roman"/>
          <w:color w:val="000000"/>
          <w:sz w:val="20"/>
          <w:szCs w:val="20"/>
        </w:rPr>
        <w:t xml:space="preserve"> to any of the other Investors or (b) beneficially owns voting stock representing less than 10% of the outstanding shares of Common Stock (on an as-converted basis), after which the Investor's designation rights will be reduced to one designee until such t</w:t>
      </w:r>
      <w:r>
        <w:rPr>
          <w:rFonts w:eastAsia="Times New Roman"/>
          <w:color w:val="000000"/>
          <w:sz w:val="20"/>
          <w:szCs w:val="20"/>
        </w:rPr>
        <w:t>ime as the Investor beneficially owns Voting Stock representing less than 5% of the outstanding shares of Common Stock (on an as-converted basis). Additionally, under certain circumstances, an Investor may gain additional board designation rights and in so</w:t>
      </w:r>
      <w:r>
        <w:rPr>
          <w:rFonts w:eastAsia="Times New Roman"/>
          <w:color w:val="000000"/>
          <w:sz w:val="20"/>
          <w:szCs w:val="20"/>
        </w:rPr>
        <w:t>me instances, we may even be obligated to increase the size of our board to enable an Investor to designate one additional director nominee.</w:t>
      </w:r>
    </w:p>
    <w:p w14:paraId="36B82A60" w14:textId="77777777" w:rsidR="00000000" w:rsidRDefault="00E614A4">
      <w:pPr>
        <w:jc w:val="both"/>
        <w:divId w:val="421419852"/>
        <w:rPr>
          <w:rFonts w:eastAsia="Times New Roman"/>
        </w:rPr>
      </w:pPr>
      <w:r>
        <w:rPr>
          <w:rFonts w:eastAsia="Times New Roman"/>
          <w:color w:val="000000"/>
          <w:sz w:val="20"/>
          <w:szCs w:val="20"/>
        </w:rPr>
        <w:t xml:space="preserve">Pursuant to the Stockholders Agreement, each Investor will have consent rights over certain significant matters of </w:t>
      </w:r>
      <w:r>
        <w:rPr>
          <w:rFonts w:eastAsia="Times New Roman"/>
          <w:color w:val="000000"/>
          <w:sz w:val="20"/>
          <w:szCs w:val="20"/>
        </w:rPr>
        <w:t>our business. These include, but are not limited to, decisions: (a) to amend our organizational documents; (b) to create, increase, reclassify, issue or sell any additional Convertible Preferred Stock; (c) to consummate a change of control transaction; (d)</w:t>
      </w:r>
      <w:r>
        <w:rPr>
          <w:rFonts w:eastAsia="Times New Roman"/>
          <w:color w:val="000000"/>
          <w:sz w:val="20"/>
          <w:szCs w:val="20"/>
        </w:rPr>
        <w:t xml:space="preserve"> to create or issue indebtedness that would cause us to exceed a specified leverage ratio; (e) to increase or decrease the number of directors on our board of directors or certain committees thereof; (f) to change the nature of our business in any material</w:t>
      </w:r>
      <w:r>
        <w:rPr>
          <w:rFonts w:eastAsia="Times New Roman"/>
          <w:color w:val="000000"/>
          <w:sz w:val="20"/>
          <w:szCs w:val="20"/>
        </w:rPr>
        <w:t xml:space="preserve"> respect; (g) to make certain changes to our management; (h) to declare cash dividends or distributions; (i) to enter into certain related-party transactions; and (j) to adopt certain shareholder rights plans. As a result, each Investor will be able to inf</w:t>
      </w:r>
      <w:r>
        <w:rPr>
          <w:rFonts w:eastAsia="Times New Roman"/>
          <w:color w:val="000000"/>
          <w:sz w:val="20"/>
          <w:szCs w:val="20"/>
        </w:rPr>
        <w:t xml:space="preserve">luence fundamental corporate matters and transactions. The </w:t>
      </w:r>
    </w:p>
    <w:p w14:paraId="523E6CBB" w14:textId="77777777" w:rsidR="00000000" w:rsidRDefault="00E614A4">
      <w:pPr>
        <w:jc w:val="center"/>
        <w:divId w:val="564612666"/>
        <w:rPr>
          <w:rFonts w:eastAsia="Times New Roman"/>
        </w:rPr>
      </w:pPr>
      <w:r>
        <w:rPr>
          <w:rFonts w:eastAsia="Times New Roman"/>
          <w:color w:val="000000"/>
          <w:sz w:val="20"/>
          <w:szCs w:val="20"/>
        </w:rPr>
        <w:t>14</w:t>
      </w:r>
    </w:p>
    <w:p w14:paraId="3FDE2331" w14:textId="77777777" w:rsidR="00000000" w:rsidRDefault="00E614A4">
      <w:pPr>
        <w:rPr>
          <w:rFonts w:eastAsia="Times New Roman"/>
        </w:rPr>
      </w:pPr>
      <w:r>
        <w:rPr>
          <w:rFonts w:eastAsia="Times New Roman"/>
        </w:rPr>
        <w:pict w14:anchorId="13347727">
          <v:rect id="_x0000_i1041" style="width:0;height:1.5pt" o:hralign="center" o:hrstd="t" o:hr="t" fillcolor="#a0a0a0" stroked="f"/>
        </w:pict>
      </w:r>
    </w:p>
    <w:p w14:paraId="47F8DFCC" w14:textId="77777777" w:rsidR="00000000" w:rsidRDefault="00E614A4">
      <w:pPr>
        <w:divId w:val="188147950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1AE7C83" w14:textId="77777777" w:rsidR="00000000" w:rsidRDefault="00E614A4">
      <w:pPr>
        <w:divId w:val="717125234"/>
        <w:rPr>
          <w:rFonts w:eastAsia="Times New Roman"/>
        </w:rPr>
      </w:pPr>
    </w:p>
    <w:p w14:paraId="0DEB7A8B" w14:textId="77777777" w:rsidR="00000000" w:rsidRDefault="00E614A4">
      <w:pPr>
        <w:jc w:val="both"/>
        <w:divId w:val="1849558581"/>
        <w:rPr>
          <w:rFonts w:eastAsia="Times New Roman"/>
        </w:rPr>
      </w:pPr>
      <w:r>
        <w:rPr>
          <w:rFonts w:eastAsia="Times New Roman"/>
          <w:color w:val="000000"/>
          <w:sz w:val="20"/>
          <w:szCs w:val="20"/>
        </w:rPr>
        <w:t>interests of the Inv</w:t>
      </w:r>
      <w:r>
        <w:rPr>
          <w:rFonts w:eastAsia="Times New Roman"/>
          <w:color w:val="000000"/>
          <w:sz w:val="20"/>
          <w:szCs w:val="20"/>
        </w:rPr>
        <w:t>estors may not always coincide with our interests or the interests of our other stockholders, and these consent rights may delay, deter or prevent acts that would be favored by our other stockholders. Also, the Investors may seek to cause us to take course</w:t>
      </w:r>
      <w:r>
        <w:rPr>
          <w:rFonts w:eastAsia="Times New Roman"/>
          <w:color w:val="000000"/>
          <w:sz w:val="20"/>
          <w:szCs w:val="20"/>
        </w:rPr>
        <w:t>s of action that, in their judgment, could enhance their investment in us, but which might involve risks to our other stockholders or adversely affect us or our other stockholders.</w:t>
      </w:r>
    </w:p>
    <w:p w14:paraId="1DC8EEE1" w14:textId="77777777" w:rsidR="00000000" w:rsidRDefault="00E614A4">
      <w:pPr>
        <w:jc w:val="both"/>
        <w:divId w:val="424770834"/>
        <w:rPr>
          <w:rFonts w:eastAsia="Times New Roman"/>
        </w:rPr>
      </w:pPr>
      <w:r>
        <w:rPr>
          <w:rFonts w:eastAsia="Times New Roman"/>
          <w:b/>
          <w:bCs/>
          <w:i/>
          <w:iCs/>
          <w:color w:val="000000"/>
          <w:sz w:val="20"/>
          <w:szCs w:val="20"/>
        </w:rPr>
        <w:t>We may not be able to realize the anticipated benefits of the Transactions,</w:t>
      </w:r>
      <w:r>
        <w:rPr>
          <w:rFonts w:eastAsia="Times New Roman"/>
          <w:b/>
          <w:bCs/>
          <w:i/>
          <w:iCs/>
          <w:color w:val="000000"/>
          <w:sz w:val="20"/>
          <w:szCs w:val="20"/>
        </w:rPr>
        <w:t xml:space="preserve"> and we will be subject to business uncertainties that could adversely affect our business.</w:t>
      </w:r>
    </w:p>
    <w:p w14:paraId="4080F30C" w14:textId="77777777" w:rsidR="00000000" w:rsidRDefault="00E614A4">
      <w:pPr>
        <w:jc w:val="both"/>
        <w:divId w:val="1412585228"/>
        <w:rPr>
          <w:rFonts w:eastAsia="Times New Roman"/>
        </w:rPr>
      </w:pPr>
      <w:r>
        <w:rPr>
          <w:rFonts w:eastAsia="Times New Roman"/>
          <w:color w:val="000000"/>
          <w:sz w:val="20"/>
          <w:szCs w:val="20"/>
        </w:rPr>
        <w:t>The anticipated benefits of the Transactions, including expected commercial benefits from the data license with Charter and other relationships and expertise from t</w:t>
      </w:r>
      <w:r>
        <w:rPr>
          <w:rFonts w:eastAsia="Times New Roman"/>
          <w:color w:val="000000"/>
          <w:sz w:val="20"/>
          <w:szCs w:val="20"/>
        </w:rPr>
        <w:t xml:space="preserve">he Investors, may not be realized fully or at all, or may take longer to realize than we currently expect. Actual operating, strategic and revenue opportunities, if achieved at all, may be less significant than we expect or may take longer to achieve than </w:t>
      </w:r>
      <w:r>
        <w:rPr>
          <w:rFonts w:eastAsia="Times New Roman"/>
          <w:color w:val="000000"/>
          <w:sz w:val="20"/>
          <w:szCs w:val="20"/>
        </w:rPr>
        <w:t>we anticipate. If we are not able to achieve these objectives and realize the anticipated benefits from the Transactions within the anticipated timing or at all, our business, financial condition and operating results may be adversely affected.</w:t>
      </w:r>
    </w:p>
    <w:p w14:paraId="2DF8EDE0" w14:textId="77777777" w:rsidR="00000000" w:rsidRDefault="00E614A4">
      <w:pPr>
        <w:jc w:val="both"/>
        <w:divId w:val="325327539"/>
        <w:rPr>
          <w:rFonts w:eastAsia="Times New Roman"/>
        </w:rPr>
      </w:pPr>
      <w:r>
        <w:rPr>
          <w:rFonts w:eastAsia="Times New Roman"/>
          <w:color w:val="000000"/>
          <w:sz w:val="20"/>
          <w:szCs w:val="20"/>
        </w:rPr>
        <w:t>Parties wit</w:t>
      </w:r>
      <w:r>
        <w:rPr>
          <w:rFonts w:eastAsia="Times New Roman"/>
          <w:color w:val="000000"/>
          <w:sz w:val="20"/>
          <w:szCs w:val="20"/>
        </w:rPr>
        <w:t>h whom we do business may experience uncertainty associated with the Transactions. Our business relationships may be subject to disruption as customers, partners, vendors, landlords and other parties with whom we do business may attempt to delay or defer e</w:t>
      </w:r>
      <w:r>
        <w:rPr>
          <w:rFonts w:eastAsia="Times New Roman"/>
          <w:color w:val="000000"/>
          <w:sz w:val="20"/>
          <w:szCs w:val="20"/>
        </w:rPr>
        <w:t>ntering into new business relationships with us, negotiate changes in existing business relationships, terminate their contracts with us, or consider entering into business relationships with our competitors following the Transactions. Some customers or pa</w:t>
      </w:r>
      <w:r>
        <w:rPr>
          <w:rFonts w:eastAsia="Times New Roman"/>
          <w:color w:val="000000"/>
          <w:sz w:val="20"/>
          <w:szCs w:val="20"/>
        </w:rPr>
        <w:t xml:space="preserve">rtners may feel that we are too closely aligned with one of their competitors as an Investor, and as a result, may seek to reduce or terminate their relationships with us. The occurrence of any of these events could have an adverse effect on our operating </w:t>
      </w:r>
      <w:r>
        <w:rPr>
          <w:rFonts w:eastAsia="Times New Roman"/>
          <w:color w:val="000000"/>
          <w:sz w:val="20"/>
          <w:szCs w:val="20"/>
        </w:rPr>
        <w:t>results, particularly during the period immediately following the closing.</w:t>
      </w:r>
    </w:p>
    <w:p w14:paraId="41CA6E09" w14:textId="77777777" w:rsidR="00000000" w:rsidRDefault="00E614A4">
      <w:pPr>
        <w:jc w:val="both"/>
        <w:divId w:val="1169178410"/>
        <w:rPr>
          <w:rFonts w:eastAsia="Times New Roman"/>
        </w:rPr>
      </w:pPr>
      <w:r>
        <w:rPr>
          <w:rFonts w:eastAsia="Times New Roman"/>
          <w:color w:val="000000"/>
          <w:sz w:val="20"/>
          <w:szCs w:val="20"/>
        </w:rPr>
        <w:t>Uncertainty about the effect of the Transactions could also have an adverse effect on our employee relations. This uncertainty may impair our ability to attract, retain and motivate</w:t>
      </w:r>
      <w:r>
        <w:rPr>
          <w:rFonts w:eastAsia="Times New Roman"/>
          <w:color w:val="000000"/>
          <w:sz w:val="20"/>
          <w:szCs w:val="20"/>
        </w:rPr>
        <w:t xml:space="preserve"> key personnel until the Transactions are consummated and for a period of time thereafter. Any loss of key personnel, including members of our senior management team, could have an adverse effect on our operations and financial results.</w:t>
      </w:r>
    </w:p>
    <w:p w14:paraId="0DEC29F0" w14:textId="77777777" w:rsidR="00000000" w:rsidRDefault="00E614A4">
      <w:pPr>
        <w:jc w:val="both"/>
        <w:divId w:val="1075316593"/>
        <w:rPr>
          <w:rFonts w:eastAsia="Times New Roman"/>
        </w:rPr>
      </w:pPr>
      <w:r>
        <w:rPr>
          <w:rFonts w:eastAsia="Times New Roman"/>
          <w:b/>
          <w:bCs/>
          <w:i/>
          <w:iCs/>
          <w:color w:val="000000"/>
          <w:sz w:val="20"/>
          <w:szCs w:val="20"/>
        </w:rPr>
        <w:t>The Transaction, if consummated, will cause dilution to our current stockholders, which may negatively affect the market price of our Common Stock.</w:t>
      </w:r>
    </w:p>
    <w:p w14:paraId="3811876C" w14:textId="77777777" w:rsidR="00000000" w:rsidRDefault="00E614A4">
      <w:pPr>
        <w:jc w:val="both"/>
        <w:divId w:val="177546074"/>
        <w:rPr>
          <w:rFonts w:eastAsia="Times New Roman"/>
        </w:rPr>
      </w:pPr>
      <w:r>
        <w:rPr>
          <w:rFonts w:eastAsia="Times New Roman"/>
          <w:color w:val="000000"/>
          <w:sz w:val="20"/>
          <w:szCs w:val="20"/>
        </w:rPr>
        <w:t>Upon the closing, we will issue Convertible Preferred Stock, which will initially be convertible into an agg</w:t>
      </w:r>
      <w:r>
        <w:rPr>
          <w:rFonts w:eastAsia="Times New Roman"/>
          <w:color w:val="000000"/>
          <w:sz w:val="20"/>
          <w:szCs w:val="20"/>
        </w:rPr>
        <w:t>regate of 82,527,609 shares of our Common Stock (subject to adjustment). On an as-converted basis, we expect this to represent approximately 50.6% of our issued and outstanding Common Stock immediately following closing. In addition, we expect to issue sha</w:t>
      </w:r>
      <w:r>
        <w:rPr>
          <w:rFonts w:eastAsia="Times New Roman"/>
          <w:color w:val="000000"/>
          <w:sz w:val="20"/>
          <w:szCs w:val="20"/>
        </w:rPr>
        <w:t xml:space="preserve">res of Common Stock to the holders of our Notes upon exercise of their conversion rights and in payment of accrued interest at closing. As a result, our current stockholders will experience substantial dilution of any earnings per share we may have in the </w:t>
      </w:r>
      <w:r>
        <w:rPr>
          <w:rFonts w:eastAsia="Times New Roman"/>
          <w:color w:val="000000"/>
          <w:sz w:val="20"/>
          <w:szCs w:val="20"/>
        </w:rPr>
        <w:t>future, as well as of ownership percentage and voting rights. This could have the effect of depressing the market price of our Common Stock. Further, we expect to adjust the exercise price of our outstanding Series A Warrants in connection with the Transac</w:t>
      </w:r>
      <w:r>
        <w:rPr>
          <w:rFonts w:eastAsia="Times New Roman"/>
          <w:color w:val="000000"/>
          <w:sz w:val="20"/>
          <w:szCs w:val="20"/>
        </w:rPr>
        <w:t>tions (pursuant to an antidilution provision in the warrants), which may increase the likelihood of an exercise of the warrants.</w:t>
      </w:r>
    </w:p>
    <w:p w14:paraId="13850CA9" w14:textId="77777777" w:rsidR="00000000" w:rsidRDefault="00E614A4">
      <w:pPr>
        <w:jc w:val="both"/>
        <w:divId w:val="1337616055"/>
        <w:rPr>
          <w:rFonts w:eastAsia="Times New Roman"/>
        </w:rPr>
      </w:pPr>
      <w:r>
        <w:rPr>
          <w:rFonts w:eastAsia="Times New Roman"/>
          <w:b/>
          <w:bCs/>
          <w:i/>
          <w:iCs/>
          <w:color w:val="000000"/>
          <w:sz w:val="20"/>
          <w:szCs w:val="20"/>
        </w:rPr>
        <w:t>The market value of our Common Stock could decline if the Investors sell their Convertible Preferred Stock or Common Stock afte</w:t>
      </w:r>
      <w:r>
        <w:rPr>
          <w:rFonts w:eastAsia="Times New Roman"/>
          <w:b/>
          <w:bCs/>
          <w:i/>
          <w:iCs/>
          <w:color w:val="000000"/>
          <w:sz w:val="20"/>
          <w:szCs w:val="20"/>
        </w:rPr>
        <w:t>r certain transfer restrictions expire or if our current stockholders sell large amounts of Common Stock following the Transactions.</w:t>
      </w:r>
    </w:p>
    <w:p w14:paraId="72435B60" w14:textId="77777777" w:rsidR="00000000" w:rsidRDefault="00E614A4">
      <w:pPr>
        <w:jc w:val="both"/>
        <w:divId w:val="808018062"/>
        <w:rPr>
          <w:rFonts w:eastAsia="Times New Roman"/>
        </w:rPr>
      </w:pPr>
      <w:r>
        <w:rPr>
          <w:rFonts w:eastAsia="Times New Roman"/>
          <w:color w:val="000000"/>
          <w:sz w:val="20"/>
          <w:szCs w:val="20"/>
        </w:rPr>
        <w:t>Pursuant to the Stockholders Agreement, for one year following the closing, subject to certain exceptions, each Investor wi</w:t>
      </w:r>
      <w:r>
        <w:rPr>
          <w:rFonts w:eastAsia="Times New Roman"/>
          <w:color w:val="000000"/>
          <w:sz w:val="20"/>
          <w:szCs w:val="20"/>
        </w:rPr>
        <w:t>ll be prohibited from selling any shares of Convertible Preferred Stock held by such Investor, including any shares of Common Stock issued or issuable upon conversion of the Convertible Preferred Stock. Thereafter, until the second anniversary of the closi</w:t>
      </w:r>
      <w:r>
        <w:rPr>
          <w:rFonts w:eastAsia="Times New Roman"/>
          <w:color w:val="000000"/>
          <w:sz w:val="20"/>
          <w:szCs w:val="20"/>
        </w:rPr>
        <w:t>ng, and subject to certain exceptions, each Investor will agree not to sell more than 50% of such Investor's Initial Preferred Stock Ownership, including any shares of Common Stock issued or issuable upon conversion of such Convertible Preferred Stock. Pur</w:t>
      </w:r>
      <w:r>
        <w:rPr>
          <w:rFonts w:eastAsia="Times New Roman"/>
          <w:color w:val="000000"/>
          <w:sz w:val="20"/>
          <w:szCs w:val="20"/>
        </w:rPr>
        <w:t>suant to the Registration Rights Agreement that will be entered into in connection with closing, we will agree to register the resale of the shares of Convertible Preferred Stock and the shares of Common Stock underlying the Convertible Preferred Stock wit</w:t>
      </w:r>
      <w:r>
        <w:rPr>
          <w:rFonts w:eastAsia="Times New Roman"/>
          <w:color w:val="000000"/>
          <w:sz w:val="20"/>
          <w:szCs w:val="20"/>
        </w:rPr>
        <w:t>h the SEC, which means that such shares would become eligible for resale in the public markets following the expiration of any applicable transfer restrictions. Any sale of such shares, or the anticipation of the possibility of such sales, could create dow</w:t>
      </w:r>
      <w:r>
        <w:rPr>
          <w:rFonts w:eastAsia="Times New Roman"/>
          <w:color w:val="000000"/>
          <w:sz w:val="20"/>
          <w:szCs w:val="20"/>
        </w:rPr>
        <w:t>nward pressure on the market price of our Common Stock. Furthermore, our current stockholders may decide to reduce their investment in us due to the changes to our investment profile as a result of the Transactions, and may sell large amounts of Common Sto</w:t>
      </w:r>
      <w:r>
        <w:rPr>
          <w:rFonts w:eastAsia="Times New Roman"/>
          <w:color w:val="000000"/>
          <w:sz w:val="20"/>
          <w:szCs w:val="20"/>
        </w:rPr>
        <w:t>ck leading up to or following the Transactions. Such sales of our Common Stock could have the effect of depressing the market price for our Common Stock.</w:t>
      </w:r>
    </w:p>
    <w:p w14:paraId="1D15639E" w14:textId="77777777" w:rsidR="00000000" w:rsidRDefault="00E614A4">
      <w:pPr>
        <w:jc w:val="both"/>
        <w:divId w:val="1079867411"/>
        <w:rPr>
          <w:rFonts w:eastAsia="Times New Roman"/>
        </w:rPr>
      </w:pPr>
      <w:r>
        <w:rPr>
          <w:rFonts w:eastAsia="Times New Roman"/>
          <w:b/>
          <w:bCs/>
          <w:color w:val="000000"/>
          <w:sz w:val="20"/>
          <w:szCs w:val="20"/>
        </w:rPr>
        <w:t>Risks Related to Our Business and Our Technologies</w:t>
      </w:r>
    </w:p>
    <w:p w14:paraId="589B740C" w14:textId="77777777" w:rsidR="00000000" w:rsidRDefault="00E614A4">
      <w:pPr>
        <w:jc w:val="both"/>
        <w:divId w:val="510605233"/>
        <w:rPr>
          <w:rFonts w:eastAsia="Times New Roman"/>
        </w:rPr>
      </w:pPr>
      <w:r>
        <w:rPr>
          <w:rFonts w:eastAsia="Times New Roman"/>
          <w:b/>
          <w:bCs/>
          <w:i/>
          <w:iCs/>
          <w:color w:val="000000"/>
          <w:sz w:val="20"/>
          <w:szCs w:val="20"/>
        </w:rPr>
        <w:t>The COVID-19 pandemic and related economic repercussions could have material adverse effects on our business, financial position, results of operations and cash flows.</w:t>
      </w:r>
    </w:p>
    <w:p w14:paraId="5EBFCD6B" w14:textId="77777777" w:rsidR="00000000" w:rsidRDefault="00E614A4">
      <w:pPr>
        <w:jc w:val="both"/>
        <w:divId w:val="566108942"/>
        <w:rPr>
          <w:rFonts w:eastAsia="Times New Roman"/>
        </w:rPr>
      </w:pPr>
      <w:r>
        <w:rPr>
          <w:rFonts w:eastAsia="Times New Roman"/>
          <w:color w:val="000000"/>
          <w:sz w:val="20"/>
          <w:szCs w:val="20"/>
        </w:rPr>
        <w:t>The COVID-19 pandemic has caused massive disruption and uncertainty in domestic and glob</w:t>
      </w:r>
      <w:r>
        <w:rPr>
          <w:rFonts w:eastAsia="Times New Roman"/>
          <w:color w:val="000000"/>
          <w:sz w:val="20"/>
          <w:szCs w:val="20"/>
        </w:rPr>
        <w:t>al economies and particularly in the media, advertising and entertainment industries in which we operate. The extent to which the COVID-19 pandemic may ultimately impact our business is uncertain and will depend in large part on our customers, many of whom</w:t>
      </w:r>
      <w:r>
        <w:rPr>
          <w:rFonts w:eastAsia="Times New Roman"/>
          <w:color w:val="000000"/>
          <w:sz w:val="20"/>
          <w:szCs w:val="20"/>
        </w:rPr>
        <w:t xml:space="preserve"> have been significantly affected by measures taken to mitigate the spread of the virus. To date, the COVID-19 pandemic and related measures have had some impact on </w:t>
      </w:r>
    </w:p>
    <w:p w14:paraId="7F3872A2" w14:textId="77777777" w:rsidR="00000000" w:rsidRDefault="00E614A4">
      <w:pPr>
        <w:jc w:val="center"/>
        <w:divId w:val="1511260421"/>
        <w:rPr>
          <w:rFonts w:eastAsia="Times New Roman"/>
        </w:rPr>
      </w:pPr>
      <w:r>
        <w:rPr>
          <w:rFonts w:eastAsia="Times New Roman"/>
          <w:color w:val="000000"/>
          <w:sz w:val="20"/>
          <w:szCs w:val="20"/>
        </w:rPr>
        <w:t>15</w:t>
      </w:r>
    </w:p>
    <w:p w14:paraId="3392BF37" w14:textId="77777777" w:rsidR="00000000" w:rsidRDefault="00E614A4">
      <w:pPr>
        <w:rPr>
          <w:rFonts w:eastAsia="Times New Roman"/>
        </w:rPr>
      </w:pPr>
      <w:r>
        <w:rPr>
          <w:rFonts w:eastAsia="Times New Roman"/>
        </w:rPr>
        <w:pict w14:anchorId="5ECBD687">
          <v:rect id="_x0000_i1042" style="width:0;height:1.5pt" o:hralign="center" o:hrstd="t" o:hr="t" fillcolor="#a0a0a0" stroked="f"/>
        </w:pict>
      </w:r>
    </w:p>
    <w:p w14:paraId="1FBE7F51" w14:textId="77777777" w:rsidR="00000000" w:rsidRDefault="00E614A4">
      <w:pPr>
        <w:divId w:val="92118602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A271433" w14:textId="77777777" w:rsidR="00000000" w:rsidRDefault="00E614A4">
      <w:pPr>
        <w:divId w:val="1693606593"/>
        <w:rPr>
          <w:rFonts w:eastAsia="Times New Roman"/>
        </w:rPr>
      </w:pPr>
    </w:p>
    <w:p w14:paraId="783ED731" w14:textId="77777777" w:rsidR="00000000" w:rsidRDefault="00E614A4">
      <w:pPr>
        <w:jc w:val="both"/>
        <w:divId w:val="1346590988"/>
        <w:rPr>
          <w:rFonts w:eastAsia="Times New Roman"/>
        </w:rPr>
      </w:pPr>
      <w:r>
        <w:rPr>
          <w:rFonts w:eastAsia="Times New Roman"/>
          <w:color w:val="000000"/>
          <w:sz w:val="20"/>
          <w:szCs w:val="20"/>
        </w:rPr>
        <w:t>our business, including with respect to the execution of new and renewal contracts, the impact of closed movie theaters on our customers, customer payment delays and requ</w:t>
      </w:r>
      <w:r>
        <w:rPr>
          <w:rFonts w:eastAsia="Times New Roman"/>
          <w:color w:val="000000"/>
          <w:sz w:val="20"/>
          <w:szCs w:val="20"/>
        </w:rPr>
        <w:t>ests to modify contractual payment terms, particularly in our Movies Reporting and Analytics business. These conditions have negatively impacted our operating cash flows, net loss and financial position. If the U.S. and global economies do not recover in t</w:t>
      </w:r>
      <w:r>
        <w:rPr>
          <w:rFonts w:eastAsia="Times New Roman"/>
          <w:color w:val="000000"/>
          <w:sz w:val="20"/>
          <w:szCs w:val="20"/>
        </w:rPr>
        <w:t>he near term, or if recovery is delayed or limited in certain sectors due to longer term changes in consumer behavior, our customers may continue to delay their payments to us, may defer or reduce their purchases from us, or may experience bankruptcy event</w:t>
      </w:r>
      <w:r>
        <w:rPr>
          <w:rFonts w:eastAsia="Times New Roman"/>
          <w:color w:val="000000"/>
          <w:sz w:val="20"/>
          <w:szCs w:val="20"/>
        </w:rPr>
        <w:t>s, any of which could have a material adverse effect on our business and financial performance. Due to our largely subscription-based business model, the effects of COVID-19 may not be fully reflected in our results of operations until future periods.</w:t>
      </w:r>
    </w:p>
    <w:p w14:paraId="1DD27DDF" w14:textId="77777777" w:rsidR="00000000" w:rsidRDefault="00E614A4">
      <w:pPr>
        <w:jc w:val="both"/>
        <w:divId w:val="1445730822"/>
        <w:rPr>
          <w:rFonts w:eastAsia="Times New Roman"/>
        </w:rPr>
      </w:pPr>
      <w:r>
        <w:rPr>
          <w:rFonts w:eastAsia="Times New Roman"/>
          <w:color w:val="000000"/>
          <w:sz w:val="20"/>
          <w:szCs w:val="20"/>
        </w:rPr>
        <w:t>Give</w:t>
      </w:r>
      <w:r>
        <w:rPr>
          <w:rFonts w:eastAsia="Times New Roman"/>
          <w:color w:val="000000"/>
          <w:sz w:val="20"/>
          <w:szCs w:val="20"/>
        </w:rPr>
        <w:t xml:space="preserve">n the nature and significance of these events, we are unable to enumerate all potential risks to our business from the COVID-19 pandemic. However, we believe that in addition to the impacts described above, other current and potential impacts include, but </w:t>
      </w:r>
      <w:r>
        <w:rPr>
          <w:rFonts w:eastAsia="Times New Roman"/>
          <w:color w:val="000000"/>
          <w:sz w:val="20"/>
          <w:szCs w:val="20"/>
        </w:rPr>
        <w:t>are not limited to:</w:t>
      </w:r>
    </w:p>
    <w:p w14:paraId="2F338C49" w14:textId="77777777" w:rsidR="00000000" w:rsidRDefault="00E614A4">
      <w:pPr>
        <w:ind w:hanging="540"/>
        <w:divId w:val="1904020633"/>
        <w:rPr>
          <w:rFonts w:eastAsia="Times New Roman"/>
        </w:rPr>
      </w:pPr>
      <w:r>
        <w:rPr>
          <w:rFonts w:eastAsia="Times New Roman"/>
          <w:color w:val="000000"/>
          <w:sz w:val="20"/>
          <w:szCs w:val="20"/>
        </w:rPr>
        <w:t>•notices from customers and vendors arguing that any non-performance under our contracts with them is permitted as a result of force majeure or other reasons;</w:t>
      </w:r>
    </w:p>
    <w:p w14:paraId="67998FCE" w14:textId="77777777" w:rsidR="00000000" w:rsidRDefault="00E614A4">
      <w:pPr>
        <w:ind w:hanging="540"/>
        <w:divId w:val="1322154895"/>
        <w:rPr>
          <w:rFonts w:eastAsia="Times New Roman"/>
        </w:rPr>
      </w:pPr>
      <w:r>
        <w:rPr>
          <w:rFonts w:eastAsia="Times New Roman"/>
          <w:color w:val="000000"/>
          <w:sz w:val="20"/>
          <w:szCs w:val="20"/>
        </w:rPr>
        <w:t xml:space="preserve">•delays in meeting our payment obligations to vendors or others, which could </w:t>
      </w:r>
      <w:r>
        <w:rPr>
          <w:rFonts w:eastAsia="Times New Roman"/>
          <w:color w:val="000000"/>
          <w:sz w:val="20"/>
          <w:szCs w:val="20"/>
        </w:rPr>
        <w:t>result in the loss of goods and services necessary to operate our business;</w:t>
      </w:r>
    </w:p>
    <w:p w14:paraId="092EB006" w14:textId="77777777" w:rsidR="00000000" w:rsidRDefault="00E614A4">
      <w:pPr>
        <w:ind w:hanging="540"/>
        <w:divId w:val="945848285"/>
        <w:rPr>
          <w:rFonts w:eastAsia="Times New Roman"/>
        </w:rPr>
      </w:pPr>
      <w:r>
        <w:rPr>
          <w:rFonts w:eastAsia="Times New Roman"/>
          <w:color w:val="000000"/>
          <w:sz w:val="20"/>
          <w:szCs w:val="20"/>
        </w:rPr>
        <w:t>•inefficiencies, increased security risks and privacy concerns surrounding remote working arrangements, under which most of our employees are currently operating;</w:t>
      </w:r>
    </w:p>
    <w:p w14:paraId="5F239604" w14:textId="77777777" w:rsidR="00000000" w:rsidRDefault="00E614A4">
      <w:pPr>
        <w:ind w:hanging="540"/>
        <w:divId w:val="1729767576"/>
        <w:rPr>
          <w:rFonts w:eastAsia="Times New Roman"/>
        </w:rPr>
      </w:pPr>
      <w:r>
        <w:rPr>
          <w:rFonts w:eastAsia="Times New Roman"/>
          <w:color w:val="000000"/>
          <w:sz w:val="20"/>
          <w:szCs w:val="20"/>
        </w:rPr>
        <w:t>•diversion of man</w:t>
      </w:r>
      <w:r>
        <w:rPr>
          <w:rFonts w:eastAsia="Times New Roman"/>
          <w:color w:val="000000"/>
          <w:sz w:val="20"/>
          <w:szCs w:val="20"/>
        </w:rPr>
        <w:t>agement time and resources related to business continuity planning;</w:t>
      </w:r>
    </w:p>
    <w:p w14:paraId="733F0E5D" w14:textId="77777777" w:rsidR="00000000" w:rsidRDefault="00E614A4">
      <w:pPr>
        <w:ind w:hanging="540"/>
        <w:divId w:val="1394156089"/>
        <w:rPr>
          <w:rFonts w:eastAsia="Times New Roman"/>
        </w:rPr>
      </w:pPr>
      <w:r>
        <w:rPr>
          <w:rFonts w:eastAsia="Times New Roman"/>
          <w:color w:val="000000"/>
          <w:sz w:val="20"/>
          <w:szCs w:val="20"/>
        </w:rPr>
        <w:t>•disruptions from operational changes we have undertaken or may undertake to manage liquidity risk, including lease and contract terminations, workforce reductions, furloughs and other cos</w:t>
      </w:r>
      <w:r>
        <w:rPr>
          <w:rFonts w:eastAsia="Times New Roman"/>
          <w:color w:val="000000"/>
          <w:sz w:val="20"/>
          <w:szCs w:val="20"/>
        </w:rPr>
        <w:t>t-reduction initiatives;</w:t>
      </w:r>
    </w:p>
    <w:p w14:paraId="5516E9BD" w14:textId="77777777" w:rsidR="00000000" w:rsidRDefault="00E614A4">
      <w:pPr>
        <w:ind w:hanging="540"/>
        <w:divId w:val="2048986482"/>
        <w:rPr>
          <w:rFonts w:eastAsia="Times New Roman"/>
        </w:rPr>
      </w:pPr>
      <w:r>
        <w:rPr>
          <w:rFonts w:eastAsia="Times New Roman"/>
          <w:color w:val="000000"/>
          <w:sz w:val="20"/>
          <w:szCs w:val="20"/>
        </w:rPr>
        <w:t>•challenges in complying with our existing debt obligations or expected dividend requirements;</w:t>
      </w:r>
    </w:p>
    <w:p w14:paraId="6B11DD7C" w14:textId="77777777" w:rsidR="00000000" w:rsidRDefault="00E614A4">
      <w:pPr>
        <w:ind w:hanging="540"/>
        <w:divId w:val="1485706772"/>
        <w:rPr>
          <w:rFonts w:eastAsia="Times New Roman"/>
        </w:rPr>
      </w:pPr>
      <w:r>
        <w:rPr>
          <w:rFonts w:eastAsia="Times New Roman"/>
          <w:color w:val="000000"/>
          <w:sz w:val="20"/>
          <w:szCs w:val="20"/>
        </w:rPr>
        <w:t>•unfavorable capital and credit market conditions, which could impact our ability to obtain future financing;</w:t>
      </w:r>
    </w:p>
    <w:p w14:paraId="276AD87B" w14:textId="77777777" w:rsidR="00000000" w:rsidRDefault="00E614A4">
      <w:pPr>
        <w:ind w:hanging="540"/>
        <w:divId w:val="2087070344"/>
        <w:rPr>
          <w:rFonts w:eastAsia="Times New Roman"/>
        </w:rPr>
      </w:pPr>
      <w:r>
        <w:rPr>
          <w:rFonts w:eastAsia="Times New Roman"/>
          <w:color w:val="000000"/>
          <w:sz w:val="20"/>
          <w:szCs w:val="20"/>
        </w:rPr>
        <w:t>•</w:t>
      </w:r>
      <w:r>
        <w:rPr>
          <w:rFonts w:eastAsia="Times New Roman"/>
          <w:color w:val="000000"/>
          <w:sz w:val="20"/>
          <w:szCs w:val="20"/>
        </w:rPr>
        <w:t>heightened sensitivity from government regulators, particularly with respect to privacy compliance and cybersecurity in the current environment;</w:t>
      </w:r>
    </w:p>
    <w:p w14:paraId="48FFB908" w14:textId="77777777" w:rsidR="00000000" w:rsidRDefault="00E614A4">
      <w:pPr>
        <w:ind w:hanging="540"/>
        <w:divId w:val="998117044"/>
        <w:rPr>
          <w:rFonts w:eastAsia="Times New Roman"/>
        </w:rPr>
      </w:pPr>
      <w:r>
        <w:rPr>
          <w:rFonts w:eastAsia="Times New Roman"/>
          <w:color w:val="000000"/>
          <w:sz w:val="20"/>
          <w:szCs w:val="20"/>
        </w:rPr>
        <w:t>•further impairment of lease-related assets, goodwill or other intangible assets; and</w:t>
      </w:r>
    </w:p>
    <w:p w14:paraId="156A3349" w14:textId="77777777" w:rsidR="00000000" w:rsidRDefault="00E614A4">
      <w:pPr>
        <w:ind w:hanging="540"/>
        <w:divId w:val="759716090"/>
        <w:rPr>
          <w:rFonts w:eastAsia="Times New Roman"/>
        </w:rPr>
      </w:pPr>
      <w:r>
        <w:rPr>
          <w:rFonts w:eastAsia="Times New Roman"/>
          <w:color w:val="000000"/>
          <w:sz w:val="20"/>
          <w:szCs w:val="20"/>
        </w:rPr>
        <w:t>•litigation risk and poss</w:t>
      </w:r>
      <w:r>
        <w:rPr>
          <w:rFonts w:eastAsia="Times New Roman"/>
          <w:color w:val="000000"/>
          <w:sz w:val="20"/>
          <w:szCs w:val="20"/>
        </w:rPr>
        <w:t>ible loss contingencies related to COVID-19 and its impact, including with respect to our debt facilities, leases, commercial contracts, employee matters and insurance arrangements.</w:t>
      </w:r>
    </w:p>
    <w:p w14:paraId="263E4705" w14:textId="77777777" w:rsidR="00000000" w:rsidRDefault="00E614A4">
      <w:pPr>
        <w:jc w:val="both"/>
        <w:divId w:val="397174665"/>
        <w:rPr>
          <w:rFonts w:eastAsia="Times New Roman"/>
        </w:rPr>
      </w:pPr>
      <w:r>
        <w:rPr>
          <w:rFonts w:eastAsia="Times New Roman"/>
          <w:color w:val="000000"/>
          <w:sz w:val="20"/>
          <w:szCs w:val="20"/>
        </w:rPr>
        <w:t>We cannot predict the duration or magnitude of the COVID-19 pandemic or it</w:t>
      </w:r>
      <w:r>
        <w:rPr>
          <w:rFonts w:eastAsia="Times New Roman"/>
          <w:color w:val="000000"/>
          <w:sz w:val="20"/>
          <w:szCs w:val="20"/>
        </w:rPr>
        <w:t>s effects on our business or financial performance in the future; nor can we guarantee that any measures we take to mitigate the impact will be successful. To the extent COVID-19 continues to adversely affect our business, financial condition, results of o</w:t>
      </w:r>
      <w:r>
        <w:rPr>
          <w:rFonts w:eastAsia="Times New Roman"/>
          <w:color w:val="000000"/>
          <w:sz w:val="20"/>
          <w:szCs w:val="20"/>
        </w:rPr>
        <w:t>peration or cash flows, it may also have the effect of heightening many of the other risks described below.</w:t>
      </w:r>
    </w:p>
    <w:p w14:paraId="3E3759F1" w14:textId="77777777" w:rsidR="00000000" w:rsidRDefault="00E614A4">
      <w:pPr>
        <w:divId w:val="384257265"/>
        <w:rPr>
          <w:rFonts w:eastAsia="Times New Roman"/>
        </w:rPr>
      </w:pPr>
      <w:r>
        <w:rPr>
          <w:rFonts w:eastAsia="Times New Roman"/>
          <w:b/>
          <w:bCs/>
          <w:i/>
          <w:iCs/>
          <w:color w:val="000000"/>
          <w:sz w:val="20"/>
          <w:szCs w:val="20"/>
        </w:rPr>
        <w:t>The COVID-19 pandemic and related economic repercussions have impacted our cash flows, which could impact our ability to comply with the restrictive</w:t>
      </w:r>
      <w:r>
        <w:rPr>
          <w:rFonts w:eastAsia="Times New Roman"/>
          <w:b/>
          <w:bCs/>
          <w:i/>
          <w:iCs/>
          <w:color w:val="000000"/>
          <w:sz w:val="20"/>
          <w:szCs w:val="20"/>
        </w:rPr>
        <w:t xml:space="preserve"> covenants in the agreements governing our debt or, after the Transactions, our ability to make required dividend payments.</w:t>
      </w:r>
    </w:p>
    <w:p w14:paraId="6C824532" w14:textId="77777777" w:rsidR="00000000" w:rsidRDefault="00E614A4">
      <w:pPr>
        <w:jc w:val="both"/>
        <w:divId w:val="1377656625"/>
        <w:rPr>
          <w:rFonts w:eastAsia="Times New Roman"/>
        </w:rPr>
      </w:pPr>
      <w:r>
        <w:rPr>
          <w:rFonts w:eastAsia="Times New Roman"/>
          <w:color w:val="000000"/>
          <w:sz w:val="20"/>
          <w:szCs w:val="20"/>
        </w:rPr>
        <w:t>The agreements governing our debt contain affirmative and negative covenants that limit our ability to take certain actions. Our Not</w:t>
      </w:r>
      <w:r>
        <w:rPr>
          <w:rFonts w:eastAsia="Times New Roman"/>
          <w:color w:val="000000"/>
          <w:sz w:val="20"/>
          <w:szCs w:val="20"/>
        </w:rPr>
        <w:t>es also require us to maintain a $40.0 million minimum cash balance, which we calculate based on our total cash, cash equivalents and restricted cash. Failure to meet our obligations under the Notes could lead to an Event of Default (as defined in the Note</w:t>
      </w:r>
      <w:r>
        <w:rPr>
          <w:rFonts w:eastAsia="Times New Roman"/>
          <w:color w:val="000000"/>
          <w:sz w:val="20"/>
          <w:szCs w:val="20"/>
        </w:rPr>
        <w:t>s), which could have important consequences including, potentially, forcing us into bankruptcy or liquidation.</w:t>
      </w:r>
    </w:p>
    <w:p w14:paraId="5CA5766A" w14:textId="77777777" w:rsidR="00000000" w:rsidRDefault="00E614A4">
      <w:pPr>
        <w:jc w:val="both"/>
        <w:divId w:val="190072076"/>
        <w:rPr>
          <w:rFonts w:eastAsia="Times New Roman"/>
        </w:rPr>
      </w:pPr>
      <w:r>
        <w:rPr>
          <w:rFonts w:eastAsia="Times New Roman"/>
          <w:color w:val="000000"/>
          <w:sz w:val="20"/>
          <w:szCs w:val="20"/>
        </w:rPr>
        <w:t>Following the Transactions, the holders of Convertible Preferred Stock will be entitled to a cumulative cash dividend at a rate of 7.5% per year,</w:t>
      </w:r>
      <w:r>
        <w:rPr>
          <w:rFonts w:eastAsia="Times New Roman"/>
          <w:color w:val="000000"/>
          <w:sz w:val="20"/>
          <w:szCs w:val="20"/>
        </w:rPr>
        <w:t xml:space="preserve"> paid annually in arrears. If we fail to declare and pay a full annual dividend on any dividend payment date, then any dividends otherwise payable on that date will continue to accrue and cumulate at a rate of 9.5% per year until the failure is cured. More</w:t>
      </w:r>
      <w:r>
        <w:rPr>
          <w:rFonts w:eastAsia="Times New Roman"/>
          <w:color w:val="000000"/>
          <w:sz w:val="20"/>
          <w:szCs w:val="20"/>
        </w:rPr>
        <w:t>over, if we breach any of the consent rights set forth in the Stockholders Agreement (as described above), the dividend rate will increase to 9.5% until the breach is cured.</w:t>
      </w:r>
    </w:p>
    <w:p w14:paraId="52BCA609" w14:textId="77777777" w:rsidR="00000000" w:rsidRDefault="00E614A4">
      <w:pPr>
        <w:jc w:val="both"/>
        <w:divId w:val="1968049896"/>
        <w:rPr>
          <w:rFonts w:eastAsia="Times New Roman"/>
        </w:rPr>
      </w:pPr>
      <w:r>
        <w:rPr>
          <w:rFonts w:eastAsia="Times New Roman"/>
          <w:color w:val="000000"/>
          <w:sz w:val="20"/>
          <w:szCs w:val="20"/>
        </w:rPr>
        <w:t xml:space="preserve">The COVID-19 pandemic is impacting the execution of new and renewal contracts and </w:t>
      </w:r>
      <w:r>
        <w:rPr>
          <w:rFonts w:eastAsia="Times New Roman"/>
          <w:color w:val="000000"/>
          <w:sz w:val="20"/>
          <w:szCs w:val="20"/>
        </w:rPr>
        <w:t>is creating customer payment delays and requests to modify contractual payment terms, particularly in our Movies Reporting and Analytics business. These conditions have negatively impacted our liquidity and cash flows and could have a more significant impa</w:t>
      </w:r>
      <w:r>
        <w:rPr>
          <w:rFonts w:eastAsia="Times New Roman"/>
          <w:color w:val="000000"/>
          <w:sz w:val="20"/>
          <w:szCs w:val="20"/>
        </w:rPr>
        <w:t>ct in future periods. As of December 31, 2020, we had cash, cash equivalents and restricted cash totaling $50.7 million, including $19.6 million in restricted cash, and we were in compliance with the covenants under the Notes and our Secured Term Note; how</w:t>
      </w:r>
      <w:r>
        <w:rPr>
          <w:rFonts w:eastAsia="Times New Roman"/>
          <w:color w:val="000000"/>
          <w:sz w:val="20"/>
          <w:szCs w:val="20"/>
        </w:rPr>
        <w:t>ever, in the second quarter of 2020, the holders of the Notes questioned our compliance with the minimum cash balance requirements therein. If the U.S. and global economies do not recover in the near term, or if recovery is delayed or limited in certain se</w:t>
      </w:r>
      <w:r>
        <w:rPr>
          <w:rFonts w:eastAsia="Times New Roman"/>
          <w:color w:val="000000"/>
          <w:sz w:val="20"/>
          <w:szCs w:val="20"/>
        </w:rPr>
        <w:t>ctors due to longer term changes in consumer behavior, our cash flows could be further impacted, which could impact our ability to satisfy the covenants in the agreements governing our debt, including the minimum cash balance requirement in the Notes, or t</w:t>
      </w:r>
      <w:r>
        <w:rPr>
          <w:rFonts w:eastAsia="Times New Roman"/>
          <w:color w:val="000000"/>
          <w:sz w:val="20"/>
          <w:szCs w:val="20"/>
        </w:rPr>
        <w:t>o pay required dividends following the closing of the Transactions.</w:t>
      </w:r>
    </w:p>
    <w:p w14:paraId="2A3A85D5" w14:textId="77777777" w:rsidR="00000000" w:rsidRDefault="00E614A4">
      <w:pPr>
        <w:jc w:val="center"/>
        <w:divId w:val="1509248321"/>
        <w:rPr>
          <w:rFonts w:eastAsia="Times New Roman"/>
        </w:rPr>
      </w:pPr>
      <w:r>
        <w:rPr>
          <w:rFonts w:eastAsia="Times New Roman"/>
          <w:color w:val="000000"/>
          <w:sz w:val="20"/>
          <w:szCs w:val="20"/>
        </w:rPr>
        <w:t>16</w:t>
      </w:r>
    </w:p>
    <w:p w14:paraId="222CF8B3" w14:textId="77777777" w:rsidR="00000000" w:rsidRDefault="00E614A4">
      <w:pPr>
        <w:rPr>
          <w:rFonts w:eastAsia="Times New Roman"/>
        </w:rPr>
      </w:pPr>
      <w:r>
        <w:rPr>
          <w:rFonts w:eastAsia="Times New Roman"/>
        </w:rPr>
        <w:pict w14:anchorId="4CF1DE32">
          <v:rect id="_x0000_i1043" style="width:0;height:1.5pt" o:hralign="center" o:hrstd="t" o:hr="t" fillcolor="#a0a0a0" stroked="f"/>
        </w:pict>
      </w:r>
    </w:p>
    <w:p w14:paraId="324DA6F9" w14:textId="77777777" w:rsidR="00000000" w:rsidRDefault="00E614A4">
      <w:pPr>
        <w:divId w:val="1133326298"/>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80B5DEB" w14:textId="77777777" w:rsidR="00000000" w:rsidRDefault="00E614A4">
      <w:pPr>
        <w:divId w:val="1604531265"/>
        <w:rPr>
          <w:rFonts w:eastAsia="Times New Roman"/>
        </w:rPr>
      </w:pPr>
    </w:p>
    <w:p w14:paraId="171EFACF" w14:textId="77777777" w:rsidR="00000000" w:rsidRDefault="00E614A4">
      <w:pPr>
        <w:divId w:val="820073820"/>
        <w:rPr>
          <w:rFonts w:eastAsia="Times New Roman"/>
        </w:rPr>
      </w:pPr>
      <w:r>
        <w:rPr>
          <w:rFonts w:eastAsia="Times New Roman"/>
          <w:b/>
          <w:bCs/>
          <w:i/>
          <w:iCs/>
          <w:color w:val="000000"/>
          <w:sz w:val="20"/>
          <w:szCs w:val="20"/>
        </w:rPr>
        <w:t>The market for media measurement and analytics products is highly competitive, and if we cannot compete effectively, our revenues could decline and our business could be harmed.</w:t>
      </w:r>
    </w:p>
    <w:p w14:paraId="1A888309" w14:textId="77777777" w:rsidR="00000000" w:rsidRDefault="00E614A4">
      <w:pPr>
        <w:jc w:val="both"/>
        <w:divId w:val="1223062093"/>
        <w:rPr>
          <w:rFonts w:eastAsia="Times New Roman"/>
        </w:rPr>
      </w:pPr>
      <w:r>
        <w:rPr>
          <w:rFonts w:eastAsia="Times New Roman"/>
          <w:color w:val="000000"/>
          <w:sz w:val="20"/>
          <w:szCs w:val="20"/>
        </w:rPr>
        <w:t>The market for audience and advertising measurement products is highly competi</w:t>
      </w:r>
      <w:r>
        <w:rPr>
          <w:rFonts w:eastAsia="Times New Roman"/>
          <w:color w:val="000000"/>
          <w:sz w:val="20"/>
          <w:szCs w:val="20"/>
        </w:rPr>
        <w:t xml:space="preserve">tive and is evolving rapidly. We compete primarily with providers of media intelligence and related analytical products and services. We also compete with providers of marketing services and solutions, with full-service survey providers, and with internal </w:t>
      </w:r>
      <w:r>
        <w:rPr>
          <w:rFonts w:eastAsia="Times New Roman"/>
          <w:color w:val="000000"/>
          <w:sz w:val="20"/>
          <w:szCs w:val="20"/>
        </w:rPr>
        <w:t xml:space="preserve">solutions developed by customers and potential customers. Some of our competitors have longer operating histories, access to larger customer bases and substantially greater resources than we do. As a result, these competitors may be able to devote greater </w:t>
      </w:r>
      <w:r>
        <w:rPr>
          <w:rFonts w:eastAsia="Times New Roman"/>
          <w:color w:val="000000"/>
          <w:sz w:val="20"/>
          <w:szCs w:val="20"/>
        </w:rPr>
        <w:t>resources to marketing and promotional campaigns, panel retention, panel development, or development of systems and technologies than we can. In addition, some of our competitors have adopted and may continue to adopt aggressive pricing policies, including</w:t>
      </w:r>
      <w:r>
        <w:rPr>
          <w:rFonts w:eastAsia="Times New Roman"/>
          <w:color w:val="000000"/>
          <w:sz w:val="20"/>
          <w:szCs w:val="20"/>
        </w:rPr>
        <w:t xml:space="preserve"> the provision of certain services at little or no cost, in order to retain or acquire customers. Furthermore, large software companies, internet portals and database management companies may enter our market or enhance their current offerings, either by d</w:t>
      </w:r>
      <w:r>
        <w:rPr>
          <w:rFonts w:eastAsia="Times New Roman"/>
          <w:color w:val="000000"/>
          <w:sz w:val="20"/>
          <w:szCs w:val="20"/>
        </w:rPr>
        <w:t>eveloping competing services or by acquiring our competitors, and could leverage their significant resources and pre-existing relationships with our current and potential customers. Finally, consolidation of our competitors could make it difficult for us t</w:t>
      </w:r>
      <w:r>
        <w:rPr>
          <w:rFonts w:eastAsia="Times New Roman"/>
          <w:color w:val="000000"/>
          <w:sz w:val="20"/>
          <w:szCs w:val="20"/>
        </w:rPr>
        <w:t>o compete effectively. If we are unable to compete successfully against our current and future competitors, we may not be able to retain and acquire customers, and we may consequently experience a decline in revenues, reduced operating margins, loss of mar</w:t>
      </w:r>
      <w:r>
        <w:rPr>
          <w:rFonts w:eastAsia="Times New Roman"/>
          <w:color w:val="000000"/>
          <w:sz w:val="20"/>
          <w:szCs w:val="20"/>
        </w:rPr>
        <w:t>ket share and diminished value from our products.</w:t>
      </w:r>
    </w:p>
    <w:p w14:paraId="0217ADB7" w14:textId="77777777" w:rsidR="00000000" w:rsidRDefault="00E614A4">
      <w:pPr>
        <w:jc w:val="both"/>
        <w:divId w:val="193618239"/>
        <w:rPr>
          <w:rFonts w:eastAsia="Times New Roman"/>
        </w:rPr>
      </w:pPr>
      <w:r>
        <w:rPr>
          <w:rFonts w:eastAsia="Times New Roman"/>
          <w:b/>
          <w:bCs/>
          <w:i/>
          <w:iCs/>
          <w:color w:val="000000"/>
          <w:sz w:val="20"/>
          <w:szCs w:val="20"/>
        </w:rPr>
        <w:t>The market for cross-platform products is developing, and if it does not develop further, or develops more slowly than expected, our business could be harmed.</w:t>
      </w:r>
    </w:p>
    <w:p w14:paraId="616FF6DB" w14:textId="77777777" w:rsidR="00000000" w:rsidRDefault="00E614A4">
      <w:pPr>
        <w:jc w:val="both"/>
        <w:divId w:val="1431774482"/>
        <w:rPr>
          <w:rFonts w:eastAsia="Times New Roman"/>
        </w:rPr>
      </w:pPr>
      <w:r>
        <w:rPr>
          <w:rFonts w:eastAsia="Times New Roman"/>
          <w:color w:val="000000"/>
          <w:sz w:val="20"/>
          <w:szCs w:val="20"/>
        </w:rPr>
        <w:t>The market for cross-platform products is still</w:t>
      </w:r>
      <w:r>
        <w:rPr>
          <w:rFonts w:eastAsia="Times New Roman"/>
          <w:color w:val="000000"/>
          <w:sz w:val="20"/>
          <w:szCs w:val="20"/>
        </w:rPr>
        <w:t xml:space="preserve"> developing, and it is uncertain whether these products will achieve or maintain high levels of demand and increased market acceptance. Our success will depend to a substantial extent on the willingness of companies to increase their use of such products a</w:t>
      </w:r>
      <w:r>
        <w:rPr>
          <w:rFonts w:eastAsia="Times New Roman"/>
          <w:color w:val="000000"/>
          <w:sz w:val="20"/>
          <w:szCs w:val="20"/>
        </w:rPr>
        <w:t>nd to continue use of such products on a long-term basis. Factors that may affect market acceptance include:</w:t>
      </w:r>
    </w:p>
    <w:p w14:paraId="1F5E244D" w14:textId="77777777" w:rsidR="00000000" w:rsidRDefault="00E614A4">
      <w:pPr>
        <w:ind w:hanging="360"/>
        <w:divId w:val="753665582"/>
        <w:rPr>
          <w:rFonts w:eastAsia="Times New Roman"/>
        </w:rPr>
      </w:pPr>
      <w:r>
        <w:rPr>
          <w:rFonts w:eastAsia="Times New Roman"/>
          <w:color w:val="000000"/>
          <w:sz w:val="20"/>
          <w:szCs w:val="20"/>
        </w:rPr>
        <w:t>•the reliability of cross-platform products;</w:t>
      </w:r>
    </w:p>
    <w:p w14:paraId="79A3684C" w14:textId="77777777" w:rsidR="00000000" w:rsidRDefault="00E614A4">
      <w:pPr>
        <w:ind w:hanging="360"/>
        <w:jc w:val="both"/>
        <w:divId w:val="530994926"/>
        <w:rPr>
          <w:rFonts w:eastAsia="Times New Roman"/>
        </w:rPr>
      </w:pPr>
      <w:r>
        <w:rPr>
          <w:rFonts w:eastAsia="Times New Roman"/>
          <w:color w:val="000000"/>
          <w:sz w:val="20"/>
          <w:szCs w:val="20"/>
        </w:rPr>
        <w:t>•decisions of our customers and potential customers to develop cross-platform solutions internally rat</w:t>
      </w:r>
      <w:r>
        <w:rPr>
          <w:rFonts w:eastAsia="Times New Roman"/>
          <w:color w:val="000000"/>
          <w:sz w:val="20"/>
          <w:szCs w:val="20"/>
        </w:rPr>
        <w:t>her than purchasing such products from third-party suppliers like us;</w:t>
      </w:r>
    </w:p>
    <w:p w14:paraId="0CE53302" w14:textId="77777777" w:rsidR="00000000" w:rsidRDefault="00E614A4">
      <w:pPr>
        <w:ind w:hanging="360"/>
        <w:jc w:val="both"/>
        <w:divId w:val="318463061"/>
        <w:rPr>
          <w:rFonts w:eastAsia="Times New Roman"/>
        </w:rPr>
      </w:pPr>
      <w:r>
        <w:rPr>
          <w:rFonts w:eastAsia="Times New Roman"/>
          <w:color w:val="000000"/>
          <w:sz w:val="20"/>
          <w:szCs w:val="20"/>
        </w:rPr>
        <w:t>•decisions by industry associations in the U.S. or in other countries that result in association-directed awards of measurement contracts to one or a limited number of competitive vendor</w:t>
      </w:r>
      <w:r>
        <w:rPr>
          <w:rFonts w:eastAsia="Times New Roman"/>
          <w:color w:val="000000"/>
          <w:sz w:val="20"/>
          <w:szCs w:val="20"/>
        </w:rPr>
        <w:t>s;</w:t>
      </w:r>
    </w:p>
    <w:p w14:paraId="4FE28FE5" w14:textId="77777777" w:rsidR="00000000" w:rsidRDefault="00E614A4">
      <w:pPr>
        <w:ind w:hanging="360"/>
        <w:jc w:val="both"/>
        <w:divId w:val="1218317892"/>
        <w:rPr>
          <w:rFonts w:eastAsia="Times New Roman"/>
        </w:rPr>
      </w:pPr>
      <w:r>
        <w:rPr>
          <w:rFonts w:eastAsia="Times New Roman"/>
          <w:color w:val="000000"/>
          <w:sz w:val="20"/>
          <w:szCs w:val="20"/>
        </w:rPr>
        <w:t>•the rate of growth in e-commerce and mobile commerce, cross-platform focused advertising and continued growth in television and digital media consumption; and</w:t>
      </w:r>
    </w:p>
    <w:p w14:paraId="41B71890" w14:textId="77777777" w:rsidR="00000000" w:rsidRDefault="00E614A4">
      <w:pPr>
        <w:ind w:hanging="360"/>
        <w:divId w:val="1287354347"/>
        <w:rPr>
          <w:rFonts w:eastAsia="Times New Roman"/>
        </w:rPr>
      </w:pPr>
      <w:r>
        <w:rPr>
          <w:rFonts w:eastAsia="Times New Roman"/>
          <w:color w:val="000000"/>
          <w:sz w:val="20"/>
          <w:szCs w:val="20"/>
        </w:rPr>
        <w:t>•public and regulatory concern regarding privacy and data security.</w:t>
      </w:r>
    </w:p>
    <w:p w14:paraId="28361405" w14:textId="77777777" w:rsidR="00000000" w:rsidRDefault="00E614A4">
      <w:pPr>
        <w:jc w:val="both"/>
        <w:divId w:val="478158716"/>
        <w:rPr>
          <w:rFonts w:eastAsia="Times New Roman"/>
        </w:rPr>
      </w:pPr>
      <w:r>
        <w:rPr>
          <w:rFonts w:eastAsia="Times New Roman"/>
          <w:color w:val="000000"/>
          <w:sz w:val="20"/>
          <w:szCs w:val="20"/>
        </w:rPr>
        <w:t>The adoption of advertisi</w:t>
      </w:r>
      <w:r>
        <w:rPr>
          <w:rFonts w:eastAsia="Times New Roman"/>
          <w:color w:val="000000"/>
          <w:sz w:val="20"/>
          <w:szCs w:val="20"/>
        </w:rPr>
        <w:t>ng across television and digital platforms, particularly by advertisers that have historically relied on traditional offline media, requires the acceptance of new approaches to conducting business and a willingness to invest in such new approaches. Moreove</w:t>
      </w:r>
      <w:r>
        <w:rPr>
          <w:rFonts w:eastAsia="Times New Roman"/>
          <w:color w:val="000000"/>
          <w:sz w:val="20"/>
          <w:szCs w:val="20"/>
        </w:rPr>
        <w:t>r, the decision to adopt a cross-platform approach to buying advertisement campaigns requires a change to buying approaches and a willingness to adopt new data analytics to assist in evaluating such approaches by advertisement buyers who traditionally focu</w:t>
      </w:r>
      <w:r>
        <w:rPr>
          <w:rFonts w:eastAsia="Times New Roman"/>
          <w:color w:val="000000"/>
          <w:sz w:val="20"/>
          <w:szCs w:val="20"/>
        </w:rPr>
        <w:t>s on buying advertising campaigns through one medium. Advertisers may perceive such new approaches to advertising or understanding advertising to be less effective than traditional methods for marketing their products. They may also be unwilling to pay pre</w:t>
      </w:r>
      <w:r>
        <w:rPr>
          <w:rFonts w:eastAsia="Times New Roman"/>
          <w:color w:val="000000"/>
          <w:sz w:val="20"/>
          <w:szCs w:val="20"/>
        </w:rPr>
        <w:t xml:space="preserve">mium rates for advertising that is targeted at specific segments of validated users based on their demographic profile or internet behavior across digital media platforms. The digital media advertising and e-commerce markets may also be adversely affected </w:t>
      </w:r>
      <w:r>
        <w:rPr>
          <w:rFonts w:eastAsia="Times New Roman"/>
          <w:color w:val="000000"/>
          <w:sz w:val="20"/>
          <w:szCs w:val="20"/>
        </w:rPr>
        <w:t>by privacy issues relating to such targeted advertising, including that which makes use of personalized information or online behavioral information. Because of the foregoing factors, among others, the market for cross-platform focused digital media advert</w:t>
      </w:r>
      <w:r>
        <w:rPr>
          <w:rFonts w:eastAsia="Times New Roman"/>
          <w:color w:val="000000"/>
          <w:sz w:val="20"/>
          <w:szCs w:val="20"/>
        </w:rPr>
        <w:t>ising and e-commerce may not continue to grow at significant rates. If these markets do not continue to develop, or if they develop more slowly than expected, our business could suffer.</w:t>
      </w:r>
    </w:p>
    <w:p w14:paraId="3DAAD723" w14:textId="77777777" w:rsidR="00000000" w:rsidRDefault="00E614A4">
      <w:pPr>
        <w:jc w:val="both"/>
        <w:divId w:val="1454327219"/>
        <w:rPr>
          <w:rFonts w:eastAsia="Times New Roman"/>
        </w:rPr>
      </w:pPr>
      <w:r>
        <w:rPr>
          <w:rFonts w:eastAsia="Times New Roman"/>
          <w:b/>
          <w:bCs/>
          <w:i/>
          <w:iCs/>
          <w:color w:val="000000"/>
          <w:sz w:val="20"/>
          <w:szCs w:val="20"/>
        </w:rPr>
        <w:t>If we are unable to provide television, digital or cross-platform anal</w:t>
      </w:r>
      <w:r>
        <w:rPr>
          <w:rFonts w:eastAsia="Times New Roman"/>
          <w:b/>
          <w:bCs/>
          <w:i/>
          <w:iCs/>
          <w:color w:val="000000"/>
          <w:sz w:val="20"/>
          <w:szCs w:val="20"/>
        </w:rPr>
        <w:t>ytics, or if our analytics are incomplete, our ability to maintain and grow our business may be harmed.</w:t>
      </w:r>
    </w:p>
    <w:p w14:paraId="5E0C32F4" w14:textId="77777777" w:rsidR="00000000" w:rsidRDefault="00E614A4">
      <w:pPr>
        <w:jc w:val="both"/>
        <w:divId w:val="2022507751"/>
        <w:rPr>
          <w:rFonts w:eastAsia="Times New Roman"/>
        </w:rPr>
      </w:pPr>
      <w:r>
        <w:rPr>
          <w:rFonts w:eastAsia="Times New Roman"/>
          <w:color w:val="000000"/>
          <w:sz w:val="20"/>
          <w:szCs w:val="20"/>
        </w:rPr>
        <w:t>As the media and advertising industries increasingly evaluate advertising campaigns across various forms of media, such as television, online, and mobile, the ability to measure the combined size and composition of audiences across platforms is increasingl</w:t>
      </w:r>
      <w:r>
        <w:rPr>
          <w:rFonts w:eastAsia="Times New Roman"/>
          <w:color w:val="000000"/>
          <w:sz w:val="20"/>
          <w:szCs w:val="20"/>
        </w:rPr>
        <w:t>y important and in demand. If we are unable to gain or maintain access to information measuring a media component or type, or if we are unable to do so on commercially reasonable terms, our ability to meet our customers' demands and our business and financ</w:t>
      </w:r>
      <w:r>
        <w:rPr>
          <w:rFonts w:eastAsia="Times New Roman"/>
          <w:color w:val="000000"/>
          <w:sz w:val="20"/>
          <w:szCs w:val="20"/>
        </w:rPr>
        <w:t>ial performance may be harmed. Furthermore, even if we do have access to television and digital (including mobile and OTT) data, if we have insufficient technology, encounter challenges in our methodological approaches or have inadequate source materials t</w:t>
      </w:r>
      <w:r>
        <w:rPr>
          <w:rFonts w:eastAsia="Times New Roman"/>
          <w:color w:val="000000"/>
          <w:sz w:val="20"/>
          <w:szCs w:val="20"/>
        </w:rPr>
        <w:t>o parse the information across such media components to avoid duplications or to do so in a cost-effective manner, our products may be inferior to other offerings, and we may be unable to meet our customers' demands. In such event, our business and financi</w:t>
      </w:r>
      <w:r>
        <w:rPr>
          <w:rFonts w:eastAsia="Times New Roman"/>
          <w:color w:val="000000"/>
          <w:sz w:val="20"/>
          <w:szCs w:val="20"/>
        </w:rPr>
        <w:t>al performance may be harmed.</w:t>
      </w:r>
    </w:p>
    <w:p w14:paraId="150BA14C" w14:textId="77777777" w:rsidR="00000000" w:rsidRDefault="00E614A4">
      <w:pPr>
        <w:jc w:val="both"/>
        <w:divId w:val="714626637"/>
        <w:rPr>
          <w:rFonts w:eastAsia="Times New Roman"/>
        </w:rPr>
      </w:pPr>
      <w:r>
        <w:rPr>
          <w:rFonts w:eastAsia="Times New Roman"/>
          <w:color w:val="000000"/>
          <w:sz w:val="20"/>
          <w:szCs w:val="20"/>
        </w:rPr>
        <w:t>In particular, our acquisition of television data may be reliant on companies that have historically held a dominant market position measuring television to produce industry-accepted measurement across a combination of media p</w:t>
      </w:r>
      <w:r>
        <w:rPr>
          <w:rFonts w:eastAsia="Times New Roman"/>
          <w:color w:val="000000"/>
          <w:sz w:val="20"/>
          <w:szCs w:val="20"/>
        </w:rPr>
        <w:t xml:space="preserve">latforms. Our competitors, such as Nielsen, or other providers may have more leverage with data providers and may be unable or unwilling to provide us with access to </w:t>
      </w:r>
    </w:p>
    <w:p w14:paraId="7A378E3D" w14:textId="77777777" w:rsidR="00000000" w:rsidRDefault="00E614A4">
      <w:pPr>
        <w:jc w:val="center"/>
        <w:divId w:val="1511408366"/>
        <w:rPr>
          <w:rFonts w:eastAsia="Times New Roman"/>
        </w:rPr>
      </w:pPr>
      <w:r>
        <w:rPr>
          <w:rFonts w:eastAsia="Times New Roman"/>
          <w:color w:val="000000"/>
          <w:sz w:val="20"/>
          <w:szCs w:val="20"/>
        </w:rPr>
        <w:t>17</w:t>
      </w:r>
    </w:p>
    <w:p w14:paraId="4058ABC0" w14:textId="77777777" w:rsidR="00000000" w:rsidRDefault="00E614A4">
      <w:pPr>
        <w:rPr>
          <w:rFonts w:eastAsia="Times New Roman"/>
        </w:rPr>
      </w:pPr>
      <w:r>
        <w:rPr>
          <w:rFonts w:eastAsia="Times New Roman"/>
        </w:rPr>
        <w:pict w14:anchorId="75E6063E">
          <v:rect id="_x0000_i1044" style="width:0;height:1.5pt" o:hralign="center" o:hrstd="t" o:hr="t" fillcolor="#a0a0a0" stroked="f"/>
        </w:pict>
      </w:r>
    </w:p>
    <w:p w14:paraId="24C1CCAD" w14:textId="77777777" w:rsidR="00000000" w:rsidRDefault="00E614A4">
      <w:pPr>
        <w:divId w:val="1894734716"/>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9D5E037" w14:textId="77777777" w:rsidR="00000000" w:rsidRDefault="00E614A4">
      <w:pPr>
        <w:divId w:val="1360593758"/>
        <w:rPr>
          <w:rFonts w:eastAsia="Times New Roman"/>
        </w:rPr>
      </w:pPr>
    </w:p>
    <w:p w14:paraId="5D076FE0" w14:textId="77777777" w:rsidR="00000000" w:rsidRDefault="00E614A4">
      <w:pPr>
        <w:jc w:val="both"/>
        <w:divId w:val="922226659"/>
        <w:rPr>
          <w:rFonts w:eastAsia="Times New Roman"/>
        </w:rPr>
      </w:pPr>
      <w:r>
        <w:rPr>
          <w:rFonts w:eastAsia="Times New Roman"/>
          <w:color w:val="000000"/>
          <w:sz w:val="20"/>
          <w:szCs w:val="20"/>
        </w:rPr>
        <w:t>quality data to support our products, on reasonable terms or at all. Likewise, our acquisition of digital data may be reliant on large digital publishers that may technol</w:t>
      </w:r>
      <w:r>
        <w:rPr>
          <w:rFonts w:eastAsia="Times New Roman"/>
          <w:color w:val="000000"/>
          <w:sz w:val="20"/>
          <w:szCs w:val="20"/>
        </w:rPr>
        <w:t>ogically or legally prevent access to their proprietary platforms for research or measurement purposes. Moreover, as mobile devices, technology and OTT viewing continue to proliferate, gaining and maintaining cost-effective access to mobile and OTT data wi</w:t>
      </w:r>
      <w:r>
        <w:rPr>
          <w:rFonts w:eastAsia="Times New Roman"/>
          <w:color w:val="000000"/>
          <w:sz w:val="20"/>
          <w:szCs w:val="20"/>
        </w:rPr>
        <w:t>ll become increasingly critical, and we could face difficulty in accessing these forms of data. If we are unable to acquire and integrate data effectively and efficiently, or if the cost of data acquisition or integration increases, our business, financial</w:t>
      </w:r>
      <w:r>
        <w:rPr>
          <w:rFonts w:eastAsia="Times New Roman"/>
          <w:color w:val="000000"/>
          <w:sz w:val="20"/>
          <w:szCs w:val="20"/>
        </w:rPr>
        <w:t xml:space="preserve"> condition and results of operations may be harmed.</w:t>
      </w:r>
    </w:p>
    <w:p w14:paraId="015BD2AC" w14:textId="77777777" w:rsidR="00000000" w:rsidRDefault="00E614A4">
      <w:pPr>
        <w:jc w:val="both"/>
        <w:divId w:val="207837694"/>
        <w:rPr>
          <w:rFonts w:eastAsia="Times New Roman"/>
        </w:rPr>
      </w:pPr>
      <w:r>
        <w:rPr>
          <w:rFonts w:eastAsia="Times New Roman"/>
          <w:b/>
          <w:bCs/>
          <w:i/>
          <w:iCs/>
          <w:color w:val="000000"/>
          <w:sz w:val="20"/>
          <w:szCs w:val="20"/>
        </w:rPr>
        <w:t xml:space="preserve">We depend on third parties for data that is critical to our business, and our business could suffer if we cannot continue to obtain reliable data from these suppliers or if third parties place additional </w:t>
      </w:r>
      <w:r>
        <w:rPr>
          <w:rFonts w:eastAsia="Times New Roman"/>
          <w:b/>
          <w:bCs/>
          <w:i/>
          <w:iCs/>
          <w:color w:val="000000"/>
          <w:sz w:val="20"/>
          <w:szCs w:val="20"/>
        </w:rPr>
        <w:t>restrictions on our use of such data.</w:t>
      </w:r>
    </w:p>
    <w:p w14:paraId="3AADD259" w14:textId="77777777" w:rsidR="00000000" w:rsidRDefault="00E614A4">
      <w:pPr>
        <w:jc w:val="both"/>
        <w:divId w:val="1986004060"/>
        <w:rPr>
          <w:rFonts w:eastAsia="Times New Roman"/>
        </w:rPr>
      </w:pPr>
      <w:r>
        <w:rPr>
          <w:rFonts w:eastAsia="Times New Roman"/>
          <w:color w:val="000000"/>
          <w:sz w:val="20"/>
          <w:szCs w:val="20"/>
        </w:rPr>
        <w:t>We rely on third-party data sources for information usage across the media platforms that we measure, as well as demographics about the people that use such platforms. The availability and accuracy of this data is impo</w:t>
      </w:r>
      <w:r>
        <w:rPr>
          <w:rFonts w:eastAsia="Times New Roman"/>
          <w:color w:val="000000"/>
          <w:sz w:val="20"/>
          <w:szCs w:val="20"/>
        </w:rPr>
        <w:t>rtant to the continuation and development of our products and the performance of our obligations to customers. These data suppliers, some of whom compete with us or the Investors, may increase restrictions on our use of such data, undertake audits (at eith</w:t>
      </w:r>
      <w:r>
        <w:rPr>
          <w:rFonts w:eastAsia="Times New Roman"/>
          <w:color w:val="000000"/>
          <w:sz w:val="20"/>
          <w:szCs w:val="20"/>
        </w:rPr>
        <w:t>er our or their expense) of our use of such data, require us to implement new processes with respect to such data, fail to adhere to our quality control, privacy or security standards or otherwise satisfactorily perform services, increase the price they ch</w:t>
      </w:r>
      <w:r>
        <w:rPr>
          <w:rFonts w:eastAsia="Times New Roman"/>
          <w:color w:val="000000"/>
          <w:sz w:val="20"/>
          <w:szCs w:val="20"/>
        </w:rPr>
        <w:t>arge us for the data or refuse to license the data to us. Additional restrictions on third-party data could limit our ability to include that data in certain products, which could lead to decreased commercial opportunities for certain products as well as l</w:t>
      </w:r>
      <w:r>
        <w:rPr>
          <w:rFonts w:eastAsia="Times New Roman"/>
          <w:color w:val="000000"/>
          <w:sz w:val="20"/>
          <w:szCs w:val="20"/>
        </w:rPr>
        <w:t>oss of customers, sales credits, refunds or liability to our customers. To comply with any additional restrictions, we may be required to implement certain additional technological and manual controls that could put pressure on our cost structure and could</w:t>
      </w:r>
      <w:r>
        <w:rPr>
          <w:rFonts w:eastAsia="Times New Roman"/>
          <w:color w:val="000000"/>
          <w:sz w:val="20"/>
          <w:szCs w:val="20"/>
        </w:rPr>
        <w:t xml:space="preserve"> affect our pricing. Supplier consolidation and increased pricing for additional use cases could also put pressure on our cost structure and our ability to meet obligations to our customers. We may be required to enter into vendor relationships, strategic </w:t>
      </w:r>
      <w:r>
        <w:rPr>
          <w:rFonts w:eastAsia="Times New Roman"/>
          <w:color w:val="000000"/>
          <w:sz w:val="20"/>
          <w:szCs w:val="20"/>
        </w:rPr>
        <w:t>alliances, or joint ventures with some third parties in order to obtain access to the data sources that we need. If our partners do not apply rigorous standards to their data collection methodology and actions, notwithstanding our best efforts, we may rece</w:t>
      </w:r>
      <w:r>
        <w:rPr>
          <w:rFonts w:eastAsia="Times New Roman"/>
          <w:color w:val="000000"/>
          <w:sz w:val="20"/>
          <w:szCs w:val="20"/>
        </w:rPr>
        <w:t>ive third-party data that is inaccurate, defective, or delayed. If third-party information is not available to us on commercially reasonable terms, or is found to be inaccurate, it could harm our products, our reputation, and our business and financial per</w:t>
      </w:r>
      <w:r>
        <w:rPr>
          <w:rFonts w:eastAsia="Times New Roman"/>
          <w:color w:val="000000"/>
          <w:sz w:val="20"/>
          <w:szCs w:val="20"/>
        </w:rPr>
        <w:t>formance.</w:t>
      </w:r>
    </w:p>
    <w:p w14:paraId="396B6D36" w14:textId="77777777" w:rsidR="00000000" w:rsidRDefault="00E614A4">
      <w:pPr>
        <w:jc w:val="both"/>
        <w:divId w:val="1020199555"/>
        <w:rPr>
          <w:rFonts w:eastAsia="Times New Roman"/>
        </w:rPr>
      </w:pPr>
      <w:r>
        <w:rPr>
          <w:rFonts w:eastAsia="Times New Roman"/>
          <w:b/>
          <w:bCs/>
          <w:i/>
          <w:iCs/>
          <w:color w:val="000000"/>
          <w:sz w:val="20"/>
          <w:szCs w:val="20"/>
        </w:rPr>
        <w:t>If we fail to respond to technological developments or evolving industry standards, our products may become obsolete or less competitive.</w:t>
      </w:r>
    </w:p>
    <w:p w14:paraId="69497D7E" w14:textId="77777777" w:rsidR="00000000" w:rsidRDefault="00E614A4">
      <w:pPr>
        <w:jc w:val="both"/>
        <w:divId w:val="1417750219"/>
        <w:rPr>
          <w:rFonts w:eastAsia="Times New Roman"/>
        </w:rPr>
      </w:pPr>
      <w:r>
        <w:rPr>
          <w:rFonts w:eastAsia="Times New Roman"/>
          <w:color w:val="000000"/>
          <w:sz w:val="20"/>
          <w:szCs w:val="20"/>
        </w:rPr>
        <w:t>Our future success will depend in part on our ability to develop new and modify or enhance our existing prod</w:t>
      </w:r>
      <w:r>
        <w:rPr>
          <w:rFonts w:eastAsia="Times New Roman"/>
          <w:color w:val="000000"/>
          <w:sz w:val="20"/>
          <w:szCs w:val="20"/>
        </w:rPr>
        <w:t>ucts and services, including without limitation, our data collection technologies and approaches, in order to meet customer needs, add functionality and address technological advancements and industry standards. For example, the development of new opt-in p</w:t>
      </w:r>
      <w:r>
        <w:rPr>
          <w:rFonts w:eastAsia="Times New Roman"/>
          <w:color w:val="000000"/>
          <w:sz w:val="20"/>
          <w:szCs w:val="20"/>
        </w:rPr>
        <w:t>ermissions and enhanced focus on consent-based measurement provide the benefit of limiting the transfer of consumer personal information, but also mean changes to our data collection and measurement processes. If we are unable to innovate and adapt our met</w:t>
      </w:r>
      <w:r>
        <w:rPr>
          <w:rFonts w:eastAsia="Times New Roman"/>
          <w:color w:val="000000"/>
          <w:sz w:val="20"/>
          <w:szCs w:val="20"/>
        </w:rPr>
        <w:t>hodologies to meet these needs, our products may become obsolete or less competitive. As another example, if certain proprietary mobile devices become the primary mode of receiving content and conducting transactions on the internet, and we are unable to a</w:t>
      </w:r>
      <w:r>
        <w:rPr>
          <w:rFonts w:eastAsia="Times New Roman"/>
          <w:color w:val="000000"/>
          <w:sz w:val="20"/>
          <w:szCs w:val="20"/>
        </w:rPr>
        <w:t>dapt to collect information from such devices, then we would not be able to report on digital usage activity. To remain competitive, we will need to develop new products that address these evolving technologies and standards across the universe of media in</w:t>
      </w:r>
      <w:r>
        <w:rPr>
          <w:rFonts w:eastAsia="Times New Roman"/>
          <w:color w:val="000000"/>
          <w:sz w:val="20"/>
          <w:szCs w:val="20"/>
        </w:rPr>
        <w:t>cluding television, online, and mobile usage. However, we may be unsuccessful in identifying new product opportunities, developing or marketing new products in a timely or cost-effective manner, or obtaining the necessary access to data or technologies nee</w:t>
      </w:r>
      <w:r>
        <w:rPr>
          <w:rFonts w:eastAsia="Times New Roman"/>
          <w:color w:val="000000"/>
          <w:sz w:val="20"/>
          <w:szCs w:val="20"/>
        </w:rPr>
        <w:t xml:space="preserve">ded to support new products, or we may be limited in our ability to operate due to patents held by others. In addition, our product innovations may not achieve the market penetration or price levels necessary for profitability. If we are unable to develop </w:t>
      </w:r>
      <w:r>
        <w:rPr>
          <w:rFonts w:eastAsia="Times New Roman"/>
          <w:color w:val="000000"/>
          <w:sz w:val="20"/>
          <w:szCs w:val="20"/>
        </w:rPr>
        <w:t>timely enhancements to, and new features for, our existing methodologies or products or if we are unable to develop new products and technology that keep pace with rapid technological developments, changing industry standards or consumer preferences, our p</w:t>
      </w:r>
      <w:r>
        <w:rPr>
          <w:rFonts w:eastAsia="Times New Roman"/>
          <w:color w:val="000000"/>
          <w:sz w:val="20"/>
          <w:szCs w:val="20"/>
        </w:rPr>
        <w:t>roducts may become obsolete, less marketable and less competitive, and our business will be harmed.</w:t>
      </w:r>
    </w:p>
    <w:p w14:paraId="4360328D" w14:textId="77777777" w:rsidR="00000000" w:rsidRDefault="00E614A4">
      <w:pPr>
        <w:jc w:val="both"/>
        <w:divId w:val="1131049504"/>
        <w:rPr>
          <w:rFonts w:eastAsia="Times New Roman"/>
        </w:rPr>
      </w:pPr>
      <w:r>
        <w:rPr>
          <w:rFonts w:eastAsia="Times New Roman"/>
          <w:color w:val="000000"/>
          <w:sz w:val="20"/>
          <w:szCs w:val="20"/>
        </w:rPr>
        <w:t>Furthermore, the market for our products is characterized by changes in protocols and evolving industry standards. For example, industry associations such a</w:t>
      </w:r>
      <w:r>
        <w:rPr>
          <w:rFonts w:eastAsia="Times New Roman"/>
          <w:color w:val="000000"/>
          <w:sz w:val="20"/>
          <w:szCs w:val="20"/>
        </w:rPr>
        <w:t>s the Advertising Research Foundation, the Council of American Survey Research Organizations, the Internet Advertising Bureau, and the Media Rating Council as well as internationally-based industry associations have independently initiated efforts to eithe</w:t>
      </w:r>
      <w:r>
        <w:rPr>
          <w:rFonts w:eastAsia="Times New Roman"/>
          <w:color w:val="000000"/>
          <w:sz w:val="20"/>
          <w:szCs w:val="20"/>
        </w:rPr>
        <w:t xml:space="preserve">r review market research methodologies across the media that we measure or develop minimum standards for such research. Failure to achieve accreditation, delays in accreditation, or adverse audit findings may negatively impact the market acceptance of our </w:t>
      </w:r>
      <w:r>
        <w:rPr>
          <w:rFonts w:eastAsia="Times New Roman"/>
          <w:color w:val="000000"/>
          <w:sz w:val="20"/>
          <w:szCs w:val="20"/>
        </w:rPr>
        <w:t>products. Meanwhile, successful accreditation or audits may lead to costly changes to our procedures and methodologies.</w:t>
      </w:r>
    </w:p>
    <w:p w14:paraId="5C8014A7" w14:textId="77777777" w:rsidR="00000000" w:rsidRDefault="00E614A4">
      <w:pPr>
        <w:jc w:val="both"/>
        <w:divId w:val="1409310342"/>
        <w:rPr>
          <w:rFonts w:eastAsia="Times New Roman"/>
        </w:rPr>
      </w:pPr>
      <w:r>
        <w:rPr>
          <w:rFonts w:eastAsia="Times New Roman"/>
          <w:b/>
          <w:bCs/>
          <w:i/>
          <w:iCs/>
          <w:color w:val="000000"/>
          <w:sz w:val="20"/>
          <w:szCs w:val="20"/>
        </w:rPr>
        <w:t>Our business may be harmed if we deliver, or are perceived to deliver, inaccurate information products.</w:t>
      </w:r>
    </w:p>
    <w:p w14:paraId="38A524CF" w14:textId="77777777" w:rsidR="00000000" w:rsidRDefault="00E614A4">
      <w:pPr>
        <w:jc w:val="both"/>
        <w:divId w:val="1316107810"/>
        <w:rPr>
          <w:rFonts w:eastAsia="Times New Roman"/>
        </w:rPr>
      </w:pPr>
      <w:r>
        <w:rPr>
          <w:rFonts w:eastAsia="Times New Roman"/>
          <w:color w:val="000000"/>
          <w:sz w:val="20"/>
          <w:szCs w:val="20"/>
        </w:rPr>
        <w:t>The metrics contained in our pro</w:t>
      </w:r>
      <w:r>
        <w:rPr>
          <w:rFonts w:eastAsia="Times New Roman"/>
          <w:color w:val="000000"/>
          <w:sz w:val="20"/>
          <w:szCs w:val="20"/>
        </w:rPr>
        <w:t>ducts may be viewed as an important measure of the success of certain businesses, especially those that utilize our metrics to evaluate a variety of investments ranging from their internal operations to advertising initiatives. If the information that we p</w:t>
      </w:r>
      <w:r>
        <w:rPr>
          <w:rFonts w:eastAsia="Times New Roman"/>
          <w:color w:val="000000"/>
          <w:sz w:val="20"/>
          <w:szCs w:val="20"/>
        </w:rPr>
        <w:t>rovide to our customers, the media, or the public is inaccurate, or perceived to be inaccurate, whether due to inadequate methodological approaches, errors, biases towards certain available data sources or partners, disparate data sets across our products,</w:t>
      </w:r>
      <w:r>
        <w:rPr>
          <w:rFonts w:eastAsia="Times New Roman"/>
          <w:color w:val="000000"/>
          <w:sz w:val="20"/>
          <w:szCs w:val="20"/>
        </w:rPr>
        <w:t xml:space="preserve"> defects or errors in data collection and processing (conducted by us or by third parties) or the systems used to collect, process or deliver data, our business may be harmed.</w:t>
      </w:r>
    </w:p>
    <w:p w14:paraId="3281E062" w14:textId="77777777" w:rsidR="00000000" w:rsidRDefault="00E614A4">
      <w:pPr>
        <w:jc w:val="center"/>
        <w:divId w:val="1413621266"/>
        <w:rPr>
          <w:rFonts w:eastAsia="Times New Roman"/>
        </w:rPr>
      </w:pPr>
      <w:r>
        <w:rPr>
          <w:rFonts w:eastAsia="Times New Roman"/>
          <w:color w:val="000000"/>
          <w:sz w:val="20"/>
          <w:szCs w:val="20"/>
        </w:rPr>
        <w:t>18</w:t>
      </w:r>
    </w:p>
    <w:p w14:paraId="3B89D882" w14:textId="77777777" w:rsidR="00000000" w:rsidRDefault="00E614A4">
      <w:pPr>
        <w:rPr>
          <w:rFonts w:eastAsia="Times New Roman"/>
        </w:rPr>
      </w:pPr>
      <w:r>
        <w:rPr>
          <w:rFonts w:eastAsia="Times New Roman"/>
        </w:rPr>
        <w:pict w14:anchorId="148A6FD0">
          <v:rect id="_x0000_i1045" style="width:0;height:1.5pt" o:hralign="center" o:hrstd="t" o:hr="t" fillcolor="#a0a0a0" stroked="f"/>
        </w:pict>
      </w:r>
    </w:p>
    <w:p w14:paraId="3243C2F4" w14:textId="77777777" w:rsidR="00000000" w:rsidRDefault="00E614A4">
      <w:pPr>
        <w:divId w:val="125739624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C9AC84E" w14:textId="77777777" w:rsidR="00000000" w:rsidRDefault="00E614A4">
      <w:pPr>
        <w:divId w:val="1083838030"/>
        <w:rPr>
          <w:rFonts w:eastAsia="Times New Roman"/>
        </w:rPr>
      </w:pPr>
    </w:p>
    <w:p w14:paraId="090344FC" w14:textId="77777777" w:rsidR="00000000" w:rsidRDefault="00E614A4">
      <w:pPr>
        <w:jc w:val="both"/>
        <w:divId w:val="1880971324"/>
        <w:rPr>
          <w:rFonts w:eastAsia="Times New Roman"/>
        </w:rPr>
      </w:pPr>
      <w:r>
        <w:rPr>
          <w:rFonts w:eastAsia="Times New Roman"/>
          <w:color w:val="000000"/>
          <w:sz w:val="20"/>
          <w:szCs w:val="20"/>
        </w:rPr>
        <w:t>Any inaccuracy, perceived inaccuracy or inconsistency in the data reported by us could lead to consequences that could adversely impact our operating results, including loss of customers; sales credits, refunds or liability to our customers; the incurrence</w:t>
      </w:r>
      <w:r>
        <w:rPr>
          <w:rFonts w:eastAsia="Times New Roman"/>
          <w:color w:val="000000"/>
          <w:sz w:val="20"/>
          <w:szCs w:val="20"/>
        </w:rPr>
        <w:t xml:space="preserve"> of substantial costs to correct any material defect, error or inconsistency; increased warranty and insurance costs; potential litigation; interruptions in the availability of our products; diversion of development resources; lost or delayed market accept</w:t>
      </w:r>
      <w:r>
        <w:rPr>
          <w:rFonts w:eastAsia="Times New Roman"/>
          <w:color w:val="000000"/>
          <w:sz w:val="20"/>
          <w:szCs w:val="20"/>
        </w:rPr>
        <w:t>ance and sales of our products; and damage to our brand.</w:t>
      </w:r>
    </w:p>
    <w:p w14:paraId="5D7A39B5" w14:textId="77777777" w:rsidR="00000000" w:rsidRDefault="00E614A4">
      <w:pPr>
        <w:jc w:val="both"/>
        <w:divId w:val="337853068"/>
        <w:rPr>
          <w:rFonts w:eastAsia="Times New Roman"/>
        </w:rPr>
      </w:pPr>
      <w:r>
        <w:rPr>
          <w:rFonts w:eastAsia="Times New Roman"/>
          <w:b/>
          <w:bCs/>
          <w:i/>
          <w:iCs/>
          <w:color w:val="000000"/>
          <w:sz w:val="20"/>
          <w:szCs w:val="20"/>
        </w:rPr>
        <w:t>Our business may be harmed if we change our methodologies or the scope of information we collect.</w:t>
      </w:r>
    </w:p>
    <w:p w14:paraId="3504BD81" w14:textId="77777777" w:rsidR="00000000" w:rsidRDefault="00E614A4">
      <w:pPr>
        <w:jc w:val="both"/>
        <w:divId w:val="527917728"/>
        <w:rPr>
          <w:rFonts w:eastAsia="Times New Roman"/>
        </w:rPr>
      </w:pPr>
      <w:r>
        <w:rPr>
          <w:rFonts w:eastAsia="Times New Roman"/>
          <w:color w:val="000000"/>
          <w:sz w:val="20"/>
          <w:szCs w:val="20"/>
        </w:rPr>
        <w:t>We have in the past and may in the future change our methodologies, the methodologies of companies we</w:t>
      </w:r>
      <w:r>
        <w:rPr>
          <w:rFonts w:eastAsia="Times New Roman"/>
          <w:color w:val="000000"/>
          <w:sz w:val="20"/>
          <w:szCs w:val="20"/>
        </w:rPr>
        <w:t xml:space="preserve"> acquire, or the scope of information we collect. Such changes may result from identified deficiencies in current methodologies, development of more advanced methodologies, changes in our business plans or in industry standards or regulatory requirements, </w:t>
      </w:r>
      <w:r>
        <w:rPr>
          <w:rFonts w:eastAsia="Times New Roman"/>
          <w:color w:val="000000"/>
          <w:sz w:val="20"/>
          <w:szCs w:val="20"/>
        </w:rPr>
        <w:t>changes in technology used by websites, browsers, mobile applications, servers, or media we measure, integration of acquired companies or expressed or perceived needs of our customers, potential customers or partners. Any such changes or perceived changes,</w:t>
      </w:r>
      <w:r>
        <w:rPr>
          <w:rFonts w:eastAsia="Times New Roman"/>
          <w:color w:val="000000"/>
          <w:sz w:val="20"/>
          <w:szCs w:val="20"/>
        </w:rPr>
        <w:t xml:space="preserve"> or our inability to accurately or adequately communicate to our customers and the media such changes and the potential implications of such changes on the data we have published or will publish in the future, may result in customer dissatisfaction, partic</w:t>
      </w:r>
      <w:r>
        <w:rPr>
          <w:rFonts w:eastAsia="Times New Roman"/>
          <w:color w:val="000000"/>
          <w:sz w:val="20"/>
          <w:szCs w:val="20"/>
        </w:rPr>
        <w:t>ularly if certain information is no longer collected or information collected in future periods is not comparable with information collected in prior periods. As a result of future methodology changes, some of our customers that may also supply us with dat</w:t>
      </w:r>
      <w:r>
        <w:rPr>
          <w:rFonts w:eastAsia="Times New Roman"/>
          <w:color w:val="000000"/>
          <w:sz w:val="20"/>
          <w:szCs w:val="20"/>
        </w:rPr>
        <w:t>a may decide not to continue buying products or services from us or may decide to discontinue providing us with their data to support our products. Such customers may elect to publicly air their dissatisfaction with the methodological changes made by us, w</w:t>
      </w:r>
      <w:r>
        <w:rPr>
          <w:rFonts w:eastAsia="Times New Roman"/>
          <w:color w:val="000000"/>
          <w:sz w:val="20"/>
          <w:szCs w:val="20"/>
        </w:rPr>
        <w:t>hich may damage our brand and harm our reputation.</w:t>
      </w:r>
    </w:p>
    <w:p w14:paraId="11E6D528" w14:textId="77777777" w:rsidR="00000000" w:rsidRDefault="00E614A4">
      <w:pPr>
        <w:jc w:val="both"/>
        <w:divId w:val="1167743368"/>
        <w:rPr>
          <w:rFonts w:eastAsia="Times New Roman"/>
        </w:rPr>
      </w:pPr>
      <w:r>
        <w:rPr>
          <w:rFonts w:eastAsia="Times New Roman"/>
          <w:b/>
          <w:bCs/>
          <w:i/>
          <w:iCs/>
          <w:color w:val="000000"/>
          <w:sz w:val="20"/>
          <w:szCs w:val="20"/>
        </w:rPr>
        <w:t>If we are not able to maintain panels of sufficient size and scope, or if the costs of establishing and maintaining our panels materially increase, our business could be harmed.</w:t>
      </w:r>
    </w:p>
    <w:p w14:paraId="5F8C2A75" w14:textId="77777777" w:rsidR="00000000" w:rsidRDefault="00E614A4">
      <w:pPr>
        <w:jc w:val="both"/>
        <w:divId w:val="1221747565"/>
        <w:rPr>
          <w:rFonts w:eastAsia="Times New Roman"/>
        </w:rPr>
      </w:pPr>
      <w:r>
        <w:rPr>
          <w:rFonts w:eastAsia="Times New Roman"/>
          <w:color w:val="000000"/>
          <w:sz w:val="20"/>
          <w:szCs w:val="20"/>
        </w:rPr>
        <w:t>We believe that the quality</w:t>
      </w:r>
      <w:r>
        <w:rPr>
          <w:rFonts w:eastAsia="Times New Roman"/>
          <w:color w:val="000000"/>
          <w:sz w:val="20"/>
          <w:szCs w:val="20"/>
        </w:rPr>
        <w:t>, size and scope of our research panels are critical to our business. There can be no assurance, however, that we will be able to maintain panels of sufficient size and scope to provide the quality of marketing intelligence that our customers demand from o</w:t>
      </w:r>
      <w:r>
        <w:rPr>
          <w:rFonts w:eastAsia="Times New Roman"/>
          <w:color w:val="000000"/>
          <w:sz w:val="20"/>
          <w:szCs w:val="20"/>
        </w:rPr>
        <w:t>ur products. We anticipate that the cost of panel recruitment will continue to increase with the proliferation of proprietary and secure media content delivery platforms and evolving regulatory requirements, and that the difficulty in collecting these form</w:t>
      </w:r>
      <w:r>
        <w:rPr>
          <w:rFonts w:eastAsia="Times New Roman"/>
          <w:color w:val="000000"/>
          <w:sz w:val="20"/>
          <w:szCs w:val="20"/>
        </w:rPr>
        <w:t>s of data will continue to grow, which may require significant hardware and software investments, as well as increases to our panel incentive and panel management costs. To the extent that such additional expenses are not accompanied by increased revenues,</w:t>
      </w:r>
      <w:r>
        <w:rPr>
          <w:rFonts w:eastAsia="Times New Roman"/>
          <w:color w:val="000000"/>
          <w:sz w:val="20"/>
          <w:szCs w:val="20"/>
        </w:rPr>
        <w:t xml:space="preserve"> our operating margins may be reduced and our financial results could be adversely affected.</w:t>
      </w:r>
    </w:p>
    <w:p w14:paraId="1F45BCEC" w14:textId="77777777" w:rsidR="00000000" w:rsidRDefault="00E614A4">
      <w:pPr>
        <w:jc w:val="both"/>
        <w:divId w:val="1729258184"/>
        <w:rPr>
          <w:rFonts w:eastAsia="Times New Roman"/>
        </w:rPr>
      </w:pPr>
      <w:r>
        <w:rPr>
          <w:rFonts w:eastAsia="Times New Roman"/>
          <w:b/>
          <w:bCs/>
          <w:i/>
          <w:iCs/>
          <w:color w:val="000000"/>
          <w:sz w:val="20"/>
          <w:szCs w:val="20"/>
        </w:rPr>
        <w:t>We derive a significant portion of our revenues from sales of our subscription-based products. If our customers terminate or fail to renew their subscriptions, our</w:t>
      </w:r>
      <w:r>
        <w:rPr>
          <w:rFonts w:eastAsia="Times New Roman"/>
          <w:b/>
          <w:bCs/>
          <w:i/>
          <w:iCs/>
          <w:color w:val="000000"/>
          <w:sz w:val="20"/>
          <w:szCs w:val="20"/>
        </w:rPr>
        <w:t xml:space="preserve"> business could suffer.</w:t>
      </w:r>
    </w:p>
    <w:p w14:paraId="516D6B39" w14:textId="77777777" w:rsidR="00000000" w:rsidRDefault="00E614A4">
      <w:pPr>
        <w:jc w:val="both"/>
        <w:divId w:val="710151438"/>
        <w:rPr>
          <w:rFonts w:eastAsia="Times New Roman"/>
        </w:rPr>
      </w:pPr>
      <w:r>
        <w:rPr>
          <w:rFonts w:eastAsia="Times New Roman"/>
          <w:color w:val="000000"/>
          <w:sz w:val="20"/>
          <w:szCs w:val="20"/>
        </w:rPr>
        <w:t xml:space="preserve">We currently derive a significant portion of our revenues from our syndicated products, which are generally one-year subscription-based products. This has generally provided us with recurring revenue due to high renewal rates among </w:t>
      </w:r>
      <w:r>
        <w:rPr>
          <w:rFonts w:eastAsia="Times New Roman"/>
          <w:color w:val="000000"/>
          <w:sz w:val="20"/>
          <w:szCs w:val="20"/>
        </w:rPr>
        <w:t>our enterprise customers; however, syndicated digital revenue from our smaller and international customers declined in 2020. If additional customers terminate their subscriptions for our products, do not renew their subscriptions, delay renewals of their s</w:t>
      </w:r>
      <w:r>
        <w:rPr>
          <w:rFonts w:eastAsia="Times New Roman"/>
          <w:color w:val="000000"/>
          <w:sz w:val="20"/>
          <w:szCs w:val="20"/>
        </w:rPr>
        <w:t>ubscriptions or renew on terms less favorable to us, our revenues could decline and our business could suffer.</w:t>
      </w:r>
    </w:p>
    <w:p w14:paraId="6DB73A1A" w14:textId="77777777" w:rsidR="00000000" w:rsidRDefault="00E614A4">
      <w:pPr>
        <w:jc w:val="both"/>
        <w:divId w:val="1800108174"/>
        <w:rPr>
          <w:rFonts w:eastAsia="Times New Roman"/>
        </w:rPr>
      </w:pPr>
      <w:r>
        <w:rPr>
          <w:rFonts w:eastAsia="Times New Roman"/>
          <w:color w:val="000000"/>
          <w:sz w:val="20"/>
          <w:szCs w:val="20"/>
        </w:rPr>
        <w:t>Our customers have no obligation to renew after the expiration of their initial subscription period, and we cannot be assured that current subscr</w:t>
      </w:r>
      <w:r>
        <w:rPr>
          <w:rFonts w:eastAsia="Times New Roman"/>
          <w:color w:val="000000"/>
          <w:sz w:val="20"/>
          <w:szCs w:val="20"/>
        </w:rPr>
        <w:t>iptions will be renewed at the same or higher dollar amounts, if at all. Furthermore, our newer subscription products, for which revenue is recognized based on impressions used, may be subject to higher fluctuations in revenue. Our customer renewal rates m</w:t>
      </w:r>
      <w:r>
        <w:rPr>
          <w:rFonts w:eastAsia="Times New Roman"/>
          <w:color w:val="000000"/>
          <w:sz w:val="20"/>
          <w:szCs w:val="20"/>
        </w:rPr>
        <w:t>ay decline or fluctuate due to a number of factors, including customer satisfaction or dissatisfaction with our products, the costs or functionality of our products, the prices or functionality of products offered by our competitors, the health of the adve</w:t>
      </w:r>
      <w:r>
        <w:rPr>
          <w:rFonts w:eastAsia="Times New Roman"/>
          <w:color w:val="000000"/>
          <w:sz w:val="20"/>
          <w:szCs w:val="20"/>
        </w:rPr>
        <w:t>rtising marketplace and the industries in which we operate (particularly in light of COVID-19), mergers and acquisitions affecting our customer base, general economic conditions or reductions in our customers' spending levels.</w:t>
      </w:r>
    </w:p>
    <w:p w14:paraId="293CF3D4" w14:textId="77777777" w:rsidR="00000000" w:rsidRDefault="00E614A4">
      <w:pPr>
        <w:jc w:val="both"/>
        <w:divId w:val="293952507"/>
        <w:rPr>
          <w:rFonts w:eastAsia="Times New Roman"/>
        </w:rPr>
      </w:pPr>
      <w:r>
        <w:rPr>
          <w:rFonts w:eastAsia="Times New Roman"/>
          <w:b/>
          <w:bCs/>
          <w:i/>
          <w:iCs/>
          <w:color w:val="000000"/>
          <w:sz w:val="20"/>
          <w:szCs w:val="20"/>
        </w:rPr>
        <w:t>Our growth depends upon our a</w:t>
      </w:r>
      <w:r>
        <w:rPr>
          <w:rFonts w:eastAsia="Times New Roman"/>
          <w:b/>
          <w:bCs/>
          <w:i/>
          <w:iCs/>
          <w:color w:val="000000"/>
          <w:sz w:val="20"/>
          <w:szCs w:val="20"/>
        </w:rPr>
        <w:t>bility to retain existing large customers and add new large customers. To the extent we are not successful in doing so, our ability to grow revenue and attain profitability and positive cash flow may be impaired.</w:t>
      </w:r>
    </w:p>
    <w:p w14:paraId="2262D393" w14:textId="77777777" w:rsidR="00000000" w:rsidRDefault="00E614A4">
      <w:pPr>
        <w:jc w:val="both"/>
        <w:divId w:val="1221020766"/>
        <w:rPr>
          <w:rFonts w:eastAsia="Times New Roman"/>
        </w:rPr>
      </w:pPr>
      <w:r>
        <w:rPr>
          <w:rFonts w:eastAsia="Times New Roman"/>
          <w:color w:val="000000"/>
          <w:sz w:val="20"/>
          <w:szCs w:val="20"/>
        </w:rPr>
        <w:t xml:space="preserve">Our success depends in part on our ability </w:t>
      </w:r>
      <w:r>
        <w:rPr>
          <w:rFonts w:eastAsia="Times New Roman"/>
          <w:color w:val="000000"/>
          <w:sz w:val="20"/>
          <w:szCs w:val="20"/>
        </w:rPr>
        <w:t>to sell our products to large customers and on the renewal of subscriptions and contracts with these customers in subsequent years. For the years ended 2020, 2019 and 2018, we derived 30%, 27% and 24%, respectively, of our total revenues from our top 10 cu</w:t>
      </w:r>
      <w:r>
        <w:rPr>
          <w:rFonts w:eastAsia="Times New Roman"/>
          <w:color w:val="000000"/>
          <w:sz w:val="20"/>
          <w:szCs w:val="20"/>
        </w:rPr>
        <w:t>stomers. Uncertain economic conditions, changes in the regulatory environment or other factors, such as the failure or consolidation of large customer companies, internal reorganization or changes in focus, uncertainty relating to the Transactions, or diss</w:t>
      </w:r>
      <w:r>
        <w:rPr>
          <w:rFonts w:eastAsia="Times New Roman"/>
          <w:color w:val="000000"/>
          <w:sz w:val="20"/>
          <w:szCs w:val="20"/>
        </w:rPr>
        <w:t>atisfaction with our products, may cause certain large customers to terminate or reduce their subscriptions and contracts with us. The loss of any one or more of these customers could decrease our revenues and harm our current and future operating results.</w:t>
      </w:r>
      <w:r>
        <w:rPr>
          <w:rFonts w:eastAsia="Times New Roman"/>
          <w:color w:val="000000"/>
          <w:sz w:val="20"/>
          <w:szCs w:val="20"/>
        </w:rPr>
        <w:t xml:space="preserve"> The addition of new large customers or increases in sales to existing large customers may require particularly long implementation periods and other significant upfront costs, which may adversely affect our profitability. To compete effectively, we have i</w:t>
      </w:r>
      <w:r>
        <w:rPr>
          <w:rFonts w:eastAsia="Times New Roman"/>
          <w:color w:val="000000"/>
          <w:sz w:val="20"/>
          <w:szCs w:val="20"/>
        </w:rPr>
        <w:t xml:space="preserve">n the past been, and may in the future be, forced to offer significant discounts to maintain existing customers or acquire other large customers. In addition, we may be forced to reduce or withdraw from our relationships with certain existing customers or </w:t>
      </w:r>
      <w:r>
        <w:rPr>
          <w:rFonts w:eastAsia="Times New Roman"/>
          <w:color w:val="000000"/>
          <w:sz w:val="20"/>
          <w:szCs w:val="20"/>
        </w:rPr>
        <w:t>refrain from acquiring certain new customers in order to acquire or maintain relationships with important large customers. As a result, new large customers or increased usage of our products by large customers may cause our profits to decline, and our abil</w:t>
      </w:r>
      <w:r>
        <w:rPr>
          <w:rFonts w:eastAsia="Times New Roman"/>
          <w:color w:val="000000"/>
          <w:sz w:val="20"/>
          <w:szCs w:val="20"/>
        </w:rPr>
        <w:t>ity to sell our products to other customers could be adversely affected.</w:t>
      </w:r>
    </w:p>
    <w:p w14:paraId="445B73C9" w14:textId="77777777" w:rsidR="00000000" w:rsidRDefault="00E614A4">
      <w:pPr>
        <w:jc w:val="center"/>
        <w:divId w:val="1613130694"/>
        <w:rPr>
          <w:rFonts w:eastAsia="Times New Roman"/>
        </w:rPr>
      </w:pPr>
      <w:r>
        <w:rPr>
          <w:rFonts w:eastAsia="Times New Roman"/>
          <w:color w:val="000000"/>
          <w:sz w:val="20"/>
          <w:szCs w:val="20"/>
        </w:rPr>
        <w:t>19</w:t>
      </w:r>
    </w:p>
    <w:p w14:paraId="0375C781" w14:textId="77777777" w:rsidR="00000000" w:rsidRDefault="00E614A4">
      <w:pPr>
        <w:rPr>
          <w:rFonts w:eastAsia="Times New Roman"/>
        </w:rPr>
      </w:pPr>
      <w:r>
        <w:rPr>
          <w:rFonts w:eastAsia="Times New Roman"/>
        </w:rPr>
        <w:pict w14:anchorId="1DF038A2">
          <v:rect id="_x0000_i1046" style="width:0;height:1.5pt" o:hralign="center" o:hrstd="t" o:hr="t" fillcolor="#a0a0a0" stroked="f"/>
        </w:pict>
      </w:r>
    </w:p>
    <w:p w14:paraId="58735F67" w14:textId="77777777" w:rsidR="00000000" w:rsidRDefault="00E614A4">
      <w:pPr>
        <w:divId w:val="352417262"/>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D1FCD74" w14:textId="77777777" w:rsidR="00000000" w:rsidRDefault="00E614A4">
      <w:pPr>
        <w:divId w:val="1513254378"/>
        <w:rPr>
          <w:rFonts w:eastAsia="Times New Roman"/>
        </w:rPr>
      </w:pPr>
    </w:p>
    <w:p w14:paraId="2819CF95" w14:textId="77777777" w:rsidR="00000000" w:rsidRDefault="00E614A4">
      <w:pPr>
        <w:jc w:val="both"/>
        <w:divId w:val="233201070"/>
        <w:rPr>
          <w:rFonts w:eastAsia="Times New Roman"/>
        </w:rPr>
      </w:pPr>
      <w:r>
        <w:rPr>
          <w:rFonts w:eastAsia="Times New Roman"/>
          <w:b/>
          <w:bCs/>
          <w:i/>
          <w:iCs/>
          <w:color w:val="000000"/>
          <w:sz w:val="20"/>
          <w:szCs w:val="20"/>
        </w:rPr>
        <w:t>If we ar</w:t>
      </w:r>
      <w:r>
        <w:rPr>
          <w:rFonts w:eastAsia="Times New Roman"/>
          <w:b/>
          <w:bCs/>
          <w:i/>
          <w:iCs/>
          <w:color w:val="000000"/>
          <w:sz w:val="20"/>
          <w:szCs w:val="20"/>
        </w:rPr>
        <w:t>e unable to effectively persuade customers to buy our products in substitution for those of an incumbent services provider, our revenue growth may suffer.</w:t>
      </w:r>
    </w:p>
    <w:p w14:paraId="013D44F3" w14:textId="77777777" w:rsidR="00000000" w:rsidRDefault="00E614A4">
      <w:pPr>
        <w:jc w:val="both"/>
        <w:divId w:val="133454444"/>
        <w:rPr>
          <w:rFonts w:eastAsia="Times New Roman"/>
        </w:rPr>
      </w:pPr>
      <w:r>
        <w:rPr>
          <w:rFonts w:eastAsia="Times New Roman"/>
          <w:color w:val="000000"/>
          <w:sz w:val="20"/>
          <w:szCs w:val="20"/>
        </w:rPr>
        <w:t>Some of our newer products require that we persuade prospective customers, or customers of our existi</w:t>
      </w:r>
      <w:r>
        <w:rPr>
          <w:rFonts w:eastAsia="Times New Roman"/>
          <w:color w:val="000000"/>
          <w:sz w:val="20"/>
          <w:szCs w:val="20"/>
        </w:rPr>
        <w:t>ng products, to buy our newer products in substitution for those of an incumbent service provider. In some instances, the customer may have built their systems and processes around the incumbent provider's products. Persuading such customers to switch serv</w:t>
      </w:r>
      <w:r>
        <w:rPr>
          <w:rFonts w:eastAsia="Times New Roman"/>
          <w:color w:val="000000"/>
          <w:sz w:val="20"/>
          <w:szCs w:val="20"/>
        </w:rPr>
        <w:t>ice providers may be difficult and require longer sales cycles, affecting our ability to increase revenue in these areas. Moreover, the incumbent service provider may have the ability to significantly discount its services or enter into long-term agreement</w:t>
      </w:r>
      <w:r>
        <w:rPr>
          <w:rFonts w:eastAsia="Times New Roman"/>
          <w:color w:val="000000"/>
          <w:sz w:val="20"/>
          <w:szCs w:val="20"/>
        </w:rPr>
        <w:t>s, which could further impede our ability to persuade customers to switch service providers, and accordingly, our ability to increase our revenues.</w:t>
      </w:r>
    </w:p>
    <w:p w14:paraId="268ACC23" w14:textId="77777777" w:rsidR="00000000" w:rsidRDefault="00E614A4">
      <w:pPr>
        <w:jc w:val="both"/>
        <w:divId w:val="389618802"/>
        <w:rPr>
          <w:rFonts w:eastAsia="Times New Roman"/>
        </w:rPr>
      </w:pPr>
      <w:r>
        <w:rPr>
          <w:rFonts w:eastAsia="Times New Roman"/>
          <w:b/>
          <w:bCs/>
          <w:i/>
          <w:iCs/>
          <w:color w:val="000000"/>
          <w:sz w:val="20"/>
          <w:szCs w:val="20"/>
        </w:rPr>
        <w:t>We may expand through investments in, acquisitions of, or the development of new products with assistance fr</w:t>
      </w:r>
      <w:r>
        <w:rPr>
          <w:rFonts w:eastAsia="Times New Roman"/>
          <w:b/>
          <w:bCs/>
          <w:i/>
          <w:iCs/>
          <w:color w:val="000000"/>
          <w:sz w:val="20"/>
          <w:szCs w:val="20"/>
        </w:rPr>
        <w:t>om, other companies, any of which may not be successful and may divert our management's attention.</w:t>
      </w:r>
    </w:p>
    <w:p w14:paraId="35C6147D" w14:textId="77777777" w:rsidR="00000000" w:rsidRDefault="00E614A4">
      <w:pPr>
        <w:jc w:val="both"/>
        <w:divId w:val="1247810210"/>
        <w:rPr>
          <w:rFonts w:eastAsia="Times New Roman"/>
        </w:rPr>
      </w:pPr>
      <w:r>
        <w:rPr>
          <w:rFonts w:eastAsia="Times New Roman"/>
          <w:color w:val="000000"/>
          <w:sz w:val="20"/>
          <w:szCs w:val="20"/>
        </w:rPr>
        <w:t>In the past, we completed several strategic acquisitions. We also may evaluate and enter into discussions regarding an array of potential strategic transacti</w:t>
      </w:r>
      <w:r>
        <w:rPr>
          <w:rFonts w:eastAsia="Times New Roman"/>
          <w:color w:val="000000"/>
          <w:sz w:val="20"/>
          <w:szCs w:val="20"/>
        </w:rPr>
        <w:t xml:space="preserve">ons, including acquiring complementary products, technologies or businesses. An acquisition, investment or business relationship may result in unforeseen operating difficulties and expenditures. In particular, we may encounter difficulties integrating the </w:t>
      </w:r>
      <w:r>
        <w:rPr>
          <w:rFonts w:eastAsia="Times New Roman"/>
          <w:color w:val="000000"/>
          <w:sz w:val="20"/>
          <w:szCs w:val="20"/>
        </w:rPr>
        <w:t>businesses, technologies, products, personnel or operations of the acquired companies, particularly if the key personnel of the acquired company choose not to be employed by us, and we may have difficulty retaining the customers of any acquired business du</w:t>
      </w:r>
      <w:r>
        <w:rPr>
          <w:rFonts w:eastAsia="Times New Roman"/>
          <w:color w:val="000000"/>
          <w:sz w:val="20"/>
          <w:szCs w:val="20"/>
        </w:rPr>
        <w:t>e to changes in management and ownership. Acquisitions may also disrupt our ongoing business, divert our resources and require significant management attention that would otherwise be available for ongoing development of our business. Moreover, we cannot g</w:t>
      </w:r>
      <w:r>
        <w:rPr>
          <w:rFonts w:eastAsia="Times New Roman"/>
          <w:color w:val="000000"/>
          <w:sz w:val="20"/>
          <w:szCs w:val="20"/>
        </w:rPr>
        <w:t>uarantee that the anticipated benefits of any acquisition, investment or business relationship would be realized timely, if at all, or that we would not be exposed to unknown liabilities. In connection with any such transaction, we may:</w:t>
      </w:r>
    </w:p>
    <w:p w14:paraId="0B0CC01D" w14:textId="77777777" w:rsidR="00000000" w:rsidRDefault="00E614A4">
      <w:pPr>
        <w:ind w:hanging="360"/>
        <w:divId w:val="1675646565"/>
        <w:rPr>
          <w:rFonts w:eastAsia="Times New Roman"/>
        </w:rPr>
      </w:pPr>
      <w:r>
        <w:rPr>
          <w:rFonts w:eastAsia="Times New Roman"/>
          <w:color w:val="000000"/>
          <w:sz w:val="20"/>
          <w:szCs w:val="20"/>
        </w:rPr>
        <w:t>•encounter difficul</w:t>
      </w:r>
      <w:r>
        <w:rPr>
          <w:rFonts w:eastAsia="Times New Roman"/>
          <w:color w:val="000000"/>
          <w:sz w:val="20"/>
          <w:szCs w:val="20"/>
        </w:rPr>
        <w:t>ties retaining key employees of the acquired company or integrating diverse business cultures;</w:t>
      </w:r>
    </w:p>
    <w:p w14:paraId="0332D947" w14:textId="77777777" w:rsidR="00000000" w:rsidRDefault="00E614A4">
      <w:pPr>
        <w:ind w:hanging="360"/>
        <w:jc w:val="both"/>
        <w:divId w:val="163516555"/>
        <w:rPr>
          <w:rFonts w:eastAsia="Times New Roman"/>
        </w:rPr>
      </w:pPr>
      <w:r>
        <w:rPr>
          <w:rFonts w:eastAsia="Times New Roman"/>
          <w:color w:val="000000"/>
          <w:sz w:val="20"/>
          <w:szCs w:val="20"/>
        </w:rPr>
        <w:t xml:space="preserve">•incur large charges or substantial liabilities, including without limitation, liabilities associated with products or technologies accused or found to infringe </w:t>
      </w:r>
      <w:r>
        <w:rPr>
          <w:rFonts w:eastAsia="Times New Roman"/>
          <w:color w:val="000000"/>
          <w:sz w:val="20"/>
          <w:szCs w:val="20"/>
        </w:rPr>
        <w:t>on third-party intellectual property rights or violate existing or future privacy or security regulations;</w:t>
      </w:r>
    </w:p>
    <w:p w14:paraId="50C629DF" w14:textId="77777777" w:rsidR="00000000" w:rsidRDefault="00E614A4">
      <w:pPr>
        <w:ind w:hanging="360"/>
        <w:divId w:val="1082222338"/>
        <w:rPr>
          <w:rFonts w:eastAsia="Times New Roman"/>
        </w:rPr>
      </w:pPr>
      <w:r>
        <w:rPr>
          <w:rFonts w:eastAsia="Times New Roman"/>
          <w:color w:val="000000"/>
          <w:sz w:val="20"/>
          <w:szCs w:val="20"/>
        </w:rPr>
        <w:t>•issue shares of our capital stock as part of the consideration, which may be dilutive to existing stockholders;</w:t>
      </w:r>
    </w:p>
    <w:p w14:paraId="5D4128E1" w14:textId="77777777" w:rsidR="00000000" w:rsidRDefault="00E614A4">
      <w:pPr>
        <w:ind w:hanging="360"/>
        <w:divId w:val="1318147705"/>
        <w:rPr>
          <w:rFonts w:eastAsia="Times New Roman"/>
        </w:rPr>
      </w:pPr>
      <w:r>
        <w:rPr>
          <w:rFonts w:eastAsia="Times New Roman"/>
          <w:color w:val="000000"/>
          <w:sz w:val="20"/>
          <w:szCs w:val="20"/>
        </w:rPr>
        <w:t>•</w:t>
      </w:r>
      <w:r>
        <w:rPr>
          <w:rFonts w:eastAsia="Times New Roman"/>
          <w:color w:val="000000"/>
          <w:sz w:val="20"/>
          <w:szCs w:val="20"/>
        </w:rPr>
        <w:t>become subject to adverse tax consequences, legal disputes, substantial depreciation or deferred compensation charges;</w:t>
      </w:r>
    </w:p>
    <w:p w14:paraId="27CA1A8E" w14:textId="77777777" w:rsidR="00000000" w:rsidRDefault="00E614A4">
      <w:pPr>
        <w:ind w:hanging="360"/>
        <w:divId w:val="1862696412"/>
        <w:rPr>
          <w:rFonts w:eastAsia="Times New Roman"/>
        </w:rPr>
      </w:pPr>
      <w:r>
        <w:rPr>
          <w:rFonts w:eastAsia="Times New Roman"/>
          <w:color w:val="000000"/>
          <w:sz w:val="20"/>
          <w:szCs w:val="20"/>
        </w:rPr>
        <w:t>•use cash that we may otherwise need for ongoing or future operation of our business or dividends;</w:t>
      </w:r>
    </w:p>
    <w:p w14:paraId="0F6972C2" w14:textId="77777777" w:rsidR="00000000" w:rsidRDefault="00E614A4">
      <w:pPr>
        <w:ind w:hanging="360"/>
        <w:jc w:val="both"/>
        <w:divId w:val="73090907"/>
        <w:rPr>
          <w:rFonts w:eastAsia="Times New Roman"/>
        </w:rPr>
      </w:pPr>
      <w:r>
        <w:rPr>
          <w:rFonts w:eastAsia="Times New Roman"/>
          <w:color w:val="000000"/>
          <w:sz w:val="20"/>
          <w:szCs w:val="20"/>
        </w:rPr>
        <w:t>•</w:t>
      </w:r>
      <w:r>
        <w:rPr>
          <w:rFonts w:eastAsia="Times New Roman"/>
          <w:color w:val="000000"/>
          <w:sz w:val="20"/>
          <w:szCs w:val="20"/>
        </w:rPr>
        <w:t>enter new geographic markets that subject us to different laws and regulations that may have an adverse impact on our business;</w:t>
      </w:r>
    </w:p>
    <w:p w14:paraId="5B6446A7" w14:textId="77777777" w:rsidR="00000000" w:rsidRDefault="00E614A4">
      <w:pPr>
        <w:ind w:hanging="360"/>
        <w:divId w:val="423958599"/>
        <w:rPr>
          <w:rFonts w:eastAsia="Times New Roman"/>
        </w:rPr>
      </w:pPr>
      <w:r>
        <w:rPr>
          <w:rFonts w:eastAsia="Times New Roman"/>
          <w:color w:val="000000"/>
          <w:sz w:val="20"/>
          <w:szCs w:val="20"/>
        </w:rPr>
        <w:t>•experience difficulties effectively utilizing acquired assets;</w:t>
      </w:r>
    </w:p>
    <w:p w14:paraId="30F76E21" w14:textId="77777777" w:rsidR="00000000" w:rsidRDefault="00E614A4">
      <w:pPr>
        <w:ind w:hanging="360"/>
        <w:jc w:val="both"/>
        <w:divId w:val="1526097570"/>
        <w:rPr>
          <w:rFonts w:eastAsia="Times New Roman"/>
        </w:rPr>
      </w:pPr>
      <w:r>
        <w:rPr>
          <w:rFonts w:eastAsia="Times New Roman"/>
          <w:color w:val="000000"/>
          <w:sz w:val="20"/>
          <w:szCs w:val="20"/>
        </w:rPr>
        <w:t>•encounter difficulties integrating the information and financia</w:t>
      </w:r>
      <w:r>
        <w:rPr>
          <w:rFonts w:eastAsia="Times New Roman"/>
          <w:color w:val="000000"/>
          <w:sz w:val="20"/>
          <w:szCs w:val="20"/>
        </w:rPr>
        <w:t>l reporting systems of acquired businesses, particularly those that operated under accounting principles other than those generally accepted in the U.S. prior to the acquisition by us; and</w:t>
      </w:r>
    </w:p>
    <w:p w14:paraId="1F48AC53" w14:textId="77777777" w:rsidR="00000000" w:rsidRDefault="00E614A4">
      <w:pPr>
        <w:ind w:hanging="360"/>
        <w:divId w:val="169612359"/>
        <w:rPr>
          <w:rFonts w:eastAsia="Times New Roman"/>
        </w:rPr>
      </w:pPr>
      <w:r>
        <w:rPr>
          <w:rFonts w:eastAsia="Times New Roman"/>
          <w:color w:val="000000"/>
          <w:sz w:val="20"/>
          <w:szCs w:val="20"/>
        </w:rPr>
        <w:t>•incur debt, which may be on terms unfavorable to us or that we are</w:t>
      </w:r>
      <w:r>
        <w:rPr>
          <w:rFonts w:eastAsia="Times New Roman"/>
          <w:color w:val="000000"/>
          <w:sz w:val="20"/>
          <w:szCs w:val="20"/>
        </w:rPr>
        <w:t xml:space="preserve"> unable to repay.</w:t>
      </w:r>
    </w:p>
    <w:p w14:paraId="4207B8CE" w14:textId="77777777" w:rsidR="00000000" w:rsidRDefault="00E614A4">
      <w:pPr>
        <w:jc w:val="both"/>
        <w:divId w:val="1949459153"/>
        <w:rPr>
          <w:rFonts w:eastAsia="Times New Roman"/>
        </w:rPr>
      </w:pPr>
      <w:r>
        <w:rPr>
          <w:rFonts w:eastAsia="Times New Roman"/>
          <w:color w:val="000000"/>
          <w:sz w:val="20"/>
          <w:szCs w:val="20"/>
        </w:rPr>
        <w:t>We also have entered into relationships with certain third-party providers to expand our product offerings, and we may enter into similar arrangements in the future. These or other future relationships or transactions may involve preferre</w:t>
      </w:r>
      <w:r>
        <w:rPr>
          <w:rFonts w:eastAsia="Times New Roman"/>
          <w:color w:val="000000"/>
          <w:sz w:val="20"/>
          <w:szCs w:val="20"/>
        </w:rPr>
        <w:t>d or exclusive licenses, discount pricing, provision of our products and services without charge, or investments in other businesses to expand our sales capabilities. These transactions could be material to our financial condition and results of operations</w:t>
      </w:r>
      <w:r>
        <w:rPr>
          <w:rFonts w:eastAsia="Times New Roman"/>
          <w:color w:val="000000"/>
          <w:sz w:val="20"/>
          <w:szCs w:val="20"/>
        </w:rPr>
        <w:t>, and though these transactions may provide additional benefits, they may not be profitable immediately or in the long term. Negotiating any such transactions could be time-consuming, difficult and expensive, and our ability to close these transactions may</w:t>
      </w:r>
      <w:r>
        <w:rPr>
          <w:rFonts w:eastAsia="Times New Roman"/>
          <w:color w:val="000000"/>
          <w:sz w:val="20"/>
          <w:szCs w:val="20"/>
        </w:rPr>
        <w:t xml:space="preserve"> be subject to regulatory or other approvals and other conditions that are beyond our control. Consequently, we can make no assurances that any such transactions, investments or relationships, if undertaken and announced, would be completed or successful. </w:t>
      </w:r>
      <w:r>
        <w:rPr>
          <w:rFonts w:eastAsia="Times New Roman"/>
          <w:color w:val="000000"/>
          <w:sz w:val="20"/>
          <w:szCs w:val="20"/>
        </w:rPr>
        <w:t>The impact of any one or more of these factors could materially and adversely affect our business, financial condition or results of operations.</w:t>
      </w:r>
    </w:p>
    <w:p w14:paraId="3D4989B5" w14:textId="77777777" w:rsidR="00000000" w:rsidRDefault="00E614A4">
      <w:pPr>
        <w:jc w:val="both"/>
        <w:divId w:val="457184577"/>
        <w:rPr>
          <w:rFonts w:eastAsia="Times New Roman"/>
        </w:rPr>
      </w:pPr>
      <w:r>
        <w:rPr>
          <w:rFonts w:eastAsia="Times New Roman"/>
          <w:b/>
          <w:bCs/>
          <w:i/>
          <w:iCs/>
          <w:color w:val="000000"/>
          <w:sz w:val="20"/>
          <w:szCs w:val="20"/>
        </w:rPr>
        <w:t>System failures, security breaches or delays in the operation of our computer and communications systems may ha</w:t>
      </w:r>
      <w:r>
        <w:rPr>
          <w:rFonts w:eastAsia="Times New Roman"/>
          <w:b/>
          <w:bCs/>
          <w:i/>
          <w:iCs/>
          <w:color w:val="000000"/>
          <w:sz w:val="20"/>
          <w:szCs w:val="20"/>
        </w:rPr>
        <w:t>rm our business.</w:t>
      </w:r>
    </w:p>
    <w:p w14:paraId="4934BA8C" w14:textId="77777777" w:rsidR="00000000" w:rsidRDefault="00E614A4">
      <w:pPr>
        <w:jc w:val="both"/>
        <w:divId w:val="1751195975"/>
        <w:rPr>
          <w:rFonts w:eastAsia="Times New Roman"/>
        </w:rPr>
      </w:pPr>
      <w:r>
        <w:rPr>
          <w:rFonts w:eastAsia="Times New Roman"/>
          <w:color w:val="000000"/>
          <w:sz w:val="20"/>
          <w:szCs w:val="20"/>
        </w:rPr>
        <w:t>Our success depends on the efficient and uninterrupted operation of our computer and communications systems and the third-party data centers we use. Our ability to collect and report accurate data may be interrupted by a number of factors,</w:t>
      </w:r>
      <w:r>
        <w:rPr>
          <w:rFonts w:eastAsia="Times New Roman"/>
          <w:color w:val="000000"/>
          <w:sz w:val="20"/>
          <w:szCs w:val="20"/>
        </w:rPr>
        <w:t xml:space="preserve"> including the failure of our network or software systems, computer viruses, security breaches, or variability in user traffic on customer websites.</w:t>
      </w:r>
    </w:p>
    <w:p w14:paraId="06E565E1" w14:textId="77777777" w:rsidR="00000000" w:rsidRDefault="00E614A4">
      <w:pPr>
        <w:jc w:val="both"/>
        <w:divId w:val="1170100685"/>
        <w:rPr>
          <w:rFonts w:eastAsia="Times New Roman"/>
        </w:rPr>
      </w:pPr>
      <w:r>
        <w:rPr>
          <w:rFonts w:eastAsia="Times New Roman"/>
          <w:color w:val="000000"/>
          <w:sz w:val="20"/>
          <w:szCs w:val="20"/>
        </w:rPr>
        <w:t>Our product, information technology and security teams regularly review our systems and security posture an</w:t>
      </w:r>
      <w:r>
        <w:rPr>
          <w:rFonts w:eastAsia="Times New Roman"/>
          <w:color w:val="000000"/>
          <w:sz w:val="20"/>
          <w:szCs w:val="20"/>
        </w:rPr>
        <w:t>d evaluate ways to enhance our processes and controls. In addition, our board of directors and audit committee receive quarterly updates on developments in information technology, security and data governance, and we regularly train our employees on inform</w:t>
      </w:r>
      <w:r>
        <w:rPr>
          <w:rFonts w:eastAsia="Times New Roman"/>
          <w:color w:val="000000"/>
          <w:sz w:val="20"/>
          <w:szCs w:val="20"/>
        </w:rPr>
        <w:t>ation security and related risks. Nevertheless, we cannot guarantee that a security incident will not occur or that any such incident will be timely detected or remediated. A security incident or failure of our network or data gathering procedures, or thos</w:t>
      </w:r>
      <w:r>
        <w:rPr>
          <w:rFonts w:eastAsia="Times New Roman"/>
          <w:color w:val="000000"/>
          <w:sz w:val="20"/>
          <w:szCs w:val="20"/>
        </w:rPr>
        <w:t>e of our third-party data suppliers, could result in liability to the Company, impede the processing of data, cause the corruption or loss of data, prevent the timely delivery of our products, or damage our brand and reputation.</w:t>
      </w:r>
    </w:p>
    <w:p w14:paraId="29821420" w14:textId="77777777" w:rsidR="00000000" w:rsidRDefault="00E614A4">
      <w:pPr>
        <w:jc w:val="both"/>
        <w:divId w:val="1197281451"/>
        <w:rPr>
          <w:rFonts w:eastAsia="Times New Roman"/>
        </w:rPr>
      </w:pPr>
      <w:r>
        <w:rPr>
          <w:rFonts w:eastAsia="Times New Roman"/>
          <w:color w:val="000000"/>
          <w:sz w:val="20"/>
          <w:szCs w:val="20"/>
        </w:rPr>
        <w:t xml:space="preserve">In the future, we may need </w:t>
      </w:r>
      <w:r>
        <w:rPr>
          <w:rFonts w:eastAsia="Times New Roman"/>
          <w:color w:val="000000"/>
          <w:sz w:val="20"/>
          <w:szCs w:val="20"/>
        </w:rPr>
        <w:t xml:space="preserve">to expand our network and systems at a more rapid pace than we have in the past. Our network or systems may not be capable of meeting the demand for increased capacity, or we may incur additional expenses to accommodate these </w:t>
      </w:r>
    </w:p>
    <w:p w14:paraId="7E4AC99E" w14:textId="77777777" w:rsidR="00000000" w:rsidRDefault="00E614A4">
      <w:pPr>
        <w:jc w:val="center"/>
        <w:divId w:val="25373484"/>
        <w:rPr>
          <w:rFonts w:eastAsia="Times New Roman"/>
        </w:rPr>
      </w:pPr>
      <w:r>
        <w:rPr>
          <w:rFonts w:eastAsia="Times New Roman"/>
          <w:color w:val="000000"/>
          <w:sz w:val="20"/>
          <w:szCs w:val="20"/>
        </w:rPr>
        <w:t>20</w:t>
      </w:r>
    </w:p>
    <w:p w14:paraId="1625A2DE" w14:textId="77777777" w:rsidR="00000000" w:rsidRDefault="00E614A4">
      <w:pPr>
        <w:rPr>
          <w:rFonts w:eastAsia="Times New Roman"/>
        </w:rPr>
      </w:pPr>
      <w:r>
        <w:rPr>
          <w:rFonts w:eastAsia="Times New Roman"/>
        </w:rPr>
        <w:pict w14:anchorId="23B96FED">
          <v:rect id="_x0000_i1047" style="width:0;height:1.5pt" o:hralign="center" o:hrstd="t" o:hr="t" fillcolor="#a0a0a0" stroked="f"/>
        </w:pict>
      </w:r>
    </w:p>
    <w:p w14:paraId="3CE5EADA" w14:textId="77777777" w:rsidR="00000000" w:rsidRDefault="00E614A4">
      <w:pPr>
        <w:divId w:val="186898160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B6F7C9E" w14:textId="77777777" w:rsidR="00000000" w:rsidRDefault="00E614A4">
      <w:pPr>
        <w:divId w:val="1313868873"/>
        <w:rPr>
          <w:rFonts w:eastAsia="Times New Roman"/>
        </w:rPr>
      </w:pPr>
    </w:p>
    <w:p w14:paraId="5F0CA7EB" w14:textId="77777777" w:rsidR="00000000" w:rsidRDefault="00E614A4">
      <w:pPr>
        <w:jc w:val="both"/>
        <w:divId w:val="1571424284"/>
        <w:rPr>
          <w:rFonts w:eastAsia="Times New Roman"/>
        </w:rPr>
      </w:pPr>
      <w:r>
        <w:rPr>
          <w:rFonts w:eastAsia="Times New Roman"/>
          <w:color w:val="000000"/>
          <w:sz w:val="20"/>
          <w:szCs w:val="20"/>
        </w:rPr>
        <w:t>capacity demands. In addition, we may lose valuable data or be unable to obtain or provide data on a timely ba</w:t>
      </w:r>
      <w:r>
        <w:rPr>
          <w:rFonts w:eastAsia="Times New Roman"/>
          <w:color w:val="000000"/>
          <w:sz w:val="20"/>
          <w:szCs w:val="20"/>
        </w:rPr>
        <w:t>sis or our network may temporarily shut down if we fail to adequately expand or maintain our network capabilities to meet future requirements. Any lapse in our ability to collect or transmit data may decrease the value of our products and prevent us from p</w:t>
      </w:r>
      <w:r>
        <w:rPr>
          <w:rFonts w:eastAsia="Times New Roman"/>
          <w:color w:val="000000"/>
          <w:sz w:val="20"/>
          <w:szCs w:val="20"/>
        </w:rPr>
        <w:t>roviding the data requested by our customers and partners. Any disruption in our network processing or any loss, exposure or misuse of internet user data may damage our reputation and result in the loss of customers, partners and vendors and the imposition</w:t>
      </w:r>
      <w:r>
        <w:rPr>
          <w:rFonts w:eastAsia="Times New Roman"/>
          <w:color w:val="000000"/>
          <w:sz w:val="20"/>
          <w:szCs w:val="20"/>
        </w:rPr>
        <w:t xml:space="preserve"> of penalties or other legal or regulatory action, and our business, financial condition and results of operations could be materially and adversely affected.</w:t>
      </w:r>
    </w:p>
    <w:p w14:paraId="0392B924" w14:textId="77777777" w:rsidR="00000000" w:rsidRDefault="00E614A4">
      <w:pPr>
        <w:jc w:val="both"/>
        <w:divId w:val="584002227"/>
        <w:rPr>
          <w:rFonts w:eastAsia="Times New Roman"/>
        </w:rPr>
      </w:pPr>
      <w:r>
        <w:rPr>
          <w:rFonts w:eastAsia="Times New Roman"/>
          <w:b/>
          <w:bCs/>
          <w:i/>
          <w:iCs/>
          <w:color w:val="000000"/>
          <w:sz w:val="20"/>
          <w:szCs w:val="20"/>
        </w:rPr>
        <w:t xml:space="preserve">We are subject to customer and partner security reviews, and failure to pass these reviews could </w:t>
      </w:r>
      <w:r>
        <w:rPr>
          <w:rFonts w:eastAsia="Times New Roman"/>
          <w:b/>
          <w:bCs/>
          <w:i/>
          <w:iCs/>
          <w:color w:val="000000"/>
          <w:sz w:val="20"/>
          <w:szCs w:val="20"/>
        </w:rPr>
        <w:t>have an adverse impact on our operations.</w:t>
      </w:r>
    </w:p>
    <w:p w14:paraId="2ED55A98" w14:textId="77777777" w:rsidR="00000000" w:rsidRDefault="00E614A4">
      <w:pPr>
        <w:jc w:val="both"/>
        <w:divId w:val="500967170"/>
        <w:rPr>
          <w:rFonts w:eastAsia="Times New Roman"/>
        </w:rPr>
      </w:pPr>
      <w:r>
        <w:rPr>
          <w:rFonts w:eastAsia="Times New Roman"/>
          <w:color w:val="000000"/>
          <w:sz w:val="20"/>
          <w:szCs w:val="20"/>
        </w:rPr>
        <w:t>Many of our customer and partner contracts require that we maintain certain physical and/or information security standards. Any failure to meet such standards could have an adverse impact on our business. In certai</w:t>
      </w:r>
      <w:r>
        <w:rPr>
          <w:rFonts w:eastAsia="Times New Roman"/>
          <w:color w:val="000000"/>
          <w:sz w:val="20"/>
          <w:szCs w:val="20"/>
        </w:rPr>
        <w:t xml:space="preserve">n cases, we permit a customer or partner to audit our compliance with contractual standards. Negative findings in an audit and/or the failure to adequately remediate in a timely fashion such negative findings could cause customers or partners to terminate </w:t>
      </w:r>
      <w:r>
        <w:rPr>
          <w:rFonts w:eastAsia="Times New Roman"/>
          <w:color w:val="000000"/>
          <w:sz w:val="20"/>
          <w:szCs w:val="20"/>
        </w:rPr>
        <w:t>their contracts or otherwise have an adverse effect on our reputation, results of operations and financial condition. Further, customers or partners from time to time may require new or stricter physical or information security than they negotiated in thei</w:t>
      </w:r>
      <w:r>
        <w:rPr>
          <w:rFonts w:eastAsia="Times New Roman"/>
          <w:color w:val="000000"/>
          <w:sz w:val="20"/>
          <w:szCs w:val="20"/>
        </w:rPr>
        <w:t xml:space="preserve">r contracts and may condition continued volumes and business on the satisfaction of such additional requirements. Some of these requirements may be expensive to implement or maintain and may not be factored into our contract pricing. Failure to meet these </w:t>
      </w:r>
      <w:r>
        <w:rPr>
          <w:rFonts w:eastAsia="Times New Roman"/>
          <w:color w:val="000000"/>
          <w:sz w:val="20"/>
          <w:szCs w:val="20"/>
        </w:rPr>
        <w:t>requirements could have an adverse effect on our business.</w:t>
      </w:r>
    </w:p>
    <w:p w14:paraId="4A013BC1" w14:textId="77777777" w:rsidR="00000000" w:rsidRDefault="00E614A4">
      <w:pPr>
        <w:jc w:val="both"/>
        <w:divId w:val="95292989"/>
        <w:rPr>
          <w:rFonts w:eastAsia="Times New Roman"/>
        </w:rPr>
      </w:pPr>
      <w:r>
        <w:rPr>
          <w:rFonts w:eastAsia="Times New Roman"/>
          <w:b/>
          <w:bCs/>
          <w:i/>
          <w:iCs/>
          <w:color w:val="000000"/>
          <w:sz w:val="20"/>
          <w:szCs w:val="20"/>
        </w:rPr>
        <w:t>We rely on a small number of third-party service providers to host and deliver our products, and any interruptions or delays in services from these third parties could impair the delivery of our pr</w:t>
      </w:r>
      <w:r>
        <w:rPr>
          <w:rFonts w:eastAsia="Times New Roman"/>
          <w:b/>
          <w:bCs/>
          <w:i/>
          <w:iCs/>
          <w:color w:val="000000"/>
          <w:sz w:val="20"/>
          <w:szCs w:val="20"/>
        </w:rPr>
        <w:t>oducts and harm our business.</w:t>
      </w:r>
    </w:p>
    <w:p w14:paraId="2C5E4058" w14:textId="77777777" w:rsidR="00000000" w:rsidRDefault="00E614A4">
      <w:pPr>
        <w:jc w:val="both"/>
        <w:divId w:val="1076513656"/>
        <w:rPr>
          <w:rFonts w:eastAsia="Times New Roman"/>
        </w:rPr>
      </w:pPr>
      <w:r>
        <w:rPr>
          <w:rFonts w:eastAsia="Times New Roman"/>
          <w:color w:val="000000"/>
          <w:sz w:val="20"/>
          <w:szCs w:val="20"/>
        </w:rPr>
        <w:t>We host our products and serve our customers from data center facilities located throughout the U.S. While we operate our equipment inside these facilities, we do not control the operation of these facilities, and, depending o</w:t>
      </w:r>
      <w:r>
        <w:rPr>
          <w:rFonts w:eastAsia="Times New Roman"/>
          <w:color w:val="000000"/>
          <w:sz w:val="20"/>
          <w:szCs w:val="20"/>
        </w:rPr>
        <w:t>n service level requirements and costs, we may not continue to operate or maintain redundant data center facilities for all of our products or for all of our data, which could increase our vulnerability. These facilities are vulnerable to damage or interru</w:t>
      </w:r>
      <w:r>
        <w:rPr>
          <w:rFonts w:eastAsia="Times New Roman"/>
          <w:color w:val="000000"/>
          <w:sz w:val="20"/>
          <w:szCs w:val="20"/>
        </w:rPr>
        <w:t xml:space="preserve">ption from earthquakes, hurricanes, floods, fires, power loss, telecommunications failures and similar events. They are also subject to break-ins, computer viruses, security breaches, sabotage, intentional acts of vandalism and other misconduct. A natural </w:t>
      </w:r>
      <w:r>
        <w:rPr>
          <w:rFonts w:eastAsia="Times New Roman"/>
          <w:color w:val="000000"/>
          <w:sz w:val="20"/>
          <w:szCs w:val="20"/>
        </w:rPr>
        <w:t>disaster or an act of terrorism, a decision to close the facilities without adequate notice, or other unanticipated problems could result in lengthy interruptions in availability of our products. We may also encounter capacity limitations at our third-part</w:t>
      </w:r>
      <w:r>
        <w:rPr>
          <w:rFonts w:eastAsia="Times New Roman"/>
          <w:color w:val="000000"/>
          <w:sz w:val="20"/>
          <w:szCs w:val="20"/>
        </w:rPr>
        <w:t>y data centers. Additionally, our data center facility agreements are of limited durations, and our data center facilities have no obligation to renew their agreements with us on commercially reasonable terms, if at all. We believe that we have good relati</w:t>
      </w:r>
      <w:r>
        <w:rPr>
          <w:rFonts w:eastAsia="Times New Roman"/>
          <w:color w:val="000000"/>
          <w:sz w:val="20"/>
          <w:szCs w:val="20"/>
        </w:rPr>
        <w:t>onships with our data center facility vendors and believe that we will be able to renew, or find alternative data center facilities, on commercially reasonable terms, although there can be no guarantee of this. If we are unable to renew our agreements with</w:t>
      </w:r>
      <w:r>
        <w:rPr>
          <w:rFonts w:eastAsia="Times New Roman"/>
          <w:color w:val="000000"/>
          <w:sz w:val="20"/>
          <w:szCs w:val="20"/>
        </w:rPr>
        <w:t xml:space="preserve"> the owners of the facilities on commercially reasonable terms, or if we migrate to a new data center, we may experience delays in delivering our products until an agreement with another data center facility can be arranged or the migration to a new facili</w:t>
      </w:r>
      <w:r>
        <w:rPr>
          <w:rFonts w:eastAsia="Times New Roman"/>
          <w:color w:val="000000"/>
          <w:sz w:val="20"/>
          <w:szCs w:val="20"/>
        </w:rPr>
        <w:t>ty is completed.</w:t>
      </w:r>
    </w:p>
    <w:p w14:paraId="36D732A8" w14:textId="77777777" w:rsidR="00000000" w:rsidRDefault="00E614A4">
      <w:pPr>
        <w:jc w:val="both"/>
        <w:divId w:val="1181823674"/>
        <w:rPr>
          <w:rFonts w:eastAsia="Times New Roman"/>
        </w:rPr>
      </w:pPr>
      <w:r>
        <w:rPr>
          <w:rFonts w:eastAsia="Times New Roman"/>
          <w:color w:val="000000"/>
          <w:sz w:val="20"/>
          <w:szCs w:val="20"/>
        </w:rPr>
        <w:t>If we or the third-party data centers that we use were to experience a major power outage, we would have to rely on back-up generators, which may not function properly, and their supply may be inadequate. Such a power outage could result i</w:t>
      </w:r>
      <w:r>
        <w:rPr>
          <w:rFonts w:eastAsia="Times New Roman"/>
          <w:color w:val="000000"/>
          <w:sz w:val="20"/>
          <w:szCs w:val="20"/>
        </w:rPr>
        <w:t>n the disruption of our business. Additionally, if our current facilities fail to have sufficient cooling capacity or availability of electrical power, we would need to find alternative facilities and could experience delays in delivering our products.</w:t>
      </w:r>
    </w:p>
    <w:p w14:paraId="78BF23D4" w14:textId="77777777" w:rsidR="00000000" w:rsidRDefault="00E614A4">
      <w:pPr>
        <w:jc w:val="both"/>
        <w:divId w:val="806820242"/>
        <w:rPr>
          <w:rFonts w:eastAsia="Times New Roman"/>
        </w:rPr>
      </w:pPr>
      <w:r>
        <w:rPr>
          <w:rFonts w:eastAsia="Times New Roman"/>
          <w:color w:val="000000"/>
          <w:sz w:val="20"/>
          <w:szCs w:val="20"/>
        </w:rPr>
        <w:t xml:space="preserve">We </w:t>
      </w:r>
      <w:r>
        <w:rPr>
          <w:rFonts w:eastAsia="Times New Roman"/>
          <w:color w:val="000000"/>
          <w:sz w:val="20"/>
          <w:szCs w:val="20"/>
        </w:rPr>
        <w:t>currently leverage a large content delivery network ("CDN"), to provide services that allow us to offer a more efficient tagging methodology. If that network faced an outage or breach or the service became unavailable, an alternate CDN provider or addition</w:t>
      </w:r>
      <w:r>
        <w:rPr>
          <w:rFonts w:eastAsia="Times New Roman"/>
          <w:color w:val="000000"/>
          <w:sz w:val="20"/>
          <w:szCs w:val="20"/>
        </w:rPr>
        <w:t>al capacity in our data centers would need to be established to support the large volume of tag requests that we currently manage, which would either require additional investments in equipment and facilities or a transition plan. This could unexpectedly r</w:t>
      </w:r>
      <w:r>
        <w:rPr>
          <w:rFonts w:eastAsia="Times New Roman"/>
          <w:color w:val="000000"/>
          <w:sz w:val="20"/>
          <w:szCs w:val="20"/>
        </w:rPr>
        <w:t>aise our costs and could contribute to delays or losses in tag data that could affect the quality and reputation of our Media Metrix, vCE, cross-platform and other products that involve the measurement of a large amount of digitally transmitted activity ac</w:t>
      </w:r>
      <w:r>
        <w:rPr>
          <w:rFonts w:eastAsia="Times New Roman"/>
          <w:color w:val="000000"/>
          <w:sz w:val="20"/>
          <w:szCs w:val="20"/>
        </w:rPr>
        <w:t>ross multiple providers. We recently initiated a migration of our CDN to a new provider, which we believe will allow us to refine the data flow of measurements and ingestion into our data processing while reducing costs. However, there is no guarantee that</w:t>
      </w:r>
      <w:r>
        <w:rPr>
          <w:rFonts w:eastAsia="Times New Roman"/>
          <w:color w:val="000000"/>
          <w:sz w:val="20"/>
          <w:szCs w:val="20"/>
        </w:rPr>
        <w:t xml:space="preserve"> the migration will be successful or that we will achieve the anticipated benefits or cost savings. Any delay or loss of data in the migration could negatively impact our products, which could have an adverse effect on our customer and partner relationship</w:t>
      </w:r>
      <w:r>
        <w:rPr>
          <w:rFonts w:eastAsia="Times New Roman"/>
          <w:color w:val="000000"/>
          <w:sz w:val="20"/>
          <w:szCs w:val="20"/>
        </w:rPr>
        <w:t>s and financial results.</w:t>
      </w:r>
    </w:p>
    <w:p w14:paraId="57CE832F" w14:textId="77777777" w:rsidR="00000000" w:rsidRDefault="00E614A4">
      <w:pPr>
        <w:jc w:val="both"/>
        <w:divId w:val="1998802306"/>
        <w:rPr>
          <w:rFonts w:eastAsia="Times New Roman"/>
        </w:rPr>
      </w:pPr>
      <w:r>
        <w:rPr>
          <w:rFonts w:eastAsia="Times New Roman"/>
          <w:color w:val="000000"/>
          <w:sz w:val="20"/>
          <w:szCs w:val="20"/>
        </w:rPr>
        <w:t>We depend on access to the internet through third-party bandwidth providers to operate our business. If we lose the services of one or more of our bandwidth providers for any reason, we could experience disruption in the delivery o</w:t>
      </w:r>
      <w:r>
        <w:rPr>
          <w:rFonts w:eastAsia="Times New Roman"/>
          <w:color w:val="000000"/>
          <w:sz w:val="20"/>
          <w:szCs w:val="20"/>
        </w:rPr>
        <w:t>f our products or be required to retain the services of a replacement bandwidth provider. It may be difficult for us to replace any lost bandwidth on a timely basis, on commercially reasonable terms, or at all, due to the large amount of bandwidth our oper</w:t>
      </w:r>
      <w:r>
        <w:rPr>
          <w:rFonts w:eastAsia="Times New Roman"/>
          <w:color w:val="000000"/>
          <w:sz w:val="20"/>
          <w:szCs w:val="20"/>
        </w:rPr>
        <w:t>ations require.</w:t>
      </w:r>
    </w:p>
    <w:p w14:paraId="288B95FD" w14:textId="77777777" w:rsidR="00000000" w:rsidRDefault="00E614A4">
      <w:pPr>
        <w:jc w:val="both"/>
        <w:divId w:val="142284683"/>
        <w:rPr>
          <w:rFonts w:eastAsia="Times New Roman"/>
        </w:rPr>
      </w:pPr>
      <w:r>
        <w:rPr>
          <w:rFonts w:eastAsia="Times New Roman"/>
          <w:color w:val="000000"/>
          <w:sz w:val="20"/>
          <w:szCs w:val="20"/>
        </w:rPr>
        <w:t>Any errors, defects, breaches, disruptions or other performance problems related to our products or the delivery of our services caused by third parties could reduce our revenues, harm our reputation, result in the loss of customers, partners and vendors a</w:t>
      </w:r>
      <w:r>
        <w:rPr>
          <w:rFonts w:eastAsia="Times New Roman"/>
          <w:color w:val="000000"/>
          <w:sz w:val="20"/>
          <w:szCs w:val="20"/>
        </w:rPr>
        <w:t>nd the imposition of penalties or other legal or regulatory actions and otherwise damage our business. Interruptions in the availability of our products and the delivery of our services may reduce our revenues due to increased turnaround time to complete p</w:t>
      </w:r>
      <w:r>
        <w:rPr>
          <w:rFonts w:eastAsia="Times New Roman"/>
          <w:color w:val="000000"/>
          <w:sz w:val="20"/>
          <w:szCs w:val="20"/>
        </w:rPr>
        <w:t>rojects, cause us to issue credits or refunds to customers, cause customers to terminate their agreements or adversely affect our renewal rates. Our business, financial condition and results of operations would be materially and adversely affected if there</w:t>
      </w:r>
      <w:r>
        <w:rPr>
          <w:rFonts w:eastAsia="Times New Roman"/>
          <w:color w:val="000000"/>
          <w:sz w:val="20"/>
          <w:szCs w:val="20"/>
        </w:rPr>
        <w:t xml:space="preserve"> were errors or delays in </w:t>
      </w:r>
    </w:p>
    <w:p w14:paraId="0E05E4AD" w14:textId="77777777" w:rsidR="00000000" w:rsidRDefault="00E614A4">
      <w:pPr>
        <w:jc w:val="center"/>
        <w:divId w:val="1343122845"/>
        <w:rPr>
          <w:rFonts w:eastAsia="Times New Roman"/>
        </w:rPr>
      </w:pPr>
      <w:r>
        <w:rPr>
          <w:rFonts w:eastAsia="Times New Roman"/>
          <w:color w:val="000000"/>
          <w:sz w:val="20"/>
          <w:szCs w:val="20"/>
        </w:rPr>
        <w:t>21</w:t>
      </w:r>
    </w:p>
    <w:p w14:paraId="13228B8E" w14:textId="77777777" w:rsidR="00000000" w:rsidRDefault="00E614A4">
      <w:pPr>
        <w:rPr>
          <w:rFonts w:eastAsia="Times New Roman"/>
        </w:rPr>
      </w:pPr>
      <w:r>
        <w:rPr>
          <w:rFonts w:eastAsia="Times New Roman"/>
        </w:rPr>
        <w:pict w14:anchorId="1C079F1B">
          <v:rect id="_x0000_i1048" style="width:0;height:1.5pt" o:hralign="center" o:hrstd="t" o:hr="t" fillcolor="#a0a0a0" stroked="f"/>
        </w:pict>
      </w:r>
    </w:p>
    <w:p w14:paraId="2F507DBC" w14:textId="77777777" w:rsidR="00000000" w:rsidRDefault="00E614A4">
      <w:pPr>
        <w:divId w:val="192761315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DF46326" w14:textId="77777777" w:rsidR="00000000" w:rsidRDefault="00E614A4">
      <w:pPr>
        <w:divId w:val="804467154"/>
        <w:rPr>
          <w:rFonts w:eastAsia="Times New Roman"/>
        </w:rPr>
      </w:pPr>
    </w:p>
    <w:p w14:paraId="638C7814" w14:textId="77777777" w:rsidR="00000000" w:rsidRDefault="00E614A4">
      <w:pPr>
        <w:jc w:val="both"/>
        <w:divId w:val="6562417"/>
        <w:rPr>
          <w:rFonts w:eastAsia="Times New Roman"/>
        </w:rPr>
      </w:pPr>
      <w:r>
        <w:rPr>
          <w:rFonts w:eastAsia="Times New Roman"/>
          <w:color w:val="000000"/>
          <w:sz w:val="20"/>
          <w:szCs w:val="20"/>
        </w:rPr>
        <w:t>delivering our products or services, including for reasons beyond our control, and our reputation would be harmed if our customers or potential customers believe our products and services are unreliable.</w:t>
      </w:r>
    </w:p>
    <w:p w14:paraId="1EE777DA" w14:textId="77777777" w:rsidR="00000000" w:rsidRDefault="00E614A4">
      <w:pPr>
        <w:jc w:val="both"/>
        <w:divId w:val="1739134271"/>
        <w:rPr>
          <w:rFonts w:eastAsia="Times New Roman"/>
        </w:rPr>
      </w:pPr>
      <w:r>
        <w:rPr>
          <w:rFonts w:eastAsia="Times New Roman"/>
          <w:b/>
          <w:bCs/>
          <w:i/>
          <w:iCs/>
          <w:color w:val="000000"/>
          <w:sz w:val="20"/>
          <w:szCs w:val="20"/>
        </w:rPr>
        <w:t>We rely heavily on our management team, and may need</w:t>
      </w:r>
      <w:r>
        <w:rPr>
          <w:rFonts w:eastAsia="Times New Roman"/>
          <w:b/>
          <w:bCs/>
          <w:i/>
          <w:iCs/>
          <w:color w:val="000000"/>
          <w:sz w:val="20"/>
          <w:szCs w:val="20"/>
        </w:rPr>
        <w:t xml:space="preserve"> additional personnel to operate and grow our business. The loss of one or more key employees, the inability to attract and retain qualified personnel, or the failure to integrate new personnel could harm our business.</w:t>
      </w:r>
    </w:p>
    <w:p w14:paraId="30ED9ED8" w14:textId="77777777" w:rsidR="00000000" w:rsidRDefault="00E614A4">
      <w:pPr>
        <w:jc w:val="both"/>
        <w:divId w:val="655376040"/>
        <w:rPr>
          <w:rFonts w:eastAsia="Times New Roman"/>
        </w:rPr>
      </w:pPr>
      <w:r>
        <w:rPr>
          <w:rFonts w:eastAsia="Times New Roman"/>
          <w:color w:val="000000"/>
          <w:sz w:val="20"/>
          <w:szCs w:val="20"/>
        </w:rPr>
        <w:t xml:space="preserve">Our success and future growth depend </w:t>
      </w:r>
      <w:r>
        <w:rPr>
          <w:rFonts w:eastAsia="Times New Roman"/>
          <w:color w:val="000000"/>
          <w:sz w:val="20"/>
          <w:szCs w:val="20"/>
        </w:rPr>
        <w:t>to a significant degree on the skills and continued services of our management team. Our future success also depends on our ability to retain, attract and motivate highly skilled technical, managerial, marketing and customer service personnel, including me</w:t>
      </w:r>
      <w:r>
        <w:rPr>
          <w:rFonts w:eastAsia="Times New Roman"/>
          <w:color w:val="000000"/>
          <w:sz w:val="20"/>
          <w:szCs w:val="20"/>
        </w:rPr>
        <w:t xml:space="preserve">mbers of our management team. We may experience a loss of productivity due to the departure of key personnel and the associated loss of institutional knowledge, or while new personnel integrate into our business and transition into their respective roles. </w:t>
      </w:r>
      <w:r>
        <w:rPr>
          <w:rFonts w:eastAsia="Times New Roman"/>
          <w:color w:val="000000"/>
          <w:sz w:val="20"/>
          <w:szCs w:val="20"/>
        </w:rPr>
        <w:t>This risk may be heightened following transformative events, such as the pending Transactions.</w:t>
      </w:r>
    </w:p>
    <w:p w14:paraId="26F3843C" w14:textId="77777777" w:rsidR="00000000" w:rsidRDefault="00E614A4">
      <w:pPr>
        <w:jc w:val="both"/>
        <w:divId w:val="1093938013"/>
        <w:rPr>
          <w:rFonts w:eastAsia="Times New Roman"/>
        </w:rPr>
      </w:pPr>
      <w:r>
        <w:rPr>
          <w:rFonts w:eastAsia="Times New Roman"/>
          <w:color w:val="000000"/>
          <w:sz w:val="20"/>
          <w:szCs w:val="20"/>
        </w:rPr>
        <w:t>A substantial majority of our U.S. employees work for us on an at-will basis. We continually evaluate our personnel needs in all areas of our business, particula</w:t>
      </w:r>
      <w:r>
        <w:rPr>
          <w:rFonts w:eastAsia="Times New Roman"/>
          <w:color w:val="000000"/>
          <w:sz w:val="20"/>
          <w:szCs w:val="20"/>
        </w:rPr>
        <w:t xml:space="preserve">rly in our sales, marketing, finance and technology development areas, both domestically and internationally, which could increase our recruiting and hiring costs in the foreseeable future. Competition for these types of personnel is intense, particularly </w:t>
      </w:r>
      <w:r>
        <w:rPr>
          <w:rFonts w:eastAsia="Times New Roman"/>
          <w:color w:val="000000"/>
          <w:sz w:val="20"/>
          <w:szCs w:val="20"/>
        </w:rPr>
        <w:t>in the internet and software industries. Our inability to retain and attract the necessary personnel could adversely affect our business.</w:t>
      </w:r>
    </w:p>
    <w:p w14:paraId="6724BB60" w14:textId="77777777" w:rsidR="00000000" w:rsidRDefault="00E614A4">
      <w:pPr>
        <w:jc w:val="both"/>
        <w:divId w:val="798885562"/>
        <w:rPr>
          <w:rFonts w:eastAsia="Times New Roman"/>
        </w:rPr>
      </w:pPr>
      <w:r>
        <w:rPr>
          <w:rFonts w:eastAsia="Times New Roman"/>
          <w:b/>
          <w:bCs/>
          <w:i/>
          <w:iCs/>
          <w:color w:val="000000"/>
          <w:sz w:val="20"/>
          <w:szCs w:val="20"/>
        </w:rPr>
        <w:t xml:space="preserve">The effectiveness of our equity awards as a means to recruit and retain key personnel has diminished, and we may need </w:t>
      </w:r>
      <w:r>
        <w:rPr>
          <w:rFonts w:eastAsia="Times New Roman"/>
          <w:b/>
          <w:bCs/>
          <w:i/>
          <w:iCs/>
          <w:color w:val="000000"/>
          <w:sz w:val="20"/>
          <w:szCs w:val="20"/>
        </w:rPr>
        <w:t>to grant equity awards outside of our existing plan.</w:t>
      </w:r>
    </w:p>
    <w:p w14:paraId="073539F4" w14:textId="77777777" w:rsidR="00000000" w:rsidRDefault="00E614A4">
      <w:pPr>
        <w:jc w:val="both"/>
        <w:divId w:val="483743613"/>
        <w:rPr>
          <w:rFonts w:eastAsia="Times New Roman"/>
        </w:rPr>
      </w:pPr>
      <w:r>
        <w:rPr>
          <w:rFonts w:eastAsia="Times New Roman"/>
          <w:color w:val="000000"/>
          <w:sz w:val="20"/>
          <w:szCs w:val="20"/>
        </w:rPr>
        <w:t>Historically, we have relied on equity awards as one means of recruiting and retaining key personnel, including our senior management. Due to declines in our stock price in recent years, the effectivenes</w:t>
      </w:r>
      <w:r>
        <w:rPr>
          <w:rFonts w:eastAsia="Times New Roman"/>
          <w:color w:val="000000"/>
          <w:sz w:val="20"/>
          <w:szCs w:val="20"/>
        </w:rPr>
        <w:t>s of our outstanding equity awards as a means to retain key personnel was diminished. Moreover, the quantity of equity awards we are able to grant under our 2018 Equity and Incentive Compensation Plan ("2018 Plan") is limited. These limits have impacted ou</w:t>
      </w:r>
      <w:r>
        <w:rPr>
          <w:rFonts w:eastAsia="Times New Roman"/>
          <w:color w:val="000000"/>
          <w:sz w:val="20"/>
          <w:szCs w:val="20"/>
        </w:rPr>
        <w:t>r ability to offer new awards to current and prospective employees. In order to address our retention and hiring needs, we may seek to amend our 2018 Plan to increase the number of shares available for future equity awards, or we may need to consider grant</w:t>
      </w:r>
      <w:r>
        <w:rPr>
          <w:rFonts w:eastAsia="Times New Roman"/>
          <w:color w:val="000000"/>
          <w:sz w:val="20"/>
          <w:szCs w:val="20"/>
        </w:rPr>
        <w:t>ing equity awards outside of our 2018 Plan. Either of these options could result in additional dilution to our existing stockholders. Alternatively, we may need to shift a larger portion of employee compensation to cash, which could adversely affect our li</w:t>
      </w:r>
      <w:r>
        <w:rPr>
          <w:rFonts w:eastAsia="Times New Roman"/>
          <w:color w:val="000000"/>
          <w:sz w:val="20"/>
          <w:szCs w:val="20"/>
        </w:rPr>
        <w:t>quidity and financial condition.</w:t>
      </w:r>
    </w:p>
    <w:p w14:paraId="1FFD0495" w14:textId="77777777" w:rsidR="00000000" w:rsidRDefault="00E614A4">
      <w:pPr>
        <w:jc w:val="both"/>
        <w:divId w:val="2064018253"/>
        <w:rPr>
          <w:rFonts w:eastAsia="Times New Roman"/>
        </w:rPr>
      </w:pPr>
      <w:r>
        <w:rPr>
          <w:rFonts w:eastAsia="Times New Roman"/>
          <w:b/>
          <w:bCs/>
          <w:color w:val="000000"/>
          <w:sz w:val="20"/>
          <w:szCs w:val="20"/>
        </w:rPr>
        <w:t>Risks Related to Our Results of Operations</w:t>
      </w:r>
    </w:p>
    <w:p w14:paraId="48A591C9" w14:textId="77777777" w:rsidR="00000000" w:rsidRDefault="00E614A4">
      <w:pPr>
        <w:jc w:val="both"/>
        <w:divId w:val="529994233"/>
        <w:rPr>
          <w:rFonts w:eastAsia="Times New Roman"/>
        </w:rPr>
      </w:pPr>
      <w:r>
        <w:rPr>
          <w:rFonts w:eastAsia="Times New Roman"/>
          <w:b/>
          <w:bCs/>
          <w:i/>
          <w:iCs/>
          <w:color w:val="000000"/>
          <w:sz w:val="20"/>
          <w:szCs w:val="20"/>
        </w:rPr>
        <w:t>Our revenues and results of operations may fluctuate in the future. As a result, we may fail to meet or exceed the expectations of securities analysts or investors, which could cau</w:t>
      </w:r>
      <w:r>
        <w:rPr>
          <w:rFonts w:eastAsia="Times New Roman"/>
          <w:b/>
          <w:bCs/>
          <w:i/>
          <w:iCs/>
          <w:color w:val="000000"/>
          <w:sz w:val="20"/>
          <w:szCs w:val="20"/>
        </w:rPr>
        <w:t>se our stock price to decline.</w:t>
      </w:r>
    </w:p>
    <w:p w14:paraId="12D694B4" w14:textId="77777777" w:rsidR="00000000" w:rsidRDefault="00E614A4">
      <w:pPr>
        <w:jc w:val="both"/>
        <w:divId w:val="350952898"/>
        <w:rPr>
          <w:rFonts w:eastAsia="Times New Roman"/>
        </w:rPr>
      </w:pPr>
      <w:r>
        <w:rPr>
          <w:rFonts w:eastAsia="Times New Roman"/>
          <w:color w:val="000000"/>
          <w:sz w:val="20"/>
          <w:szCs w:val="20"/>
        </w:rPr>
        <w:t xml:space="preserve">Our results of operations may fluctuate as a result of a variety of factors, many of which are outside of our control. If our revenues or results of operations do not meet or exceed the expectations of securities analysts or </w:t>
      </w:r>
      <w:r>
        <w:rPr>
          <w:rFonts w:eastAsia="Times New Roman"/>
          <w:color w:val="000000"/>
          <w:sz w:val="20"/>
          <w:szCs w:val="20"/>
        </w:rPr>
        <w:t>investors, the price of our Common Stock could decline substantially. Factors that may cause fluctuations in our revenues or results of operations include:</w:t>
      </w:r>
    </w:p>
    <w:p w14:paraId="4D137835" w14:textId="77777777" w:rsidR="00000000" w:rsidRDefault="00E614A4">
      <w:pPr>
        <w:ind w:hanging="360"/>
        <w:divId w:val="977566591"/>
        <w:rPr>
          <w:rFonts w:eastAsia="Times New Roman"/>
        </w:rPr>
      </w:pPr>
      <w:r>
        <w:rPr>
          <w:rFonts w:eastAsia="Times New Roman"/>
          <w:color w:val="000000"/>
          <w:sz w:val="20"/>
          <w:szCs w:val="20"/>
        </w:rPr>
        <w:t>•our ability to increase sales to existing customers and attract new customers in the current econom</w:t>
      </w:r>
      <w:r>
        <w:rPr>
          <w:rFonts w:eastAsia="Times New Roman"/>
          <w:color w:val="000000"/>
          <w:sz w:val="20"/>
          <w:szCs w:val="20"/>
        </w:rPr>
        <w:t>ic environment;</w:t>
      </w:r>
    </w:p>
    <w:p w14:paraId="7EF779A5" w14:textId="77777777" w:rsidR="00000000" w:rsidRDefault="00E614A4">
      <w:pPr>
        <w:ind w:hanging="360"/>
        <w:divId w:val="1940068189"/>
        <w:rPr>
          <w:rFonts w:eastAsia="Times New Roman"/>
        </w:rPr>
      </w:pPr>
      <w:r>
        <w:rPr>
          <w:rFonts w:eastAsia="Times New Roman"/>
          <w:color w:val="000000"/>
          <w:sz w:val="20"/>
          <w:szCs w:val="20"/>
        </w:rPr>
        <w:t>•our ability to respond to changes in our customers' businesses and consumer behavior resulting from the COVID-19 pandemic;</w:t>
      </w:r>
    </w:p>
    <w:p w14:paraId="77029A76" w14:textId="77777777" w:rsidR="00000000" w:rsidRDefault="00E614A4">
      <w:pPr>
        <w:ind w:hanging="360"/>
        <w:divId w:val="1577742678"/>
        <w:rPr>
          <w:rFonts w:eastAsia="Times New Roman"/>
        </w:rPr>
      </w:pPr>
      <w:r>
        <w:rPr>
          <w:rFonts w:eastAsia="Times New Roman"/>
          <w:color w:val="000000"/>
          <w:sz w:val="20"/>
          <w:szCs w:val="20"/>
        </w:rPr>
        <w:t>•the potential loss or reduction in spending by significant customers;</w:t>
      </w:r>
    </w:p>
    <w:p w14:paraId="39EC93E2" w14:textId="77777777" w:rsidR="00000000" w:rsidRDefault="00E614A4">
      <w:pPr>
        <w:ind w:hanging="360"/>
        <w:divId w:val="196312642"/>
        <w:rPr>
          <w:rFonts w:eastAsia="Times New Roman"/>
        </w:rPr>
      </w:pPr>
      <w:r>
        <w:rPr>
          <w:rFonts w:eastAsia="Times New Roman"/>
          <w:color w:val="000000"/>
          <w:sz w:val="20"/>
          <w:szCs w:val="20"/>
        </w:rPr>
        <w:t>•changes in our customers' subscription renew</w:t>
      </w:r>
      <w:r>
        <w:rPr>
          <w:rFonts w:eastAsia="Times New Roman"/>
          <w:color w:val="000000"/>
          <w:sz w:val="20"/>
          <w:szCs w:val="20"/>
        </w:rPr>
        <w:t>al behaviors and spending on projects, particularly custom projects;</w:t>
      </w:r>
    </w:p>
    <w:p w14:paraId="43F2180C" w14:textId="77777777" w:rsidR="00000000" w:rsidRDefault="00E614A4">
      <w:pPr>
        <w:ind w:hanging="360"/>
        <w:jc w:val="both"/>
        <w:divId w:val="1535581103"/>
        <w:rPr>
          <w:rFonts w:eastAsia="Times New Roman"/>
        </w:rPr>
      </w:pPr>
      <w:r>
        <w:rPr>
          <w:rFonts w:eastAsia="Times New Roman"/>
          <w:color w:val="000000"/>
          <w:sz w:val="20"/>
          <w:szCs w:val="20"/>
        </w:rPr>
        <w:t>•the impact of our contract renewal rates caused by our customers' budgetary constraints, pandemic-related factors, competition, customer dissatisfaction, customer corporate restructuring</w:t>
      </w:r>
      <w:r>
        <w:rPr>
          <w:rFonts w:eastAsia="Times New Roman"/>
          <w:color w:val="000000"/>
          <w:sz w:val="20"/>
          <w:szCs w:val="20"/>
        </w:rPr>
        <w:t>, or our customers' actual or perceived lack of need for our products;</w:t>
      </w:r>
    </w:p>
    <w:p w14:paraId="3991611F" w14:textId="77777777" w:rsidR="00000000" w:rsidRDefault="00E614A4">
      <w:pPr>
        <w:ind w:hanging="360"/>
        <w:jc w:val="both"/>
        <w:divId w:val="468207679"/>
        <w:rPr>
          <w:rFonts w:eastAsia="Times New Roman"/>
        </w:rPr>
      </w:pPr>
      <w:r>
        <w:rPr>
          <w:rFonts w:eastAsia="Times New Roman"/>
          <w:color w:val="000000"/>
          <w:sz w:val="20"/>
          <w:szCs w:val="20"/>
        </w:rPr>
        <w:t>•</w:t>
      </w:r>
      <w:r>
        <w:rPr>
          <w:rFonts w:eastAsia="Times New Roman"/>
          <w:color w:val="000000"/>
          <w:sz w:val="20"/>
          <w:szCs w:val="20"/>
        </w:rPr>
        <w:t>the timing of contract renewals, delivery of products and duration of contracts and the corresponding timing of revenue recognition;</w:t>
      </w:r>
    </w:p>
    <w:p w14:paraId="1947B728" w14:textId="77777777" w:rsidR="00000000" w:rsidRDefault="00E614A4">
      <w:pPr>
        <w:ind w:hanging="360"/>
        <w:divId w:val="960578110"/>
        <w:rPr>
          <w:rFonts w:eastAsia="Times New Roman"/>
        </w:rPr>
      </w:pPr>
      <w:r>
        <w:rPr>
          <w:rFonts w:eastAsia="Times New Roman"/>
          <w:color w:val="000000"/>
          <w:sz w:val="20"/>
          <w:szCs w:val="20"/>
        </w:rPr>
        <w:t>•the challenges of persuading existing and prospective customers to switch from incumbent service providers;</w:t>
      </w:r>
    </w:p>
    <w:p w14:paraId="6F4A4BA6" w14:textId="77777777" w:rsidR="00000000" w:rsidRDefault="00E614A4">
      <w:pPr>
        <w:ind w:hanging="360"/>
        <w:divId w:val="1630865486"/>
        <w:rPr>
          <w:rFonts w:eastAsia="Times New Roman"/>
        </w:rPr>
      </w:pPr>
      <w:r>
        <w:rPr>
          <w:rFonts w:eastAsia="Times New Roman"/>
          <w:color w:val="000000"/>
          <w:sz w:val="20"/>
          <w:szCs w:val="20"/>
        </w:rPr>
        <w:t>•the timing of</w:t>
      </w:r>
      <w:r>
        <w:rPr>
          <w:rFonts w:eastAsia="Times New Roman"/>
          <w:color w:val="000000"/>
          <w:sz w:val="20"/>
          <w:szCs w:val="20"/>
        </w:rPr>
        <w:t xml:space="preserve"> revenue recognition for usage-based or impression-based products;</w:t>
      </w:r>
    </w:p>
    <w:p w14:paraId="10452282" w14:textId="77777777" w:rsidR="00000000" w:rsidRDefault="00E614A4">
      <w:pPr>
        <w:ind w:hanging="360"/>
        <w:divId w:val="821847634"/>
        <w:rPr>
          <w:rFonts w:eastAsia="Times New Roman"/>
        </w:rPr>
      </w:pPr>
      <w:r>
        <w:rPr>
          <w:rFonts w:eastAsia="Times New Roman"/>
          <w:color w:val="000000"/>
          <w:sz w:val="20"/>
          <w:szCs w:val="20"/>
        </w:rPr>
        <w:t>•the effect of revenues generated from significant one-time projects or the loss of such projects;</w:t>
      </w:r>
    </w:p>
    <w:p w14:paraId="47498ACD" w14:textId="77777777" w:rsidR="00000000" w:rsidRDefault="00E614A4">
      <w:pPr>
        <w:ind w:hanging="360"/>
        <w:divId w:val="41561662"/>
        <w:rPr>
          <w:rFonts w:eastAsia="Times New Roman"/>
        </w:rPr>
      </w:pPr>
      <w:r>
        <w:rPr>
          <w:rFonts w:eastAsia="Times New Roman"/>
          <w:color w:val="000000"/>
          <w:sz w:val="20"/>
          <w:szCs w:val="20"/>
        </w:rPr>
        <w:t>•the timing and success of new product introductions or changes in methodology by us or ou</w:t>
      </w:r>
      <w:r>
        <w:rPr>
          <w:rFonts w:eastAsia="Times New Roman"/>
          <w:color w:val="000000"/>
          <w:sz w:val="20"/>
          <w:szCs w:val="20"/>
        </w:rPr>
        <w:t>r competitors;</w:t>
      </w:r>
    </w:p>
    <w:p w14:paraId="6B5EAF70" w14:textId="77777777" w:rsidR="00000000" w:rsidRDefault="00E614A4">
      <w:pPr>
        <w:ind w:hanging="360"/>
        <w:divId w:val="346520769"/>
        <w:rPr>
          <w:rFonts w:eastAsia="Times New Roman"/>
        </w:rPr>
      </w:pPr>
      <w:r>
        <w:rPr>
          <w:rFonts w:eastAsia="Times New Roman"/>
          <w:color w:val="000000"/>
          <w:sz w:val="20"/>
          <w:szCs w:val="20"/>
        </w:rPr>
        <w:t>•the impact of the Transactions, including the long-term data license with Charter and other anticipated commercial relationships, on our revenues and cost of revenues;</w:t>
      </w:r>
    </w:p>
    <w:p w14:paraId="2A7D5B24" w14:textId="77777777" w:rsidR="00000000" w:rsidRDefault="00E614A4">
      <w:pPr>
        <w:ind w:hanging="360"/>
        <w:divId w:val="324750542"/>
        <w:rPr>
          <w:rFonts w:eastAsia="Times New Roman"/>
        </w:rPr>
      </w:pPr>
      <w:r>
        <w:rPr>
          <w:rFonts w:eastAsia="Times New Roman"/>
          <w:color w:val="000000"/>
          <w:sz w:val="20"/>
          <w:szCs w:val="20"/>
        </w:rPr>
        <w:t>•changes in our pricing and discounting policies or those of our competi</w:t>
      </w:r>
      <w:r>
        <w:rPr>
          <w:rFonts w:eastAsia="Times New Roman"/>
          <w:color w:val="000000"/>
          <w:sz w:val="20"/>
          <w:szCs w:val="20"/>
        </w:rPr>
        <w:t>tors;</w:t>
      </w:r>
    </w:p>
    <w:p w14:paraId="261E4CDF" w14:textId="77777777" w:rsidR="00000000" w:rsidRDefault="00E614A4">
      <w:pPr>
        <w:ind w:hanging="360"/>
        <w:divId w:val="369452054"/>
        <w:rPr>
          <w:rFonts w:eastAsia="Times New Roman"/>
        </w:rPr>
      </w:pPr>
      <w:r>
        <w:rPr>
          <w:rFonts w:eastAsia="Times New Roman"/>
          <w:color w:val="000000"/>
          <w:sz w:val="20"/>
          <w:szCs w:val="20"/>
        </w:rPr>
        <w:t>•the impact of our decision to discontinue certain products;</w:t>
      </w:r>
    </w:p>
    <w:p w14:paraId="7377C3DA" w14:textId="77777777" w:rsidR="00000000" w:rsidRDefault="00E614A4">
      <w:pPr>
        <w:ind w:hanging="360"/>
        <w:jc w:val="both"/>
        <w:divId w:val="1183129391"/>
        <w:rPr>
          <w:rFonts w:eastAsia="Times New Roman"/>
        </w:rPr>
      </w:pPr>
      <w:r>
        <w:rPr>
          <w:rFonts w:eastAsia="Times New Roman"/>
          <w:color w:val="000000"/>
          <w:sz w:val="20"/>
          <w:szCs w:val="20"/>
        </w:rPr>
        <w:t>•our failure to accurately estimate or control costs, including those incurred as a result of business or product development initiatives, legal proceedings, strategic or financing transact</w:t>
      </w:r>
      <w:r>
        <w:rPr>
          <w:rFonts w:eastAsia="Times New Roman"/>
          <w:color w:val="000000"/>
          <w:sz w:val="20"/>
          <w:szCs w:val="20"/>
        </w:rPr>
        <w:t>ions, and the integration of acquired businesses;</w:t>
      </w:r>
    </w:p>
    <w:p w14:paraId="54A16EEA" w14:textId="77777777" w:rsidR="00000000" w:rsidRDefault="00E614A4">
      <w:pPr>
        <w:jc w:val="center"/>
        <w:divId w:val="1424033012"/>
        <w:rPr>
          <w:rFonts w:eastAsia="Times New Roman"/>
        </w:rPr>
      </w:pPr>
      <w:r>
        <w:rPr>
          <w:rFonts w:eastAsia="Times New Roman"/>
          <w:color w:val="000000"/>
          <w:sz w:val="20"/>
          <w:szCs w:val="20"/>
        </w:rPr>
        <w:t>22</w:t>
      </w:r>
    </w:p>
    <w:p w14:paraId="5028F66D" w14:textId="77777777" w:rsidR="00000000" w:rsidRDefault="00E614A4">
      <w:pPr>
        <w:rPr>
          <w:rFonts w:eastAsia="Times New Roman"/>
        </w:rPr>
      </w:pPr>
      <w:r>
        <w:rPr>
          <w:rFonts w:eastAsia="Times New Roman"/>
        </w:rPr>
        <w:pict w14:anchorId="6B6F97A3">
          <v:rect id="_x0000_i1049" style="width:0;height:1.5pt" o:hralign="center" o:hrstd="t" o:hr="t" fillcolor="#a0a0a0" stroked="f"/>
        </w:pict>
      </w:r>
    </w:p>
    <w:p w14:paraId="4E829142" w14:textId="77777777" w:rsidR="00000000" w:rsidRDefault="00E614A4">
      <w:pPr>
        <w:divId w:val="6051825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20B6CC5" w14:textId="77777777" w:rsidR="00000000" w:rsidRDefault="00E614A4">
      <w:pPr>
        <w:divId w:val="630785314"/>
        <w:rPr>
          <w:rFonts w:eastAsia="Times New Roman"/>
        </w:rPr>
      </w:pPr>
    </w:p>
    <w:p w14:paraId="0B58623D" w14:textId="77777777" w:rsidR="00000000" w:rsidRDefault="00E614A4">
      <w:pPr>
        <w:ind w:hanging="360"/>
        <w:divId w:val="941838761"/>
        <w:rPr>
          <w:rFonts w:eastAsia="Times New Roman"/>
        </w:rPr>
      </w:pPr>
      <w:r>
        <w:rPr>
          <w:rFonts w:eastAsia="Times New Roman"/>
          <w:color w:val="000000"/>
          <w:sz w:val="20"/>
          <w:szCs w:val="20"/>
        </w:rPr>
        <w:t>•</w:t>
      </w:r>
      <w:r>
        <w:rPr>
          <w:rFonts w:eastAsia="Times New Roman"/>
          <w:color w:val="000000"/>
          <w:sz w:val="20"/>
          <w:szCs w:val="20"/>
        </w:rPr>
        <w:t>the cost and availability of data from third-party sources and the cost to integrate such data into our systems and products;</w:t>
      </w:r>
    </w:p>
    <w:p w14:paraId="58BD7921" w14:textId="77777777" w:rsidR="00000000" w:rsidRDefault="00E614A4">
      <w:pPr>
        <w:ind w:hanging="360"/>
        <w:divId w:val="1739404176"/>
        <w:rPr>
          <w:rFonts w:eastAsia="Times New Roman"/>
        </w:rPr>
      </w:pPr>
      <w:r>
        <w:rPr>
          <w:rFonts w:eastAsia="Times New Roman"/>
          <w:color w:val="000000"/>
          <w:sz w:val="20"/>
          <w:szCs w:val="20"/>
        </w:rPr>
        <w:t>•adverse judgments or settlements, or increased legal fees, in legal disputes or government proceedings;</w:t>
      </w:r>
    </w:p>
    <w:p w14:paraId="77DCD5F2" w14:textId="77777777" w:rsidR="00000000" w:rsidRDefault="00E614A4">
      <w:pPr>
        <w:ind w:hanging="360"/>
        <w:divId w:val="984243506"/>
        <w:rPr>
          <w:rFonts w:eastAsia="Times New Roman"/>
        </w:rPr>
      </w:pPr>
      <w:r>
        <w:rPr>
          <w:rFonts w:eastAsia="Times New Roman"/>
          <w:color w:val="000000"/>
          <w:sz w:val="20"/>
          <w:szCs w:val="20"/>
        </w:rPr>
        <w:t>•changes in interest rate</w:t>
      </w:r>
      <w:r>
        <w:rPr>
          <w:rFonts w:eastAsia="Times New Roman"/>
          <w:color w:val="000000"/>
          <w:sz w:val="20"/>
          <w:szCs w:val="20"/>
        </w:rPr>
        <w:t>s under our Notes or other financing vehicles;</w:t>
      </w:r>
    </w:p>
    <w:p w14:paraId="6E089634" w14:textId="77777777" w:rsidR="00000000" w:rsidRDefault="00E614A4">
      <w:pPr>
        <w:ind w:hanging="360"/>
        <w:divId w:val="1708946815"/>
        <w:rPr>
          <w:rFonts w:eastAsia="Times New Roman"/>
        </w:rPr>
      </w:pPr>
      <w:r>
        <w:rPr>
          <w:rFonts w:eastAsia="Times New Roman"/>
          <w:color w:val="000000"/>
          <w:sz w:val="20"/>
          <w:szCs w:val="20"/>
        </w:rPr>
        <w:t>•charges relating to the Transactions, including with respect to the extinguishment of our Notes and associated financing derivatives, issuance of conversion shares to holders of the Notes, and an anti-dilutio</w:t>
      </w:r>
      <w:r>
        <w:rPr>
          <w:rFonts w:eastAsia="Times New Roman"/>
          <w:color w:val="000000"/>
          <w:sz w:val="20"/>
          <w:szCs w:val="20"/>
        </w:rPr>
        <w:t>n adjustment to our Series A Warrants;</w:t>
      </w:r>
    </w:p>
    <w:p w14:paraId="5A773B4E" w14:textId="77777777" w:rsidR="00000000" w:rsidRDefault="00E614A4">
      <w:pPr>
        <w:ind w:hanging="360"/>
        <w:divId w:val="627129407"/>
        <w:rPr>
          <w:rFonts w:eastAsia="Times New Roman"/>
        </w:rPr>
      </w:pPr>
      <w:r>
        <w:rPr>
          <w:rFonts w:eastAsia="Times New Roman"/>
          <w:color w:val="000000"/>
          <w:sz w:val="20"/>
          <w:szCs w:val="20"/>
        </w:rPr>
        <w:t>•costs incurred in connection with the Transactions, including financial advisory, legal, accounting, consulting and other advisory fees and expenses, as well as expenses related to our special meeting of stockholders</w:t>
      </w:r>
      <w:r>
        <w:rPr>
          <w:rFonts w:eastAsia="Times New Roman"/>
          <w:color w:val="000000"/>
          <w:sz w:val="20"/>
          <w:szCs w:val="20"/>
        </w:rPr>
        <w:t xml:space="preserve"> held on March 9, 2021;</w:t>
      </w:r>
    </w:p>
    <w:p w14:paraId="2B2B0743" w14:textId="77777777" w:rsidR="00000000" w:rsidRDefault="00E614A4">
      <w:pPr>
        <w:ind w:hanging="360"/>
        <w:divId w:val="1592351140"/>
        <w:rPr>
          <w:rFonts w:eastAsia="Times New Roman"/>
        </w:rPr>
      </w:pPr>
      <w:r>
        <w:rPr>
          <w:rFonts w:eastAsia="Times New Roman"/>
          <w:color w:val="000000"/>
          <w:sz w:val="20"/>
          <w:szCs w:val="20"/>
        </w:rPr>
        <w:t>•incurrence of additional debt following repayment of the Notes and Secured Term Note;</w:t>
      </w:r>
    </w:p>
    <w:p w14:paraId="2CC26CB5" w14:textId="77777777" w:rsidR="00000000" w:rsidRDefault="00E614A4">
      <w:pPr>
        <w:ind w:hanging="360"/>
        <w:jc w:val="both"/>
        <w:divId w:val="394934700"/>
        <w:rPr>
          <w:rFonts w:eastAsia="Times New Roman"/>
        </w:rPr>
      </w:pPr>
      <w:r>
        <w:rPr>
          <w:rFonts w:eastAsia="Times New Roman"/>
          <w:color w:val="000000"/>
          <w:sz w:val="20"/>
          <w:szCs w:val="20"/>
        </w:rPr>
        <w:t>•the amount and timing of capital expenditures and operating costs related to the maintenance and expansion of our operations and infrastructure;</w:t>
      </w:r>
    </w:p>
    <w:p w14:paraId="39D12DA7" w14:textId="77777777" w:rsidR="00000000" w:rsidRDefault="00E614A4">
      <w:pPr>
        <w:ind w:hanging="360"/>
        <w:divId w:val="296303943"/>
        <w:rPr>
          <w:rFonts w:eastAsia="Times New Roman"/>
        </w:rPr>
      </w:pPr>
      <w:r>
        <w:rPr>
          <w:rFonts w:eastAsia="Times New Roman"/>
          <w:color w:val="000000"/>
          <w:sz w:val="20"/>
          <w:szCs w:val="20"/>
        </w:rPr>
        <w:t>•service outages, other technical difficulties or security breaches;</w:t>
      </w:r>
    </w:p>
    <w:p w14:paraId="28D1279A" w14:textId="77777777" w:rsidR="00000000" w:rsidRDefault="00E614A4">
      <w:pPr>
        <w:ind w:hanging="360"/>
        <w:divId w:val="1425493406"/>
        <w:rPr>
          <w:rFonts w:eastAsia="Times New Roman"/>
        </w:rPr>
      </w:pPr>
      <w:r>
        <w:rPr>
          <w:rFonts w:eastAsia="Times New Roman"/>
          <w:color w:val="000000"/>
          <w:sz w:val="20"/>
          <w:szCs w:val="20"/>
        </w:rPr>
        <w:t>•limitations relating to the capacity of our networks, systems and processes;</w:t>
      </w:r>
    </w:p>
    <w:p w14:paraId="7AE900CE" w14:textId="77777777" w:rsidR="00000000" w:rsidRDefault="00E614A4">
      <w:pPr>
        <w:ind w:hanging="360"/>
        <w:divId w:val="1449356939"/>
        <w:rPr>
          <w:rFonts w:eastAsia="Times New Roman"/>
        </w:rPr>
      </w:pPr>
      <w:r>
        <w:rPr>
          <w:rFonts w:eastAsia="Times New Roman"/>
          <w:color w:val="000000"/>
          <w:sz w:val="20"/>
          <w:szCs w:val="20"/>
        </w:rPr>
        <w:t>•maintaining appropriate staffing levels and capabilities relative to projected growth;</w:t>
      </w:r>
    </w:p>
    <w:p w14:paraId="57D0D213" w14:textId="77777777" w:rsidR="00000000" w:rsidRDefault="00E614A4">
      <w:pPr>
        <w:ind w:hanging="360"/>
        <w:divId w:val="1893344743"/>
        <w:rPr>
          <w:rFonts w:eastAsia="Times New Roman"/>
        </w:rPr>
      </w:pPr>
      <w:r>
        <w:rPr>
          <w:rFonts w:eastAsia="Times New Roman"/>
          <w:color w:val="000000"/>
          <w:sz w:val="20"/>
          <w:szCs w:val="20"/>
        </w:rPr>
        <w:t xml:space="preserve">•limitations on our </w:t>
      </w:r>
      <w:r>
        <w:rPr>
          <w:rFonts w:eastAsia="Times New Roman"/>
          <w:color w:val="000000"/>
          <w:sz w:val="20"/>
          <w:szCs w:val="20"/>
        </w:rPr>
        <w:t>ability to use equity awards to compensate current and prospective employees;</w:t>
      </w:r>
    </w:p>
    <w:p w14:paraId="01180AD5" w14:textId="77777777" w:rsidR="00000000" w:rsidRDefault="00E614A4">
      <w:pPr>
        <w:ind w:hanging="360"/>
        <w:divId w:val="745226474"/>
        <w:rPr>
          <w:rFonts w:eastAsia="Times New Roman"/>
        </w:rPr>
      </w:pPr>
      <w:r>
        <w:rPr>
          <w:rFonts w:eastAsia="Times New Roman"/>
          <w:color w:val="000000"/>
          <w:sz w:val="20"/>
          <w:szCs w:val="20"/>
        </w:rPr>
        <w:t>•the cost and timing of organizational restructuring;</w:t>
      </w:r>
    </w:p>
    <w:p w14:paraId="12643E63" w14:textId="77777777" w:rsidR="00000000" w:rsidRDefault="00E614A4">
      <w:pPr>
        <w:ind w:hanging="360"/>
        <w:jc w:val="both"/>
        <w:divId w:val="1767461858"/>
        <w:rPr>
          <w:rFonts w:eastAsia="Times New Roman"/>
        </w:rPr>
      </w:pPr>
      <w:r>
        <w:rPr>
          <w:rFonts w:eastAsia="Times New Roman"/>
          <w:color w:val="000000"/>
          <w:sz w:val="20"/>
          <w:szCs w:val="20"/>
        </w:rPr>
        <w:t>•the risks associated with operating in countries in which we may have little or no previous experience and with maintaining</w:t>
      </w:r>
      <w:r>
        <w:rPr>
          <w:rFonts w:eastAsia="Times New Roman"/>
          <w:color w:val="000000"/>
          <w:sz w:val="20"/>
          <w:szCs w:val="20"/>
        </w:rPr>
        <w:t xml:space="preserve"> or reorganizing corporate entity structures in international jurisdictions;</w:t>
      </w:r>
    </w:p>
    <w:p w14:paraId="2ABA0780" w14:textId="77777777" w:rsidR="00000000" w:rsidRDefault="00E614A4">
      <w:pPr>
        <w:ind w:hanging="360"/>
        <w:jc w:val="both"/>
        <w:divId w:val="820391747"/>
        <w:rPr>
          <w:rFonts w:eastAsia="Times New Roman"/>
        </w:rPr>
      </w:pPr>
      <w:r>
        <w:rPr>
          <w:rFonts w:eastAsia="Times New Roman"/>
          <w:color w:val="000000"/>
          <w:sz w:val="20"/>
          <w:szCs w:val="20"/>
        </w:rPr>
        <w:t>•</w:t>
      </w:r>
      <w:r>
        <w:rPr>
          <w:rFonts w:eastAsia="Times New Roman"/>
          <w:color w:val="000000"/>
          <w:sz w:val="20"/>
          <w:szCs w:val="20"/>
        </w:rPr>
        <w:t>the extent to which certain expenses are deductible for tax purposes, such as share-based compensation that fluctuates based on the timing of vesting and our stock price;</w:t>
      </w:r>
    </w:p>
    <w:p w14:paraId="3DBE8CEF" w14:textId="77777777" w:rsidR="00000000" w:rsidRDefault="00E614A4">
      <w:pPr>
        <w:ind w:hanging="360"/>
        <w:divId w:val="792789388"/>
        <w:rPr>
          <w:rFonts w:eastAsia="Times New Roman"/>
        </w:rPr>
      </w:pPr>
      <w:r>
        <w:rPr>
          <w:rFonts w:eastAsia="Times New Roman"/>
          <w:color w:val="000000"/>
          <w:sz w:val="20"/>
          <w:szCs w:val="20"/>
        </w:rPr>
        <w:t>•the timing of any changes to our deferred tax valuation allowance;</w:t>
      </w:r>
    </w:p>
    <w:p w14:paraId="52317D55" w14:textId="77777777" w:rsidR="00000000" w:rsidRDefault="00E614A4">
      <w:pPr>
        <w:ind w:hanging="360"/>
        <w:divId w:val="1915819565"/>
        <w:rPr>
          <w:rFonts w:eastAsia="Times New Roman"/>
        </w:rPr>
      </w:pPr>
      <w:r>
        <w:rPr>
          <w:rFonts w:eastAsia="Times New Roman"/>
          <w:color w:val="000000"/>
          <w:sz w:val="20"/>
          <w:szCs w:val="20"/>
        </w:rPr>
        <w:t xml:space="preserve">•adoption of new </w:t>
      </w:r>
      <w:r>
        <w:rPr>
          <w:rFonts w:eastAsia="Times New Roman"/>
          <w:color w:val="000000"/>
          <w:sz w:val="20"/>
          <w:szCs w:val="20"/>
        </w:rPr>
        <w:t>accounting pronouncements;</w:t>
      </w:r>
    </w:p>
    <w:p w14:paraId="4FA21991" w14:textId="77777777" w:rsidR="00000000" w:rsidRDefault="00E614A4">
      <w:pPr>
        <w:ind w:hanging="360"/>
        <w:divId w:val="1219780959"/>
        <w:rPr>
          <w:rFonts w:eastAsia="Times New Roman"/>
        </w:rPr>
      </w:pPr>
      <w:r>
        <w:rPr>
          <w:rFonts w:eastAsia="Times New Roman"/>
          <w:color w:val="000000"/>
          <w:sz w:val="20"/>
          <w:szCs w:val="20"/>
        </w:rPr>
        <w:t>•changes in the fair value of our financing derivatives and warrants related to the Transactions, market volatility or management assumptions; and</w:t>
      </w:r>
    </w:p>
    <w:p w14:paraId="18BBBAE7" w14:textId="77777777" w:rsidR="00000000" w:rsidRDefault="00E614A4">
      <w:pPr>
        <w:ind w:hanging="360"/>
        <w:jc w:val="both"/>
        <w:divId w:val="760492896"/>
        <w:rPr>
          <w:rFonts w:eastAsia="Times New Roman"/>
        </w:rPr>
      </w:pPr>
      <w:r>
        <w:rPr>
          <w:rFonts w:eastAsia="Times New Roman"/>
          <w:color w:val="000000"/>
          <w:sz w:val="20"/>
          <w:szCs w:val="20"/>
        </w:rPr>
        <w:t>•general economic, political, regulatory, industry and market conditions and those</w:t>
      </w:r>
      <w:r>
        <w:rPr>
          <w:rFonts w:eastAsia="Times New Roman"/>
          <w:color w:val="000000"/>
          <w:sz w:val="20"/>
          <w:szCs w:val="20"/>
        </w:rPr>
        <w:t xml:space="preserve"> conditions specific to internet usage and online businesses.</w:t>
      </w:r>
    </w:p>
    <w:p w14:paraId="74FDE09E" w14:textId="77777777" w:rsidR="00000000" w:rsidRDefault="00E614A4">
      <w:pPr>
        <w:jc w:val="both"/>
        <w:divId w:val="221987860"/>
        <w:rPr>
          <w:rFonts w:eastAsia="Times New Roman"/>
        </w:rPr>
      </w:pPr>
      <w:r>
        <w:rPr>
          <w:rFonts w:eastAsia="Times New Roman"/>
          <w:color w:val="000000"/>
          <w:sz w:val="20"/>
          <w:szCs w:val="20"/>
        </w:rPr>
        <w:t>We believe that our revenues and results of operations on a year-over-year and sequential quarter-over-quarter basis may vary significantly in the future and that period-to-period comparisons of</w:t>
      </w:r>
      <w:r>
        <w:rPr>
          <w:rFonts w:eastAsia="Times New Roman"/>
          <w:color w:val="000000"/>
          <w:sz w:val="20"/>
          <w:szCs w:val="20"/>
        </w:rPr>
        <w:t xml:space="preserve"> our operating results may not be meaningful. Investors are cautioned not to rely on the results of prior periods as an indication of future performance.</w:t>
      </w:r>
    </w:p>
    <w:p w14:paraId="4A9F1026" w14:textId="77777777" w:rsidR="00000000" w:rsidRDefault="00E614A4">
      <w:pPr>
        <w:jc w:val="both"/>
        <w:divId w:val="1339848681"/>
        <w:rPr>
          <w:rFonts w:eastAsia="Times New Roman"/>
        </w:rPr>
      </w:pPr>
      <w:r>
        <w:rPr>
          <w:rFonts w:eastAsia="Times New Roman"/>
          <w:b/>
          <w:bCs/>
          <w:i/>
          <w:iCs/>
          <w:color w:val="000000"/>
          <w:sz w:val="20"/>
          <w:szCs w:val="20"/>
        </w:rPr>
        <w:t>We may not be able to generate or obtain sufficient cash to service our debt, dividend obligations, le</w:t>
      </w:r>
      <w:r>
        <w:rPr>
          <w:rFonts w:eastAsia="Times New Roman"/>
          <w:b/>
          <w:bCs/>
          <w:i/>
          <w:iCs/>
          <w:color w:val="000000"/>
          <w:sz w:val="20"/>
          <w:szCs w:val="20"/>
        </w:rPr>
        <w:t>ase facilities or trade payables.</w:t>
      </w:r>
    </w:p>
    <w:p w14:paraId="533B5A4B" w14:textId="77777777" w:rsidR="00000000" w:rsidRDefault="00E614A4">
      <w:pPr>
        <w:jc w:val="both"/>
        <w:divId w:val="1309286693"/>
        <w:rPr>
          <w:rFonts w:eastAsia="Times New Roman"/>
        </w:rPr>
      </w:pPr>
      <w:r>
        <w:rPr>
          <w:rFonts w:eastAsia="Times New Roman"/>
          <w:color w:val="000000"/>
          <w:sz w:val="20"/>
          <w:szCs w:val="20"/>
        </w:rPr>
        <w:t xml:space="preserve">We currently have indebtedness and lease facilities, as well as trade payables, including expenses incurred in prior periods. Following the Transactions, we will be required to pay annual cash dividends on the Convertible </w:t>
      </w:r>
      <w:r>
        <w:rPr>
          <w:rFonts w:eastAsia="Times New Roman"/>
          <w:color w:val="000000"/>
          <w:sz w:val="20"/>
          <w:szCs w:val="20"/>
        </w:rPr>
        <w:t>Preferred Stock, and we may incur additional debt for operations or to fund a special dividend to the holders of our Convertible Preferred Stock. These obligations could require us to use a large portion of our cash flow from operations to service our debt</w:t>
      </w:r>
      <w:r>
        <w:rPr>
          <w:rFonts w:eastAsia="Times New Roman"/>
          <w:color w:val="000000"/>
          <w:sz w:val="20"/>
          <w:szCs w:val="20"/>
        </w:rPr>
        <w:t>, dividend obligations and lease facilities and pay accrued expenses. They could also limit our flexibility to invest in our business and adjust to market conditions, which could impact our customer relationships and place us at a competitive disadvantage.</w:t>
      </w:r>
    </w:p>
    <w:p w14:paraId="2703DCF1" w14:textId="77777777" w:rsidR="00000000" w:rsidRDefault="00E614A4">
      <w:pPr>
        <w:jc w:val="both"/>
        <w:divId w:val="552235930"/>
        <w:rPr>
          <w:rFonts w:eastAsia="Times New Roman"/>
        </w:rPr>
      </w:pPr>
      <w:r>
        <w:rPr>
          <w:rFonts w:eastAsia="Times New Roman"/>
          <w:color w:val="000000"/>
          <w:sz w:val="20"/>
          <w:szCs w:val="20"/>
        </w:rPr>
        <w:t>We expect to obtain the funds to pay our expenses and meet our financial obligations from cash flow from our operations and, potentially, from other debt and/or equity offerings. Accordingly, our ability to meet our obligations depends on our future perfo</w:t>
      </w:r>
      <w:r>
        <w:rPr>
          <w:rFonts w:eastAsia="Times New Roman"/>
          <w:color w:val="000000"/>
          <w:sz w:val="20"/>
          <w:szCs w:val="20"/>
        </w:rPr>
        <w:t>rmance and capital-raising activities, which will be affected by financial, business, contractual, economic and other factors, some of which are beyond our control. Failure to meet our payment obligations to vendors could disrupt our supply of goods and se</w:t>
      </w:r>
      <w:r>
        <w:rPr>
          <w:rFonts w:eastAsia="Times New Roman"/>
          <w:color w:val="000000"/>
          <w:sz w:val="20"/>
          <w:szCs w:val="20"/>
        </w:rPr>
        <w:t>rvices and impact our reputation, creditworthiness and relations with customers. It could also lead to costly litigation. Failure to meet our dividend payment obligations could result in an increase in the annual dividend rate, among other things.</w:t>
      </w:r>
    </w:p>
    <w:p w14:paraId="5A3FE064" w14:textId="77777777" w:rsidR="00000000" w:rsidRDefault="00E614A4">
      <w:pPr>
        <w:jc w:val="both"/>
        <w:divId w:val="228351230"/>
        <w:rPr>
          <w:rFonts w:eastAsia="Times New Roman"/>
        </w:rPr>
      </w:pPr>
      <w:r>
        <w:rPr>
          <w:rFonts w:eastAsia="Times New Roman"/>
          <w:color w:val="000000"/>
          <w:sz w:val="20"/>
          <w:szCs w:val="20"/>
        </w:rPr>
        <w:t>If our c</w:t>
      </w:r>
      <w:r>
        <w:rPr>
          <w:rFonts w:eastAsia="Times New Roman"/>
          <w:color w:val="000000"/>
          <w:sz w:val="20"/>
          <w:szCs w:val="20"/>
        </w:rPr>
        <w:t xml:space="preserve">ash flow and capital resources prove inadequate to allow us to pay the interest and principal on our debt when due and meet our other financial obligations, we could face substantial liquidity challenges and might be required to dispose of material assets </w:t>
      </w:r>
      <w:r>
        <w:rPr>
          <w:rFonts w:eastAsia="Times New Roman"/>
          <w:color w:val="000000"/>
          <w:sz w:val="20"/>
          <w:szCs w:val="20"/>
        </w:rPr>
        <w:t>or operations, restructure or refinance our debt (which we may be unable to do on acceptable terms) or forego attractive business opportunities. In addition, the terms of our existing or future financing agreements and Convertible Preferred Stock may restr</w:t>
      </w:r>
      <w:r>
        <w:rPr>
          <w:rFonts w:eastAsia="Times New Roman"/>
          <w:color w:val="000000"/>
          <w:sz w:val="20"/>
          <w:szCs w:val="20"/>
        </w:rPr>
        <w:t>ict us from pursuing these alternatives. Failure to meet our obligations under the Notes could lead to an Event of Default (as defined in the Notes), which could have important consequences including, potentially, forcing us into bankruptcy or liquidation.</w:t>
      </w:r>
    </w:p>
    <w:p w14:paraId="5F904A2C" w14:textId="77777777" w:rsidR="00000000" w:rsidRDefault="00E614A4">
      <w:pPr>
        <w:jc w:val="both"/>
        <w:divId w:val="735204622"/>
        <w:rPr>
          <w:rFonts w:eastAsia="Times New Roman"/>
        </w:rPr>
      </w:pPr>
      <w:r>
        <w:rPr>
          <w:rFonts w:eastAsia="Times New Roman"/>
          <w:b/>
          <w:bCs/>
          <w:i/>
          <w:iCs/>
          <w:color w:val="000000"/>
          <w:sz w:val="20"/>
          <w:szCs w:val="20"/>
        </w:rPr>
        <w:t>Our financial condition and results of operations could suffer and be adversely affected if we incur an impairment of goodwill or other intangible assets.</w:t>
      </w:r>
    </w:p>
    <w:p w14:paraId="3D7A5EC3" w14:textId="77777777" w:rsidR="00000000" w:rsidRDefault="00E614A4">
      <w:pPr>
        <w:jc w:val="both"/>
        <w:divId w:val="276520848"/>
        <w:rPr>
          <w:rFonts w:eastAsia="Times New Roman"/>
        </w:rPr>
      </w:pPr>
      <w:r>
        <w:rPr>
          <w:rFonts w:eastAsia="Times New Roman"/>
          <w:color w:val="000000"/>
          <w:sz w:val="20"/>
          <w:szCs w:val="20"/>
        </w:rPr>
        <w:t>We are required to test goodwill and intangible assets, annually and on an interim basis if an event</w:t>
      </w:r>
      <w:r>
        <w:rPr>
          <w:rFonts w:eastAsia="Times New Roman"/>
          <w:color w:val="000000"/>
          <w:sz w:val="20"/>
          <w:szCs w:val="20"/>
        </w:rPr>
        <w:t xml:space="preserve"> occurs or there is a change in circumstance that would more likely than not reduce the fair value of our reporting unit below its carrying values or indicate that the carrying value of such intangibles is not recoverable. When the carrying value of a repo</w:t>
      </w:r>
      <w:r>
        <w:rPr>
          <w:rFonts w:eastAsia="Times New Roman"/>
          <w:color w:val="000000"/>
          <w:sz w:val="20"/>
          <w:szCs w:val="20"/>
        </w:rPr>
        <w:t xml:space="preserve">rting unit exceeds its fair value, a charge to operations, up to the total amount of goodwill, is recorded. If the carrying amount of an intangible asset is not recoverable, a charge to </w:t>
      </w:r>
    </w:p>
    <w:p w14:paraId="1A924472" w14:textId="77777777" w:rsidR="00000000" w:rsidRDefault="00E614A4">
      <w:pPr>
        <w:jc w:val="center"/>
        <w:divId w:val="1238787689"/>
        <w:rPr>
          <w:rFonts w:eastAsia="Times New Roman"/>
        </w:rPr>
      </w:pPr>
      <w:r>
        <w:rPr>
          <w:rFonts w:eastAsia="Times New Roman"/>
          <w:color w:val="000000"/>
          <w:sz w:val="20"/>
          <w:szCs w:val="20"/>
        </w:rPr>
        <w:t>23</w:t>
      </w:r>
    </w:p>
    <w:p w14:paraId="78588893" w14:textId="77777777" w:rsidR="00000000" w:rsidRDefault="00E614A4">
      <w:pPr>
        <w:rPr>
          <w:rFonts w:eastAsia="Times New Roman"/>
        </w:rPr>
      </w:pPr>
      <w:r>
        <w:rPr>
          <w:rFonts w:eastAsia="Times New Roman"/>
        </w:rPr>
        <w:pict w14:anchorId="33193756">
          <v:rect id="_x0000_i1050" style="width:0;height:1.5pt" o:hralign="center" o:hrstd="t" o:hr="t" fillcolor="#a0a0a0" stroked="f"/>
        </w:pict>
      </w:r>
    </w:p>
    <w:p w14:paraId="777C7452" w14:textId="77777777" w:rsidR="00000000" w:rsidRDefault="00E614A4">
      <w:pPr>
        <w:divId w:val="7354916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C8776FB" w14:textId="77777777" w:rsidR="00000000" w:rsidRDefault="00E614A4">
      <w:pPr>
        <w:divId w:val="916090052"/>
        <w:rPr>
          <w:rFonts w:eastAsia="Times New Roman"/>
        </w:rPr>
      </w:pPr>
    </w:p>
    <w:p w14:paraId="73EC6B80" w14:textId="77777777" w:rsidR="00000000" w:rsidRDefault="00E614A4">
      <w:pPr>
        <w:jc w:val="both"/>
        <w:divId w:val="888148263"/>
        <w:rPr>
          <w:rFonts w:eastAsia="Times New Roman"/>
        </w:rPr>
      </w:pPr>
      <w:r>
        <w:rPr>
          <w:rFonts w:eastAsia="Times New Roman"/>
          <w:color w:val="000000"/>
          <w:sz w:val="20"/>
          <w:szCs w:val="20"/>
        </w:rPr>
        <w:t>operations is recognized. Either event would result in incremental expenses for that</w:t>
      </w:r>
      <w:r>
        <w:rPr>
          <w:rFonts w:eastAsia="Times New Roman"/>
          <w:color w:val="000000"/>
          <w:sz w:val="20"/>
          <w:szCs w:val="20"/>
        </w:rPr>
        <w:t xml:space="preserve"> period, which would reduce any earnings or increase any loss for the period in which the impairment was determined to have occurred. We recorded a $224.3 million impairment charge related to goodwill and a $17.3 million impairment charge for our strategic</w:t>
      </w:r>
      <w:r>
        <w:rPr>
          <w:rFonts w:eastAsia="Times New Roman"/>
          <w:color w:val="000000"/>
          <w:sz w:val="20"/>
          <w:szCs w:val="20"/>
        </w:rPr>
        <w:t xml:space="preserve"> alliance intangible asset in 2019. We recorded a $4.7 million non-cash impairment charge related to our right-of-use ("ROU") assets, and related leasehold improvements, during 2020.</w:t>
      </w:r>
    </w:p>
    <w:p w14:paraId="4FE4F221" w14:textId="77777777" w:rsidR="00000000" w:rsidRDefault="00E614A4">
      <w:pPr>
        <w:jc w:val="both"/>
        <w:divId w:val="507791488"/>
        <w:rPr>
          <w:rFonts w:eastAsia="Times New Roman"/>
        </w:rPr>
      </w:pPr>
      <w:r>
        <w:rPr>
          <w:rFonts w:eastAsia="Times New Roman"/>
          <w:color w:val="000000"/>
          <w:sz w:val="20"/>
          <w:szCs w:val="20"/>
        </w:rPr>
        <w:t>Our impairment analysis is sensitive to changes in key assumptions used i</w:t>
      </w:r>
      <w:r>
        <w:rPr>
          <w:rFonts w:eastAsia="Times New Roman"/>
          <w:color w:val="000000"/>
          <w:sz w:val="20"/>
          <w:szCs w:val="20"/>
        </w:rPr>
        <w:t>n our analysis, such as expected future cash flows, the degree of volatility in equity and debt markets and our stock price. Additionally, changes in our strategy or significant technical developments could significantly impact the recoverability of our in</w:t>
      </w:r>
      <w:r>
        <w:rPr>
          <w:rFonts w:eastAsia="Times New Roman"/>
          <w:color w:val="000000"/>
          <w:sz w:val="20"/>
          <w:szCs w:val="20"/>
        </w:rPr>
        <w:t>tangible assets. If the assumptions used in our analysis are not realized, it is possible that an additional impairment charge may need to be recorded in the future. We cannot predict the amount and timing of any future impairment of goodwill or other inta</w:t>
      </w:r>
      <w:r>
        <w:rPr>
          <w:rFonts w:eastAsia="Times New Roman"/>
          <w:color w:val="000000"/>
          <w:sz w:val="20"/>
          <w:szCs w:val="20"/>
        </w:rPr>
        <w:t>ngible assets.</w:t>
      </w:r>
    </w:p>
    <w:p w14:paraId="1D29B3BB" w14:textId="77777777" w:rsidR="00000000" w:rsidRDefault="00E614A4">
      <w:pPr>
        <w:jc w:val="both"/>
        <w:divId w:val="2041513003"/>
        <w:rPr>
          <w:rFonts w:eastAsia="Times New Roman"/>
        </w:rPr>
      </w:pPr>
      <w:r>
        <w:rPr>
          <w:rFonts w:eastAsia="Times New Roman"/>
          <w:b/>
          <w:bCs/>
          <w:i/>
          <w:iCs/>
          <w:color w:val="000000"/>
          <w:sz w:val="20"/>
          <w:szCs w:val="20"/>
        </w:rPr>
        <w:t>Changes in the fair value of our derivative financial instruments or warrants could adversely affect our financial condition and results of operations.</w:t>
      </w:r>
    </w:p>
    <w:p w14:paraId="63E0DB4F" w14:textId="77777777" w:rsidR="00000000" w:rsidRDefault="00E614A4">
      <w:pPr>
        <w:jc w:val="both"/>
        <w:divId w:val="2050379266"/>
        <w:rPr>
          <w:rFonts w:eastAsia="Times New Roman"/>
        </w:rPr>
      </w:pPr>
      <w:r>
        <w:rPr>
          <w:rFonts w:eastAsia="Times New Roman"/>
          <w:color w:val="000000"/>
          <w:sz w:val="20"/>
          <w:szCs w:val="20"/>
        </w:rPr>
        <w:t>Our financing derivatives and our warrants are classified as liabilities in our consolida</w:t>
      </w:r>
      <w:r>
        <w:rPr>
          <w:rFonts w:eastAsia="Times New Roman"/>
          <w:color w:val="000000"/>
          <w:sz w:val="20"/>
          <w:szCs w:val="20"/>
        </w:rPr>
        <w:t>ted financial statements. We use various models and assumptions to determine the fair value of these liabilities, including assumptions with respect to market rates, the price and volatility of our Common Stock, the probability of occurrence of certain eve</w:t>
      </w:r>
      <w:r>
        <w:rPr>
          <w:rFonts w:eastAsia="Times New Roman"/>
          <w:color w:val="000000"/>
          <w:sz w:val="20"/>
          <w:szCs w:val="20"/>
        </w:rPr>
        <w:t>nts, and term. Any change in our assumptions could result in a change in the fair value of our derivative liabilities and warrants, which would be recorded to earnings and could significantly affect our financial condition and results of operations.</w:t>
      </w:r>
    </w:p>
    <w:p w14:paraId="444A3F63" w14:textId="77777777" w:rsidR="00000000" w:rsidRDefault="00E614A4">
      <w:pPr>
        <w:jc w:val="both"/>
        <w:divId w:val="1106854290"/>
        <w:rPr>
          <w:rFonts w:eastAsia="Times New Roman"/>
        </w:rPr>
      </w:pPr>
      <w:r>
        <w:rPr>
          <w:rFonts w:eastAsia="Times New Roman"/>
          <w:color w:val="000000"/>
          <w:sz w:val="20"/>
          <w:szCs w:val="20"/>
        </w:rPr>
        <w:t>In the</w:t>
      </w:r>
      <w:r>
        <w:rPr>
          <w:rFonts w:eastAsia="Times New Roman"/>
          <w:color w:val="000000"/>
          <w:sz w:val="20"/>
          <w:szCs w:val="20"/>
        </w:rPr>
        <w:t xml:space="preserve"> first quarter of 2021, we expect to record a non-cash charge in connection with the Transactions, which will include extinguishment of debt and associated derivatives, issuance of 3.15 million conversion shares to holders of the Notes, and an anti-dilutio</w:t>
      </w:r>
      <w:r>
        <w:rPr>
          <w:rFonts w:eastAsia="Times New Roman"/>
          <w:color w:val="000000"/>
          <w:sz w:val="20"/>
          <w:szCs w:val="20"/>
        </w:rPr>
        <w:t>n adjustment to our Series A Warrants. The amount of the charge will depend on various factors, including the market price of our Common Stock on the closing date, and could significantly affect our financial condition and results of operations.</w:t>
      </w:r>
    </w:p>
    <w:p w14:paraId="6F6EA310" w14:textId="77777777" w:rsidR="00000000" w:rsidRDefault="00E614A4">
      <w:pPr>
        <w:jc w:val="both"/>
        <w:divId w:val="309332095"/>
        <w:rPr>
          <w:rFonts w:eastAsia="Times New Roman"/>
        </w:rPr>
      </w:pPr>
      <w:r>
        <w:rPr>
          <w:rFonts w:eastAsia="Times New Roman"/>
          <w:b/>
          <w:bCs/>
          <w:i/>
          <w:iCs/>
          <w:color w:val="000000"/>
          <w:sz w:val="20"/>
          <w:szCs w:val="20"/>
        </w:rPr>
        <w:t>We may enc</w:t>
      </w:r>
      <w:r>
        <w:rPr>
          <w:rFonts w:eastAsia="Times New Roman"/>
          <w:b/>
          <w:bCs/>
          <w:i/>
          <w:iCs/>
          <w:color w:val="000000"/>
          <w:sz w:val="20"/>
          <w:szCs w:val="20"/>
        </w:rPr>
        <w:t>ounter difficulties managing our costs, which could adversely affect our results of operations.</w:t>
      </w:r>
    </w:p>
    <w:p w14:paraId="02727E73" w14:textId="77777777" w:rsidR="00000000" w:rsidRDefault="00E614A4">
      <w:pPr>
        <w:jc w:val="both"/>
        <w:divId w:val="206376758"/>
        <w:rPr>
          <w:rFonts w:eastAsia="Times New Roman"/>
        </w:rPr>
      </w:pPr>
      <w:r>
        <w:rPr>
          <w:rFonts w:eastAsia="Times New Roman"/>
          <w:color w:val="000000"/>
          <w:sz w:val="20"/>
          <w:szCs w:val="20"/>
        </w:rPr>
        <w:t>We believe that we will need to continue to effectively manage our organization, operations and facilities in order to accommodate changes in our business and t</w:t>
      </w:r>
      <w:r>
        <w:rPr>
          <w:rFonts w:eastAsia="Times New Roman"/>
          <w:color w:val="000000"/>
          <w:sz w:val="20"/>
          <w:szCs w:val="20"/>
        </w:rPr>
        <w:t>o successfully integrate acquired data and businesses. If we continue to change or grow, either organically or through acquired businesses, our current systems and facilities may not be adequate and may need to be expanded or reduced. For example, we may b</w:t>
      </w:r>
      <w:r>
        <w:rPr>
          <w:rFonts w:eastAsia="Times New Roman"/>
          <w:color w:val="000000"/>
          <w:sz w:val="20"/>
          <w:szCs w:val="20"/>
        </w:rPr>
        <w:t>e required to enter into leases for additional facilities or commit to significant investments in the build out of current or new facilities, or we may need to renegotiate or terminate leases to reflect changes in our business. If we are unable to effectiv</w:t>
      </w:r>
      <w:r>
        <w:rPr>
          <w:rFonts w:eastAsia="Times New Roman"/>
          <w:color w:val="000000"/>
          <w:sz w:val="20"/>
          <w:szCs w:val="20"/>
        </w:rPr>
        <w:t>ely forecast our facilities needs or if we are unable to sublease or terminate leases for unused space, we may experience increased and unexpected costs. Moreover, our need to effectively manage our operations and cost structure requires that we continue t</w:t>
      </w:r>
      <w:r>
        <w:rPr>
          <w:rFonts w:eastAsia="Times New Roman"/>
          <w:color w:val="000000"/>
          <w:sz w:val="20"/>
          <w:szCs w:val="20"/>
        </w:rPr>
        <w:t>o assess and improve our operational, financial and management controls, reporting systems and procedures.</w:t>
      </w:r>
    </w:p>
    <w:p w14:paraId="7D69A8F6" w14:textId="77777777" w:rsidR="00000000" w:rsidRDefault="00E614A4">
      <w:pPr>
        <w:jc w:val="both"/>
        <w:divId w:val="674311443"/>
        <w:rPr>
          <w:rFonts w:eastAsia="Times New Roman"/>
        </w:rPr>
      </w:pPr>
      <w:r>
        <w:rPr>
          <w:rFonts w:eastAsia="Times New Roman"/>
          <w:color w:val="000000"/>
          <w:sz w:val="20"/>
          <w:szCs w:val="20"/>
        </w:rPr>
        <w:t>From time to time, as a result of acquisition integration initiatives, or through efforts to improve or streamline our operations, we have reduced our workforce or reassigned personnel, and we may do so in the future. Such actions may expose us to disrupti</w:t>
      </w:r>
      <w:r>
        <w:rPr>
          <w:rFonts w:eastAsia="Times New Roman"/>
          <w:color w:val="000000"/>
          <w:sz w:val="20"/>
          <w:szCs w:val="20"/>
        </w:rPr>
        <w:t>on by dissatisfied employees or employee-related claims, including claims by terminated employees who believe they are owed more compensation than we believe these employees are due under our compensation and benefit plans, or claims maintained internation</w:t>
      </w:r>
      <w:r>
        <w:rPr>
          <w:rFonts w:eastAsia="Times New Roman"/>
          <w:color w:val="000000"/>
          <w:sz w:val="20"/>
          <w:szCs w:val="20"/>
        </w:rPr>
        <w:t>ally in jurisdictions whose laws and procedures differ from those in the U.S.</w:t>
      </w:r>
    </w:p>
    <w:p w14:paraId="5983E57F" w14:textId="77777777" w:rsidR="00000000" w:rsidRDefault="00E614A4">
      <w:pPr>
        <w:jc w:val="both"/>
        <w:divId w:val="1362046220"/>
        <w:rPr>
          <w:rFonts w:eastAsia="Times New Roman"/>
        </w:rPr>
      </w:pPr>
      <w:r>
        <w:rPr>
          <w:rFonts w:eastAsia="Times New Roman"/>
          <w:color w:val="000000"/>
          <w:sz w:val="20"/>
          <w:szCs w:val="20"/>
        </w:rPr>
        <w:t>If we are not able to efficiently and effectively manage our cost structure and resolve employee-related claims, or if we are unable to find appropriate space to support our need</w:t>
      </w:r>
      <w:r>
        <w:rPr>
          <w:rFonts w:eastAsia="Times New Roman"/>
          <w:color w:val="000000"/>
          <w:sz w:val="20"/>
          <w:szCs w:val="20"/>
        </w:rPr>
        <w:t>s, our business may be impaired.</w:t>
      </w:r>
    </w:p>
    <w:p w14:paraId="34081AEB" w14:textId="77777777" w:rsidR="00000000" w:rsidRDefault="00E614A4">
      <w:pPr>
        <w:jc w:val="both"/>
        <w:divId w:val="883517436"/>
        <w:rPr>
          <w:rFonts w:eastAsia="Times New Roman"/>
        </w:rPr>
      </w:pPr>
      <w:r>
        <w:rPr>
          <w:rFonts w:eastAsia="Times New Roman"/>
          <w:b/>
          <w:bCs/>
          <w:i/>
          <w:iCs/>
          <w:color w:val="000000"/>
          <w:sz w:val="20"/>
          <w:szCs w:val="20"/>
        </w:rPr>
        <w:t>We have a history of significant net losses, may incur significant net losses in the future and may not achieve profitability.</w:t>
      </w:r>
    </w:p>
    <w:p w14:paraId="35FD84C9" w14:textId="77777777" w:rsidR="00000000" w:rsidRDefault="00E614A4">
      <w:pPr>
        <w:jc w:val="both"/>
        <w:divId w:val="1677266719"/>
        <w:rPr>
          <w:rFonts w:eastAsia="Times New Roman"/>
        </w:rPr>
      </w:pPr>
      <w:r>
        <w:rPr>
          <w:rFonts w:eastAsia="Times New Roman"/>
          <w:color w:val="000000"/>
          <w:sz w:val="20"/>
          <w:szCs w:val="20"/>
        </w:rPr>
        <w:t>We incurred net losses of $47.9 million, $339.0 million and $159.3 million for the years ended D</w:t>
      </w:r>
      <w:r>
        <w:rPr>
          <w:rFonts w:eastAsia="Times New Roman"/>
          <w:color w:val="000000"/>
          <w:sz w:val="20"/>
          <w:szCs w:val="20"/>
        </w:rPr>
        <w:t>ecember 31, 2020, 2019 and 2018, respectively. We cannot make assurances that we will be able to achieve profitability in the future. As of December 31, 2020, we had an accumulated deficit of $1,156.1 million. Because a large portion of our costs are fixed</w:t>
      </w:r>
      <w:r>
        <w:rPr>
          <w:rFonts w:eastAsia="Times New Roman"/>
          <w:color w:val="000000"/>
          <w:sz w:val="20"/>
          <w:szCs w:val="20"/>
        </w:rPr>
        <w:t>, we may not be able to adequately reduce our expenses in response to any decrease in our revenues, which would materially and adversely affect our operating results. In addition, our operating expenses may increase as we implement certain growth initiativ</w:t>
      </w:r>
      <w:r>
        <w:rPr>
          <w:rFonts w:eastAsia="Times New Roman"/>
          <w:color w:val="000000"/>
          <w:sz w:val="20"/>
          <w:szCs w:val="20"/>
        </w:rPr>
        <w:t>es, which include, among other things, the development of new products and enhancements of our data assets and infrastructure. If our revenues do not increase to offset these increases in costs and operating expenses, our operating results would be materia</w:t>
      </w:r>
      <w:r>
        <w:rPr>
          <w:rFonts w:eastAsia="Times New Roman"/>
          <w:color w:val="000000"/>
          <w:sz w:val="20"/>
          <w:szCs w:val="20"/>
        </w:rPr>
        <w:t>lly and adversely affected.</w:t>
      </w:r>
    </w:p>
    <w:p w14:paraId="59DBDD92" w14:textId="77777777" w:rsidR="00000000" w:rsidRDefault="00E614A4">
      <w:pPr>
        <w:jc w:val="both"/>
        <w:divId w:val="658315214"/>
        <w:rPr>
          <w:rFonts w:eastAsia="Times New Roman"/>
        </w:rPr>
      </w:pPr>
      <w:r>
        <w:rPr>
          <w:rFonts w:eastAsia="Times New Roman"/>
          <w:b/>
          <w:bCs/>
          <w:i/>
          <w:iCs/>
          <w:color w:val="000000"/>
          <w:sz w:val="20"/>
          <w:szCs w:val="20"/>
        </w:rPr>
        <w:t>Our net operating loss carryforwards may expire unutilized or underutilized, which could prevent us from offsetting future taxable income.</w:t>
      </w:r>
    </w:p>
    <w:p w14:paraId="62D01FF9" w14:textId="77777777" w:rsidR="00000000" w:rsidRDefault="00E614A4">
      <w:pPr>
        <w:jc w:val="both"/>
        <w:divId w:val="1014266342"/>
        <w:rPr>
          <w:rFonts w:eastAsia="Times New Roman"/>
        </w:rPr>
      </w:pPr>
      <w:r>
        <w:rPr>
          <w:rFonts w:eastAsia="Times New Roman"/>
          <w:color w:val="000000"/>
          <w:sz w:val="20"/>
          <w:szCs w:val="20"/>
        </w:rPr>
        <w:t>We have experienced "changes in control" that have triggered the limitations of Section 3</w:t>
      </w:r>
      <w:r>
        <w:rPr>
          <w:rFonts w:eastAsia="Times New Roman"/>
          <w:color w:val="000000"/>
          <w:sz w:val="20"/>
          <w:szCs w:val="20"/>
        </w:rPr>
        <w:t>82 of the Internal Revenue Code on a significant portion of our net operating loss carryforwards, and we anticipate that the Transactions will trigger further limitations. As a result, we may be limited in the amount of net operating loss carryforwards tha</w:t>
      </w:r>
      <w:r>
        <w:rPr>
          <w:rFonts w:eastAsia="Times New Roman"/>
          <w:color w:val="000000"/>
          <w:sz w:val="20"/>
          <w:szCs w:val="20"/>
        </w:rPr>
        <w:t>t we can use in the future to offset taxable income for U.S. federal and state income tax purposes.</w:t>
      </w:r>
    </w:p>
    <w:p w14:paraId="65678FE9" w14:textId="77777777" w:rsidR="00000000" w:rsidRDefault="00E614A4">
      <w:pPr>
        <w:jc w:val="both"/>
        <w:divId w:val="141890990"/>
        <w:rPr>
          <w:rFonts w:eastAsia="Times New Roman"/>
        </w:rPr>
      </w:pPr>
      <w:r>
        <w:rPr>
          <w:rFonts w:eastAsia="Times New Roman"/>
          <w:color w:val="000000"/>
          <w:sz w:val="20"/>
          <w:szCs w:val="20"/>
        </w:rPr>
        <w:t xml:space="preserve">As of December 31, 2020, we estimate our U.S. federal and state net operating loss carryforwards for tax purposes were $578.5 million and $1,360.7 million, </w:t>
      </w:r>
      <w:r>
        <w:rPr>
          <w:rFonts w:eastAsia="Times New Roman"/>
          <w:color w:val="000000"/>
          <w:sz w:val="20"/>
          <w:szCs w:val="20"/>
        </w:rPr>
        <w:t>respectively, subject to limitation as described above. These net operating loss carryforwards will begin to expire in 2023 for federal income tax reporting purposes and 2021 for state income tax reporting purposes. The federal and certain state net operat</w:t>
      </w:r>
      <w:r>
        <w:rPr>
          <w:rFonts w:eastAsia="Times New Roman"/>
          <w:color w:val="000000"/>
          <w:sz w:val="20"/>
          <w:szCs w:val="20"/>
        </w:rPr>
        <w:t xml:space="preserve">ing losses generated after December 31, 2017 have an indefinite carryforward period as a result of the enactment of the </w:t>
      </w:r>
    </w:p>
    <w:p w14:paraId="5108D288" w14:textId="77777777" w:rsidR="00000000" w:rsidRDefault="00E614A4">
      <w:pPr>
        <w:jc w:val="center"/>
        <w:divId w:val="1420253475"/>
        <w:rPr>
          <w:rFonts w:eastAsia="Times New Roman"/>
        </w:rPr>
      </w:pPr>
      <w:r>
        <w:rPr>
          <w:rFonts w:eastAsia="Times New Roman"/>
          <w:color w:val="000000"/>
          <w:sz w:val="20"/>
          <w:szCs w:val="20"/>
        </w:rPr>
        <w:t>24</w:t>
      </w:r>
    </w:p>
    <w:p w14:paraId="5A819308" w14:textId="77777777" w:rsidR="00000000" w:rsidRDefault="00E614A4">
      <w:pPr>
        <w:rPr>
          <w:rFonts w:eastAsia="Times New Roman"/>
        </w:rPr>
      </w:pPr>
      <w:r>
        <w:rPr>
          <w:rFonts w:eastAsia="Times New Roman"/>
        </w:rPr>
        <w:pict w14:anchorId="696CA01A">
          <v:rect id="_x0000_i1051" style="width:0;height:1.5pt" o:hralign="center" o:hrstd="t" o:hr="t" fillcolor="#a0a0a0" stroked="f"/>
        </w:pict>
      </w:r>
    </w:p>
    <w:p w14:paraId="37F27BC3" w14:textId="77777777" w:rsidR="00000000" w:rsidRDefault="00E614A4">
      <w:pPr>
        <w:divId w:val="210109436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C82CA38" w14:textId="77777777" w:rsidR="00000000" w:rsidRDefault="00E614A4">
      <w:pPr>
        <w:divId w:val="1191996839"/>
        <w:rPr>
          <w:rFonts w:eastAsia="Times New Roman"/>
        </w:rPr>
      </w:pPr>
    </w:p>
    <w:p w14:paraId="7094B323" w14:textId="77777777" w:rsidR="00000000" w:rsidRDefault="00E614A4">
      <w:pPr>
        <w:jc w:val="both"/>
        <w:divId w:val="274866107"/>
        <w:rPr>
          <w:rFonts w:eastAsia="Times New Roman"/>
        </w:rPr>
      </w:pPr>
      <w:r>
        <w:rPr>
          <w:rFonts w:eastAsia="Times New Roman"/>
          <w:color w:val="000000"/>
          <w:sz w:val="20"/>
          <w:szCs w:val="20"/>
        </w:rPr>
        <w:t>TCJA. As of December 31, 2020, we estimate our aggregate net operating loss carryforwards for tax purposes related to our foreign subsidiaries were $5.1 million, which will begin to expire in 2024.</w:t>
      </w:r>
    </w:p>
    <w:p w14:paraId="13A93C08" w14:textId="77777777" w:rsidR="00000000" w:rsidRDefault="00E614A4">
      <w:pPr>
        <w:jc w:val="both"/>
        <w:divId w:val="1637105666"/>
        <w:rPr>
          <w:rFonts w:eastAsia="Times New Roman"/>
        </w:rPr>
      </w:pPr>
      <w:r>
        <w:rPr>
          <w:rFonts w:eastAsia="Times New Roman"/>
          <w:color w:val="000000"/>
          <w:sz w:val="20"/>
          <w:szCs w:val="20"/>
        </w:rPr>
        <w:t>We apply a valuati</w:t>
      </w:r>
      <w:r>
        <w:rPr>
          <w:rFonts w:eastAsia="Times New Roman"/>
          <w:color w:val="000000"/>
          <w:sz w:val="20"/>
          <w:szCs w:val="20"/>
        </w:rPr>
        <w:t>on allowance to our deferred tax assets when management does not believe that it is more-likely-than-not that they will be realized. In assessing the need for a valuation allowance, we consider all sources of taxable income, including potential opportuniti</w:t>
      </w:r>
      <w:r>
        <w:rPr>
          <w:rFonts w:eastAsia="Times New Roman"/>
          <w:color w:val="000000"/>
          <w:sz w:val="20"/>
          <w:szCs w:val="20"/>
        </w:rPr>
        <w:t>es for loss carrybacks, the reversal of existing temporary differences associated with our deferred tax assets and liabilities, tax planning strategies and future taxable income. We also consider other evidence such as historical pre-tax book income in mak</w:t>
      </w:r>
      <w:r>
        <w:rPr>
          <w:rFonts w:eastAsia="Times New Roman"/>
          <w:color w:val="000000"/>
          <w:sz w:val="20"/>
          <w:szCs w:val="20"/>
        </w:rPr>
        <w:t>ing the determination. As of December 31, 2020, we continue to have a valuation allowance recorded against the net deferred tax assets of our U.S. entities and certain foreign subsidiaries, including net operating loss carryforwards.</w:t>
      </w:r>
    </w:p>
    <w:p w14:paraId="5E70AB30" w14:textId="77777777" w:rsidR="00000000" w:rsidRDefault="00E614A4">
      <w:pPr>
        <w:jc w:val="both"/>
        <w:divId w:val="640233674"/>
        <w:rPr>
          <w:rFonts w:eastAsia="Times New Roman"/>
        </w:rPr>
      </w:pPr>
      <w:r>
        <w:rPr>
          <w:rFonts w:eastAsia="Times New Roman"/>
          <w:b/>
          <w:bCs/>
          <w:i/>
          <w:iCs/>
          <w:color w:val="000000"/>
          <w:sz w:val="20"/>
          <w:szCs w:val="20"/>
        </w:rPr>
        <w:t>We have limited experi</w:t>
      </w:r>
      <w:r>
        <w:rPr>
          <w:rFonts w:eastAsia="Times New Roman"/>
          <w:b/>
          <w:bCs/>
          <w:i/>
          <w:iCs/>
          <w:color w:val="000000"/>
          <w:sz w:val="20"/>
          <w:szCs w:val="20"/>
        </w:rPr>
        <w:t>ence with respect to our pricing model for our new offerings, and if the fees we charge for our products are unacceptable to customers, our revenues and operating results will be harmed.</w:t>
      </w:r>
    </w:p>
    <w:p w14:paraId="236437B1" w14:textId="77777777" w:rsidR="00000000" w:rsidRDefault="00E614A4">
      <w:pPr>
        <w:jc w:val="both"/>
        <w:divId w:val="1418474441"/>
        <w:rPr>
          <w:rFonts w:eastAsia="Times New Roman"/>
        </w:rPr>
      </w:pPr>
      <w:r>
        <w:rPr>
          <w:rFonts w:eastAsia="Times New Roman"/>
          <w:color w:val="000000"/>
          <w:sz w:val="20"/>
          <w:szCs w:val="20"/>
        </w:rPr>
        <w:t>Many of our customers purchase specifically tailored contracts that a</w:t>
      </w:r>
      <w:r>
        <w:rPr>
          <w:rFonts w:eastAsia="Times New Roman"/>
          <w:color w:val="000000"/>
          <w:sz w:val="20"/>
          <w:szCs w:val="20"/>
        </w:rPr>
        <w:t>re priced in the aggregate. Due to the level of customization of such contracts, the pricing of contracts or individual product components of such packages may not be readily comparable across customers or periods. Existing and potential customers may have</w:t>
      </w:r>
      <w:r>
        <w:rPr>
          <w:rFonts w:eastAsia="Times New Roman"/>
          <w:color w:val="000000"/>
          <w:sz w:val="20"/>
          <w:szCs w:val="20"/>
        </w:rPr>
        <w:t xml:space="preserve"> difficulty assessing the value of our products and services when comparing them to competing products and services. As the market for our products matures, or as competitors introduce new products or services that compete with ours, we may be unable to re</w:t>
      </w:r>
      <w:r>
        <w:rPr>
          <w:rFonts w:eastAsia="Times New Roman"/>
          <w:color w:val="000000"/>
          <w:sz w:val="20"/>
          <w:szCs w:val="20"/>
        </w:rPr>
        <w:t>new our agreements with existing customers or attract new customers with the fees we have historically charged. As a result, it is possible that future competitive dynamics in our market may require us to reduce our fees, which could have an adverse effect</w:t>
      </w:r>
      <w:r>
        <w:rPr>
          <w:rFonts w:eastAsia="Times New Roman"/>
          <w:color w:val="000000"/>
          <w:sz w:val="20"/>
          <w:szCs w:val="20"/>
        </w:rPr>
        <w:t xml:space="preserve"> on our revenues, profitability and operating results.</w:t>
      </w:r>
    </w:p>
    <w:p w14:paraId="56B94050" w14:textId="77777777" w:rsidR="00000000" w:rsidRDefault="00E614A4">
      <w:pPr>
        <w:jc w:val="both"/>
        <w:divId w:val="1236861867"/>
        <w:rPr>
          <w:rFonts w:eastAsia="Times New Roman"/>
        </w:rPr>
      </w:pPr>
      <w:r>
        <w:rPr>
          <w:rFonts w:eastAsia="Times New Roman"/>
          <w:b/>
          <w:bCs/>
          <w:color w:val="000000"/>
          <w:sz w:val="20"/>
          <w:szCs w:val="20"/>
        </w:rPr>
        <w:t>Risks Related to Legal and Regulatory Compliance, Litigation and Tax Matters</w:t>
      </w:r>
    </w:p>
    <w:p w14:paraId="1BE5340D" w14:textId="77777777" w:rsidR="00000000" w:rsidRDefault="00E614A4">
      <w:pPr>
        <w:jc w:val="both"/>
        <w:divId w:val="1137408692"/>
        <w:rPr>
          <w:rFonts w:eastAsia="Times New Roman"/>
        </w:rPr>
      </w:pPr>
      <w:r>
        <w:rPr>
          <w:rFonts w:eastAsia="Times New Roman"/>
          <w:b/>
          <w:bCs/>
          <w:i/>
          <w:iCs/>
          <w:color w:val="000000"/>
          <w:sz w:val="20"/>
          <w:szCs w:val="20"/>
        </w:rPr>
        <w:t>Concern over privacy violations and data breaches could lead to public relations problems, regulatory scrutiny and class act</w:t>
      </w:r>
      <w:r>
        <w:rPr>
          <w:rFonts w:eastAsia="Times New Roman"/>
          <w:b/>
          <w:bCs/>
          <w:i/>
          <w:iCs/>
          <w:color w:val="000000"/>
          <w:sz w:val="20"/>
          <w:szCs w:val="20"/>
        </w:rPr>
        <w:t>ion lawsuits, which could harm our business.</w:t>
      </w:r>
    </w:p>
    <w:p w14:paraId="430A9B48" w14:textId="77777777" w:rsidR="00000000" w:rsidRDefault="00E614A4">
      <w:pPr>
        <w:jc w:val="both"/>
        <w:divId w:val="2008903540"/>
        <w:rPr>
          <w:rFonts w:eastAsia="Times New Roman"/>
        </w:rPr>
      </w:pPr>
      <w:r>
        <w:rPr>
          <w:rFonts w:eastAsia="Times New Roman"/>
          <w:color w:val="000000"/>
          <w:sz w:val="20"/>
          <w:szCs w:val="20"/>
        </w:rPr>
        <w:t>We are subject to data privacy and protection laws and regulations that apply to the collection, transmission, storage and use of proprietary information and personal information. The regulatory environment surr</w:t>
      </w:r>
      <w:r>
        <w:rPr>
          <w:rFonts w:eastAsia="Times New Roman"/>
          <w:color w:val="000000"/>
          <w:sz w:val="20"/>
          <w:szCs w:val="20"/>
        </w:rPr>
        <w:t xml:space="preserve">ounding information security and data privacy varies from jurisdiction to jurisdiction and is constantly evolving and increasingly demanding. The restrictions imposed by such laws continue to develop and may require us to incur substantial costs and fines </w:t>
      </w:r>
      <w:r>
        <w:rPr>
          <w:rFonts w:eastAsia="Times New Roman"/>
          <w:color w:val="000000"/>
          <w:sz w:val="20"/>
          <w:szCs w:val="20"/>
        </w:rPr>
        <w:t>or adopt additional compliance measures, such as notification requirements and corrective actions.</w:t>
      </w:r>
    </w:p>
    <w:p w14:paraId="08F3FAB7" w14:textId="77777777" w:rsidR="00000000" w:rsidRDefault="00E614A4">
      <w:pPr>
        <w:jc w:val="both"/>
        <w:divId w:val="1488939564"/>
        <w:rPr>
          <w:rFonts w:eastAsia="Times New Roman"/>
        </w:rPr>
      </w:pPr>
      <w:r>
        <w:rPr>
          <w:rFonts w:eastAsia="Times New Roman"/>
          <w:color w:val="000000"/>
          <w:sz w:val="20"/>
          <w:szCs w:val="20"/>
        </w:rPr>
        <w:t>Any perception of our practices, products or services as a violation of individual privacy rights may subject us to public criticism, loss of customers, partners or vendors, class action lawsuits, reputational harm, or investigations or claims by regulator</w:t>
      </w:r>
      <w:r>
        <w:rPr>
          <w:rFonts w:eastAsia="Times New Roman"/>
          <w:color w:val="000000"/>
          <w:sz w:val="20"/>
          <w:szCs w:val="20"/>
        </w:rPr>
        <w:t xml:space="preserve">s, industry groups or other third parties, all of which could significantly disrupt our business and expose us to increased liability. (Refer to </w:t>
      </w:r>
      <w:hyperlink w:anchor="ided6989bcc374020961c421c465250ee_163" w:history="1">
        <w:r>
          <w:rPr>
            <w:rStyle w:val="a3"/>
            <w:rFonts w:eastAsia="Times New Roman"/>
            <w:sz w:val="20"/>
            <w:szCs w:val="20"/>
          </w:rPr>
          <w:t>Footnote 11</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of the Notes to Consolidated Financial Statements for a discussion of certain legal proceedings in which we are involved.) Additionally, laws regulating privacy and third-party products purporting to address privacy concerns </w:t>
      </w:r>
      <w:r>
        <w:rPr>
          <w:rFonts w:eastAsia="Times New Roman"/>
          <w:color w:val="000000"/>
          <w:sz w:val="20"/>
          <w:szCs w:val="20"/>
        </w:rPr>
        <w:t>could negatively affect the functionality of, and demand for, our products and services, thereby resulting in loss of customers, partners and vendors and harm to our business.</w:t>
      </w:r>
    </w:p>
    <w:p w14:paraId="12E604FE" w14:textId="77777777" w:rsidR="00000000" w:rsidRDefault="00E614A4">
      <w:pPr>
        <w:jc w:val="both"/>
        <w:divId w:val="1324698706"/>
        <w:rPr>
          <w:rFonts w:eastAsia="Times New Roman"/>
        </w:rPr>
      </w:pPr>
      <w:r>
        <w:rPr>
          <w:rFonts w:eastAsia="Times New Roman"/>
          <w:color w:val="000000"/>
          <w:sz w:val="20"/>
          <w:szCs w:val="20"/>
        </w:rPr>
        <w:t xml:space="preserve">We also rely on security questionnaires and contractual representations made to </w:t>
      </w:r>
      <w:r>
        <w:rPr>
          <w:rFonts w:eastAsia="Times New Roman"/>
          <w:color w:val="000000"/>
          <w:sz w:val="20"/>
          <w:szCs w:val="20"/>
        </w:rPr>
        <w:t>us by customers, partners, vendors and other third-party data providers that their own use of our services and the information they provide to us do not violate any applicable privacy laws, rules and regulations or their own privacy or security policies. A</w:t>
      </w:r>
      <w:r>
        <w:rPr>
          <w:rFonts w:eastAsia="Times New Roman"/>
          <w:color w:val="000000"/>
          <w:sz w:val="20"/>
          <w:szCs w:val="20"/>
        </w:rPr>
        <w:t>s a component of our client contracts, we obligate customers to provide their consumers the opportunity to obtain the appropriate level of consent (including opt outs) for the information collection associated with our services, as applicable, or provide a</w:t>
      </w:r>
      <w:r>
        <w:rPr>
          <w:rFonts w:eastAsia="Times New Roman"/>
          <w:color w:val="000000"/>
          <w:sz w:val="20"/>
          <w:szCs w:val="20"/>
        </w:rPr>
        <w:t xml:space="preserve">nother appropriate legal basis for collection. If these questionnaires or representations are false, inaccurate or incomplete, or if our customers, partners, vendors and other third-party data providers do not otherwise comply with applicable privacy laws </w:t>
      </w:r>
      <w:r>
        <w:rPr>
          <w:rFonts w:eastAsia="Times New Roman"/>
          <w:color w:val="000000"/>
          <w:sz w:val="20"/>
          <w:szCs w:val="20"/>
        </w:rPr>
        <w:t>or security practices, we could face adverse publicity and possible legal or regulatory action.</w:t>
      </w:r>
    </w:p>
    <w:p w14:paraId="1D5A34D4" w14:textId="77777777" w:rsidR="00000000" w:rsidRDefault="00E614A4">
      <w:pPr>
        <w:jc w:val="both"/>
        <w:divId w:val="2098015283"/>
        <w:rPr>
          <w:rFonts w:eastAsia="Times New Roman"/>
        </w:rPr>
      </w:pPr>
      <w:r>
        <w:rPr>
          <w:rFonts w:eastAsia="Times New Roman"/>
          <w:color w:val="000000"/>
          <w:sz w:val="20"/>
          <w:szCs w:val="20"/>
        </w:rPr>
        <w:t>Outside parties, including foreign actors, may attempt to fraudulently induce our employees or users of our solutions to disclose sensitive information via ille</w:t>
      </w:r>
      <w:r>
        <w:rPr>
          <w:rFonts w:eastAsia="Times New Roman"/>
          <w:color w:val="000000"/>
          <w:sz w:val="20"/>
          <w:szCs w:val="20"/>
        </w:rPr>
        <w:t>gal electronic spamming, phishing, threats or other tactics. Unauthorized parties may also attempt to gain physical access to our information systems. This risk may be heightened in U.S. election years, particularly from foreign governments and other forei</w:t>
      </w:r>
      <w:r>
        <w:rPr>
          <w:rFonts w:eastAsia="Times New Roman"/>
          <w:color w:val="000000"/>
          <w:sz w:val="20"/>
          <w:szCs w:val="20"/>
        </w:rPr>
        <w:t>gn actors. Any breach of our security measures or the accidental loss, inadvertent disclosure or unauthorized dissemination of proprietary information or sensitive, personal or confidential data about us, our employees or our customers, partners or vendors</w:t>
      </w:r>
      <w:r>
        <w:rPr>
          <w:rFonts w:eastAsia="Times New Roman"/>
          <w:color w:val="000000"/>
          <w:sz w:val="20"/>
          <w:szCs w:val="20"/>
        </w:rPr>
        <w:t>, including the potential loss or disclosure of such information or data as a result of hacking, fraud, trickery or other forms of deception, could expose us, our employees, our customers or the individuals affected to risks of loss or misuse of this infor</w:t>
      </w:r>
      <w:r>
        <w:rPr>
          <w:rFonts w:eastAsia="Times New Roman"/>
          <w:color w:val="000000"/>
          <w:sz w:val="20"/>
          <w:szCs w:val="20"/>
        </w:rPr>
        <w:t>mation. Any actual or potential breach of our security measures may result in litigation and potential liability or fines, governmental inquiry or oversight or a loss of customer confidence, any of which could harm our business and damage our brand and rep</w:t>
      </w:r>
      <w:r>
        <w:rPr>
          <w:rFonts w:eastAsia="Times New Roman"/>
          <w:color w:val="000000"/>
          <w:sz w:val="20"/>
          <w:szCs w:val="20"/>
        </w:rPr>
        <w:t>utation, possibly impeding our present and future success in retaining and attracting new customers and thereby requiring time and resources to repair our brand.</w:t>
      </w:r>
    </w:p>
    <w:p w14:paraId="28A97778" w14:textId="77777777" w:rsidR="00000000" w:rsidRDefault="00E614A4">
      <w:pPr>
        <w:jc w:val="center"/>
        <w:divId w:val="870609931"/>
        <w:rPr>
          <w:rFonts w:eastAsia="Times New Roman"/>
        </w:rPr>
      </w:pPr>
      <w:r>
        <w:rPr>
          <w:rFonts w:eastAsia="Times New Roman"/>
          <w:color w:val="000000"/>
          <w:sz w:val="20"/>
          <w:szCs w:val="20"/>
        </w:rPr>
        <w:t>25</w:t>
      </w:r>
    </w:p>
    <w:p w14:paraId="0858F0E4" w14:textId="77777777" w:rsidR="00000000" w:rsidRDefault="00E614A4">
      <w:pPr>
        <w:rPr>
          <w:rFonts w:eastAsia="Times New Roman"/>
        </w:rPr>
      </w:pPr>
      <w:r>
        <w:rPr>
          <w:rFonts w:eastAsia="Times New Roman"/>
        </w:rPr>
        <w:pict w14:anchorId="0746F8B0">
          <v:rect id="_x0000_i1052" style="width:0;height:1.5pt" o:hralign="center" o:hrstd="t" o:hr="t" fillcolor="#a0a0a0" stroked="f"/>
        </w:pict>
      </w:r>
    </w:p>
    <w:p w14:paraId="571E1A71" w14:textId="77777777" w:rsidR="00000000" w:rsidRDefault="00E614A4">
      <w:pPr>
        <w:divId w:val="153931602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8E9430F" w14:textId="77777777" w:rsidR="00000000" w:rsidRDefault="00E614A4">
      <w:pPr>
        <w:divId w:val="1536192558"/>
        <w:rPr>
          <w:rFonts w:eastAsia="Times New Roman"/>
        </w:rPr>
      </w:pPr>
    </w:p>
    <w:p w14:paraId="67BE6067" w14:textId="77777777" w:rsidR="00000000" w:rsidRDefault="00E614A4">
      <w:pPr>
        <w:jc w:val="both"/>
        <w:divId w:val="1743676078"/>
        <w:rPr>
          <w:rFonts w:eastAsia="Times New Roman"/>
        </w:rPr>
      </w:pPr>
      <w:r>
        <w:rPr>
          <w:rFonts w:eastAsia="Times New Roman"/>
          <w:b/>
          <w:bCs/>
          <w:i/>
          <w:iCs/>
          <w:color w:val="000000"/>
          <w:sz w:val="20"/>
          <w:szCs w:val="20"/>
        </w:rPr>
        <w:t>Domestic or foreign laws, regulations or enforcement actions may limit our ability to collect and incorporate media usage information in our products, which may decrease thei</w:t>
      </w:r>
      <w:r>
        <w:rPr>
          <w:rFonts w:eastAsia="Times New Roman"/>
          <w:b/>
          <w:bCs/>
          <w:i/>
          <w:iCs/>
          <w:color w:val="000000"/>
          <w:sz w:val="20"/>
          <w:szCs w:val="20"/>
        </w:rPr>
        <w:t>r value and cause an adverse impact on our business and financial results.</w:t>
      </w:r>
    </w:p>
    <w:p w14:paraId="0D8533FA" w14:textId="77777777" w:rsidR="00000000" w:rsidRDefault="00E614A4">
      <w:pPr>
        <w:jc w:val="both"/>
        <w:divId w:val="1328436000"/>
        <w:rPr>
          <w:rFonts w:eastAsia="Times New Roman"/>
        </w:rPr>
      </w:pPr>
      <w:r>
        <w:rPr>
          <w:rFonts w:eastAsia="Times New Roman"/>
          <w:color w:val="000000"/>
          <w:sz w:val="20"/>
          <w:szCs w:val="20"/>
        </w:rPr>
        <w:t xml:space="preserve">Our business could be adversely impacted by existing or future laws, regulations or actions by domestic or foreign regulatory agencies, or by our customers' or partners' efforts to </w:t>
      </w:r>
      <w:r>
        <w:rPr>
          <w:rFonts w:eastAsia="Times New Roman"/>
          <w:color w:val="000000"/>
          <w:sz w:val="20"/>
          <w:szCs w:val="20"/>
        </w:rPr>
        <w:t>comply with these laws. For example, privacy, data protection and personal information, intellectual property, advertising, data security, data retention and deletion, protection of minors, consumer protection, economic or other trade prohibitions or sanct</w:t>
      </w:r>
      <w:r>
        <w:rPr>
          <w:rFonts w:eastAsia="Times New Roman"/>
          <w:color w:val="000000"/>
          <w:sz w:val="20"/>
          <w:szCs w:val="20"/>
        </w:rPr>
        <w:t>ions concerns could lead to legislative, judicial and regulatory limitations on our or our partners' ability to collect, maintain and use information about consumers' behavior or media consumption in the U.S. and abroad. This could impact the amount and qu</w:t>
      </w:r>
      <w:r>
        <w:rPr>
          <w:rFonts w:eastAsia="Times New Roman"/>
          <w:color w:val="000000"/>
          <w:sz w:val="20"/>
          <w:szCs w:val="20"/>
        </w:rPr>
        <w:t>ality of data in our products.</w:t>
      </w:r>
    </w:p>
    <w:p w14:paraId="4A27A828" w14:textId="77777777" w:rsidR="00000000" w:rsidRDefault="00E614A4">
      <w:pPr>
        <w:jc w:val="both"/>
        <w:divId w:val="579564014"/>
        <w:rPr>
          <w:rFonts w:eastAsia="Times New Roman"/>
        </w:rPr>
      </w:pPr>
      <w:r>
        <w:rPr>
          <w:rFonts w:eastAsia="Times New Roman"/>
          <w:color w:val="000000"/>
          <w:sz w:val="20"/>
          <w:szCs w:val="20"/>
        </w:rPr>
        <w:t>State and federal laws within the U.S. and foreign laws and regulations are varied, and at times conflicting, resulting in higher risk related to compliance. A number of laws coming into effect and/or proposals pending before</w:t>
      </w:r>
      <w:r>
        <w:rPr>
          <w:rFonts w:eastAsia="Times New Roman"/>
          <w:color w:val="000000"/>
          <w:sz w:val="20"/>
          <w:szCs w:val="20"/>
        </w:rPr>
        <w:t xml:space="preserve"> federal, state and foreign legislative and regulatory bodies have affected and are likely to continue to affect our business. For example, the European Union's ("EU") General Data Protection Regulation, or GDPR, became effective in May 2018, imposing more</w:t>
      </w:r>
      <w:r>
        <w:rPr>
          <w:rFonts w:eastAsia="Times New Roman"/>
          <w:color w:val="000000"/>
          <w:sz w:val="20"/>
          <w:szCs w:val="20"/>
        </w:rPr>
        <w:t xml:space="preserve"> stringent EU data protection requirements and providing for greater penalties for noncompliance. In addition, regulators in the EU and elsewhere are increasingly focused on consent and the collection of data using tracking technologies, including recent g</w:t>
      </w:r>
      <w:r>
        <w:rPr>
          <w:rFonts w:eastAsia="Times New Roman"/>
          <w:color w:val="000000"/>
          <w:sz w:val="20"/>
          <w:szCs w:val="20"/>
        </w:rPr>
        <w:t>uidance from the United Kingdom ("UK") Information Commissioner's Office and other data protection agencies and the proposed EU "ePrivacy" Regulation. Adding further uncertainty is the UK's departure from the EU, commonly referred to as Brexit. Among other</w:t>
      </w:r>
      <w:r>
        <w:rPr>
          <w:rFonts w:eastAsia="Times New Roman"/>
          <w:color w:val="000000"/>
          <w:sz w:val="20"/>
          <w:szCs w:val="20"/>
        </w:rPr>
        <w:t xml:space="preserve"> things, it is unclear how data transfers to and from the UK will be regulated. As another example, Brazil enacted the General Data Protection Law, and the State of California enacted the California Consumer Privacy Act ("CCPA"). The CCPA, which went into </w:t>
      </w:r>
      <w:r>
        <w:rPr>
          <w:rFonts w:eastAsia="Times New Roman"/>
          <w:color w:val="000000"/>
          <w:sz w:val="20"/>
          <w:szCs w:val="20"/>
        </w:rPr>
        <w:t>effect in January 2020, expanded the scope of what is considered "personal information" and created new data access and opt-out rights for consumers, which are impacting Comscore and other companies that operate in California, including many of our custome</w:t>
      </w:r>
      <w:r>
        <w:rPr>
          <w:rFonts w:eastAsia="Times New Roman"/>
          <w:color w:val="000000"/>
          <w:sz w:val="20"/>
          <w:szCs w:val="20"/>
        </w:rPr>
        <w:t>rs and partners. These U.S. federal and state and foreign laws and regulations, which in some cases can be enforced by private parties in addition to government entities, are constantly evolving and can be subject to significant change.</w:t>
      </w:r>
    </w:p>
    <w:p w14:paraId="6E6AD20E" w14:textId="77777777" w:rsidR="00000000" w:rsidRDefault="00E614A4">
      <w:pPr>
        <w:jc w:val="both"/>
        <w:divId w:val="1644238817"/>
        <w:rPr>
          <w:rFonts w:eastAsia="Times New Roman"/>
        </w:rPr>
      </w:pPr>
      <w:r>
        <w:rPr>
          <w:rFonts w:eastAsia="Times New Roman"/>
          <w:color w:val="000000"/>
          <w:sz w:val="20"/>
          <w:szCs w:val="20"/>
        </w:rPr>
        <w:t>We have implemented</w:t>
      </w:r>
      <w:r>
        <w:rPr>
          <w:rFonts w:eastAsia="Times New Roman"/>
          <w:color w:val="000000"/>
          <w:sz w:val="20"/>
          <w:szCs w:val="20"/>
        </w:rPr>
        <w:t xml:space="preserve"> policies and procedures to comply with GDPR, CCPA, the Children's Online Privacy Protection Act ("COPPA") and other laws, and we continue to evaluate and implement processes and enhancements and monitor changes in laws and regulations. However, the applic</w:t>
      </w:r>
      <w:r>
        <w:rPr>
          <w:rFonts w:eastAsia="Times New Roman"/>
          <w:color w:val="000000"/>
          <w:sz w:val="20"/>
          <w:szCs w:val="20"/>
        </w:rPr>
        <w:t>ation, interpretation, and enforcement of these laws and regulations are often uncertain, particularly in the rapidly evolving industries in which we operate, and may be interpreted and applied inconsistently from country to country, state to state, and cu</w:t>
      </w:r>
      <w:r>
        <w:rPr>
          <w:rFonts w:eastAsia="Times New Roman"/>
          <w:color w:val="000000"/>
          <w:sz w:val="20"/>
          <w:szCs w:val="20"/>
        </w:rPr>
        <w:t>stomer to customer, and inconsistently with our current policies and practices. Additionally, the costs of compliance with, and the other burdens imposed by, these and other laws, regulatory actions and customer or partner policies may prevent us from sell</w:t>
      </w:r>
      <w:r>
        <w:rPr>
          <w:rFonts w:eastAsia="Times New Roman"/>
          <w:color w:val="000000"/>
          <w:sz w:val="20"/>
          <w:szCs w:val="20"/>
        </w:rPr>
        <w:t>ing our products and have and may continue to increase the costs associated with selling our products, and may affect our ability to invest in or jointly develop products in the U.S. and in foreign jurisdictions. In addition, failure to comply with these a</w:t>
      </w:r>
      <w:r>
        <w:rPr>
          <w:rFonts w:eastAsia="Times New Roman"/>
          <w:color w:val="000000"/>
          <w:sz w:val="20"/>
          <w:szCs w:val="20"/>
        </w:rPr>
        <w:t>nd other laws and regulations may result in, among other things, administrative enforcement actions and substantial fines, class action lawsuits, significant legal fees, and civil and criminal liability. Any regulatory or civil action that is brought again</w:t>
      </w:r>
      <w:r>
        <w:rPr>
          <w:rFonts w:eastAsia="Times New Roman"/>
          <w:color w:val="000000"/>
          <w:sz w:val="20"/>
          <w:szCs w:val="20"/>
        </w:rPr>
        <w:t>st us, even if unsuccessful, may distract our management's attention, divert our resources, negatively affect our public image or reputation among our panelists, customers, partners and vendors, and harm our business.</w:t>
      </w:r>
    </w:p>
    <w:p w14:paraId="130966E3" w14:textId="77777777" w:rsidR="00000000" w:rsidRDefault="00E614A4">
      <w:pPr>
        <w:jc w:val="both"/>
        <w:divId w:val="266697989"/>
        <w:rPr>
          <w:rFonts w:eastAsia="Times New Roman"/>
        </w:rPr>
      </w:pPr>
      <w:r>
        <w:rPr>
          <w:rFonts w:eastAsia="Times New Roman"/>
          <w:b/>
          <w:bCs/>
          <w:i/>
          <w:iCs/>
          <w:color w:val="000000"/>
          <w:sz w:val="20"/>
          <w:szCs w:val="20"/>
        </w:rPr>
        <w:t>An assertion from a third party that w</w:t>
      </w:r>
      <w:r>
        <w:rPr>
          <w:rFonts w:eastAsia="Times New Roman"/>
          <w:b/>
          <w:bCs/>
          <w:i/>
          <w:iCs/>
          <w:color w:val="000000"/>
          <w:sz w:val="20"/>
          <w:szCs w:val="20"/>
        </w:rPr>
        <w:t>e are infringing its intellectual property rights, whether such assertion is valid or not, could subject us to costly and time-consuming litigation or expensive licenses.</w:t>
      </w:r>
    </w:p>
    <w:p w14:paraId="6ABCD96B" w14:textId="77777777" w:rsidR="00000000" w:rsidRDefault="00E614A4">
      <w:pPr>
        <w:jc w:val="both"/>
        <w:divId w:val="1421945707"/>
        <w:rPr>
          <w:rFonts w:eastAsia="Times New Roman"/>
        </w:rPr>
      </w:pPr>
      <w:r>
        <w:rPr>
          <w:rFonts w:eastAsia="Times New Roman"/>
          <w:color w:val="000000"/>
          <w:sz w:val="20"/>
          <w:szCs w:val="20"/>
        </w:rPr>
        <w:t>The media measurement, software and technology industries are characterized by the ex</w:t>
      </w:r>
      <w:r>
        <w:rPr>
          <w:rFonts w:eastAsia="Times New Roman"/>
          <w:color w:val="000000"/>
          <w:sz w:val="20"/>
          <w:szCs w:val="20"/>
        </w:rPr>
        <w:t>istence of a large number of patents, copyrights, trademarks and trade secrets and by frequent litigation based on allegations of infringement or other violations of intellectual property rights, domestically or internationally. As we grow, evolve our prod</w:t>
      </w:r>
      <w:r>
        <w:rPr>
          <w:rFonts w:eastAsia="Times New Roman"/>
          <w:color w:val="000000"/>
          <w:sz w:val="20"/>
          <w:szCs w:val="20"/>
        </w:rPr>
        <w:t xml:space="preserve">ucts and methodologies, and face increasing competition, the probability that one or more third parties will make intellectual property rights claims against us increases. In such cases, our products, technologies or methodologies may be found to infringe </w:t>
      </w:r>
      <w:r>
        <w:rPr>
          <w:rFonts w:eastAsia="Times New Roman"/>
          <w:color w:val="000000"/>
          <w:sz w:val="20"/>
          <w:szCs w:val="20"/>
        </w:rPr>
        <w:t>on the intellectual property rights of others. Additionally, many of our agreements may require us to indemnify our customers for third-party intellectual property infringement claims, which would increase our costs if we have to defend such claims and may</w:t>
      </w:r>
      <w:r>
        <w:rPr>
          <w:rFonts w:eastAsia="Times New Roman"/>
          <w:color w:val="000000"/>
          <w:sz w:val="20"/>
          <w:szCs w:val="20"/>
        </w:rPr>
        <w:t xml:space="preserve"> require that we pay damages and provide alternative services if there were an adverse ruling in any such claims. Intellectual property claims could harm our relationships with our customers, deter future customers from buying our products or expose us to </w:t>
      </w:r>
      <w:r>
        <w:rPr>
          <w:rFonts w:eastAsia="Times New Roman"/>
          <w:color w:val="000000"/>
          <w:sz w:val="20"/>
          <w:szCs w:val="20"/>
        </w:rPr>
        <w:t>litigation, which could be expensive and divert considerable attention of our management team from the normal operation of our business. Even if we are not a party to any litigation between a customer and a third party, an adverse outcome in any such litig</w:t>
      </w:r>
      <w:r>
        <w:rPr>
          <w:rFonts w:eastAsia="Times New Roman"/>
          <w:color w:val="000000"/>
          <w:sz w:val="20"/>
          <w:szCs w:val="20"/>
        </w:rPr>
        <w:t>ation could make it more difficult for us to defend against intellectual property claims by the third party in any subsequent litigation in which we are a named party. Any of these results could adversely affect our brand, business and results of operation</w:t>
      </w:r>
      <w:r>
        <w:rPr>
          <w:rFonts w:eastAsia="Times New Roman"/>
          <w:color w:val="000000"/>
          <w:sz w:val="20"/>
          <w:szCs w:val="20"/>
        </w:rPr>
        <w:t>s.</w:t>
      </w:r>
    </w:p>
    <w:p w14:paraId="69EDDE98" w14:textId="77777777" w:rsidR="00000000" w:rsidRDefault="00E614A4">
      <w:pPr>
        <w:jc w:val="both"/>
        <w:divId w:val="838929224"/>
        <w:rPr>
          <w:rFonts w:eastAsia="Times New Roman"/>
        </w:rPr>
      </w:pPr>
      <w:r>
        <w:rPr>
          <w:rFonts w:eastAsia="Times New Roman"/>
          <w:color w:val="000000"/>
          <w:sz w:val="20"/>
          <w:szCs w:val="20"/>
        </w:rPr>
        <w:t>With respect to any intellectual property rights claim against us or our customers, we may have to pay damages or stop using technology or methodologies found to be in violation of a third party's rights. We may have to seek a license for the technology</w:t>
      </w:r>
      <w:r>
        <w:rPr>
          <w:rFonts w:eastAsia="Times New Roman"/>
          <w:color w:val="000000"/>
          <w:sz w:val="20"/>
          <w:szCs w:val="20"/>
        </w:rPr>
        <w:t>, which may not be available on reasonable terms or at all, may significantly increase our operating expenses or may significantly restrict our business activities in one or more respects. We may also be required to develop alternative non-infringing techn</w:t>
      </w:r>
      <w:r>
        <w:rPr>
          <w:rFonts w:eastAsia="Times New Roman"/>
          <w:color w:val="000000"/>
          <w:sz w:val="20"/>
          <w:szCs w:val="20"/>
        </w:rPr>
        <w:t>ology or methodologies, which could require significant effort and expense. Any of these outcomes could adversely affect our business and results of operations. Even if we prove successful in defending ourselves against such claims, we may incur substantia</w:t>
      </w:r>
      <w:r>
        <w:rPr>
          <w:rFonts w:eastAsia="Times New Roman"/>
          <w:color w:val="000000"/>
          <w:sz w:val="20"/>
          <w:szCs w:val="20"/>
        </w:rPr>
        <w:t>l expenses and the defense of such claims may divert considerable attention of our management team from the normal operation of our business.</w:t>
      </w:r>
    </w:p>
    <w:p w14:paraId="65816FAB" w14:textId="77777777" w:rsidR="00000000" w:rsidRDefault="00E614A4">
      <w:pPr>
        <w:jc w:val="center"/>
        <w:divId w:val="1095443911"/>
        <w:rPr>
          <w:rFonts w:eastAsia="Times New Roman"/>
        </w:rPr>
      </w:pPr>
      <w:r>
        <w:rPr>
          <w:rFonts w:eastAsia="Times New Roman"/>
          <w:color w:val="000000"/>
          <w:sz w:val="20"/>
          <w:szCs w:val="20"/>
        </w:rPr>
        <w:t>26</w:t>
      </w:r>
    </w:p>
    <w:p w14:paraId="31A5D607" w14:textId="77777777" w:rsidR="00000000" w:rsidRDefault="00E614A4">
      <w:pPr>
        <w:rPr>
          <w:rFonts w:eastAsia="Times New Roman"/>
        </w:rPr>
      </w:pPr>
      <w:r>
        <w:rPr>
          <w:rFonts w:eastAsia="Times New Roman"/>
        </w:rPr>
        <w:pict w14:anchorId="48BF395A">
          <v:rect id="_x0000_i1053" style="width:0;height:1.5pt" o:hralign="center" o:hrstd="t" o:hr="t" fillcolor="#a0a0a0" stroked="f"/>
        </w:pict>
      </w:r>
    </w:p>
    <w:p w14:paraId="42109B64" w14:textId="77777777" w:rsidR="00000000" w:rsidRDefault="00E614A4">
      <w:pPr>
        <w:divId w:val="1975791306"/>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22624CC" w14:textId="77777777" w:rsidR="00000000" w:rsidRDefault="00E614A4">
      <w:pPr>
        <w:divId w:val="259222334"/>
        <w:rPr>
          <w:rFonts w:eastAsia="Times New Roman"/>
        </w:rPr>
      </w:pPr>
    </w:p>
    <w:p w14:paraId="5C5E54F0" w14:textId="77777777" w:rsidR="00000000" w:rsidRDefault="00E614A4">
      <w:pPr>
        <w:jc w:val="both"/>
        <w:divId w:val="6372245"/>
        <w:rPr>
          <w:rFonts w:eastAsia="Times New Roman"/>
        </w:rPr>
      </w:pPr>
      <w:r>
        <w:rPr>
          <w:rFonts w:eastAsia="Times New Roman"/>
          <w:b/>
          <w:bCs/>
          <w:i/>
          <w:iCs/>
          <w:color w:val="000000"/>
          <w:sz w:val="20"/>
          <w:szCs w:val="20"/>
        </w:rPr>
        <w:t>The success of our business depends in large part on our ability to protect and enforce our intellectual property rights</w:t>
      </w:r>
      <w:r>
        <w:rPr>
          <w:rFonts w:eastAsia="Times New Roman"/>
          <w:b/>
          <w:bCs/>
          <w:i/>
          <w:iCs/>
          <w:color w:val="000000"/>
          <w:sz w:val="20"/>
          <w:szCs w:val="20"/>
        </w:rPr>
        <w:t>.</w:t>
      </w:r>
    </w:p>
    <w:p w14:paraId="29ED692F" w14:textId="77777777" w:rsidR="00000000" w:rsidRDefault="00E614A4">
      <w:pPr>
        <w:jc w:val="both"/>
        <w:divId w:val="1346974632"/>
        <w:rPr>
          <w:rFonts w:eastAsia="Times New Roman"/>
        </w:rPr>
      </w:pPr>
      <w:r>
        <w:rPr>
          <w:rFonts w:eastAsia="Times New Roman"/>
          <w:color w:val="000000"/>
          <w:sz w:val="20"/>
          <w:szCs w:val="20"/>
        </w:rPr>
        <w:t>We rely on a combination of patent, copyright, service mark, trademark and trade secret laws, as well as confidentiality procedures and contractual restrictions, to establish and protect our proprietary rights, all of which provide only limited protectio</w:t>
      </w:r>
      <w:r>
        <w:rPr>
          <w:rFonts w:eastAsia="Times New Roman"/>
          <w:color w:val="000000"/>
          <w:sz w:val="20"/>
          <w:szCs w:val="20"/>
        </w:rPr>
        <w:t>n. We endeavor to enter into agreements with our employees and contractors and with parties with whom we do business in order to limit access to and disclosure of our proprietary information. We cannot be certain that the steps we have taken will prevent u</w:t>
      </w:r>
      <w:r>
        <w:rPr>
          <w:rFonts w:eastAsia="Times New Roman"/>
          <w:color w:val="000000"/>
          <w:sz w:val="20"/>
          <w:szCs w:val="20"/>
        </w:rPr>
        <w:t xml:space="preserve">nauthorized use of our technology or the reverse engineering of our technology. We cannot make assurances that any additional patents will be issued with respect to any of our pending or future patent applications, nor can we assure that any patent issued </w:t>
      </w:r>
      <w:r>
        <w:rPr>
          <w:rFonts w:eastAsia="Times New Roman"/>
          <w:color w:val="000000"/>
          <w:sz w:val="20"/>
          <w:szCs w:val="20"/>
        </w:rPr>
        <w:t>to us will provide adequate protection, or that any patents issued to us will not be challenged, invalidated, circumvented, or held to be unenforceable in actions against alleged infringers. Also, we cannot make assurances that any future trademark or serv</w:t>
      </w:r>
      <w:r>
        <w:rPr>
          <w:rFonts w:eastAsia="Times New Roman"/>
          <w:color w:val="000000"/>
          <w:sz w:val="20"/>
          <w:szCs w:val="20"/>
        </w:rPr>
        <w:t>ice mark registrations will be issued with respect to pending or future applications or that any of our registered trademarks and service marks will be enforceable or provide adequate protection of our proprietary rights.</w:t>
      </w:r>
    </w:p>
    <w:p w14:paraId="13E8FC6E" w14:textId="77777777" w:rsidR="00000000" w:rsidRDefault="00E614A4">
      <w:pPr>
        <w:jc w:val="both"/>
        <w:divId w:val="1375501147"/>
        <w:rPr>
          <w:rFonts w:eastAsia="Times New Roman"/>
        </w:rPr>
      </w:pPr>
      <w:r>
        <w:rPr>
          <w:rFonts w:eastAsia="Times New Roman"/>
          <w:b/>
          <w:bCs/>
          <w:i/>
          <w:iCs/>
          <w:color w:val="000000"/>
          <w:sz w:val="20"/>
          <w:szCs w:val="20"/>
        </w:rPr>
        <w:t>We may be named in litigation or r</w:t>
      </w:r>
      <w:r>
        <w:rPr>
          <w:rFonts w:eastAsia="Times New Roman"/>
          <w:b/>
          <w:bCs/>
          <w:i/>
          <w:iCs/>
          <w:color w:val="000000"/>
          <w:sz w:val="20"/>
          <w:szCs w:val="20"/>
        </w:rPr>
        <w:t>egulatory proceedings, which could require significant management time and attention and result in significant legal expenses, which could have an adverse impact on our financial condition.</w:t>
      </w:r>
    </w:p>
    <w:p w14:paraId="6C28BEF5" w14:textId="77777777" w:rsidR="00000000" w:rsidRDefault="00E614A4">
      <w:pPr>
        <w:jc w:val="both"/>
        <w:divId w:val="278075586"/>
        <w:rPr>
          <w:rFonts w:eastAsia="Times New Roman"/>
        </w:rPr>
      </w:pPr>
      <w:r>
        <w:rPr>
          <w:rFonts w:eastAsia="Times New Roman"/>
          <w:color w:val="000000"/>
          <w:sz w:val="20"/>
          <w:szCs w:val="20"/>
        </w:rPr>
        <w:t xml:space="preserve">Refer to </w:t>
      </w:r>
      <w:hyperlink w:anchor="ided6989bcc374020961c421c465250ee_163" w:history="1">
        <w:r>
          <w:rPr>
            <w:rStyle w:val="a3"/>
            <w:rFonts w:eastAsia="Times New Roman"/>
            <w:sz w:val="20"/>
            <w:szCs w:val="20"/>
          </w:rPr>
          <w:t>Footnote 11</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of the Notes to Consolidated Financial Statements for a discussion of certain legal proceedings in which we are involved. These and any future legal proceedings could involve substantial defense and other cost</w:t>
      </w:r>
      <w:r>
        <w:rPr>
          <w:rFonts w:eastAsia="Times New Roman"/>
          <w:color w:val="000000"/>
          <w:sz w:val="20"/>
          <w:szCs w:val="20"/>
        </w:rPr>
        <w:t xml:space="preserve">s and, if decided adversely to us, could result in significant monetary damages, penalties and reputational harm. Although we maintain insurance coverage in amounts and with deductibles that we believe are appropriate for our operations, our insurance may </w:t>
      </w:r>
      <w:r>
        <w:rPr>
          <w:rFonts w:eastAsia="Times New Roman"/>
          <w:color w:val="000000"/>
          <w:sz w:val="20"/>
          <w:szCs w:val="20"/>
        </w:rPr>
        <w:t>not cover all claims that have been or may be brought against us, and insurance coverage may not continue to be available to us at a reasonable cost in the future. As a result, we could be exposed to substantial uninsured liabilities, including pursuant to</w:t>
      </w:r>
      <w:r>
        <w:rPr>
          <w:rFonts w:eastAsia="Times New Roman"/>
          <w:color w:val="000000"/>
          <w:sz w:val="20"/>
          <w:szCs w:val="20"/>
        </w:rPr>
        <w:t xml:space="preserve"> our indemnification obligations to directors and officers, which could adversely affect our business, results of operations and financial condition.</w:t>
      </w:r>
    </w:p>
    <w:p w14:paraId="7232A347" w14:textId="77777777" w:rsidR="00000000" w:rsidRDefault="00E614A4">
      <w:pPr>
        <w:jc w:val="both"/>
        <w:divId w:val="1190802611"/>
        <w:rPr>
          <w:rFonts w:eastAsia="Times New Roman"/>
        </w:rPr>
      </w:pPr>
      <w:r>
        <w:rPr>
          <w:rFonts w:eastAsia="Times New Roman"/>
          <w:b/>
          <w:bCs/>
          <w:i/>
          <w:iCs/>
          <w:color w:val="000000"/>
          <w:sz w:val="20"/>
          <w:szCs w:val="20"/>
        </w:rPr>
        <w:t>We are subject to taxation in multiple jurisdictions. Any adverse development in the tax laws of any of th</w:t>
      </w:r>
      <w:r>
        <w:rPr>
          <w:rFonts w:eastAsia="Times New Roman"/>
          <w:b/>
          <w:bCs/>
          <w:i/>
          <w:iCs/>
          <w:color w:val="000000"/>
          <w:sz w:val="20"/>
          <w:szCs w:val="20"/>
        </w:rPr>
        <w:t>ese jurisdictions or any disagreement with our tax positions could have a material and adverse effect on our business, financial condition or results of operations.</w:t>
      </w:r>
    </w:p>
    <w:p w14:paraId="1BAED8C0" w14:textId="77777777" w:rsidR="00000000" w:rsidRDefault="00E614A4">
      <w:pPr>
        <w:jc w:val="both"/>
        <w:divId w:val="1615400109"/>
        <w:rPr>
          <w:rFonts w:eastAsia="Times New Roman"/>
        </w:rPr>
      </w:pPr>
      <w:r>
        <w:rPr>
          <w:rFonts w:eastAsia="Times New Roman"/>
          <w:color w:val="000000"/>
          <w:sz w:val="20"/>
          <w:szCs w:val="20"/>
        </w:rPr>
        <w:t>We are subject to taxation in, and to the tax laws and regulations of, multiple jurisdictio</w:t>
      </w:r>
      <w:r>
        <w:rPr>
          <w:rFonts w:eastAsia="Times New Roman"/>
          <w:color w:val="000000"/>
          <w:sz w:val="20"/>
          <w:szCs w:val="20"/>
        </w:rPr>
        <w:t>ns as a result of the international scope of our operations and our corporate entity structure. We are also subject to transfer pricing laws with respect to our intercompany transactions, including those relating to the flow of funds among our companies. A</w:t>
      </w:r>
      <w:r>
        <w:rPr>
          <w:rFonts w:eastAsia="Times New Roman"/>
          <w:color w:val="000000"/>
          <w:sz w:val="20"/>
          <w:szCs w:val="20"/>
        </w:rPr>
        <w:t>dverse developments in these laws or regulations, or any change in position regarding the application, administration or interpretation thereof, in any applicable jurisdiction, could have a material and adverse effect on our business, financial condition o</w:t>
      </w:r>
      <w:r>
        <w:rPr>
          <w:rFonts w:eastAsia="Times New Roman"/>
          <w:color w:val="000000"/>
          <w:sz w:val="20"/>
          <w:szCs w:val="20"/>
        </w:rPr>
        <w:t>r results of operations. In addition, the tax authorities in any applicable jurisdiction, including the U.S., may disagree with the positions we have taken or intend to take regarding the tax treatment or characterization of any of our transactions. If any</w:t>
      </w:r>
      <w:r>
        <w:rPr>
          <w:rFonts w:eastAsia="Times New Roman"/>
          <w:color w:val="000000"/>
          <w:sz w:val="20"/>
          <w:szCs w:val="20"/>
        </w:rPr>
        <w:t xml:space="preserve"> applicable tax authorities, including U.S. tax authorities, were to successfully challenge the tax treatment or characterization of any of our transactions, it could have a material and adverse effect on our business, financial condition or results of ope</w:t>
      </w:r>
      <w:r>
        <w:rPr>
          <w:rFonts w:eastAsia="Times New Roman"/>
          <w:color w:val="000000"/>
          <w:sz w:val="20"/>
          <w:szCs w:val="20"/>
        </w:rPr>
        <w:t>rations.</w:t>
      </w:r>
    </w:p>
    <w:p w14:paraId="1DBDFE44" w14:textId="77777777" w:rsidR="00000000" w:rsidRDefault="00E614A4">
      <w:pPr>
        <w:jc w:val="both"/>
        <w:divId w:val="1388576923"/>
        <w:rPr>
          <w:rFonts w:eastAsia="Times New Roman"/>
        </w:rPr>
      </w:pPr>
      <w:r>
        <w:rPr>
          <w:rFonts w:eastAsia="Times New Roman"/>
          <w:b/>
          <w:bCs/>
          <w:i/>
          <w:iCs/>
          <w:color w:val="000000"/>
          <w:sz w:val="20"/>
          <w:szCs w:val="20"/>
        </w:rPr>
        <w:t>Taxing authorities may successfully assert that we should have collected or in the future should collect sales and use, value added or similar taxes, and we could be subject to liability with respect to past or future sales.</w:t>
      </w:r>
    </w:p>
    <w:p w14:paraId="1CD0393E" w14:textId="77777777" w:rsidR="00000000" w:rsidRDefault="00E614A4">
      <w:pPr>
        <w:jc w:val="both"/>
        <w:divId w:val="1263492684"/>
        <w:rPr>
          <w:rFonts w:eastAsia="Times New Roman"/>
        </w:rPr>
      </w:pPr>
      <w:r>
        <w:rPr>
          <w:rFonts w:eastAsia="Times New Roman"/>
          <w:color w:val="000000"/>
          <w:sz w:val="20"/>
          <w:szCs w:val="20"/>
        </w:rPr>
        <w:t>In certain cases, we h</w:t>
      </w:r>
      <w:r>
        <w:rPr>
          <w:rFonts w:eastAsia="Times New Roman"/>
          <w:color w:val="000000"/>
          <w:sz w:val="20"/>
          <w:szCs w:val="20"/>
        </w:rPr>
        <w:t xml:space="preserve">ave concluded that we do not need to collect sales and use, value added and similar taxes in jurisdictions in which we have sales. Certain jurisdictions in which we do not collect such taxes may assert that such taxes are applicable, which could result in </w:t>
      </w:r>
      <w:r>
        <w:rPr>
          <w:rFonts w:eastAsia="Times New Roman"/>
          <w:color w:val="000000"/>
          <w:sz w:val="20"/>
          <w:szCs w:val="20"/>
        </w:rPr>
        <w:t>tax assessments, penalties and interest, and we may be required to collect such taxes in the future. Such tax assessments, penalties and interest or future requirements may adversely affect our financial condition and results of operations.</w:t>
      </w:r>
    </w:p>
    <w:p w14:paraId="7B30BE63" w14:textId="77777777" w:rsidR="00000000" w:rsidRDefault="00E614A4">
      <w:pPr>
        <w:jc w:val="both"/>
        <w:divId w:val="566502557"/>
        <w:rPr>
          <w:rFonts w:eastAsia="Times New Roman"/>
        </w:rPr>
      </w:pPr>
      <w:r>
        <w:rPr>
          <w:rFonts w:eastAsia="Times New Roman"/>
          <w:b/>
          <w:bCs/>
          <w:color w:val="000000"/>
          <w:sz w:val="20"/>
          <w:szCs w:val="20"/>
        </w:rPr>
        <w:t>Risks Related t</w:t>
      </w:r>
      <w:r>
        <w:rPr>
          <w:rFonts w:eastAsia="Times New Roman"/>
          <w:b/>
          <w:bCs/>
          <w:color w:val="000000"/>
          <w:sz w:val="20"/>
          <w:szCs w:val="20"/>
        </w:rPr>
        <w:t>o International Operations</w:t>
      </w:r>
    </w:p>
    <w:p w14:paraId="1804C504" w14:textId="77777777" w:rsidR="00000000" w:rsidRDefault="00E614A4">
      <w:pPr>
        <w:jc w:val="both"/>
        <w:divId w:val="607931110"/>
        <w:rPr>
          <w:rFonts w:eastAsia="Times New Roman"/>
        </w:rPr>
      </w:pPr>
      <w:r>
        <w:rPr>
          <w:rFonts w:eastAsia="Times New Roman"/>
          <w:b/>
          <w:bCs/>
          <w:i/>
          <w:iCs/>
          <w:color w:val="000000"/>
          <w:sz w:val="20"/>
          <w:szCs w:val="20"/>
        </w:rPr>
        <w:t>Our business could become increasingly susceptible to risks associated with international operations.</w:t>
      </w:r>
    </w:p>
    <w:p w14:paraId="0A06F768" w14:textId="77777777" w:rsidR="00000000" w:rsidRDefault="00E614A4">
      <w:pPr>
        <w:jc w:val="both"/>
        <w:divId w:val="1833640106"/>
        <w:rPr>
          <w:rFonts w:eastAsia="Times New Roman"/>
        </w:rPr>
      </w:pPr>
      <w:r>
        <w:rPr>
          <w:rFonts w:eastAsia="Times New Roman"/>
          <w:color w:val="000000"/>
          <w:sz w:val="20"/>
          <w:szCs w:val="20"/>
        </w:rPr>
        <w:t>Conducting international operations subjects us to risks that we generally do not face in the U.S. These risks include:</w:t>
      </w:r>
    </w:p>
    <w:p w14:paraId="484E1929" w14:textId="77777777" w:rsidR="00000000" w:rsidRDefault="00E614A4">
      <w:pPr>
        <w:ind w:hanging="360"/>
        <w:divId w:val="914901526"/>
        <w:rPr>
          <w:rFonts w:eastAsia="Times New Roman"/>
        </w:rPr>
      </w:pPr>
      <w:r>
        <w:rPr>
          <w:rFonts w:eastAsia="Times New Roman"/>
          <w:color w:val="000000"/>
          <w:sz w:val="20"/>
          <w:szCs w:val="20"/>
        </w:rPr>
        <w:t>•</w:t>
      </w:r>
      <w:r>
        <w:rPr>
          <w:rFonts w:eastAsia="Times New Roman"/>
          <w:color w:val="000000"/>
          <w:sz w:val="20"/>
          <w:szCs w:val="20"/>
        </w:rPr>
        <w:t>recruitment and maintenance of a sufficiently large and representative panel both globally and in certain countries;</w:t>
      </w:r>
    </w:p>
    <w:p w14:paraId="77282590" w14:textId="77777777" w:rsidR="00000000" w:rsidRDefault="00E614A4">
      <w:pPr>
        <w:ind w:hanging="360"/>
        <w:jc w:val="both"/>
        <w:divId w:val="1422340249"/>
        <w:rPr>
          <w:rFonts w:eastAsia="Times New Roman"/>
        </w:rPr>
      </w:pPr>
      <w:r>
        <w:rPr>
          <w:rFonts w:eastAsia="Times New Roman"/>
          <w:color w:val="000000"/>
          <w:sz w:val="20"/>
          <w:szCs w:val="20"/>
        </w:rPr>
        <w:t xml:space="preserve">•difficulties and expenses associated with tailoring our products to local and international markets as may be required by local customers </w:t>
      </w:r>
      <w:r>
        <w:rPr>
          <w:rFonts w:eastAsia="Times New Roman"/>
          <w:color w:val="000000"/>
          <w:sz w:val="20"/>
          <w:szCs w:val="20"/>
        </w:rPr>
        <w:t>and joint industry committees or similar industry organizations;</w:t>
      </w:r>
    </w:p>
    <w:p w14:paraId="5A360630" w14:textId="77777777" w:rsidR="00000000" w:rsidRDefault="00E614A4">
      <w:pPr>
        <w:ind w:hanging="360"/>
        <w:jc w:val="both"/>
        <w:divId w:val="1783843372"/>
        <w:rPr>
          <w:rFonts w:eastAsia="Times New Roman"/>
        </w:rPr>
      </w:pPr>
      <w:r>
        <w:rPr>
          <w:rFonts w:eastAsia="Times New Roman"/>
          <w:color w:val="000000"/>
          <w:sz w:val="20"/>
          <w:szCs w:val="20"/>
        </w:rPr>
        <w:t>•difficulties in expanding the adoption of our server- or census-based web beacon data collection in certain countries or obtaining access to other necessary data sources;</w:t>
      </w:r>
    </w:p>
    <w:p w14:paraId="65984976" w14:textId="77777777" w:rsidR="00000000" w:rsidRDefault="00E614A4">
      <w:pPr>
        <w:ind w:hanging="360"/>
        <w:jc w:val="both"/>
        <w:divId w:val="153843099"/>
        <w:rPr>
          <w:rFonts w:eastAsia="Times New Roman"/>
        </w:rPr>
      </w:pPr>
      <w:r>
        <w:rPr>
          <w:rFonts w:eastAsia="Times New Roman"/>
          <w:color w:val="000000"/>
          <w:sz w:val="20"/>
          <w:szCs w:val="20"/>
        </w:rPr>
        <w:t>•the complexities a</w:t>
      </w:r>
      <w:r>
        <w:rPr>
          <w:rFonts w:eastAsia="Times New Roman"/>
          <w:color w:val="000000"/>
          <w:sz w:val="20"/>
          <w:szCs w:val="20"/>
        </w:rPr>
        <w:t>nd expense of complying with a wide variety of foreign laws and regulations, including the GDPR, LGPD, other privacy and data protection laws and regulations, and foreign anti-corruption laws, as well as the U.S. Foreign Corrupt Practices Act;</w:t>
      </w:r>
    </w:p>
    <w:p w14:paraId="1E470E88" w14:textId="77777777" w:rsidR="00000000" w:rsidRDefault="00E614A4">
      <w:pPr>
        <w:ind w:hanging="360"/>
        <w:jc w:val="both"/>
        <w:divId w:val="1976449505"/>
        <w:rPr>
          <w:rFonts w:eastAsia="Times New Roman"/>
        </w:rPr>
      </w:pPr>
      <w:r>
        <w:rPr>
          <w:rFonts w:eastAsia="Times New Roman"/>
          <w:color w:val="000000"/>
          <w:sz w:val="20"/>
          <w:szCs w:val="20"/>
        </w:rPr>
        <w:t>•difficultie</w:t>
      </w:r>
      <w:r>
        <w:rPr>
          <w:rFonts w:eastAsia="Times New Roman"/>
          <w:color w:val="000000"/>
          <w:sz w:val="20"/>
          <w:szCs w:val="20"/>
        </w:rPr>
        <w:t>s in staffing and managing international operations, including complex and costly hiring, disciplinary, and termination requirements;</w:t>
      </w:r>
    </w:p>
    <w:p w14:paraId="27054901" w14:textId="77777777" w:rsidR="00000000" w:rsidRDefault="00E614A4">
      <w:pPr>
        <w:jc w:val="center"/>
        <w:divId w:val="1967156897"/>
        <w:rPr>
          <w:rFonts w:eastAsia="Times New Roman"/>
        </w:rPr>
      </w:pPr>
      <w:r>
        <w:rPr>
          <w:rFonts w:eastAsia="Times New Roman"/>
          <w:color w:val="000000"/>
          <w:sz w:val="20"/>
          <w:szCs w:val="20"/>
        </w:rPr>
        <w:t>27</w:t>
      </w:r>
    </w:p>
    <w:p w14:paraId="10CE7DCA" w14:textId="77777777" w:rsidR="00000000" w:rsidRDefault="00E614A4">
      <w:pPr>
        <w:rPr>
          <w:rFonts w:eastAsia="Times New Roman"/>
        </w:rPr>
      </w:pPr>
      <w:r>
        <w:rPr>
          <w:rFonts w:eastAsia="Times New Roman"/>
        </w:rPr>
        <w:pict w14:anchorId="6B07FB1F">
          <v:rect id="_x0000_i1054" style="width:0;height:1.5pt" o:hralign="center" o:hrstd="t" o:hr="t" fillcolor="#a0a0a0" stroked="f"/>
        </w:pict>
      </w:r>
    </w:p>
    <w:p w14:paraId="5CBC5A5D" w14:textId="77777777" w:rsidR="00000000" w:rsidRDefault="00E614A4">
      <w:pPr>
        <w:divId w:val="193370758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0E39387" w14:textId="77777777" w:rsidR="00000000" w:rsidRDefault="00E614A4">
      <w:pPr>
        <w:divId w:val="1399204631"/>
        <w:rPr>
          <w:rFonts w:eastAsia="Times New Roman"/>
        </w:rPr>
      </w:pPr>
    </w:p>
    <w:p w14:paraId="759F718A" w14:textId="77777777" w:rsidR="00000000" w:rsidRDefault="00E614A4">
      <w:pPr>
        <w:ind w:hanging="360"/>
        <w:jc w:val="both"/>
        <w:divId w:val="383674113"/>
        <w:rPr>
          <w:rFonts w:eastAsia="Times New Roman"/>
        </w:rPr>
      </w:pPr>
      <w:r>
        <w:rPr>
          <w:rFonts w:eastAsia="Times New Roman"/>
          <w:color w:val="000000"/>
          <w:sz w:val="20"/>
          <w:szCs w:val="20"/>
        </w:rPr>
        <w:t>•the complexities of foreign value-added taxes and the repatriation of earnings, particularly following the enactment of the TCJA;</w:t>
      </w:r>
    </w:p>
    <w:p w14:paraId="00D3B0A0" w14:textId="77777777" w:rsidR="00000000" w:rsidRDefault="00E614A4">
      <w:pPr>
        <w:ind w:hanging="360"/>
        <w:divId w:val="983893194"/>
        <w:rPr>
          <w:rFonts w:eastAsia="Times New Roman"/>
        </w:rPr>
      </w:pPr>
      <w:r>
        <w:rPr>
          <w:rFonts w:eastAsia="Times New Roman"/>
          <w:color w:val="000000"/>
          <w:sz w:val="20"/>
          <w:szCs w:val="20"/>
        </w:rPr>
        <w:t xml:space="preserve">•reduced or varied protection for intellectual property rights in some </w:t>
      </w:r>
      <w:r>
        <w:rPr>
          <w:rFonts w:eastAsia="Times New Roman"/>
          <w:color w:val="000000"/>
          <w:sz w:val="20"/>
          <w:szCs w:val="20"/>
        </w:rPr>
        <w:t>countries;</w:t>
      </w:r>
    </w:p>
    <w:p w14:paraId="542B9668" w14:textId="77777777" w:rsidR="00000000" w:rsidRDefault="00E614A4">
      <w:pPr>
        <w:ind w:hanging="360"/>
        <w:divId w:val="1237205599"/>
        <w:rPr>
          <w:rFonts w:eastAsia="Times New Roman"/>
        </w:rPr>
      </w:pPr>
      <w:r>
        <w:rPr>
          <w:rFonts w:eastAsia="Times New Roman"/>
          <w:color w:val="000000"/>
          <w:sz w:val="20"/>
          <w:szCs w:val="20"/>
        </w:rPr>
        <w:t>•political, social and economic instability abroad, terrorist attacks and security concerns;</w:t>
      </w:r>
    </w:p>
    <w:p w14:paraId="2735FB09" w14:textId="77777777" w:rsidR="00000000" w:rsidRDefault="00E614A4">
      <w:pPr>
        <w:ind w:hanging="360"/>
        <w:divId w:val="1242257144"/>
        <w:rPr>
          <w:rFonts w:eastAsia="Times New Roman"/>
        </w:rPr>
      </w:pPr>
      <w:r>
        <w:rPr>
          <w:rFonts w:eastAsia="Times New Roman"/>
          <w:color w:val="000000"/>
          <w:sz w:val="20"/>
          <w:szCs w:val="20"/>
        </w:rPr>
        <w:t>•fluctuations in currency exchange rates; and</w:t>
      </w:r>
    </w:p>
    <w:p w14:paraId="5CEC52BF" w14:textId="77777777" w:rsidR="00000000" w:rsidRDefault="00E614A4">
      <w:pPr>
        <w:ind w:hanging="360"/>
        <w:divId w:val="418142758"/>
        <w:rPr>
          <w:rFonts w:eastAsia="Times New Roman"/>
        </w:rPr>
      </w:pPr>
      <w:r>
        <w:rPr>
          <w:rFonts w:eastAsia="Times New Roman"/>
          <w:color w:val="000000"/>
          <w:sz w:val="20"/>
          <w:szCs w:val="20"/>
        </w:rPr>
        <w:t>•increased accounting and reporting burdens and complexities.</w:t>
      </w:r>
    </w:p>
    <w:p w14:paraId="712F585A" w14:textId="77777777" w:rsidR="00000000" w:rsidRDefault="00E614A4">
      <w:pPr>
        <w:jc w:val="both"/>
        <w:divId w:val="2017536273"/>
        <w:rPr>
          <w:rFonts w:eastAsia="Times New Roman"/>
        </w:rPr>
      </w:pPr>
      <w:r>
        <w:rPr>
          <w:rFonts w:eastAsia="Times New Roman"/>
          <w:color w:val="000000"/>
          <w:sz w:val="20"/>
          <w:szCs w:val="20"/>
        </w:rPr>
        <w:t>Additionally, operating in international mar</w:t>
      </w:r>
      <w:r>
        <w:rPr>
          <w:rFonts w:eastAsia="Times New Roman"/>
          <w:color w:val="000000"/>
          <w:sz w:val="20"/>
          <w:szCs w:val="20"/>
        </w:rPr>
        <w:t xml:space="preserve">kets requires significant additional management attention and financial resources. We cannot be certain that the investments and additional resources required to establish and maintain operations in other countries will hold their value or produce desired </w:t>
      </w:r>
      <w:r>
        <w:rPr>
          <w:rFonts w:eastAsia="Times New Roman"/>
          <w:color w:val="000000"/>
          <w:sz w:val="20"/>
          <w:szCs w:val="20"/>
        </w:rPr>
        <w:t>levels of revenues or profitability. We cannot be certain that we will be able to comply with laws, rules, regulations or local guidelines to maintain and increase the size of the user panels that we currently have in various countries, that we will be abl</w:t>
      </w:r>
      <w:r>
        <w:rPr>
          <w:rFonts w:eastAsia="Times New Roman"/>
          <w:color w:val="000000"/>
          <w:sz w:val="20"/>
          <w:szCs w:val="20"/>
        </w:rPr>
        <w:t>e to recruit a representative sample for our audience measurement products or that we will be able to enter into arrangements with a sufficient number of website and mobile app content providers and/or television operators to allow us to collect informatio</w:t>
      </w:r>
      <w:r>
        <w:rPr>
          <w:rFonts w:eastAsia="Times New Roman"/>
          <w:color w:val="000000"/>
          <w:sz w:val="20"/>
          <w:szCs w:val="20"/>
        </w:rPr>
        <w:t xml:space="preserve">n for inclusion in our products. In addition, there can be no assurance that internet usage and e-commerce will continue to grow in international markets. In addition, governmental authorities in various countries have different views regarding regulatory </w:t>
      </w:r>
      <w:r>
        <w:rPr>
          <w:rFonts w:eastAsia="Times New Roman"/>
          <w:color w:val="000000"/>
          <w:sz w:val="20"/>
          <w:szCs w:val="20"/>
        </w:rPr>
        <w:t>oversight of the internet, data protection and consumer privacy. The impact of these risks could negatively affect our international business and, consequently, our financial condition and results of operations.</w:t>
      </w:r>
    </w:p>
    <w:p w14:paraId="405D7546" w14:textId="77777777" w:rsidR="00000000" w:rsidRDefault="00E614A4">
      <w:pPr>
        <w:jc w:val="both"/>
        <w:divId w:val="370763616"/>
        <w:rPr>
          <w:rFonts w:eastAsia="Times New Roman"/>
        </w:rPr>
      </w:pPr>
      <w:r>
        <w:rPr>
          <w:rFonts w:eastAsia="Times New Roman"/>
          <w:b/>
          <w:bCs/>
          <w:i/>
          <w:iCs/>
          <w:color w:val="000000"/>
          <w:sz w:val="20"/>
          <w:szCs w:val="20"/>
        </w:rPr>
        <w:t>Export controls and economic and trade sanct</w:t>
      </w:r>
      <w:r>
        <w:rPr>
          <w:rFonts w:eastAsia="Times New Roman"/>
          <w:b/>
          <w:bCs/>
          <w:i/>
          <w:iCs/>
          <w:color w:val="000000"/>
          <w:sz w:val="20"/>
          <w:szCs w:val="20"/>
        </w:rPr>
        <w:t>ions laws could impair our ability to compete in international markets and subject us to liability if we are not in full compliance with applicable laws.</w:t>
      </w:r>
    </w:p>
    <w:p w14:paraId="5C68CC94" w14:textId="77777777" w:rsidR="00000000" w:rsidRDefault="00E614A4">
      <w:pPr>
        <w:jc w:val="both"/>
        <w:divId w:val="1977106545"/>
        <w:rPr>
          <w:rFonts w:eastAsia="Times New Roman"/>
        </w:rPr>
      </w:pPr>
      <w:r>
        <w:rPr>
          <w:rFonts w:eastAsia="Times New Roman"/>
          <w:color w:val="000000"/>
          <w:sz w:val="20"/>
          <w:szCs w:val="20"/>
        </w:rPr>
        <w:t>Our business activities include the collection of data from panelists around the world, and such activ</w:t>
      </w:r>
      <w:r>
        <w:rPr>
          <w:rFonts w:eastAsia="Times New Roman"/>
          <w:color w:val="000000"/>
          <w:sz w:val="20"/>
          <w:szCs w:val="20"/>
        </w:rPr>
        <w:t>ities may be subject to various restrictions under U.S. export controls and economic and trade sanctions laws. If we fail to comply with these laws and regulations, we could be subject to civil or criminal penalties and reputational harm.</w:t>
      </w:r>
    </w:p>
    <w:p w14:paraId="3B7D34EA" w14:textId="77777777" w:rsidR="00000000" w:rsidRDefault="00E614A4">
      <w:pPr>
        <w:jc w:val="both"/>
        <w:divId w:val="1468740473"/>
        <w:rPr>
          <w:rFonts w:eastAsia="Times New Roman"/>
        </w:rPr>
      </w:pPr>
      <w:r>
        <w:rPr>
          <w:rFonts w:eastAsia="Times New Roman"/>
          <w:color w:val="000000"/>
          <w:sz w:val="20"/>
          <w:szCs w:val="20"/>
        </w:rPr>
        <w:t xml:space="preserve">Although we take </w:t>
      </w:r>
      <w:r>
        <w:rPr>
          <w:rFonts w:eastAsia="Times New Roman"/>
          <w:color w:val="000000"/>
          <w:sz w:val="20"/>
          <w:szCs w:val="20"/>
        </w:rPr>
        <w:t xml:space="preserve">precautions to prevent the collection of data from panelists in embargoed countries that may be subject to export controls and economic and trade sanctions under these laws and regulations, we have collected such data in the past, and there is a risk that </w:t>
      </w:r>
      <w:r>
        <w:rPr>
          <w:rFonts w:eastAsia="Times New Roman"/>
          <w:color w:val="000000"/>
          <w:sz w:val="20"/>
          <w:szCs w:val="20"/>
        </w:rPr>
        <w:t>we could collect such data in the future despite our precautions. We have implemented a number of additional screening and other measures designed to prevent such transactions with embargoed countries and other U.S. sanctions targets. Changes in the list o</w:t>
      </w:r>
      <w:r>
        <w:rPr>
          <w:rFonts w:eastAsia="Times New Roman"/>
          <w:color w:val="000000"/>
          <w:sz w:val="20"/>
          <w:szCs w:val="20"/>
        </w:rPr>
        <w:t>f embargoed countries and regions or prohibited persons may require us to modify these procedures in order to comply with governmental regulations. Our failure to screen potential panelists properly could result in negative consequences to us, including go</w:t>
      </w:r>
      <w:r>
        <w:rPr>
          <w:rFonts w:eastAsia="Times New Roman"/>
          <w:color w:val="000000"/>
          <w:sz w:val="20"/>
          <w:szCs w:val="20"/>
        </w:rPr>
        <w:t>vernment investigations, penalties and reputational harm, any of which could materially and adversely affect our business, financial condition or results of operations.</w:t>
      </w:r>
    </w:p>
    <w:p w14:paraId="4D63C51B" w14:textId="77777777" w:rsidR="00000000" w:rsidRDefault="00E614A4">
      <w:pPr>
        <w:jc w:val="both"/>
        <w:divId w:val="1219246706"/>
        <w:rPr>
          <w:rFonts w:eastAsia="Times New Roman"/>
        </w:rPr>
      </w:pPr>
      <w:r>
        <w:rPr>
          <w:rFonts w:eastAsia="Times New Roman"/>
          <w:b/>
          <w:bCs/>
          <w:i/>
          <w:iCs/>
          <w:color w:val="000000"/>
          <w:sz w:val="20"/>
          <w:szCs w:val="20"/>
        </w:rPr>
        <w:t>Changes in foreign currencies could have a significant effect on our operating results.</w:t>
      </w:r>
    </w:p>
    <w:p w14:paraId="078D7D52" w14:textId="77777777" w:rsidR="00000000" w:rsidRDefault="00E614A4">
      <w:pPr>
        <w:jc w:val="both"/>
        <w:divId w:val="1001809754"/>
        <w:rPr>
          <w:rFonts w:eastAsia="Times New Roman"/>
        </w:rPr>
      </w:pPr>
      <w:r>
        <w:rPr>
          <w:rFonts w:eastAsia="Times New Roman"/>
          <w:color w:val="000000"/>
          <w:sz w:val="20"/>
          <w:szCs w:val="20"/>
        </w:rPr>
        <w:t>We operate in several countries in Latin America, Europe and Asia. A portion of our revenues and expenses from business operations in foreign countries are derived from transactions denominated in currencies other than the functional currency of our opera</w:t>
      </w:r>
      <w:r>
        <w:rPr>
          <w:rFonts w:eastAsia="Times New Roman"/>
          <w:color w:val="000000"/>
          <w:sz w:val="20"/>
          <w:szCs w:val="20"/>
        </w:rPr>
        <w:t>tions in those countries. As such, we have exposure to adverse changes in exchange rates associated with revenues and operating expenses of our foreign operations, but we do not currently enter into any hedging instruments that hedge foreign currency excha</w:t>
      </w:r>
      <w:r>
        <w:rPr>
          <w:rFonts w:eastAsia="Times New Roman"/>
          <w:color w:val="000000"/>
          <w:sz w:val="20"/>
          <w:szCs w:val="20"/>
        </w:rPr>
        <w:t>nge rate risk. If we grow our international operations, or acquire companies with established business in international regions, our exposure to foreign currency risk could become more significant.</w:t>
      </w:r>
    </w:p>
    <w:p w14:paraId="5A0D6477" w14:textId="77777777" w:rsidR="00000000" w:rsidRDefault="00E614A4">
      <w:pPr>
        <w:jc w:val="both"/>
        <w:divId w:val="2074891412"/>
        <w:rPr>
          <w:rFonts w:eastAsia="Times New Roman"/>
        </w:rPr>
      </w:pPr>
      <w:r>
        <w:rPr>
          <w:rFonts w:eastAsia="Times New Roman"/>
          <w:b/>
          <w:bCs/>
          <w:i/>
          <w:iCs/>
          <w:color w:val="000000"/>
          <w:sz w:val="20"/>
          <w:szCs w:val="20"/>
        </w:rPr>
        <w:t>The UK's withdrawal from the EU, commonly known as Brexit,</w:t>
      </w:r>
      <w:r>
        <w:rPr>
          <w:rFonts w:eastAsia="Times New Roman"/>
          <w:b/>
          <w:bCs/>
          <w:i/>
          <w:iCs/>
          <w:color w:val="000000"/>
          <w:sz w:val="20"/>
          <w:szCs w:val="20"/>
        </w:rPr>
        <w:t xml:space="preserve"> and the risk that other countries may follow suit could adversely affect our business.</w:t>
      </w:r>
    </w:p>
    <w:p w14:paraId="4ED4137A" w14:textId="77777777" w:rsidR="00000000" w:rsidRDefault="00E614A4">
      <w:pPr>
        <w:jc w:val="both"/>
        <w:divId w:val="1339649851"/>
        <w:rPr>
          <w:rFonts w:eastAsia="Times New Roman"/>
        </w:rPr>
      </w:pPr>
      <w:r>
        <w:rPr>
          <w:rFonts w:eastAsia="Times New Roman"/>
          <w:color w:val="000000"/>
          <w:sz w:val="20"/>
          <w:szCs w:val="20"/>
        </w:rPr>
        <w:t xml:space="preserve">The UK formally left the EU on January 31, 2020. Although certain separation issues have been resolved, there is still uncertainty with respect to certain terms of the </w:t>
      </w:r>
      <w:r>
        <w:rPr>
          <w:rFonts w:eastAsia="Times New Roman"/>
          <w:color w:val="000000"/>
          <w:sz w:val="20"/>
          <w:szCs w:val="20"/>
        </w:rPr>
        <w:t>future relationship between the EU and the UK. Given the status of Brexit at this time, we are unable to predict the impact that it may have on our business. Among other things, we could experience lower growth in the region, increased foreign currency ris</w:t>
      </w:r>
      <w:r>
        <w:rPr>
          <w:rFonts w:eastAsia="Times New Roman"/>
          <w:color w:val="000000"/>
          <w:sz w:val="20"/>
          <w:szCs w:val="20"/>
        </w:rPr>
        <w:t>k, greater restrictions on business with UK customers and data providers, and increased regulatory complexity. Brexit has also created uncertainty with regard to the regulation of data protection in the UK and data transfers to and from the UK. A change in</w:t>
      </w:r>
      <w:r>
        <w:rPr>
          <w:rFonts w:eastAsia="Times New Roman"/>
          <w:color w:val="000000"/>
          <w:sz w:val="20"/>
          <w:szCs w:val="20"/>
        </w:rPr>
        <w:t xml:space="preserve"> such regulations, or other regulations, could increase our costs of doing business, or in some cases our ability to do business, and adversely impact our operations and financial results. There is also a risk that other countries may decide to leave the E</w:t>
      </w:r>
      <w:r>
        <w:rPr>
          <w:rFonts w:eastAsia="Times New Roman"/>
          <w:color w:val="000000"/>
          <w:sz w:val="20"/>
          <w:szCs w:val="20"/>
        </w:rPr>
        <w:t>U. We cannot predict the impact that any additional countries leaving the EU may have on our business, but any such impact could adversely affect us.</w:t>
      </w:r>
    </w:p>
    <w:p w14:paraId="38FC1EE4" w14:textId="77777777" w:rsidR="00000000" w:rsidRDefault="00E614A4">
      <w:pPr>
        <w:jc w:val="both"/>
        <w:divId w:val="1465005327"/>
        <w:rPr>
          <w:rFonts w:eastAsia="Times New Roman"/>
        </w:rPr>
      </w:pPr>
      <w:r>
        <w:rPr>
          <w:rFonts w:eastAsia="Times New Roman"/>
          <w:b/>
          <w:bCs/>
          <w:color w:val="000000"/>
          <w:sz w:val="20"/>
          <w:szCs w:val="20"/>
        </w:rPr>
        <w:t>Risks Related to Our Capital Structure and Financings</w:t>
      </w:r>
    </w:p>
    <w:p w14:paraId="3B39D610" w14:textId="77777777" w:rsidR="00000000" w:rsidRDefault="00E614A4">
      <w:pPr>
        <w:jc w:val="both"/>
        <w:divId w:val="187371763"/>
        <w:rPr>
          <w:rFonts w:eastAsia="Times New Roman"/>
        </w:rPr>
      </w:pPr>
      <w:r>
        <w:rPr>
          <w:rFonts w:eastAsia="Times New Roman"/>
          <w:b/>
          <w:bCs/>
          <w:i/>
          <w:iCs/>
          <w:color w:val="000000"/>
          <w:sz w:val="20"/>
          <w:szCs w:val="20"/>
        </w:rPr>
        <w:t>Covenants in the agreements governing our current and future indebtedness and Convertible Preferred Stock could restrict our operating flexibility.</w:t>
      </w:r>
    </w:p>
    <w:p w14:paraId="34D5F75C" w14:textId="77777777" w:rsidR="00000000" w:rsidRDefault="00E614A4">
      <w:pPr>
        <w:jc w:val="both"/>
        <w:divId w:val="876085612"/>
        <w:rPr>
          <w:rFonts w:eastAsia="Times New Roman"/>
        </w:rPr>
      </w:pPr>
      <w:r>
        <w:rPr>
          <w:rFonts w:eastAsia="Times New Roman"/>
          <w:color w:val="000000"/>
          <w:sz w:val="20"/>
          <w:szCs w:val="20"/>
        </w:rPr>
        <w:t>The agreements governing our existing debt, debt we may incur in the future, and the Convertible Preferred S</w:t>
      </w:r>
      <w:r>
        <w:rPr>
          <w:rFonts w:eastAsia="Times New Roman"/>
          <w:color w:val="000000"/>
          <w:sz w:val="20"/>
          <w:szCs w:val="20"/>
        </w:rPr>
        <w:t xml:space="preserve">tock we expect to issue in the Transactions, contain, or may contain, affirmative and negative covenants and consent rights that may materially limit our </w:t>
      </w:r>
    </w:p>
    <w:p w14:paraId="0F7F4C35" w14:textId="77777777" w:rsidR="00000000" w:rsidRDefault="00E614A4">
      <w:pPr>
        <w:jc w:val="center"/>
        <w:divId w:val="609633021"/>
        <w:rPr>
          <w:rFonts w:eastAsia="Times New Roman"/>
        </w:rPr>
      </w:pPr>
      <w:r>
        <w:rPr>
          <w:rFonts w:eastAsia="Times New Roman"/>
          <w:color w:val="000000"/>
          <w:sz w:val="20"/>
          <w:szCs w:val="20"/>
        </w:rPr>
        <w:t>28</w:t>
      </w:r>
    </w:p>
    <w:p w14:paraId="219B412E" w14:textId="77777777" w:rsidR="00000000" w:rsidRDefault="00E614A4">
      <w:pPr>
        <w:rPr>
          <w:rFonts w:eastAsia="Times New Roman"/>
        </w:rPr>
      </w:pPr>
      <w:r>
        <w:rPr>
          <w:rFonts w:eastAsia="Times New Roman"/>
        </w:rPr>
        <w:pict w14:anchorId="2C39D4C4">
          <v:rect id="_x0000_i1055" style="width:0;height:1.5pt" o:hralign="center" o:hrstd="t" o:hr="t" fillcolor="#a0a0a0" stroked="f"/>
        </w:pict>
      </w:r>
    </w:p>
    <w:p w14:paraId="5C2056D4" w14:textId="77777777" w:rsidR="00000000" w:rsidRDefault="00E614A4">
      <w:pPr>
        <w:divId w:val="130103236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FAFEA0A" w14:textId="77777777" w:rsidR="00000000" w:rsidRDefault="00E614A4">
      <w:pPr>
        <w:divId w:val="233509322"/>
        <w:rPr>
          <w:rFonts w:eastAsia="Times New Roman"/>
        </w:rPr>
      </w:pPr>
    </w:p>
    <w:p w14:paraId="7AB27877" w14:textId="77777777" w:rsidR="00000000" w:rsidRDefault="00E614A4">
      <w:pPr>
        <w:jc w:val="both"/>
        <w:divId w:val="1742213175"/>
        <w:rPr>
          <w:rFonts w:eastAsia="Times New Roman"/>
        </w:rPr>
      </w:pPr>
      <w:r>
        <w:rPr>
          <w:rFonts w:eastAsia="Times New Roman"/>
          <w:color w:val="000000"/>
          <w:sz w:val="20"/>
          <w:szCs w:val="20"/>
        </w:rPr>
        <w:t xml:space="preserve">ability to take certain actions, including our ability to incur debt, issue equity, </w:t>
      </w:r>
      <w:r>
        <w:rPr>
          <w:rFonts w:eastAsia="Times New Roman"/>
          <w:color w:val="000000"/>
          <w:sz w:val="20"/>
          <w:szCs w:val="20"/>
        </w:rPr>
        <w:t>pay dividends and repurchase stock, make certain investments and other payments, enter into certain transactions, and encumber and dispose of assets.</w:t>
      </w:r>
    </w:p>
    <w:p w14:paraId="2BC47095" w14:textId="77777777" w:rsidR="00000000" w:rsidRDefault="00E614A4">
      <w:pPr>
        <w:jc w:val="both"/>
        <w:divId w:val="422845854"/>
        <w:rPr>
          <w:rFonts w:eastAsia="Times New Roman"/>
        </w:rPr>
      </w:pPr>
      <w:r>
        <w:rPr>
          <w:rFonts w:eastAsia="Times New Roman"/>
          <w:b/>
          <w:bCs/>
          <w:i/>
          <w:iCs/>
          <w:color w:val="000000"/>
          <w:sz w:val="20"/>
          <w:szCs w:val="20"/>
        </w:rPr>
        <w:t>We may require additional capital to support our business, and this capital may not be available on accept</w:t>
      </w:r>
      <w:r>
        <w:rPr>
          <w:rFonts w:eastAsia="Times New Roman"/>
          <w:b/>
          <w:bCs/>
          <w:i/>
          <w:iCs/>
          <w:color w:val="000000"/>
          <w:sz w:val="20"/>
          <w:szCs w:val="20"/>
        </w:rPr>
        <w:t>able terms or at all.</w:t>
      </w:r>
    </w:p>
    <w:p w14:paraId="2A1FC7A4" w14:textId="77777777" w:rsidR="00000000" w:rsidRDefault="00E614A4">
      <w:pPr>
        <w:jc w:val="both"/>
        <w:divId w:val="1469934121"/>
        <w:rPr>
          <w:rFonts w:eastAsia="Times New Roman"/>
        </w:rPr>
      </w:pPr>
      <w:r>
        <w:rPr>
          <w:rFonts w:eastAsia="Times New Roman"/>
          <w:color w:val="000000"/>
          <w:sz w:val="20"/>
          <w:szCs w:val="20"/>
        </w:rPr>
        <w:t>We intend to continue to make investments to support our business growth and may require additional funds to respond to business challenges, including the need to develop new products or enhance our existing products, enhance our oper</w:t>
      </w:r>
      <w:r>
        <w:rPr>
          <w:rFonts w:eastAsia="Times New Roman"/>
          <w:color w:val="000000"/>
          <w:sz w:val="20"/>
          <w:szCs w:val="20"/>
        </w:rPr>
        <w:t>ating infrastructure and acquire complementary businesses and technologies. In addition, holders of our Convertible Preferred Stock will have certain dividend rights following the Transactions, including the right to request a special cash dividend after J</w:t>
      </w:r>
      <w:r>
        <w:rPr>
          <w:rFonts w:eastAsia="Times New Roman"/>
          <w:color w:val="000000"/>
          <w:sz w:val="20"/>
          <w:szCs w:val="20"/>
        </w:rPr>
        <w:t xml:space="preserve">anuary 1, 2022. Accordingly, we may need to engage in equity or debt financings to secure additional funds. If we raise additional funds through further issuances of equity or convertible debt securities, our existing stockholders could suffer significant </w:t>
      </w:r>
      <w:r>
        <w:rPr>
          <w:rFonts w:eastAsia="Times New Roman"/>
          <w:color w:val="000000"/>
          <w:sz w:val="20"/>
          <w:szCs w:val="20"/>
        </w:rPr>
        <w:t>dilution, and any new securities we issue could have rights, preferences and privileges superior to those of holders of our Common Stock. Any financing secured by us in the future could include restrictive covenants relating to our capital raising activiti</w:t>
      </w:r>
      <w:r>
        <w:rPr>
          <w:rFonts w:eastAsia="Times New Roman"/>
          <w:color w:val="000000"/>
          <w:sz w:val="20"/>
          <w:szCs w:val="20"/>
        </w:rPr>
        <w:t>es and other financial and operational matters, which may make it more difficult for us to obtain additional capital and to pursue business opportunities, including potential acquisitions.</w:t>
      </w:r>
    </w:p>
    <w:p w14:paraId="203AAB4F" w14:textId="77777777" w:rsidR="00000000" w:rsidRDefault="00E614A4">
      <w:pPr>
        <w:jc w:val="both"/>
        <w:divId w:val="1163819463"/>
        <w:rPr>
          <w:rFonts w:eastAsia="Times New Roman"/>
        </w:rPr>
      </w:pPr>
      <w:r>
        <w:rPr>
          <w:rFonts w:eastAsia="Times New Roman"/>
          <w:color w:val="000000"/>
          <w:sz w:val="20"/>
          <w:szCs w:val="20"/>
        </w:rPr>
        <w:t>As a result of our settlement with the SEC relating to financial ac</w:t>
      </w:r>
      <w:r>
        <w:rPr>
          <w:rFonts w:eastAsia="Times New Roman"/>
          <w:color w:val="000000"/>
          <w:sz w:val="20"/>
          <w:szCs w:val="20"/>
        </w:rPr>
        <w:t xml:space="preserve">counting and disclosure practices between February 2014 and February 2016, we are currently subject to a "bad actor" disqualification and are unable to rely on certain exemptions from registration under the federal securities laws, including Regulation D. </w:t>
      </w:r>
      <w:r>
        <w:rPr>
          <w:rFonts w:eastAsia="Times New Roman"/>
          <w:color w:val="000000"/>
          <w:sz w:val="20"/>
          <w:szCs w:val="20"/>
        </w:rPr>
        <w:t>In addition, we are an "ineligible issuer" as the term is defined under Rule 405 promulgated under the Securities Act. This could make it more difficult for us to raise necessary financing in the future.</w:t>
      </w:r>
    </w:p>
    <w:p w14:paraId="05CAA92E" w14:textId="77777777" w:rsidR="00000000" w:rsidRDefault="00E614A4">
      <w:pPr>
        <w:jc w:val="both"/>
        <w:divId w:val="1659842823"/>
        <w:rPr>
          <w:rFonts w:eastAsia="Times New Roman"/>
        </w:rPr>
      </w:pPr>
      <w:r>
        <w:rPr>
          <w:rFonts w:eastAsia="Times New Roman"/>
          <w:color w:val="000000"/>
          <w:sz w:val="20"/>
          <w:szCs w:val="20"/>
        </w:rPr>
        <w:t>Capital and credit market conditions, adverse events</w:t>
      </w:r>
      <w:r>
        <w:rPr>
          <w:rFonts w:eastAsia="Times New Roman"/>
          <w:color w:val="000000"/>
          <w:sz w:val="20"/>
          <w:szCs w:val="20"/>
        </w:rPr>
        <w:t xml:space="preserve"> affecting our business or industry, the tightening of lending standards, rising interest rates, negative actions by regulatory authorities or rating agencies, or other factors also could negatively impact our ability to obtain future financing on terms ac</w:t>
      </w:r>
      <w:r>
        <w:rPr>
          <w:rFonts w:eastAsia="Times New Roman"/>
          <w:color w:val="000000"/>
          <w:sz w:val="20"/>
          <w:szCs w:val="20"/>
        </w:rPr>
        <w:t>ceptable to us or at all. If we are unable to obtain adequate financing or financing on terms satisfactory to us when we require it, our ability to support our business growth, meet our dividend payment obligations, and respond to business challenges could</w:t>
      </w:r>
      <w:r>
        <w:rPr>
          <w:rFonts w:eastAsia="Times New Roman"/>
          <w:color w:val="000000"/>
          <w:sz w:val="20"/>
          <w:szCs w:val="20"/>
        </w:rPr>
        <w:t xml:space="preserve"> be significantly limited. In addition, the terms of any additional equity or debt issuances may adversely affect the value and price of our Common Stock, our results of operations, financial condition and cash flows.</w:t>
      </w:r>
    </w:p>
    <w:p w14:paraId="4AC8F505" w14:textId="77777777" w:rsidR="00000000" w:rsidRDefault="00E614A4">
      <w:pPr>
        <w:jc w:val="both"/>
        <w:divId w:val="1744796267"/>
        <w:rPr>
          <w:rFonts w:eastAsia="Times New Roman"/>
        </w:rPr>
      </w:pPr>
      <w:r>
        <w:rPr>
          <w:rFonts w:eastAsia="Times New Roman"/>
          <w:b/>
          <w:bCs/>
          <w:i/>
          <w:iCs/>
          <w:color w:val="000000"/>
          <w:sz w:val="20"/>
          <w:szCs w:val="20"/>
        </w:rPr>
        <w:t>The issuance of shares of Common Stock</w:t>
      </w:r>
      <w:r>
        <w:rPr>
          <w:rFonts w:eastAsia="Times New Roman"/>
          <w:b/>
          <w:bCs/>
          <w:i/>
          <w:iCs/>
          <w:color w:val="000000"/>
          <w:sz w:val="20"/>
          <w:szCs w:val="20"/>
        </w:rPr>
        <w:t xml:space="preserve"> upon conversion of, or payment of interest on, our Notes and the exercise of warrants to purchase our Common Stock could substantially dilute your investment.</w:t>
      </w:r>
    </w:p>
    <w:p w14:paraId="1A6C9A35" w14:textId="77777777" w:rsidR="00000000" w:rsidRDefault="00E614A4">
      <w:pPr>
        <w:jc w:val="both"/>
        <w:divId w:val="21055204"/>
        <w:rPr>
          <w:rFonts w:eastAsia="Times New Roman"/>
        </w:rPr>
      </w:pPr>
      <w:r>
        <w:rPr>
          <w:rFonts w:eastAsia="Times New Roman"/>
          <w:color w:val="000000"/>
          <w:sz w:val="20"/>
          <w:szCs w:val="20"/>
        </w:rPr>
        <w:t>Our Notes are convertible into, and our Series A Warrants are exercisable for, shares of our Com</w:t>
      </w:r>
      <w:r>
        <w:rPr>
          <w:rFonts w:eastAsia="Times New Roman"/>
          <w:color w:val="000000"/>
          <w:sz w:val="20"/>
          <w:szCs w:val="20"/>
        </w:rPr>
        <w:t>mon Stock and give the holders thereof an opportunity to profit from a rise in the market price of our Common Stock such that conversion or exercise thereof will result in dilution of the equity interests of our stockholders. Further, the issuance of share</w:t>
      </w:r>
      <w:r>
        <w:rPr>
          <w:rFonts w:eastAsia="Times New Roman"/>
          <w:color w:val="000000"/>
          <w:sz w:val="20"/>
          <w:szCs w:val="20"/>
        </w:rPr>
        <w:t>s of our Common Stock ("PIK Interest Shares"), at our election, in lieu of cash, in payment of interest on the Notes, has and will result in dilution of the equity interests of our other stockholders. In connection with the Transactions, we expect to issue</w:t>
      </w:r>
      <w:r>
        <w:rPr>
          <w:rFonts w:eastAsia="Times New Roman"/>
          <w:color w:val="000000"/>
          <w:sz w:val="20"/>
          <w:szCs w:val="20"/>
        </w:rPr>
        <w:t xml:space="preserve"> 3,150,000 conversion shares to the holders of our Notes, and we intend to pay accrued interest on the Notes through the closing date in PIK Interest Shares. The number of PIK Interest Shares payable will depend on the trading price of our Common Stock dur</w:t>
      </w:r>
      <w:r>
        <w:rPr>
          <w:rFonts w:eastAsia="Times New Roman"/>
          <w:color w:val="000000"/>
          <w:sz w:val="20"/>
          <w:szCs w:val="20"/>
        </w:rPr>
        <w:t>ing the 10 consecutive trading days ending immediately before the interest payment date. Moreover, we have no control over whether the holders of our Series A Warrants will exercise their right, in whole or in part, to exercise their warrants. For these re</w:t>
      </w:r>
      <w:r>
        <w:rPr>
          <w:rFonts w:eastAsia="Times New Roman"/>
          <w:color w:val="000000"/>
          <w:sz w:val="20"/>
          <w:szCs w:val="20"/>
        </w:rPr>
        <w:t>asons, we are unable to forecast or predict with certainty the total number of shares of Common Stock that may be issued under the Notes and warrants.</w:t>
      </w:r>
    </w:p>
    <w:p w14:paraId="5364B17A" w14:textId="77777777" w:rsidR="00000000" w:rsidRDefault="00E614A4">
      <w:pPr>
        <w:jc w:val="both"/>
        <w:divId w:val="613247414"/>
        <w:rPr>
          <w:rFonts w:eastAsia="Times New Roman"/>
        </w:rPr>
      </w:pPr>
      <w:r>
        <w:rPr>
          <w:rFonts w:eastAsia="Times New Roman"/>
          <w:b/>
          <w:bCs/>
          <w:i/>
          <w:iCs/>
          <w:color w:val="000000"/>
          <w:sz w:val="20"/>
          <w:szCs w:val="20"/>
        </w:rPr>
        <w:t>The terms of our Notes, our warrants and our registration rights agreement with certain investors could i</w:t>
      </w:r>
      <w:r>
        <w:rPr>
          <w:rFonts w:eastAsia="Times New Roman"/>
          <w:b/>
          <w:bCs/>
          <w:i/>
          <w:iCs/>
          <w:color w:val="000000"/>
          <w:sz w:val="20"/>
          <w:szCs w:val="20"/>
        </w:rPr>
        <w:t>mpede our ability to enter into corporate transactions or obtain additional financing and could result in our paying premiums or penalties to the holders of the Notes and warrants.</w:t>
      </w:r>
    </w:p>
    <w:p w14:paraId="58F9876F" w14:textId="77777777" w:rsidR="00000000" w:rsidRDefault="00E614A4">
      <w:pPr>
        <w:jc w:val="both"/>
        <w:divId w:val="67312436"/>
        <w:rPr>
          <w:rFonts w:eastAsia="Times New Roman"/>
        </w:rPr>
      </w:pPr>
      <w:r>
        <w:rPr>
          <w:rFonts w:eastAsia="Times New Roman"/>
          <w:color w:val="000000"/>
          <w:sz w:val="20"/>
          <w:szCs w:val="20"/>
        </w:rPr>
        <w:t>The terms of our Notes and our warrants require us, upon the consummation o</w:t>
      </w:r>
      <w:r>
        <w:rPr>
          <w:rFonts w:eastAsia="Times New Roman"/>
          <w:color w:val="000000"/>
          <w:sz w:val="20"/>
          <w:szCs w:val="20"/>
        </w:rPr>
        <w:t>f any "Fundamental Transaction" (as defined in the Notes and the warrants), to cause any successor entity resulting from such Fundamental Transaction to assume all of our obligations under the Notes and warrants and the associated transaction documents.</w:t>
      </w:r>
    </w:p>
    <w:p w14:paraId="77CD9FA9" w14:textId="77777777" w:rsidR="00000000" w:rsidRDefault="00E614A4">
      <w:pPr>
        <w:jc w:val="both"/>
        <w:divId w:val="878322482"/>
        <w:rPr>
          <w:rFonts w:eastAsia="Times New Roman"/>
        </w:rPr>
      </w:pPr>
      <w:r>
        <w:rPr>
          <w:rFonts w:eastAsia="Times New Roman"/>
          <w:color w:val="000000"/>
          <w:sz w:val="20"/>
          <w:szCs w:val="20"/>
        </w:rPr>
        <w:t>Th</w:t>
      </w:r>
      <w:r>
        <w:rPr>
          <w:rFonts w:eastAsia="Times New Roman"/>
          <w:color w:val="000000"/>
          <w:sz w:val="20"/>
          <w:szCs w:val="20"/>
        </w:rPr>
        <w:t>e Notes and the warrants require us to deliver the number of shares of our Common Stock issuable upon conversion or exercise within a specified time period. If we are unable to deliver the shares of Common Stock within the timeframe required, we may be obl</w:t>
      </w:r>
      <w:r>
        <w:rPr>
          <w:rFonts w:eastAsia="Times New Roman"/>
          <w:color w:val="000000"/>
          <w:sz w:val="20"/>
          <w:szCs w:val="20"/>
        </w:rPr>
        <w:t>igated to reimburse the holders for the cost of purchasing the shares of our Common Stock in the open market or pay them the profit they would have realized upon the conversion or exercise and sale of such shares.</w:t>
      </w:r>
    </w:p>
    <w:p w14:paraId="26731DA4" w14:textId="77777777" w:rsidR="00000000" w:rsidRDefault="00E614A4">
      <w:pPr>
        <w:jc w:val="both"/>
        <w:divId w:val="1322153285"/>
        <w:rPr>
          <w:rFonts w:eastAsia="Times New Roman"/>
        </w:rPr>
      </w:pPr>
      <w:r>
        <w:rPr>
          <w:rFonts w:eastAsia="Times New Roman"/>
          <w:color w:val="000000"/>
          <w:sz w:val="20"/>
          <w:szCs w:val="20"/>
        </w:rPr>
        <w:t>Our registration rights agreement with Sta</w:t>
      </w:r>
      <w:r>
        <w:rPr>
          <w:rFonts w:eastAsia="Times New Roman"/>
          <w:color w:val="000000"/>
          <w:sz w:val="20"/>
          <w:szCs w:val="20"/>
        </w:rPr>
        <w:t>rboard provides that in the event that the registration statement required to be filed under the Starboard registration rights agreement ceases to be effective and available to the selling stockholders party thereto under certain circumstances, we must pay</w:t>
      </w:r>
      <w:r>
        <w:rPr>
          <w:rFonts w:eastAsia="Times New Roman"/>
          <w:color w:val="000000"/>
          <w:sz w:val="20"/>
          <w:szCs w:val="20"/>
        </w:rPr>
        <w:t xml:space="preserve"> to the selling stockholders on the 121st day after the occurrence of each such event and on every 30th day thereafter until the applicable event is cured, an amount equal to 1.0% of the Conversion Amount (as defined in the Notes), subject to a maximum of </w:t>
      </w:r>
      <w:r>
        <w:rPr>
          <w:rFonts w:eastAsia="Times New Roman"/>
          <w:color w:val="000000"/>
          <w:sz w:val="20"/>
          <w:szCs w:val="20"/>
        </w:rPr>
        <w:t>3.0% of the aggregate principal amount outstanding under the Notes for any 30-day period. Our registration rights agreement with CVI Investments, Inc. ("CVI") provides that in the event that the registration statement required to be filed under the CVI reg</w:t>
      </w:r>
      <w:r>
        <w:rPr>
          <w:rFonts w:eastAsia="Times New Roman"/>
          <w:color w:val="000000"/>
          <w:sz w:val="20"/>
          <w:szCs w:val="20"/>
        </w:rPr>
        <w:t>istration rights agreement ceases to be effective and available to the selling stockholders party thereto under certain circumstances, we must pay to the selling stockholder on the date of the occurrence of each such event and on every 3</w:t>
      </w:r>
      <w:r>
        <w:rPr>
          <w:rFonts w:eastAsia="Times New Roman"/>
          <w:color w:val="000000"/>
          <w:sz w:val="20"/>
          <w:szCs w:val="20"/>
        </w:rPr>
        <w:t>0</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w:t>
      </w:r>
      <w:r>
        <w:rPr>
          <w:rFonts w:eastAsia="Times New Roman"/>
          <w:color w:val="000000"/>
          <w:sz w:val="20"/>
          <w:szCs w:val="20"/>
        </w:rPr>
        <w:t>day thereafter until the applicable event is cured, an amount equal to 2.0% of the Purchase Price (as defined in the CVI purchase agreement), subject to a maximum of 8.0% of the Purchase Price.</w:t>
      </w:r>
    </w:p>
    <w:p w14:paraId="2944F12D" w14:textId="77777777" w:rsidR="00000000" w:rsidRDefault="00E614A4">
      <w:pPr>
        <w:jc w:val="center"/>
        <w:divId w:val="2102020883"/>
        <w:rPr>
          <w:rFonts w:eastAsia="Times New Roman"/>
        </w:rPr>
      </w:pPr>
      <w:r>
        <w:rPr>
          <w:rFonts w:eastAsia="Times New Roman"/>
          <w:color w:val="000000"/>
          <w:sz w:val="20"/>
          <w:szCs w:val="20"/>
        </w:rPr>
        <w:t>29</w:t>
      </w:r>
    </w:p>
    <w:p w14:paraId="54E50198" w14:textId="77777777" w:rsidR="00000000" w:rsidRDefault="00E614A4">
      <w:pPr>
        <w:rPr>
          <w:rFonts w:eastAsia="Times New Roman"/>
        </w:rPr>
      </w:pPr>
      <w:r>
        <w:rPr>
          <w:rFonts w:eastAsia="Times New Roman"/>
        </w:rPr>
        <w:pict w14:anchorId="41A42A76">
          <v:rect id="_x0000_i1056" style="width:0;height:1.5pt" o:hralign="center" o:hrstd="t" o:hr="t" fillcolor="#a0a0a0" stroked="f"/>
        </w:pict>
      </w:r>
    </w:p>
    <w:p w14:paraId="707B1189" w14:textId="77777777" w:rsidR="00000000" w:rsidRDefault="00E614A4">
      <w:pPr>
        <w:divId w:val="1852719516"/>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C5CB57F" w14:textId="77777777" w:rsidR="00000000" w:rsidRDefault="00E614A4">
      <w:pPr>
        <w:divId w:val="634024684"/>
        <w:rPr>
          <w:rFonts w:eastAsia="Times New Roman"/>
        </w:rPr>
      </w:pPr>
    </w:p>
    <w:p w14:paraId="4BABA560" w14:textId="77777777" w:rsidR="00000000" w:rsidRDefault="00E614A4">
      <w:pPr>
        <w:jc w:val="both"/>
        <w:divId w:val="1786383980"/>
        <w:rPr>
          <w:rFonts w:eastAsia="Times New Roman"/>
        </w:rPr>
      </w:pPr>
      <w:r>
        <w:rPr>
          <w:rFonts w:eastAsia="Times New Roman"/>
          <w:color w:val="000000"/>
          <w:sz w:val="20"/>
          <w:szCs w:val="20"/>
        </w:rPr>
        <w:t>The payments we may be obligated to make to the holders of the Notes and our warrants described above may adversely affect our financial condi</w:t>
      </w:r>
      <w:r>
        <w:rPr>
          <w:rFonts w:eastAsia="Times New Roman"/>
          <w:color w:val="000000"/>
          <w:sz w:val="20"/>
          <w:szCs w:val="20"/>
        </w:rPr>
        <w:t>tion, liquidity and results of operations.</w:t>
      </w:r>
    </w:p>
    <w:p w14:paraId="12F41E5B" w14:textId="77777777" w:rsidR="00000000" w:rsidRDefault="00E614A4">
      <w:pPr>
        <w:jc w:val="both"/>
        <w:divId w:val="1553879775"/>
        <w:rPr>
          <w:rFonts w:eastAsia="Times New Roman"/>
        </w:rPr>
      </w:pPr>
      <w:r>
        <w:rPr>
          <w:rFonts w:eastAsia="Times New Roman"/>
          <w:b/>
          <w:bCs/>
          <w:i/>
          <w:iCs/>
          <w:color w:val="000000"/>
          <w:sz w:val="20"/>
          <w:szCs w:val="20"/>
        </w:rPr>
        <w:t>We may be obligated to redeem our Notes at a premium upon the occurrence of an Event of Default (as defined in the Notes) or a Change of Control (as defined in the Notes).</w:t>
      </w:r>
    </w:p>
    <w:p w14:paraId="3A3D51AA" w14:textId="77777777" w:rsidR="00000000" w:rsidRDefault="00E614A4">
      <w:pPr>
        <w:jc w:val="both"/>
        <w:divId w:val="1393885592"/>
        <w:rPr>
          <w:rFonts w:eastAsia="Times New Roman"/>
        </w:rPr>
      </w:pPr>
      <w:r>
        <w:rPr>
          <w:rFonts w:eastAsia="Times New Roman"/>
          <w:color w:val="000000"/>
          <w:sz w:val="20"/>
          <w:szCs w:val="20"/>
        </w:rPr>
        <w:t>If we fail to comply with the various cov</w:t>
      </w:r>
      <w:r>
        <w:rPr>
          <w:rFonts w:eastAsia="Times New Roman"/>
          <w:color w:val="000000"/>
          <w:sz w:val="20"/>
          <w:szCs w:val="20"/>
        </w:rPr>
        <w:t>enants in our Notes, including the financial covenants, we could be in default. Upon an Event of Default under the Notes, we could be required to redeem the Notes at a premium. In addition, upon the occurrence of specific kinds of Change of Control events,</w:t>
      </w:r>
      <w:r>
        <w:rPr>
          <w:rFonts w:eastAsia="Times New Roman"/>
          <w:color w:val="000000"/>
          <w:sz w:val="20"/>
          <w:szCs w:val="20"/>
        </w:rPr>
        <w:t xml:space="preserve"> we will be required to offer to redeem the Notes at a premium as set out in the Notes. We currently expect to repay and extinguish the Notes in connection with the Transactions, which do not constitute a Change of Control under the Notes. If the Transacti</w:t>
      </w:r>
      <w:r>
        <w:rPr>
          <w:rFonts w:eastAsia="Times New Roman"/>
          <w:color w:val="000000"/>
          <w:sz w:val="20"/>
          <w:szCs w:val="20"/>
        </w:rPr>
        <w:t>ons do not close or the Notes are not repaid, however, the source of funds for any redemption would be our available cash or, possibly, other financing. We may not be able to redeem the Notes pursuant to the terms thereof because we may not have the financ</w:t>
      </w:r>
      <w:r>
        <w:rPr>
          <w:rFonts w:eastAsia="Times New Roman"/>
          <w:color w:val="000000"/>
          <w:sz w:val="20"/>
          <w:szCs w:val="20"/>
        </w:rPr>
        <w:t xml:space="preserve">ial resources to do so, and no assurances can be provided as to our ability to obtain other requisite financing in amounts, or at times, as may be needed. In the event the holders of the Notes exercised their rights thereunder and we were unable to redeem </w:t>
      </w:r>
      <w:r>
        <w:rPr>
          <w:rFonts w:eastAsia="Times New Roman"/>
          <w:color w:val="000000"/>
          <w:sz w:val="20"/>
          <w:szCs w:val="20"/>
        </w:rPr>
        <w:t>the Notes, it could have important consequences including, potentially, forcing us into bankruptcy or liquidation.</w:t>
      </w:r>
    </w:p>
    <w:p w14:paraId="5D72C0F8" w14:textId="77777777" w:rsidR="00000000" w:rsidRDefault="00E614A4">
      <w:pPr>
        <w:jc w:val="both"/>
        <w:divId w:val="500048919"/>
        <w:rPr>
          <w:rFonts w:eastAsia="Times New Roman"/>
        </w:rPr>
      </w:pPr>
      <w:r>
        <w:rPr>
          <w:rFonts w:eastAsia="Times New Roman"/>
          <w:b/>
          <w:bCs/>
          <w:color w:val="000000"/>
          <w:sz w:val="20"/>
          <w:szCs w:val="20"/>
        </w:rPr>
        <w:t>General Risks Related to Ownership of Our Common Stock</w:t>
      </w:r>
    </w:p>
    <w:p w14:paraId="1661DE9C" w14:textId="77777777" w:rsidR="00000000" w:rsidRDefault="00E614A4">
      <w:pPr>
        <w:jc w:val="both"/>
        <w:divId w:val="139541654"/>
        <w:rPr>
          <w:rFonts w:eastAsia="Times New Roman"/>
        </w:rPr>
      </w:pPr>
      <w:r>
        <w:rPr>
          <w:rFonts w:eastAsia="Times New Roman"/>
          <w:b/>
          <w:bCs/>
          <w:i/>
          <w:iCs/>
          <w:color w:val="000000"/>
          <w:sz w:val="20"/>
          <w:szCs w:val="20"/>
        </w:rPr>
        <w:t>The Company's outstanding securities, the stock or securities that we may become oblig</w:t>
      </w:r>
      <w:r>
        <w:rPr>
          <w:rFonts w:eastAsia="Times New Roman"/>
          <w:b/>
          <w:bCs/>
          <w:i/>
          <w:iCs/>
          <w:color w:val="000000"/>
          <w:sz w:val="20"/>
          <w:szCs w:val="20"/>
        </w:rPr>
        <w:t>ated to issue under existing or future agreements, and certain provisions of those securities, may cause immediate and substantial dilution to our existing stockholders.</w:t>
      </w:r>
    </w:p>
    <w:p w14:paraId="43A5CB75" w14:textId="77777777" w:rsidR="00000000" w:rsidRDefault="00E614A4">
      <w:pPr>
        <w:jc w:val="both"/>
        <w:divId w:val="1876846669"/>
        <w:rPr>
          <w:rFonts w:eastAsia="Times New Roman"/>
        </w:rPr>
      </w:pPr>
      <w:r>
        <w:rPr>
          <w:rFonts w:eastAsia="Times New Roman"/>
          <w:color w:val="000000"/>
          <w:sz w:val="20"/>
          <w:szCs w:val="20"/>
        </w:rPr>
        <w:t xml:space="preserve">Our existing stockholders have and may continue to experience substantial dilution as </w:t>
      </w:r>
      <w:r>
        <w:rPr>
          <w:rFonts w:eastAsia="Times New Roman"/>
          <w:color w:val="000000"/>
          <w:sz w:val="20"/>
          <w:szCs w:val="20"/>
        </w:rPr>
        <w:t>a result of our obligations to issue shares of Common Stock. See "Risks Related to the Convertible Preferred Stock Investment Transactions" above for a discussion of potential dilution resulting from the Transactions. In addition, as noted above, we expect</w:t>
      </w:r>
      <w:r>
        <w:rPr>
          <w:rFonts w:eastAsia="Times New Roman"/>
          <w:color w:val="000000"/>
          <w:sz w:val="20"/>
          <w:szCs w:val="20"/>
        </w:rPr>
        <w:t xml:space="preserve"> to issue shares of Common Stock to the holders of our Notes upon exercise of their conversion rights and in payment of accrued interest on the Notes in connection with the closing of the Transactions. Furthermore, we have reserved 5,457,026 shares of Comm</w:t>
      </w:r>
      <w:r>
        <w:rPr>
          <w:rFonts w:eastAsia="Times New Roman"/>
          <w:color w:val="000000"/>
          <w:sz w:val="20"/>
          <w:szCs w:val="20"/>
        </w:rPr>
        <w:t>on Stock for issuance pursuant to our Series A Warrants.</w:t>
      </w:r>
    </w:p>
    <w:p w14:paraId="4A7B179A" w14:textId="77777777" w:rsidR="00000000" w:rsidRDefault="00E614A4">
      <w:pPr>
        <w:jc w:val="both"/>
        <w:divId w:val="1773622272"/>
        <w:rPr>
          <w:rFonts w:eastAsia="Times New Roman"/>
        </w:rPr>
      </w:pPr>
      <w:r>
        <w:rPr>
          <w:rFonts w:eastAsia="Times New Roman"/>
          <w:color w:val="000000"/>
          <w:sz w:val="20"/>
          <w:szCs w:val="20"/>
        </w:rPr>
        <w:t>As of December 31, 2020, 997,192 shares of Common Stock were reserved for issuance pursuant to outstanding stock options under our equity incentive plans, 1,825,237 shares of Common Stock were reserv</w:t>
      </w:r>
      <w:r>
        <w:rPr>
          <w:rFonts w:eastAsia="Times New Roman"/>
          <w:color w:val="000000"/>
          <w:sz w:val="20"/>
          <w:szCs w:val="20"/>
        </w:rPr>
        <w:t>ed for issuance pursuant to outstanding restricted stock unit awards under our equity incentive plans, and 10,746,533 shares of Common Stock were available for future equity awards under our 2018 Equity and Incentive Compensation Plan.</w:t>
      </w:r>
    </w:p>
    <w:p w14:paraId="6F454F73" w14:textId="77777777" w:rsidR="00000000" w:rsidRDefault="00E614A4">
      <w:pPr>
        <w:jc w:val="both"/>
        <w:divId w:val="685135117"/>
        <w:rPr>
          <w:rFonts w:eastAsia="Times New Roman"/>
        </w:rPr>
      </w:pPr>
      <w:r>
        <w:rPr>
          <w:rFonts w:eastAsia="Times New Roman"/>
          <w:color w:val="000000"/>
          <w:sz w:val="20"/>
          <w:szCs w:val="20"/>
        </w:rPr>
        <w:t>The issuance of shar</w:t>
      </w:r>
      <w:r>
        <w:rPr>
          <w:rFonts w:eastAsia="Times New Roman"/>
          <w:color w:val="000000"/>
          <w:sz w:val="20"/>
          <w:szCs w:val="20"/>
        </w:rPr>
        <w:t>es of Common Stock (i) pursuant to the Transactions, including upon the conversion of Convertible Preferred Stock, (ii) upon the conversion of the Notes, (iii) as payment-in-kind of interest on the Notes through the issuance of PIK Interest Shares, (iv) up</w:t>
      </w:r>
      <w:r>
        <w:rPr>
          <w:rFonts w:eastAsia="Times New Roman"/>
          <w:color w:val="000000"/>
          <w:sz w:val="20"/>
          <w:szCs w:val="20"/>
        </w:rPr>
        <w:t>on the exercise of warrants, (v) pursuant to outstanding and future equity awards, or (vi) upon the conversion of other existing or future convertible securities, may result in substantial dilution to each of our stockholders by reducing that stockholder's</w:t>
      </w:r>
      <w:r>
        <w:rPr>
          <w:rFonts w:eastAsia="Times New Roman"/>
          <w:color w:val="000000"/>
          <w:sz w:val="20"/>
          <w:szCs w:val="20"/>
        </w:rPr>
        <w:t xml:space="preserve"> percentage ownership of our outstanding Common Stock.</w:t>
      </w:r>
    </w:p>
    <w:p w14:paraId="5105ED2E" w14:textId="77777777" w:rsidR="00000000" w:rsidRDefault="00E614A4">
      <w:pPr>
        <w:jc w:val="both"/>
        <w:divId w:val="1725373847"/>
        <w:rPr>
          <w:rFonts w:eastAsia="Times New Roman"/>
        </w:rPr>
      </w:pPr>
      <w:r>
        <w:rPr>
          <w:rFonts w:eastAsia="Times New Roman"/>
          <w:b/>
          <w:bCs/>
          <w:i/>
          <w:iCs/>
          <w:color w:val="000000"/>
          <w:sz w:val="20"/>
          <w:szCs w:val="20"/>
        </w:rPr>
        <w:t xml:space="preserve">Provisions in our certificate of incorporation, bylaws and under Delaware law might discourage, delay or prevent a change of control of our company or changes in our management and, therefore, depress </w:t>
      </w:r>
      <w:r>
        <w:rPr>
          <w:rFonts w:eastAsia="Times New Roman"/>
          <w:b/>
          <w:bCs/>
          <w:i/>
          <w:iCs/>
          <w:color w:val="000000"/>
          <w:sz w:val="20"/>
          <w:szCs w:val="20"/>
        </w:rPr>
        <w:t>the trading price of our Common Stock.</w:t>
      </w:r>
    </w:p>
    <w:p w14:paraId="6B68E808" w14:textId="77777777" w:rsidR="00000000" w:rsidRDefault="00E614A4">
      <w:pPr>
        <w:jc w:val="both"/>
        <w:divId w:val="763762868"/>
        <w:rPr>
          <w:rFonts w:eastAsia="Times New Roman"/>
        </w:rPr>
      </w:pPr>
      <w:r>
        <w:rPr>
          <w:rFonts w:eastAsia="Times New Roman"/>
          <w:color w:val="000000"/>
          <w:sz w:val="20"/>
          <w:szCs w:val="20"/>
        </w:rPr>
        <w:t>Our certificate of incorporation and bylaws contain provisions that could depress the trading price of our Common Stock by acting to discourage, delay or prevent a change of control of our company or changes in our management that the stockholders of our c</w:t>
      </w:r>
      <w:r>
        <w:rPr>
          <w:rFonts w:eastAsia="Times New Roman"/>
          <w:color w:val="000000"/>
          <w:sz w:val="20"/>
          <w:szCs w:val="20"/>
        </w:rPr>
        <w:t>ompany may deem advantageous. These provisions:</w:t>
      </w:r>
    </w:p>
    <w:p w14:paraId="329A7172" w14:textId="77777777" w:rsidR="00000000" w:rsidRDefault="00E614A4">
      <w:pPr>
        <w:ind w:hanging="360"/>
        <w:divId w:val="929898238"/>
        <w:rPr>
          <w:rFonts w:eastAsia="Times New Roman"/>
        </w:rPr>
      </w:pPr>
      <w:r>
        <w:rPr>
          <w:rFonts w:eastAsia="Times New Roman"/>
          <w:color w:val="000000"/>
          <w:sz w:val="20"/>
          <w:szCs w:val="20"/>
        </w:rPr>
        <w:t>•provide for a classified board of directors so that not all members of our Board are elected at one time;</w:t>
      </w:r>
    </w:p>
    <w:p w14:paraId="69FEE3AD" w14:textId="77777777" w:rsidR="00000000" w:rsidRDefault="00E614A4">
      <w:pPr>
        <w:ind w:hanging="360"/>
        <w:jc w:val="both"/>
        <w:divId w:val="70322001"/>
        <w:rPr>
          <w:rFonts w:eastAsia="Times New Roman"/>
        </w:rPr>
      </w:pPr>
      <w:r>
        <w:rPr>
          <w:rFonts w:eastAsia="Times New Roman"/>
          <w:color w:val="000000"/>
          <w:sz w:val="20"/>
          <w:szCs w:val="20"/>
        </w:rPr>
        <w:t>•authorize "blank check" preferred stock that our Board could issue to increase the number of outstan</w:t>
      </w:r>
      <w:r>
        <w:rPr>
          <w:rFonts w:eastAsia="Times New Roman"/>
          <w:color w:val="000000"/>
          <w:sz w:val="20"/>
          <w:szCs w:val="20"/>
        </w:rPr>
        <w:t>ding shares to discourage a takeover attempt;</w:t>
      </w:r>
    </w:p>
    <w:p w14:paraId="727145B4" w14:textId="77777777" w:rsidR="00000000" w:rsidRDefault="00E614A4">
      <w:pPr>
        <w:ind w:hanging="360"/>
        <w:jc w:val="both"/>
        <w:divId w:val="716901914"/>
        <w:rPr>
          <w:rFonts w:eastAsia="Times New Roman"/>
        </w:rPr>
      </w:pPr>
      <w:r>
        <w:rPr>
          <w:rFonts w:eastAsia="Times New Roman"/>
          <w:color w:val="000000"/>
          <w:sz w:val="20"/>
          <w:szCs w:val="20"/>
        </w:rPr>
        <w:t>•prohibit stockholder action by written consent, which means that all stockholder actions must be taken at a meeting of our stockholders;</w:t>
      </w:r>
    </w:p>
    <w:p w14:paraId="7E8BECC5" w14:textId="77777777" w:rsidR="00000000" w:rsidRDefault="00E614A4">
      <w:pPr>
        <w:ind w:hanging="360"/>
        <w:divId w:val="365911385"/>
        <w:rPr>
          <w:rFonts w:eastAsia="Times New Roman"/>
        </w:rPr>
      </w:pPr>
      <w:r>
        <w:rPr>
          <w:rFonts w:eastAsia="Times New Roman"/>
          <w:color w:val="000000"/>
          <w:sz w:val="20"/>
          <w:szCs w:val="20"/>
        </w:rPr>
        <w:t>•</w:t>
      </w:r>
      <w:r>
        <w:rPr>
          <w:rFonts w:eastAsia="Times New Roman"/>
          <w:color w:val="000000"/>
          <w:sz w:val="20"/>
          <w:szCs w:val="20"/>
        </w:rPr>
        <w:t>prohibit stockholders from calling a special meeting of our stockholders;</w:t>
      </w:r>
    </w:p>
    <w:p w14:paraId="59072E70" w14:textId="77777777" w:rsidR="00000000" w:rsidRDefault="00E614A4">
      <w:pPr>
        <w:ind w:hanging="360"/>
        <w:divId w:val="898325390"/>
        <w:rPr>
          <w:rFonts w:eastAsia="Times New Roman"/>
        </w:rPr>
      </w:pPr>
      <w:r>
        <w:rPr>
          <w:rFonts w:eastAsia="Times New Roman"/>
          <w:color w:val="000000"/>
          <w:sz w:val="20"/>
          <w:szCs w:val="20"/>
        </w:rPr>
        <w:t>•provide that the Board is expressly authorized to make, alter or repeal our bylaws; and</w:t>
      </w:r>
    </w:p>
    <w:p w14:paraId="038D55AF" w14:textId="77777777" w:rsidR="00000000" w:rsidRDefault="00E614A4">
      <w:pPr>
        <w:ind w:hanging="360"/>
        <w:jc w:val="both"/>
        <w:divId w:val="200554481"/>
        <w:rPr>
          <w:rFonts w:eastAsia="Times New Roman"/>
        </w:rPr>
      </w:pPr>
      <w:r>
        <w:rPr>
          <w:rFonts w:eastAsia="Times New Roman"/>
          <w:color w:val="000000"/>
          <w:sz w:val="20"/>
          <w:szCs w:val="20"/>
        </w:rPr>
        <w:t>•provide for advance notice requirements for nominations for elections to our Board or for pr</w:t>
      </w:r>
      <w:r>
        <w:rPr>
          <w:rFonts w:eastAsia="Times New Roman"/>
          <w:color w:val="000000"/>
          <w:sz w:val="20"/>
          <w:szCs w:val="20"/>
        </w:rPr>
        <w:t>oposing matters that can be acted upon by stockholders at stockholder meetings.</w:t>
      </w:r>
    </w:p>
    <w:p w14:paraId="601CC9A1" w14:textId="77777777" w:rsidR="00000000" w:rsidRDefault="00E614A4">
      <w:pPr>
        <w:jc w:val="both"/>
        <w:divId w:val="1017803812"/>
        <w:rPr>
          <w:rFonts w:eastAsia="Times New Roman"/>
        </w:rPr>
      </w:pPr>
      <w:r>
        <w:rPr>
          <w:rFonts w:eastAsia="Times New Roman"/>
          <w:color w:val="000000"/>
          <w:sz w:val="20"/>
          <w:szCs w:val="20"/>
        </w:rPr>
        <w:t>In addition, we are subject to Section 203 of the Delaware General Corporation Law, which prohibits a Delaware corporation from engaging in any of a broad range of business com</w:t>
      </w:r>
      <w:r>
        <w:rPr>
          <w:rFonts w:eastAsia="Times New Roman"/>
          <w:color w:val="000000"/>
          <w:sz w:val="20"/>
          <w:szCs w:val="20"/>
        </w:rPr>
        <w:t>binations with any "interested" stockholder for a period of three years following the date on which the stockholder became an "interested" stockholder and which may discourage, delay or prevent a change of control of our company.</w:t>
      </w:r>
    </w:p>
    <w:p w14:paraId="4B700206" w14:textId="77777777" w:rsidR="00000000" w:rsidRDefault="00E614A4">
      <w:pPr>
        <w:jc w:val="both"/>
        <w:divId w:val="885407648"/>
        <w:rPr>
          <w:rFonts w:eastAsia="Times New Roman"/>
        </w:rPr>
      </w:pPr>
    </w:p>
    <w:p w14:paraId="230A8689" w14:textId="77777777" w:rsidR="00000000" w:rsidRDefault="00E614A4">
      <w:pPr>
        <w:jc w:val="center"/>
        <w:divId w:val="1995790248"/>
        <w:rPr>
          <w:rFonts w:eastAsia="Times New Roman"/>
        </w:rPr>
      </w:pPr>
      <w:r>
        <w:rPr>
          <w:rFonts w:eastAsia="Times New Roman"/>
          <w:color w:val="000000"/>
          <w:sz w:val="20"/>
          <w:szCs w:val="20"/>
        </w:rPr>
        <w:t>30</w:t>
      </w:r>
    </w:p>
    <w:p w14:paraId="65D7EDE4" w14:textId="77777777" w:rsidR="00000000" w:rsidRDefault="00E614A4">
      <w:pPr>
        <w:rPr>
          <w:rFonts w:eastAsia="Times New Roman"/>
        </w:rPr>
      </w:pPr>
      <w:r>
        <w:rPr>
          <w:rFonts w:eastAsia="Times New Roman"/>
        </w:rPr>
        <w:pict w14:anchorId="51FDC0BD">
          <v:rect id="_x0000_i1057" style="width:0;height:1.5pt" o:hralign="center" o:hrstd="t" o:hr="t" fillcolor="#a0a0a0" stroked="f"/>
        </w:pict>
      </w:r>
    </w:p>
    <w:p w14:paraId="27CE1F8B" w14:textId="77777777" w:rsidR="00000000" w:rsidRDefault="00E614A4">
      <w:pPr>
        <w:divId w:val="199702713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99CD790" w14:textId="77777777" w:rsidR="00000000" w:rsidRDefault="00E614A4">
      <w:pPr>
        <w:divId w:val="30389660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14:paraId="42216524" w14:textId="77777777">
        <w:trPr>
          <w:divId w:val="1372337416"/>
        </w:trPr>
        <w:tc>
          <w:tcPr>
            <w:tcW w:w="50" w:type="pct"/>
            <w:vAlign w:val="center"/>
            <w:hideMark/>
          </w:tcPr>
          <w:p w14:paraId="01066E68" w14:textId="77777777" w:rsidR="00000000" w:rsidRDefault="00E614A4">
            <w:pPr>
              <w:rPr>
                <w:rFonts w:eastAsia="Times New Roman"/>
              </w:rPr>
            </w:pPr>
          </w:p>
        </w:tc>
        <w:tc>
          <w:tcPr>
            <w:tcW w:w="465" w:type="pct"/>
            <w:vAlign w:val="center"/>
            <w:hideMark/>
          </w:tcPr>
          <w:p w14:paraId="6EC63D02" w14:textId="77777777" w:rsidR="00000000" w:rsidRDefault="00E614A4">
            <w:pPr>
              <w:rPr>
                <w:rFonts w:eastAsia="Times New Roman"/>
                <w:sz w:val="20"/>
                <w:szCs w:val="20"/>
              </w:rPr>
            </w:pPr>
          </w:p>
        </w:tc>
        <w:tc>
          <w:tcPr>
            <w:tcW w:w="5" w:type="pct"/>
            <w:vAlign w:val="center"/>
            <w:hideMark/>
          </w:tcPr>
          <w:p w14:paraId="461F5C88" w14:textId="77777777" w:rsidR="00000000" w:rsidRDefault="00E614A4">
            <w:pPr>
              <w:rPr>
                <w:rFonts w:eastAsia="Times New Roman"/>
                <w:sz w:val="20"/>
                <w:szCs w:val="20"/>
              </w:rPr>
            </w:pPr>
          </w:p>
        </w:tc>
        <w:tc>
          <w:tcPr>
            <w:tcW w:w="50" w:type="pct"/>
            <w:vAlign w:val="center"/>
            <w:hideMark/>
          </w:tcPr>
          <w:p w14:paraId="3C2D9484" w14:textId="77777777" w:rsidR="00000000" w:rsidRDefault="00E614A4">
            <w:pPr>
              <w:rPr>
                <w:rFonts w:eastAsia="Times New Roman"/>
                <w:sz w:val="20"/>
                <w:szCs w:val="20"/>
              </w:rPr>
            </w:pPr>
          </w:p>
        </w:tc>
        <w:tc>
          <w:tcPr>
            <w:tcW w:w="4424" w:type="pct"/>
            <w:vAlign w:val="center"/>
            <w:hideMark/>
          </w:tcPr>
          <w:p w14:paraId="3BA74DE4" w14:textId="77777777" w:rsidR="00000000" w:rsidRDefault="00E614A4">
            <w:pPr>
              <w:rPr>
                <w:rFonts w:eastAsia="Times New Roman"/>
                <w:sz w:val="20"/>
                <w:szCs w:val="20"/>
              </w:rPr>
            </w:pPr>
          </w:p>
        </w:tc>
        <w:tc>
          <w:tcPr>
            <w:tcW w:w="5" w:type="pct"/>
            <w:vAlign w:val="center"/>
            <w:hideMark/>
          </w:tcPr>
          <w:p w14:paraId="1C63F7AD" w14:textId="77777777" w:rsidR="00000000" w:rsidRDefault="00E614A4">
            <w:pPr>
              <w:rPr>
                <w:rFonts w:eastAsia="Times New Roman"/>
                <w:sz w:val="20"/>
                <w:szCs w:val="20"/>
              </w:rPr>
            </w:pPr>
          </w:p>
        </w:tc>
      </w:tr>
      <w:tr w:rsidR="00000000" w14:paraId="09A2E6CA" w14:textId="77777777">
        <w:trPr>
          <w:divId w:val="1372337416"/>
        </w:trPr>
        <w:tc>
          <w:tcPr>
            <w:tcW w:w="0" w:type="auto"/>
            <w:gridSpan w:val="3"/>
            <w:tcMar>
              <w:top w:w="30" w:type="dxa"/>
              <w:left w:w="20" w:type="dxa"/>
              <w:bottom w:w="30" w:type="dxa"/>
              <w:right w:w="20" w:type="dxa"/>
            </w:tcMar>
            <w:hideMark/>
          </w:tcPr>
          <w:p w14:paraId="1631DFE3" w14:textId="77777777" w:rsidR="00000000" w:rsidRDefault="00E614A4">
            <w:pPr>
              <w:rPr>
                <w:rFonts w:eastAsia="Times New Roman"/>
              </w:rPr>
            </w:pPr>
            <w:r>
              <w:rPr>
                <w:rFonts w:eastAsia="Times New Roman"/>
                <w:b/>
                <w:bCs/>
                <w:color w:val="000000"/>
                <w:sz w:val="20"/>
                <w:szCs w:val="20"/>
              </w:rPr>
              <w:t>ITEM 1B.</w:t>
            </w:r>
          </w:p>
        </w:tc>
        <w:tc>
          <w:tcPr>
            <w:tcW w:w="0" w:type="auto"/>
            <w:gridSpan w:val="3"/>
            <w:tcMar>
              <w:top w:w="30" w:type="dxa"/>
              <w:left w:w="20" w:type="dxa"/>
              <w:bottom w:w="30" w:type="dxa"/>
              <w:right w:w="20" w:type="dxa"/>
            </w:tcMar>
            <w:hideMark/>
          </w:tcPr>
          <w:p w14:paraId="1266B7B9" w14:textId="77777777" w:rsidR="00000000" w:rsidRDefault="00E614A4">
            <w:pPr>
              <w:rPr>
                <w:rFonts w:eastAsia="Times New Roman"/>
              </w:rPr>
            </w:pPr>
            <w:r>
              <w:rPr>
                <w:rFonts w:eastAsia="Times New Roman"/>
                <w:b/>
                <w:bCs/>
                <w:i/>
                <w:iCs/>
                <w:color w:val="000000"/>
                <w:sz w:val="20"/>
                <w:szCs w:val="20"/>
              </w:rPr>
              <w:t>UNRESOLVED STAFF COMMENTS</w:t>
            </w:r>
          </w:p>
        </w:tc>
      </w:tr>
    </w:tbl>
    <w:p w14:paraId="497C77CC" w14:textId="77777777" w:rsidR="00000000" w:rsidRDefault="00E614A4">
      <w:pPr>
        <w:divId w:val="273292304"/>
        <w:rPr>
          <w:rFonts w:eastAsia="Times New Roman"/>
        </w:rPr>
      </w:pPr>
      <w:r>
        <w:rPr>
          <w:rFonts w:eastAsia="Times New Roman"/>
          <w:color w:val="000000"/>
          <w:sz w:val="20"/>
          <w:szCs w:val="20"/>
        </w:rPr>
        <w:t>None.</w:t>
      </w: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14:paraId="66060F8F" w14:textId="77777777">
        <w:trPr>
          <w:divId w:val="325935285"/>
        </w:trPr>
        <w:tc>
          <w:tcPr>
            <w:tcW w:w="50" w:type="pct"/>
            <w:vAlign w:val="center"/>
            <w:hideMark/>
          </w:tcPr>
          <w:p w14:paraId="470CB197" w14:textId="77777777" w:rsidR="00000000" w:rsidRDefault="00E614A4">
            <w:pPr>
              <w:rPr>
                <w:rFonts w:eastAsia="Times New Roman"/>
              </w:rPr>
            </w:pPr>
          </w:p>
        </w:tc>
        <w:tc>
          <w:tcPr>
            <w:tcW w:w="465" w:type="pct"/>
            <w:vAlign w:val="center"/>
            <w:hideMark/>
          </w:tcPr>
          <w:p w14:paraId="4D05B796" w14:textId="77777777" w:rsidR="00000000" w:rsidRDefault="00E614A4">
            <w:pPr>
              <w:rPr>
                <w:rFonts w:eastAsia="Times New Roman"/>
                <w:sz w:val="20"/>
                <w:szCs w:val="20"/>
              </w:rPr>
            </w:pPr>
          </w:p>
        </w:tc>
        <w:tc>
          <w:tcPr>
            <w:tcW w:w="5" w:type="pct"/>
            <w:vAlign w:val="center"/>
            <w:hideMark/>
          </w:tcPr>
          <w:p w14:paraId="6F60C523" w14:textId="77777777" w:rsidR="00000000" w:rsidRDefault="00E614A4">
            <w:pPr>
              <w:rPr>
                <w:rFonts w:eastAsia="Times New Roman"/>
                <w:sz w:val="20"/>
                <w:szCs w:val="20"/>
              </w:rPr>
            </w:pPr>
          </w:p>
        </w:tc>
        <w:tc>
          <w:tcPr>
            <w:tcW w:w="50" w:type="pct"/>
            <w:vAlign w:val="center"/>
            <w:hideMark/>
          </w:tcPr>
          <w:p w14:paraId="6E77D323" w14:textId="77777777" w:rsidR="00000000" w:rsidRDefault="00E614A4">
            <w:pPr>
              <w:rPr>
                <w:rFonts w:eastAsia="Times New Roman"/>
                <w:sz w:val="20"/>
                <w:szCs w:val="20"/>
              </w:rPr>
            </w:pPr>
          </w:p>
        </w:tc>
        <w:tc>
          <w:tcPr>
            <w:tcW w:w="4424" w:type="pct"/>
            <w:vAlign w:val="center"/>
            <w:hideMark/>
          </w:tcPr>
          <w:p w14:paraId="05EBD6A3" w14:textId="77777777" w:rsidR="00000000" w:rsidRDefault="00E614A4">
            <w:pPr>
              <w:rPr>
                <w:rFonts w:eastAsia="Times New Roman"/>
                <w:sz w:val="20"/>
                <w:szCs w:val="20"/>
              </w:rPr>
            </w:pPr>
          </w:p>
        </w:tc>
        <w:tc>
          <w:tcPr>
            <w:tcW w:w="5" w:type="pct"/>
            <w:vAlign w:val="center"/>
            <w:hideMark/>
          </w:tcPr>
          <w:p w14:paraId="4395D480" w14:textId="77777777" w:rsidR="00000000" w:rsidRDefault="00E614A4">
            <w:pPr>
              <w:rPr>
                <w:rFonts w:eastAsia="Times New Roman"/>
                <w:sz w:val="20"/>
                <w:szCs w:val="20"/>
              </w:rPr>
            </w:pPr>
          </w:p>
        </w:tc>
      </w:tr>
      <w:tr w:rsidR="00000000" w14:paraId="5B75EA04" w14:textId="77777777">
        <w:trPr>
          <w:divId w:val="325935285"/>
        </w:trPr>
        <w:tc>
          <w:tcPr>
            <w:tcW w:w="0" w:type="auto"/>
            <w:gridSpan w:val="3"/>
            <w:tcMar>
              <w:top w:w="30" w:type="dxa"/>
              <w:left w:w="20" w:type="dxa"/>
              <w:bottom w:w="30" w:type="dxa"/>
              <w:right w:w="20" w:type="dxa"/>
            </w:tcMar>
            <w:hideMark/>
          </w:tcPr>
          <w:p w14:paraId="118FD1B8" w14:textId="77777777" w:rsidR="00000000" w:rsidRDefault="00E614A4">
            <w:pPr>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14:paraId="556D417B" w14:textId="77777777" w:rsidR="00000000" w:rsidRDefault="00E614A4">
            <w:pPr>
              <w:rPr>
                <w:rFonts w:eastAsia="Times New Roman"/>
              </w:rPr>
            </w:pPr>
            <w:r>
              <w:rPr>
                <w:rFonts w:eastAsia="Times New Roman"/>
                <w:b/>
                <w:bCs/>
                <w:i/>
                <w:iCs/>
                <w:color w:val="000000"/>
                <w:sz w:val="20"/>
                <w:szCs w:val="20"/>
              </w:rPr>
              <w:t>PROPERTIES</w:t>
            </w:r>
          </w:p>
        </w:tc>
      </w:tr>
    </w:tbl>
    <w:p w14:paraId="559F8F97" w14:textId="77777777" w:rsidR="00000000" w:rsidRDefault="00E614A4">
      <w:pPr>
        <w:jc w:val="both"/>
        <w:divId w:val="701631161"/>
        <w:rPr>
          <w:rFonts w:eastAsia="Times New Roman"/>
        </w:rPr>
      </w:pPr>
      <w:r>
        <w:rPr>
          <w:rFonts w:eastAsia="Times New Roman"/>
          <w:color w:val="000000"/>
          <w:sz w:val="20"/>
          <w:szCs w:val="20"/>
        </w:rPr>
        <w:t>Our corporate headquarters are located in Reston, Virginia, where we occupy approximately 84,000 square feet of office space. We also lease space in various locations throughout North America, South America, Europe, and Asia Pacific for sales and other per</w:t>
      </w:r>
      <w:r>
        <w:rPr>
          <w:rFonts w:eastAsia="Times New Roman"/>
          <w:color w:val="000000"/>
          <w:sz w:val="20"/>
          <w:szCs w:val="20"/>
        </w:rPr>
        <w:t xml:space="preserve">sonnel. If we require additional space, we believe that we would be able to obtain such space on commercially reasonable terms. </w:t>
      </w:r>
    </w:p>
    <w:p w14:paraId="65548286" w14:textId="77777777" w:rsidR="00000000" w:rsidRDefault="00E614A4">
      <w:pPr>
        <w:jc w:val="both"/>
        <w:divId w:val="1539853985"/>
        <w:rPr>
          <w:rFonts w:eastAsia="Times New Roman"/>
        </w:rPr>
      </w:pPr>
      <w:r>
        <w:rPr>
          <w:rFonts w:eastAsia="Times New Roman"/>
          <w:color w:val="000000"/>
          <w:sz w:val="20"/>
          <w:szCs w:val="20"/>
        </w:rPr>
        <w:t>Our other material locations, all of which are leased under operating leases, include the following:</w:t>
      </w:r>
    </w:p>
    <w:p w14:paraId="76203361" w14:textId="77777777" w:rsidR="00000000" w:rsidRDefault="00E614A4">
      <w:pPr>
        <w:jc w:val="both"/>
        <w:divId w:val="572929580"/>
        <w:rPr>
          <w:rFonts w:eastAsia="Times New Roman"/>
        </w:rPr>
      </w:pPr>
      <w:r>
        <w:rPr>
          <w:rFonts w:eastAsia="Times New Roman"/>
          <w:color w:val="000000"/>
          <w:sz w:val="20"/>
          <w:szCs w:val="20"/>
        </w:rPr>
        <w:t>•</w:t>
      </w:r>
      <w:r>
        <w:rPr>
          <w:rFonts w:eastAsia="Times New Roman"/>
          <w:color w:val="000000"/>
          <w:sz w:val="20"/>
          <w:szCs w:val="20"/>
        </w:rPr>
        <w:t>Portland, Oregon</w:t>
      </w:r>
    </w:p>
    <w:p w14:paraId="4C60153C" w14:textId="77777777" w:rsidR="00000000" w:rsidRDefault="00E614A4">
      <w:pPr>
        <w:jc w:val="both"/>
        <w:divId w:val="1193300120"/>
        <w:rPr>
          <w:rFonts w:eastAsia="Times New Roman"/>
        </w:rPr>
      </w:pPr>
      <w:r>
        <w:rPr>
          <w:rFonts w:eastAsia="Times New Roman"/>
          <w:color w:val="000000"/>
          <w:sz w:val="20"/>
          <w:szCs w:val="20"/>
        </w:rPr>
        <w:t>•New York, New York</w:t>
      </w:r>
    </w:p>
    <w:p w14:paraId="1D1B8886" w14:textId="77777777" w:rsidR="00000000" w:rsidRDefault="00E614A4">
      <w:pPr>
        <w:jc w:val="both"/>
        <w:divId w:val="137693032"/>
        <w:rPr>
          <w:rFonts w:eastAsia="Times New Roman"/>
        </w:rPr>
      </w:pPr>
      <w:r>
        <w:rPr>
          <w:rFonts w:eastAsia="Times New Roman"/>
          <w:color w:val="000000"/>
          <w:sz w:val="20"/>
          <w:szCs w:val="20"/>
        </w:rPr>
        <w:t>•Chicago, Illinois</w:t>
      </w:r>
    </w:p>
    <w:p w14:paraId="44513B78" w14:textId="77777777" w:rsidR="00000000" w:rsidRDefault="00E614A4">
      <w:pPr>
        <w:jc w:val="both"/>
        <w:divId w:val="883980682"/>
        <w:rPr>
          <w:rFonts w:eastAsia="Times New Roman"/>
        </w:rPr>
      </w:pPr>
      <w:r>
        <w:rPr>
          <w:rFonts w:eastAsia="Times New Roman"/>
          <w:color w:val="000000"/>
          <w:sz w:val="20"/>
          <w:szCs w:val="20"/>
        </w:rPr>
        <w:t>•Amsterdam, Netherlands</w:t>
      </w:r>
    </w:p>
    <w:p w14:paraId="7B634CAC" w14:textId="77777777" w:rsidR="00000000" w:rsidRDefault="00E614A4">
      <w:pPr>
        <w:jc w:val="both"/>
        <w:divId w:val="1212961897"/>
        <w:rPr>
          <w:rFonts w:eastAsia="Times New Roman"/>
        </w:rPr>
      </w:pPr>
      <w:r>
        <w:rPr>
          <w:rFonts w:eastAsia="Times New Roman"/>
          <w:color w:val="000000"/>
          <w:sz w:val="20"/>
          <w:szCs w:val="20"/>
        </w:rPr>
        <w:t>•Pune, India</w:t>
      </w:r>
    </w:p>
    <w:p w14:paraId="2B8159C6" w14:textId="77777777" w:rsidR="00000000" w:rsidRDefault="00E614A4">
      <w:pPr>
        <w:jc w:val="both"/>
        <w:divId w:val="1338776169"/>
        <w:rPr>
          <w:rFonts w:eastAsia="Times New Roman"/>
        </w:rPr>
      </w:pPr>
      <w:r>
        <w:rPr>
          <w:rFonts w:eastAsia="Times New Roman"/>
          <w:color w:val="000000"/>
          <w:sz w:val="20"/>
          <w:szCs w:val="20"/>
        </w:rPr>
        <w:t>•Santiago, Chile</w:t>
      </w:r>
    </w:p>
    <w:p w14:paraId="1C5DBB00" w14:textId="77777777" w:rsidR="00000000" w:rsidRDefault="00E614A4">
      <w:pPr>
        <w:jc w:val="both"/>
        <w:divId w:val="791362591"/>
        <w:rPr>
          <w:rFonts w:eastAsia="Times New Roman"/>
        </w:rPr>
      </w:pPr>
      <w:r>
        <w:rPr>
          <w:rFonts w:eastAsia="Times New Roman"/>
          <w:color w:val="000000"/>
          <w:sz w:val="20"/>
          <w:szCs w:val="20"/>
        </w:rPr>
        <w:t>As of December </w:t>
      </w:r>
      <w:r>
        <w:rPr>
          <w:rFonts w:eastAsia="Times New Roman"/>
          <w:color w:val="000000"/>
          <w:sz w:val="20"/>
          <w:szCs w:val="20"/>
        </w:rPr>
        <w:t>31, 2020, we leased facilities in 29 locations worldwide, including approximately 56,000 square feet of subleased space in seven properties. Currently, however, most of our employees are operating under remote working arrangements.</w:t>
      </w:r>
    </w:p>
    <w:p w14:paraId="52DBC012" w14:textId="77777777" w:rsidR="00000000" w:rsidRDefault="00E614A4">
      <w:pPr>
        <w:jc w:val="both"/>
        <w:divId w:val="376897736"/>
        <w:rPr>
          <w:rFonts w:eastAsia="Times New Roman"/>
        </w:rPr>
      </w:pPr>
      <w:r>
        <w:rPr>
          <w:rFonts w:eastAsia="Times New Roman"/>
          <w:color w:val="000000"/>
          <w:sz w:val="20"/>
          <w:szCs w:val="20"/>
        </w:rPr>
        <w:t>For additional informati</w:t>
      </w:r>
      <w:r>
        <w:rPr>
          <w:rFonts w:eastAsia="Times New Roman"/>
          <w:color w:val="000000"/>
          <w:sz w:val="20"/>
          <w:szCs w:val="20"/>
        </w:rPr>
        <w:t xml:space="preserve">on regarding our obligations under operating and finance leases, refer to </w:t>
      </w:r>
      <w:hyperlink w:anchor="ided6989bcc374020961c421c465250ee_151" w:history="1">
        <w:r>
          <w:rPr>
            <w:rStyle w:val="a3"/>
            <w:rFonts w:eastAsia="Times New Roman"/>
            <w:sz w:val="20"/>
            <w:szCs w:val="20"/>
          </w:rPr>
          <w:t>Footnote 8</w:t>
        </w:r>
      </w:hyperlink>
      <w:r>
        <w:rPr>
          <w:rFonts w:eastAsia="Times New Roman"/>
          <w:color w:val="000000"/>
          <w:sz w:val="20"/>
          <w:szCs w:val="20"/>
        </w:rPr>
        <w:t xml:space="preserve">, </w:t>
      </w:r>
      <w:r>
        <w:rPr>
          <w:rFonts w:eastAsia="Times New Roman"/>
          <w:i/>
          <w:iCs/>
          <w:color w:val="000000"/>
          <w:sz w:val="20"/>
          <w:szCs w:val="20"/>
        </w:rPr>
        <w:t>Leases</w:t>
      </w:r>
      <w:r>
        <w:rPr>
          <w:rFonts w:eastAsia="Times New Roman"/>
          <w:color w:val="000000"/>
          <w:sz w:val="20"/>
          <w:szCs w:val="20"/>
        </w:rPr>
        <w:t xml:space="preserve"> of the Notes to Consolidated Financial Statements.</w:t>
      </w:r>
    </w:p>
    <w:p w14:paraId="536460E8" w14:textId="77777777" w:rsidR="00000000" w:rsidRDefault="00E614A4">
      <w:pPr>
        <w:divId w:val="2023579938"/>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3503754B" w14:textId="77777777">
        <w:trPr>
          <w:divId w:val="1024406691"/>
        </w:trPr>
        <w:tc>
          <w:tcPr>
            <w:tcW w:w="50" w:type="pct"/>
            <w:vAlign w:val="center"/>
            <w:hideMark/>
          </w:tcPr>
          <w:p w14:paraId="4CE69379" w14:textId="77777777" w:rsidR="00000000" w:rsidRDefault="00E614A4">
            <w:pPr>
              <w:rPr>
                <w:rFonts w:eastAsia="Times New Roman"/>
              </w:rPr>
            </w:pPr>
          </w:p>
        </w:tc>
        <w:tc>
          <w:tcPr>
            <w:tcW w:w="494" w:type="pct"/>
            <w:vAlign w:val="center"/>
            <w:hideMark/>
          </w:tcPr>
          <w:p w14:paraId="44B47813" w14:textId="77777777" w:rsidR="00000000" w:rsidRDefault="00E614A4">
            <w:pPr>
              <w:rPr>
                <w:rFonts w:eastAsia="Times New Roman"/>
                <w:sz w:val="20"/>
                <w:szCs w:val="20"/>
              </w:rPr>
            </w:pPr>
          </w:p>
        </w:tc>
        <w:tc>
          <w:tcPr>
            <w:tcW w:w="5" w:type="pct"/>
            <w:vAlign w:val="center"/>
            <w:hideMark/>
          </w:tcPr>
          <w:p w14:paraId="5A6F590D" w14:textId="77777777" w:rsidR="00000000" w:rsidRDefault="00E614A4">
            <w:pPr>
              <w:rPr>
                <w:rFonts w:eastAsia="Times New Roman"/>
                <w:sz w:val="20"/>
                <w:szCs w:val="20"/>
              </w:rPr>
            </w:pPr>
          </w:p>
        </w:tc>
        <w:tc>
          <w:tcPr>
            <w:tcW w:w="50" w:type="pct"/>
            <w:vAlign w:val="center"/>
            <w:hideMark/>
          </w:tcPr>
          <w:p w14:paraId="7CB833FE" w14:textId="77777777" w:rsidR="00000000" w:rsidRDefault="00E614A4">
            <w:pPr>
              <w:rPr>
                <w:rFonts w:eastAsia="Times New Roman"/>
                <w:sz w:val="20"/>
                <w:szCs w:val="20"/>
              </w:rPr>
            </w:pPr>
          </w:p>
        </w:tc>
        <w:tc>
          <w:tcPr>
            <w:tcW w:w="4396" w:type="pct"/>
            <w:vAlign w:val="center"/>
            <w:hideMark/>
          </w:tcPr>
          <w:p w14:paraId="41AF832C" w14:textId="77777777" w:rsidR="00000000" w:rsidRDefault="00E614A4">
            <w:pPr>
              <w:rPr>
                <w:rFonts w:eastAsia="Times New Roman"/>
                <w:sz w:val="20"/>
                <w:szCs w:val="20"/>
              </w:rPr>
            </w:pPr>
          </w:p>
        </w:tc>
        <w:tc>
          <w:tcPr>
            <w:tcW w:w="5" w:type="pct"/>
            <w:vAlign w:val="center"/>
            <w:hideMark/>
          </w:tcPr>
          <w:p w14:paraId="0547F80B" w14:textId="77777777" w:rsidR="00000000" w:rsidRDefault="00E614A4">
            <w:pPr>
              <w:rPr>
                <w:rFonts w:eastAsia="Times New Roman"/>
                <w:sz w:val="20"/>
                <w:szCs w:val="20"/>
              </w:rPr>
            </w:pPr>
          </w:p>
        </w:tc>
      </w:tr>
      <w:tr w:rsidR="00000000" w14:paraId="6AD3F54D" w14:textId="77777777">
        <w:trPr>
          <w:divId w:val="1024406691"/>
        </w:trPr>
        <w:tc>
          <w:tcPr>
            <w:tcW w:w="0" w:type="auto"/>
            <w:gridSpan w:val="3"/>
            <w:tcMar>
              <w:top w:w="30" w:type="dxa"/>
              <w:left w:w="20" w:type="dxa"/>
              <w:bottom w:w="30" w:type="dxa"/>
              <w:right w:w="20" w:type="dxa"/>
            </w:tcMar>
            <w:hideMark/>
          </w:tcPr>
          <w:p w14:paraId="60B79A08" w14:textId="77777777" w:rsidR="00000000" w:rsidRDefault="00E614A4">
            <w:pPr>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14:paraId="7E9D124C" w14:textId="77777777" w:rsidR="00000000" w:rsidRDefault="00E614A4">
            <w:pPr>
              <w:rPr>
                <w:rFonts w:eastAsia="Times New Roman"/>
              </w:rPr>
            </w:pPr>
            <w:r>
              <w:rPr>
                <w:rFonts w:eastAsia="Times New Roman"/>
                <w:b/>
                <w:bCs/>
                <w:i/>
                <w:iCs/>
                <w:color w:val="000000"/>
                <w:sz w:val="20"/>
                <w:szCs w:val="20"/>
              </w:rPr>
              <w:t>LEGAL PROCEEDINGS</w:t>
            </w:r>
          </w:p>
        </w:tc>
      </w:tr>
    </w:tbl>
    <w:p w14:paraId="60768960" w14:textId="77777777" w:rsidR="00000000" w:rsidRDefault="00E614A4">
      <w:pPr>
        <w:divId w:val="1593660124"/>
        <w:rPr>
          <w:rFonts w:eastAsia="Times New Roman"/>
        </w:rPr>
      </w:pPr>
      <w:r>
        <w:rPr>
          <w:rFonts w:eastAsia="Times New Roman"/>
          <w:color w:val="000000"/>
          <w:sz w:val="20"/>
          <w:szCs w:val="20"/>
        </w:rPr>
        <w:t xml:space="preserve">For a discussion of material legal proceedings in which we are involved, please refer to </w:t>
      </w:r>
      <w:hyperlink w:anchor="ided6989bcc374020961c421c465250ee_163" w:history="1">
        <w:r>
          <w:rPr>
            <w:rStyle w:val="a3"/>
            <w:rFonts w:eastAsia="Times New Roman"/>
            <w:sz w:val="20"/>
            <w:szCs w:val="20"/>
          </w:rPr>
          <w:t>Footnote 11</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of the Notes to Consolidated Financial Statements included in Pa</w:t>
      </w:r>
      <w:r>
        <w:rPr>
          <w:rFonts w:eastAsia="Times New Roman"/>
          <w:color w:val="000000"/>
          <w:sz w:val="20"/>
          <w:szCs w:val="20"/>
        </w:rPr>
        <w:t xml:space="preserve">rt II, </w:t>
      </w:r>
      <w:hyperlink w:anchor="ided6989bcc374020961c421c465250ee_76" w:history="1">
        <w:r>
          <w:rPr>
            <w:rStyle w:val="a3"/>
            <w:rFonts w:eastAsia="Times New Roman"/>
            <w:sz w:val="20"/>
            <w:szCs w:val="20"/>
          </w:rPr>
          <w:t>Item 8</w:t>
        </w:r>
      </w:hyperlink>
      <w:r>
        <w:rPr>
          <w:rFonts w:eastAsia="Times New Roman"/>
          <w:color w:val="000000"/>
          <w:sz w:val="20"/>
          <w:szCs w:val="20"/>
        </w:rPr>
        <w:t xml:space="preserve"> of this 10-K, which is incorporated herein by reference.</w:t>
      </w:r>
    </w:p>
    <w:p w14:paraId="3E811233" w14:textId="77777777" w:rsidR="00000000" w:rsidRDefault="00E614A4">
      <w:pPr>
        <w:jc w:val="both"/>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7CA91CBD" w14:textId="77777777">
        <w:trPr>
          <w:divId w:val="298069503"/>
        </w:trPr>
        <w:tc>
          <w:tcPr>
            <w:tcW w:w="50" w:type="pct"/>
            <w:vAlign w:val="center"/>
            <w:hideMark/>
          </w:tcPr>
          <w:p w14:paraId="78A3FEB3" w14:textId="77777777" w:rsidR="00000000" w:rsidRDefault="00E614A4">
            <w:pPr>
              <w:jc w:val="both"/>
              <w:rPr>
                <w:rFonts w:eastAsia="Times New Roman"/>
              </w:rPr>
            </w:pPr>
          </w:p>
        </w:tc>
        <w:tc>
          <w:tcPr>
            <w:tcW w:w="494" w:type="pct"/>
            <w:vAlign w:val="center"/>
            <w:hideMark/>
          </w:tcPr>
          <w:p w14:paraId="466F0081" w14:textId="77777777" w:rsidR="00000000" w:rsidRDefault="00E614A4">
            <w:pPr>
              <w:rPr>
                <w:rFonts w:eastAsia="Times New Roman"/>
                <w:sz w:val="20"/>
                <w:szCs w:val="20"/>
              </w:rPr>
            </w:pPr>
          </w:p>
        </w:tc>
        <w:tc>
          <w:tcPr>
            <w:tcW w:w="5" w:type="pct"/>
            <w:vAlign w:val="center"/>
            <w:hideMark/>
          </w:tcPr>
          <w:p w14:paraId="2B7328DC" w14:textId="77777777" w:rsidR="00000000" w:rsidRDefault="00E614A4">
            <w:pPr>
              <w:rPr>
                <w:rFonts w:eastAsia="Times New Roman"/>
                <w:sz w:val="20"/>
                <w:szCs w:val="20"/>
              </w:rPr>
            </w:pPr>
          </w:p>
        </w:tc>
        <w:tc>
          <w:tcPr>
            <w:tcW w:w="50" w:type="pct"/>
            <w:vAlign w:val="center"/>
            <w:hideMark/>
          </w:tcPr>
          <w:p w14:paraId="7BF34B26" w14:textId="77777777" w:rsidR="00000000" w:rsidRDefault="00E614A4">
            <w:pPr>
              <w:rPr>
                <w:rFonts w:eastAsia="Times New Roman"/>
                <w:sz w:val="20"/>
                <w:szCs w:val="20"/>
              </w:rPr>
            </w:pPr>
          </w:p>
        </w:tc>
        <w:tc>
          <w:tcPr>
            <w:tcW w:w="4396" w:type="pct"/>
            <w:vAlign w:val="center"/>
            <w:hideMark/>
          </w:tcPr>
          <w:p w14:paraId="3F96D8BB" w14:textId="77777777" w:rsidR="00000000" w:rsidRDefault="00E614A4">
            <w:pPr>
              <w:rPr>
                <w:rFonts w:eastAsia="Times New Roman"/>
                <w:sz w:val="20"/>
                <w:szCs w:val="20"/>
              </w:rPr>
            </w:pPr>
          </w:p>
        </w:tc>
        <w:tc>
          <w:tcPr>
            <w:tcW w:w="5" w:type="pct"/>
            <w:vAlign w:val="center"/>
            <w:hideMark/>
          </w:tcPr>
          <w:p w14:paraId="19055561" w14:textId="77777777" w:rsidR="00000000" w:rsidRDefault="00E614A4">
            <w:pPr>
              <w:rPr>
                <w:rFonts w:eastAsia="Times New Roman"/>
                <w:sz w:val="20"/>
                <w:szCs w:val="20"/>
              </w:rPr>
            </w:pPr>
          </w:p>
        </w:tc>
      </w:tr>
      <w:tr w:rsidR="00000000" w14:paraId="4BA9957C" w14:textId="77777777">
        <w:trPr>
          <w:divId w:val="298069503"/>
        </w:trPr>
        <w:tc>
          <w:tcPr>
            <w:tcW w:w="0" w:type="auto"/>
            <w:gridSpan w:val="3"/>
            <w:tcMar>
              <w:top w:w="30" w:type="dxa"/>
              <w:left w:w="20" w:type="dxa"/>
              <w:bottom w:w="30" w:type="dxa"/>
              <w:right w:w="20" w:type="dxa"/>
            </w:tcMar>
            <w:hideMark/>
          </w:tcPr>
          <w:p w14:paraId="7EC068D4" w14:textId="77777777" w:rsidR="00000000" w:rsidRDefault="00E614A4">
            <w:pPr>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36829C0E" w14:textId="77777777" w:rsidR="00000000" w:rsidRDefault="00E614A4">
            <w:pPr>
              <w:rPr>
                <w:rFonts w:eastAsia="Times New Roman"/>
              </w:rPr>
            </w:pPr>
            <w:r>
              <w:rPr>
                <w:rFonts w:eastAsia="Times New Roman"/>
                <w:b/>
                <w:bCs/>
                <w:i/>
                <w:iCs/>
                <w:color w:val="000000"/>
                <w:sz w:val="20"/>
                <w:szCs w:val="20"/>
              </w:rPr>
              <w:t>MINE SAFETY DISCLOSURES</w:t>
            </w:r>
          </w:p>
        </w:tc>
      </w:tr>
    </w:tbl>
    <w:p w14:paraId="43D88C11" w14:textId="77777777" w:rsidR="00000000" w:rsidRDefault="00E614A4">
      <w:pPr>
        <w:divId w:val="876352629"/>
        <w:rPr>
          <w:rFonts w:eastAsia="Times New Roman"/>
        </w:rPr>
      </w:pPr>
      <w:r>
        <w:rPr>
          <w:rFonts w:eastAsia="Times New Roman"/>
          <w:color w:val="000000"/>
          <w:sz w:val="20"/>
          <w:szCs w:val="20"/>
        </w:rPr>
        <w:t>Not applicable.</w:t>
      </w:r>
    </w:p>
    <w:p w14:paraId="65822FBB" w14:textId="77777777" w:rsidR="00000000" w:rsidRDefault="00E614A4">
      <w:pPr>
        <w:jc w:val="center"/>
        <w:divId w:val="1314602386"/>
        <w:rPr>
          <w:rFonts w:eastAsia="Times New Roman"/>
        </w:rPr>
      </w:pPr>
      <w:r>
        <w:rPr>
          <w:rFonts w:eastAsia="Times New Roman"/>
          <w:color w:val="000000"/>
          <w:sz w:val="20"/>
          <w:szCs w:val="20"/>
        </w:rPr>
        <w:t>31</w:t>
      </w:r>
    </w:p>
    <w:p w14:paraId="4E6E04AE" w14:textId="77777777" w:rsidR="00000000" w:rsidRDefault="00E614A4">
      <w:pPr>
        <w:rPr>
          <w:rFonts w:eastAsia="Times New Roman"/>
        </w:rPr>
      </w:pPr>
      <w:r>
        <w:rPr>
          <w:rFonts w:eastAsia="Times New Roman"/>
        </w:rPr>
        <w:pict w14:anchorId="0ED804A1">
          <v:rect id="_x0000_i1058" style="width:0;height:1.5pt" o:hralign="center" o:hrstd="t" o:hr="t" fillcolor="#a0a0a0" stroked="f"/>
        </w:pict>
      </w:r>
    </w:p>
    <w:p w14:paraId="6DB668B1" w14:textId="77777777" w:rsidR="00000000" w:rsidRDefault="00E614A4">
      <w:pPr>
        <w:divId w:val="69777884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9DB3435" w14:textId="77777777" w:rsidR="00000000" w:rsidRDefault="00E614A4">
      <w:pPr>
        <w:divId w:val="1897082553"/>
        <w:rPr>
          <w:rFonts w:eastAsia="Times New Roman"/>
        </w:rPr>
      </w:pPr>
    </w:p>
    <w:p w14:paraId="396E89EE" w14:textId="77777777" w:rsidR="00000000" w:rsidRDefault="00E614A4">
      <w:pPr>
        <w:jc w:val="center"/>
        <w:rPr>
          <w:rFonts w:eastAsia="Times New Roman"/>
        </w:rPr>
      </w:pPr>
      <w:r>
        <w:rPr>
          <w:rFonts w:eastAsia="Times New Roman"/>
          <w:b/>
          <w:bCs/>
          <w:color w:val="000000"/>
          <w:sz w:val="20"/>
          <w:szCs w:val="20"/>
        </w:rPr>
        <w:t>PART II</w:t>
      </w: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14:paraId="1BF45269" w14:textId="77777777">
        <w:trPr>
          <w:divId w:val="2098596555"/>
        </w:trPr>
        <w:tc>
          <w:tcPr>
            <w:tcW w:w="50" w:type="pct"/>
            <w:vAlign w:val="center"/>
            <w:hideMark/>
          </w:tcPr>
          <w:p w14:paraId="60AE3D89" w14:textId="77777777" w:rsidR="00000000" w:rsidRDefault="00E614A4">
            <w:pPr>
              <w:jc w:val="center"/>
              <w:rPr>
                <w:rFonts w:eastAsia="Times New Roman"/>
              </w:rPr>
            </w:pPr>
          </w:p>
        </w:tc>
        <w:tc>
          <w:tcPr>
            <w:tcW w:w="465" w:type="pct"/>
            <w:vAlign w:val="center"/>
            <w:hideMark/>
          </w:tcPr>
          <w:p w14:paraId="177B94F4" w14:textId="77777777" w:rsidR="00000000" w:rsidRDefault="00E614A4">
            <w:pPr>
              <w:rPr>
                <w:rFonts w:eastAsia="Times New Roman"/>
                <w:sz w:val="20"/>
                <w:szCs w:val="20"/>
              </w:rPr>
            </w:pPr>
          </w:p>
        </w:tc>
        <w:tc>
          <w:tcPr>
            <w:tcW w:w="5" w:type="pct"/>
            <w:vAlign w:val="center"/>
            <w:hideMark/>
          </w:tcPr>
          <w:p w14:paraId="7B0E027E" w14:textId="77777777" w:rsidR="00000000" w:rsidRDefault="00E614A4">
            <w:pPr>
              <w:rPr>
                <w:rFonts w:eastAsia="Times New Roman"/>
                <w:sz w:val="20"/>
                <w:szCs w:val="20"/>
              </w:rPr>
            </w:pPr>
          </w:p>
        </w:tc>
        <w:tc>
          <w:tcPr>
            <w:tcW w:w="50" w:type="pct"/>
            <w:vAlign w:val="center"/>
            <w:hideMark/>
          </w:tcPr>
          <w:p w14:paraId="6382A245" w14:textId="77777777" w:rsidR="00000000" w:rsidRDefault="00E614A4">
            <w:pPr>
              <w:rPr>
                <w:rFonts w:eastAsia="Times New Roman"/>
                <w:sz w:val="20"/>
                <w:szCs w:val="20"/>
              </w:rPr>
            </w:pPr>
          </w:p>
        </w:tc>
        <w:tc>
          <w:tcPr>
            <w:tcW w:w="4424" w:type="pct"/>
            <w:vAlign w:val="center"/>
            <w:hideMark/>
          </w:tcPr>
          <w:p w14:paraId="25980CB5" w14:textId="77777777" w:rsidR="00000000" w:rsidRDefault="00E614A4">
            <w:pPr>
              <w:rPr>
                <w:rFonts w:eastAsia="Times New Roman"/>
                <w:sz w:val="20"/>
                <w:szCs w:val="20"/>
              </w:rPr>
            </w:pPr>
          </w:p>
        </w:tc>
        <w:tc>
          <w:tcPr>
            <w:tcW w:w="5" w:type="pct"/>
            <w:vAlign w:val="center"/>
            <w:hideMark/>
          </w:tcPr>
          <w:p w14:paraId="552C34D9" w14:textId="77777777" w:rsidR="00000000" w:rsidRDefault="00E614A4">
            <w:pPr>
              <w:rPr>
                <w:rFonts w:eastAsia="Times New Roman"/>
                <w:sz w:val="20"/>
                <w:szCs w:val="20"/>
              </w:rPr>
            </w:pPr>
          </w:p>
        </w:tc>
      </w:tr>
      <w:tr w:rsidR="00000000" w14:paraId="6E66B38A" w14:textId="77777777">
        <w:trPr>
          <w:divId w:val="2098596555"/>
        </w:trPr>
        <w:tc>
          <w:tcPr>
            <w:tcW w:w="0" w:type="auto"/>
            <w:gridSpan w:val="3"/>
            <w:tcMar>
              <w:top w:w="30" w:type="dxa"/>
              <w:left w:w="20" w:type="dxa"/>
              <w:bottom w:w="30" w:type="dxa"/>
              <w:right w:w="20" w:type="dxa"/>
            </w:tcMar>
            <w:hideMark/>
          </w:tcPr>
          <w:p w14:paraId="070A3700" w14:textId="77777777" w:rsidR="00000000" w:rsidRDefault="00E614A4">
            <w:pPr>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14:paraId="2DECBEF6" w14:textId="77777777" w:rsidR="00000000" w:rsidRDefault="00E614A4">
            <w:pPr>
              <w:rPr>
                <w:rFonts w:eastAsia="Times New Roman"/>
              </w:rPr>
            </w:pPr>
            <w:r>
              <w:rPr>
                <w:rFonts w:eastAsia="Times New Roman"/>
                <w:b/>
                <w:bCs/>
                <w:i/>
                <w:iCs/>
                <w:color w:val="000000"/>
                <w:sz w:val="20"/>
                <w:szCs w:val="20"/>
              </w:rPr>
              <w:t>MARKET FOR REGISTRANT'S COMMON EQUITY, RELATED STOCKHOLDER MATTERS AND ISSUER PURCHASES OF EQUITY SECURITIES</w:t>
            </w:r>
          </w:p>
        </w:tc>
      </w:tr>
    </w:tbl>
    <w:p w14:paraId="75029C9B" w14:textId="77777777" w:rsidR="00000000" w:rsidRDefault="00E614A4">
      <w:pPr>
        <w:jc w:val="both"/>
        <w:divId w:val="115830127"/>
        <w:rPr>
          <w:rFonts w:eastAsia="Times New Roman"/>
        </w:rPr>
      </w:pPr>
      <w:r>
        <w:rPr>
          <w:rFonts w:eastAsia="Times New Roman"/>
          <w:b/>
          <w:bCs/>
          <w:color w:val="000000"/>
          <w:sz w:val="20"/>
          <w:szCs w:val="20"/>
        </w:rPr>
        <w:t>MARKET INFORMATION</w:t>
      </w:r>
    </w:p>
    <w:p w14:paraId="003EE0AC" w14:textId="77777777" w:rsidR="00000000" w:rsidRDefault="00E614A4">
      <w:pPr>
        <w:divId w:val="1631403635"/>
        <w:rPr>
          <w:rFonts w:eastAsia="Times New Roman"/>
        </w:rPr>
      </w:pPr>
      <w:r>
        <w:rPr>
          <w:rFonts w:eastAsia="Times New Roman"/>
          <w:color w:val="000000"/>
          <w:sz w:val="20"/>
          <w:szCs w:val="20"/>
        </w:rPr>
        <w:t>Our Common Stock trades on The Nasdaq Global Select Market under the symbol "SCOR".</w:t>
      </w:r>
    </w:p>
    <w:p w14:paraId="073DCB6E" w14:textId="77777777" w:rsidR="00000000" w:rsidRDefault="00E614A4">
      <w:pPr>
        <w:jc w:val="both"/>
        <w:divId w:val="1486623829"/>
        <w:rPr>
          <w:rFonts w:eastAsia="Times New Roman"/>
        </w:rPr>
      </w:pPr>
      <w:r>
        <w:rPr>
          <w:rFonts w:eastAsia="Times New Roman"/>
          <w:b/>
          <w:bCs/>
          <w:color w:val="000000"/>
          <w:sz w:val="20"/>
          <w:szCs w:val="20"/>
        </w:rPr>
        <w:t>HOLDERS</w:t>
      </w:r>
    </w:p>
    <w:p w14:paraId="68B1DD21" w14:textId="77777777" w:rsidR="00000000" w:rsidRDefault="00E614A4">
      <w:pPr>
        <w:jc w:val="both"/>
        <w:divId w:val="208416262"/>
        <w:rPr>
          <w:rFonts w:eastAsia="Times New Roman"/>
        </w:rPr>
      </w:pPr>
      <w:r>
        <w:rPr>
          <w:rFonts w:eastAsia="Times New Roman"/>
          <w:color w:val="000000"/>
          <w:sz w:val="20"/>
          <w:szCs w:val="20"/>
        </w:rPr>
        <w:t xml:space="preserve">As of March 8, 2021, there were </w:t>
      </w:r>
      <w:r>
        <w:rPr>
          <w:rFonts w:eastAsia="Times New Roman"/>
          <w:color w:val="000000"/>
          <w:sz w:val="20"/>
          <w:szCs w:val="20"/>
        </w:rPr>
        <w:t>97 stockholders of record of our Common Stock, although we believe that there are a significantly larger number of beneficial owners of our Common Stock. We derived the number of stockholders by reviewing the listing of outstanding Common Stock recorded by</w:t>
      </w:r>
      <w:r>
        <w:rPr>
          <w:rFonts w:eastAsia="Times New Roman"/>
          <w:color w:val="000000"/>
          <w:sz w:val="20"/>
          <w:szCs w:val="20"/>
        </w:rPr>
        <w:t xml:space="preserve"> our transfer agent as of March 8, 2021.</w:t>
      </w:r>
      <w:r>
        <w:rPr>
          <w:rFonts w:eastAsia="Times New Roman"/>
          <w:b/>
          <w:bCs/>
          <w:color w:val="000000"/>
          <w:sz w:val="20"/>
          <w:szCs w:val="20"/>
        </w:rPr>
        <w:t> </w:t>
      </w:r>
    </w:p>
    <w:p w14:paraId="0A7D1C9D" w14:textId="77777777" w:rsidR="00000000" w:rsidRDefault="00E614A4">
      <w:pPr>
        <w:jc w:val="both"/>
        <w:divId w:val="663506732"/>
        <w:rPr>
          <w:rFonts w:eastAsia="Times New Roman"/>
        </w:rPr>
      </w:pPr>
      <w:r>
        <w:rPr>
          <w:rFonts w:eastAsia="Times New Roman"/>
          <w:b/>
          <w:bCs/>
          <w:color w:val="000000"/>
          <w:sz w:val="20"/>
          <w:szCs w:val="20"/>
        </w:rPr>
        <w:t>STOCK PERFORMANCE GRAPH</w:t>
      </w:r>
    </w:p>
    <w:p w14:paraId="7CBF7139" w14:textId="77777777" w:rsidR="00000000" w:rsidRDefault="00E614A4">
      <w:pPr>
        <w:jc w:val="both"/>
        <w:divId w:val="1529953043"/>
        <w:rPr>
          <w:rFonts w:eastAsia="Times New Roman"/>
        </w:rPr>
      </w:pPr>
      <w:r>
        <w:rPr>
          <w:rFonts w:eastAsia="Times New Roman"/>
          <w:color w:val="000000"/>
          <w:sz w:val="20"/>
          <w:szCs w:val="20"/>
        </w:rPr>
        <w:t>The following graph compares the cumulative total stockholder return on our Common Stock between December 31, 2015 and December 31, 2020 to the cumulative total returns of the Nasdaq Composi</w:t>
      </w:r>
      <w:r>
        <w:rPr>
          <w:rFonts w:eastAsia="Times New Roman"/>
          <w:color w:val="000000"/>
          <w:sz w:val="20"/>
          <w:szCs w:val="20"/>
        </w:rPr>
        <w:t>te Index, the S&amp;P MidCap 400 Index and the Nasdaq Computer Index over the same period. This graph assumes the investment of $100 at the closing price of the markets on December 31, 2015 in our Common Stock, the Nasdaq Composite Index, the S&amp;P MidCap 400 In</w:t>
      </w:r>
      <w:r>
        <w:rPr>
          <w:rFonts w:eastAsia="Times New Roman"/>
          <w:color w:val="000000"/>
          <w:sz w:val="20"/>
          <w:szCs w:val="20"/>
        </w:rPr>
        <w:t>dex and the Nasdaq Computer Index, and assumes the reinvestment of dividends, if any. The comparisons shown in the following graph are based upon historical data. We caution that the stock price performance shown in the graph below is not necessarily indic</w:t>
      </w:r>
      <w:r>
        <w:rPr>
          <w:rFonts w:eastAsia="Times New Roman"/>
          <w:color w:val="000000"/>
          <w:sz w:val="20"/>
          <w:szCs w:val="20"/>
        </w:rPr>
        <w:t>ative of, nor is it intended to forecast, the potential future performance of our Common Stock.</w:t>
      </w:r>
    </w:p>
    <w:p w14:paraId="57678EC4" w14:textId="77777777" w:rsidR="00000000" w:rsidRDefault="00E614A4">
      <w:pPr>
        <w:jc w:val="center"/>
        <w:divId w:val="1677073898"/>
        <w:rPr>
          <w:rFonts w:eastAsia="Times New Roman"/>
        </w:rPr>
      </w:pPr>
      <w:r>
        <w:rPr>
          <w:rFonts w:eastAsia="Times New Roman"/>
          <w:b/>
          <w:bCs/>
          <w:color w:val="000000"/>
          <w:sz w:val="20"/>
          <w:szCs w:val="20"/>
        </w:rPr>
        <w:t>COMPARISON OF CUMULATIVE TOTAL RETURN*</w:t>
      </w:r>
    </w:p>
    <w:p w14:paraId="3ADCE72B" w14:textId="77777777" w:rsidR="00000000" w:rsidRDefault="00E614A4">
      <w:pPr>
        <w:jc w:val="center"/>
        <w:rPr>
          <w:rFonts w:eastAsia="Times New Roman"/>
        </w:rPr>
      </w:pPr>
      <w:r>
        <w:rPr>
          <w:rFonts w:eastAsia="Times New Roman"/>
          <w:b/>
          <w:bCs/>
          <w:color w:val="000000"/>
          <w:sz w:val="20"/>
          <w:szCs w:val="20"/>
        </w:rPr>
        <w:t>among comScore, Inc., The Nasdaq Composite Index, The S&amp;P MidCap 400 Index</w:t>
      </w:r>
    </w:p>
    <w:p w14:paraId="479D4106" w14:textId="77777777" w:rsidR="00000000" w:rsidRDefault="00E614A4">
      <w:pPr>
        <w:jc w:val="center"/>
        <w:rPr>
          <w:rFonts w:eastAsia="Times New Roman"/>
        </w:rPr>
      </w:pPr>
      <w:r>
        <w:rPr>
          <w:rFonts w:eastAsia="Times New Roman"/>
          <w:b/>
          <w:bCs/>
          <w:color w:val="000000"/>
          <w:sz w:val="20"/>
          <w:szCs w:val="20"/>
        </w:rPr>
        <w:t>and The Nasdaq Computer Index</w:t>
      </w:r>
    </w:p>
    <w:p w14:paraId="76D46C4D" w14:textId="77777777" w:rsidR="00000000" w:rsidRDefault="00E614A4">
      <w:pPr>
        <w:spacing w:before="280"/>
        <w:jc w:val="center"/>
        <w:divId w:val="625811844"/>
        <w:rPr>
          <w:rFonts w:eastAsia="Times New Roman"/>
        </w:rPr>
      </w:pPr>
      <w:r>
        <w:rPr>
          <w:rFonts w:eastAsia="Times New Roman"/>
          <w:noProof/>
        </w:rPr>
        <w:drawing>
          <wp:inline distT="0" distB="0" distL="0" distR="0" wp14:anchorId="10365288" wp14:editId="0F08EE2C">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4BC01B" w14:textId="77777777" w:rsidR="00000000" w:rsidRDefault="00E614A4">
      <w:pPr>
        <w:divId w:val="1537233280"/>
        <w:rPr>
          <w:rFonts w:eastAsia="Times New Roman"/>
        </w:rPr>
      </w:pPr>
      <w:r>
        <w:rPr>
          <w:rFonts w:eastAsia="Times New Roman"/>
          <w:color w:val="000000"/>
          <w:sz w:val="20"/>
          <w:szCs w:val="20"/>
        </w:rPr>
        <w:t>_________________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355"/>
        <w:gridCol w:w="36"/>
        <w:gridCol w:w="69"/>
        <w:gridCol w:w="7741"/>
        <w:gridCol w:w="36"/>
      </w:tblGrid>
      <w:tr w:rsidR="00000000" w14:paraId="2A031BA3" w14:textId="77777777">
        <w:trPr>
          <w:divId w:val="1541476321"/>
        </w:trPr>
        <w:tc>
          <w:tcPr>
            <w:tcW w:w="50" w:type="pct"/>
            <w:vAlign w:val="center"/>
            <w:hideMark/>
          </w:tcPr>
          <w:p w14:paraId="4B15A8A5" w14:textId="77777777" w:rsidR="00000000" w:rsidRDefault="00E614A4">
            <w:pPr>
              <w:rPr>
                <w:rFonts w:eastAsia="Times New Roman"/>
              </w:rPr>
            </w:pPr>
          </w:p>
        </w:tc>
        <w:tc>
          <w:tcPr>
            <w:tcW w:w="222" w:type="pct"/>
            <w:vAlign w:val="center"/>
            <w:hideMark/>
          </w:tcPr>
          <w:p w14:paraId="18F39DCE" w14:textId="77777777" w:rsidR="00000000" w:rsidRDefault="00E614A4">
            <w:pPr>
              <w:rPr>
                <w:rFonts w:eastAsia="Times New Roman"/>
                <w:sz w:val="20"/>
                <w:szCs w:val="20"/>
              </w:rPr>
            </w:pPr>
          </w:p>
        </w:tc>
        <w:tc>
          <w:tcPr>
            <w:tcW w:w="5" w:type="pct"/>
            <w:vAlign w:val="center"/>
            <w:hideMark/>
          </w:tcPr>
          <w:p w14:paraId="54F9B5D6" w14:textId="77777777" w:rsidR="00000000" w:rsidRDefault="00E614A4">
            <w:pPr>
              <w:rPr>
                <w:rFonts w:eastAsia="Times New Roman"/>
                <w:sz w:val="20"/>
                <w:szCs w:val="20"/>
              </w:rPr>
            </w:pPr>
          </w:p>
        </w:tc>
        <w:tc>
          <w:tcPr>
            <w:tcW w:w="50" w:type="pct"/>
            <w:vAlign w:val="center"/>
            <w:hideMark/>
          </w:tcPr>
          <w:p w14:paraId="0AC1AFF5" w14:textId="77777777" w:rsidR="00000000" w:rsidRDefault="00E614A4">
            <w:pPr>
              <w:rPr>
                <w:rFonts w:eastAsia="Times New Roman"/>
                <w:sz w:val="20"/>
                <w:szCs w:val="20"/>
              </w:rPr>
            </w:pPr>
          </w:p>
        </w:tc>
        <w:tc>
          <w:tcPr>
            <w:tcW w:w="4667" w:type="pct"/>
            <w:vAlign w:val="center"/>
            <w:hideMark/>
          </w:tcPr>
          <w:p w14:paraId="4387FBFB" w14:textId="77777777" w:rsidR="00000000" w:rsidRDefault="00E614A4">
            <w:pPr>
              <w:rPr>
                <w:rFonts w:eastAsia="Times New Roman"/>
                <w:sz w:val="20"/>
                <w:szCs w:val="20"/>
              </w:rPr>
            </w:pPr>
          </w:p>
        </w:tc>
        <w:tc>
          <w:tcPr>
            <w:tcW w:w="5" w:type="pct"/>
            <w:vAlign w:val="center"/>
            <w:hideMark/>
          </w:tcPr>
          <w:p w14:paraId="52DAABF1" w14:textId="77777777" w:rsidR="00000000" w:rsidRDefault="00E614A4">
            <w:pPr>
              <w:rPr>
                <w:rFonts w:eastAsia="Times New Roman"/>
                <w:sz w:val="20"/>
                <w:szCs w:val="20"/>
              </w:rPr>
            </w:pPr>
          </w:p>
        </w:tc>
      </w:tr>
      <w:tr w:rsidR="00000000" w14:paraId="1D04B9C0" w14:textId="77777777">
        <w:trPr>
          <w:divId w:val="1541476321"/>
        </w:trPr>
        <w:tc>
          <w:tcPr>
            <w:tcW w:w="0" w:type="auto"/>
            <w:gridSpan w:val="3"/>
            <w:tcMar>
              <w:top w:w="30" w:type="dxa"/>
              <w:left w:w="20" w:type="dxa"/>
              <w:bottom w:w="30" w:type="dxa"/>
              <w:right w:w="20" w:type="dxa"/>
            </w:tcMar>
            <w:hideMark/>
          </w:tcPr>
          <w:p w14:paraId="544802F2" w14:textId="77777777" w:rsidR="00000000" w:rsidRDefault="00E614A4">
            <w:pPr>
              <w:rPr>
                <w:rFonts w:eastAsia="Times New Roman"/>
              </w:rPr>
            </w:pPr>
            <w:r>
              <w:rPr>
                <w:rFonts w:eastAsia="Times New Roman"/>
                <w:color w:val="000000"/>
                <w:sz w:val="18"/>
                <w:szCs w:val="18"/>
              </w:rPr>
              <w:t>*</w:t>
            </w:r>
          </w:p>
        </w:tc>
        <w:tc>
          <w:tcPr>
            <w:tcW w:w="0" w:type="auto"/>
            <w:gridSpan w:val="3"/>
            <w:tcMar>
              <w:top w:w="30" w:type="dxa"/>
              <w:left w:w="20" w:type="dxa"/>
              <w:bottom w:w="30" w:type="dxa"/>
              <w:right w:w="20" w:type="dxa"/>
            </w:tcMar>
            <w:hideMark/>
          </w:tcPr>
          <w:p w14:paraId="69A5E9BC" w14:textId="77777777" w:rsidR="00000000" w:rsidRDefault="00E614A4">
            <w:pPr>
              <w:rPr>
                <w:rFonts w:eastAsia="Times New Roman"/>
              </w:rPr>
            </w:pPr>
            <w:r>
              <w:rPr>
                <w:rFonts w:eastAsia="Times New Roman"/>
                <w:color w:val="000000"/>
                <w:sz w:val="18"/>
                <w:szCs w:val="18"/>
              </w:rPr>
              <w:t xml:space="preserve">$100 invested </w:t>
            </w:r>
            <w:r>
              <w:rPr>
                <w:rFonts w:eastAsia="Times New Roman"/>
                <w:color w:val="000000"/>
                <w:sz w:val="18"/>
                <w:szCs w:val="18"/>
              </w:rPr>
              <w:t>upon market close of The Nasdaq Global Select Market on December 31, 2015, including reinvestment of dividends.</w:t>
            </w:r>
          </w:p>
        </w:tc>
      </w:tr>
    </w:tbl>
    <w:p w14:paraId="5956B62B" w14:textId="77777777" w:rsidR="00000000" w:rsidRDefault="00E614A4">
      <w:pPr>
        <w:jc w:val="both"/>
        <w:divId w:val="950404510"/>
        <w:rPr>
          <w:rFonts w:eastAsia="Times New Roman"/>
        </w:rPr>
      </w:pPr>
      <w:r>
        <w:rPr>
          <w:rFonts w:eastAsia="Times New Roman"/>
          <w:color w:val="000000"/>
          <w:sz w:val="20"/>
          <w:szCs w:val="20"/>
        </w:rPr>
        <w:t>The preceding Stock Performance Graph is not deemed filed with the SEC and shall not be incorporated by reference in any of our filings under the Securities Act of 1933, as amended, or the Exchange Act, as amended whether made before or after the date here</w:t>
      </w:r>
      <w:r>
        <w:rPr>
          <w:rFonts w:eastAsia="Times New Roman"/>
          <w:color w:val="000000"/>
          <w:sz w:val="20"/>
          <w:szCs w:val="20"/>
        </w:rPr>
        <w:t>of and irrespective of any general incorporation language in any such securities filing, except to the extent that we specifically incorporate it by reference.</w:t>
      </w:r>
    </w:p>
    <w:p w14:paraId="6E976B08" w14:textId="77777777" w:rsidR="00000000" w:rsidRDefault="00E614A4">
      <w:pPr>
        <w:jc w:val="center"/>
        <w:divId w:val="330330112"/>
        <w:rPr>
          <w:rFonts w:eastAsia="Times New Roman"/>
        </w:rPr>
      </w:pPr>
      <w:r>
        <w:rPr>
          <w:rFonts w:eastAsia="Times New Roman"/>
          <w:color w:val="000000"/>
          <w:sz w:val="20"/>
          <w:szCs w:val="20"/>
        </w:rPr>
        <w:t>32</w:t>
      </w:r>
    </w:p>
    <w:p w14:paraId="41F202D3" w14:textId="77777777" w:rsidR="00000000" w:rsidRDefault="00E614A4">
      <w:pPr>
        <w:rPr>
          <w:rFonts w:eastAsia="Times New Roman"/>
        </w:rPr>
      </w:pPr>
      <w:r>
        <w:rPr>
          <w:rFonts w:eastAsia="Times New Roman"/>
        </w:rPr>
        <w:pict w14:anchorId="64A5BB64">
          <v:rect id="_x0000_i1060" style="width:0;height:1.5pt" o:hralign="center" o:hrstd="t" o:hr="t" fillcolor="#a0a0a0" stroked="f"/>
        </w:pict>
      </w:r>
    </w:p>
    <w:p w14:paraId="7C63284C" w14:textId="77777777" w:rsidR="00000000" w:rsidRDefault="00E614A4">
      <w:pPr>
        <w:divId w:val="1539968832"/>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30DEF0A" w14:textId="77777777" w:rsidR="00000000" w:rsidRDefault="00E614A4">
      <w:pPr>
        <w:divId w:val="95447757"/>
        <w:rPr>
          <w:rFonts w:eastAsia="Times New Roman"/>
        </w:rPr>
      </w:pPr>
    </w:p>
    <w:p w14:paraId="4897F6D3" w14:textId="77777777" w:rsidR="00000000" w:rsidRDefault="00E614A4">
      <w:pPr>
        <w:jc w:val="both"/>
        <w:divId w:val="830368992"/>
        <w:rPr>
          <w:rFonts w:eastAsia="Times New Roman"/>
        </w:rPr>
      </w:pPr>
      <w:r>
        <w:rPr>
          <w:rFonts w:eastAsia="Times New Roman"/>
          <w:b/>
          <w:bCs/>
          <w:color w:val="000000"/>
          <w:sz w:val="20"/>
          <w:szCs w:val="20"/>
        </w:rPr>
        <w:t>SECURITIES AUTHORIZED FOR ISSUANCE UNDER EQUITY COMPENSATION PLANS</w:t>
      </w:r>
    </w:p>
    <w:p w14:paraId="08E4CC3B" w14:textId="77777777" w:rsidR="00000000" w:rsidRDefault="00E614A4">
      <w:pPr>
        <w:jc w:val="both"/>
        <w:divId w:val="53161811"/>
        <w:rPr>
          <w:rFonts w:eastAsia="Times New Roman"/>
        </w:rPr>
      </w:pPr>
      <w:r>
        <w:rPr>
          <w:rFonts w:eastAsia="Times New Roman"/>
          <w:color w:val="000000"/>
          <w:sz w:val="20"/>
          <w:szCs w:val="20"/>
        </w:rPr>
        <w:t xml:space="preserve">The information relating to our equity compensation plans required by Item 5 is incorporated by reference to such information as set forth in Part III, </w:t>
      </w:r>
      <w:hyperlink w:anchor="ided6989bcc374020961c421c465250ee_223" w:history="1">
        <w:r>
          <w:rPr>
            <w:rStyle w:val="a3"/>
            <w:rFonts w:eastAsia="Times New Roman"/>
            <w:sz w:val="20"/>
            <w:szCs w:val="20"/>
          </w:rPr>
          <w:t>Item 12</w:t>
        </w:r>
      </w:hyperlink>
      <w:r>
        <w:rPr>
          <w:rFonts w:eastAsia="Times New Roman"/>
          <w:color w:val="000000"/>
          <w:sz w:val="20"/>
          <w:szCs w:val="20"/>
        </w:rPr>
        <w:t>, "Security Ownership of Certain Bene</w:t>
      </w:r>
      <w:r>
        <w:rPr>
          <w:rFonts w:eastAsia="Times New Roman"/>
          <w:color w:val="000000"/>
          <w:sz w:val="20"/>
          <w:szCs w:val="20"/>
        </w:rPr>
        <w:t>ficial Owners and Management and Related Stockholder Matters."</w:t>
      </w:r>
    </w:p>
    <w:p w14:paraId="4C7BBA2A" w14:textId="77777777" w:rsidR="00000000" w:rsidRDefault="00E614A4">
      <w:pPr>
        <w:jc w:val="both"/>
        <w:divId w:val="377820015"/>
        <w:rPr>
          <w:rFonts w:eastAsia="Times New Roman"/>
        </w:rPr>
      </w:pPr>
      <w:r>
        <w:rPr>
          <w:rFonts w:eastAsia="Times New Roman"/>
          <w:b/>
          <w:bCs/>
          <w:color w:val="000000"/>
          <w:sz w:val="20"/>
          <w:szCs w:val="20"/>
        </w:rPr>
        <w:t>UNREGISTERED SALES OF EQUITY SECURITIES AND USE OF PROCEEDS</w:t>
      </w:r>
    </w:p>
    <w:p w14:paraId="41A1C914" w14:textId="77777777" w:rsidR="00000000" w:rsidRDefault="00E614A4">
      <w:pPr>
        <w:jc w:val="both"/>
        <w:divId w:val="492914754"/>
        <w:rPr>
          <w:rFonts w:eastAsia="Times New Roman"/>
        </w:rPr>
      </w:pPr>
      <w:r>
        <w:rPr>
          <w:rFonts w:eastAsia="Times New Roman"/>
          <w:color w:val="000000"/>
          <w:sz w:val="20"/>
          <w:szCs w:val="20"/>
        </w:rPr>
        <w:t xml:space="preserve">The information required by Item 701 of Regulation S-K was previously included in the Current Report on Form 8-K filed on October 1, </w:t>
      </w:r>
      <w:r>
        <w:rPr>
          <w:rFonts w:eastAsia="Times New Roman"/>
          <w:color w:val="000000"/>
          <w:sz w:val="20"/>
          <w:szCs w:val="20"/>
        </w:rPr>
        <w:t>2020.</w:t>
      </w:r>
    </w:p>
    <w:p w14:paraId="76ABECB6" w14:textId="77777777" w:rsidR="00000000" w:rsidRDefault="00E614A4">
      <w:pPr>
        <w:jc w:val="both"/>
        <w:divId w:val="755831967"/>
        <w:rPr>
          <w:rFonts w:eastAsia="Times New Roman"/>
        </w:rPr>
      </w:pPr>
      <w:r>
        <w:rPr>
          <w:rFonts w:eastAsia="Times New Roman"/>
          <w:b/>
          <w:bCs/>
          <w:color w:val="000000"/>
          <w:sz w:val="20"/>
          <w:szCs w:val="20"/>
        </w:rPr>
        <w:t xml:space="preserve">PURCHASES OF EQUITY SECURITIES BY THE ISSUER AND AFFILIATED PURCHASERS </w:t>
      </w:r>
    </w:p>
    <w:p w14:paraId="3CA50A43" w14:textId="77777777" w:rsidR="00000000" w:rsidRDefault="00E614A4">
      <w:pPr>
        <w:jc w:val="both"/>
        <w:divId w:val="411897263"/>
        <w:rPr>
          <w:rFonts w:eastAsia="Times New Roman"/>
        </w:rPr>
      </w:pPr>
      <w:r>
        <w:rPr>
          <w:rFonts w:eastAsia="Times New Roman"/>
          <w:color w:val="000000"/>
          <w:sz w:val="20"/>
          <w:szCs w:val="20"/>
        </w:rPr>
        <w:t>None.</w:t>
      </w:r>
    </w:p>
    <w:p w14:paraId="228787D4" w14:textId="77777777" w:rsidR="00000000" w:rsidRDefault="00E614A4">
      <w:pPr>
        <w:jc w:val="both"/>
        <w:rPr>
          <w:rFonts w:eastAsia="Times New Roman"/>
        </w:rPr>
      </w:pPr>
    </w:p>
    <w:p w14:paraId="4472A18A" w14:textId="77777777" w:rsidR="00000000" w:rsidRDefault="00E614A4">
      <w:pPr>
        <w:jc w:val="center"/>
        <w:divId w:val="1948779013"/>
        <w:rPr>
          <w:rFonts w:eastAsia="Times New Roman"/>
        </w:rPr>
      </w:pPr>
      <w:r>
        <w:rPr>
          <w:rFonts w:eastAsia="Times New Roman"/>
          <w:color w:val="000000"/>
          <w:sz w:val="20"/>
          <w:szCs w:val="20"/>
        </w:rPr>
        <w:t>33</w:t>
      </w:r>
    </w:p>
    <w:p w14:paraId="7CABF695" w14:textId="77777777" w:rsidR="00000000" w:rsidRDefault="00E614A4">
      <w:pPr>
        <w:rPr>
          <w:rFonts w:eastAsia="Times New Roman"/>
        </w:rPr>
      </w:pPr>
      <w:r>
        <w:rPr>
          <w:rFonts w:eastAsia="Times New Roman"/>
        </w:rPr>
        <w:pict w14:anchorId="4512C804">
          <v:rect id="_x0000_i1061" style="width:0;height:1.5pt" o:hralign="center" o:hrstd="t" o:hr="t" fillcolor="#a0a0a0" stroked="f"/>
        </w:pict>
      </w:r>
    </w:p>
    <w:p w14:paraId="6C1FAEF5" w14:textId="77777777" w:rsidR="00000000" w:rsidRDefault="00E614A4">
      <w:pPr>
        <w:divId w:val="141068950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687DE86" w14:textId="77777777" w:rsidR="00000000" w:rsidRDefault="00E614A4">
      <w:pPr>
        <w:divId w:val="3087060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5"/>
        <w:gridCol w:w="752"/>
        <w:gridCol w:w="36"/>
        <w:gridCol w:w="69"/>
        <w:gridCol w:w="7338"/>
        <w:gridCol w:w="36"/>
      </w:tblGrid>
      <w:tr w:rsidR="00000000" w14:paraId="506C57EB" w14:textId="77777777">
        <w:trPr>
          <w:divId w:val="262540137"/>
        </w:trPr>
        <w:tc>
          <w:tcPr>
            <w:tcW w:w="50" w:type="pct"/>
            <w:vAlign w:val="center"/>
            <w:hideMark/>
          </w:tcPr>
          <w:p w14:paraId="75707558" w14:textId="77777777" w:rsidR="00000000" w:rsidRDefault="00E614A4">
            <w:pPr>
              <w:rPr>
                <w:rFonts w:eastAsia="Times New Roman"/>
              </w:rPr>
            </w:pPr>
          </w:p>
        </w:tc>
        <w:tc>
          <w:tcPr>
            <w:tcW w:w="465" w:type="pct"/>
            <w:vAlign w:val="center"/>
            <w:hideMark/>
          </w:tcPr>
          <w:p w14:paraId="7652B9C9" w14:textId="77777777" w:rsidR="00000000" w:rsidRDefault="00E614A4">
            <w:pPr>
              <w:rPr>
                <w:rFonts w:eastAsia="Times New Roman"/>
                <w:sz w:val="20"/>
                <w:szCs w:val="20"/>
              </w:rPr>
            </w:pPr>
          </w:p>
        </w:tc>
        <w:tc>
          <w:tcPr>
            <w:tcW w:w="5" w:type="pct"/>
            <w:vAlign w:val="center"/>
            <w:hideMark/>
          </w:tcPr>
          <w:p w14:paraId="5EAE47EF" w14:textId="77777777" w:rsidR="00000000" w:rsidRDefault="00E614A4">
            <w:pPr>
              <w:rPr>
                <w:rFonts w:eastAsia="Times New Roman"/>
                <w:sz w:val="20"/>
                <w:szCs w:val="20"/>
              </w:rPr>
            </w:pPr>
          </w:p>
        </w:tc>
        <w:tc>
          <w:tcPr>
            <w:tcW w:w="50" w:type="pct"/>
            <w:vAlign w:val="center"/>
            <w:hideMark/>
          </w:tcPr>
          <w:p w14:paraId="5F0A75A9" w14:textId="77777777" w:rsidR="00000000" w:rsidRDefault="00E614A4">
            <w:pPr>
              <w:rPr>
                <w:rFonts w:eastAsia="Times New Roman"/>
                <w:sz w:val="20"/>
                <w:szCs w:val="20"/>
              </w:rPr>
            </w:pPr>
          </w:p>
        </w:tc>
        <w:tc>
          <w:tcPr>
            <w:tcW w:w="4424" w:type="pct"/>
            <w:vAlign w:val="center"/>
            <w:hideMark/>
          </w:tcPr>
          <w:p w14:paraId="2F50CC6E" w14:textId="77777777" w:rsidR="00000000" w:rsidRDefault="00E614A4">
            <w:pPr>
              <w:rPr>
                <w:rFonts w:eastAsia="Times New Roman"/>
                <w:sz w:val="20"/>
                <w:szCs w:val="20"/>
              </w:rPr>
            </w:pPr>
          </w:p>
        </w:tc>
        <w:tc>
          <w:tcPr>
            <w:tcW w:w="5" w:type="pct"/>
            <w:vAlign w:val="center"/>
            <w:hideMark/>
          </w:tcPr>
          <w:p w14:paraId="49BF715A" w14:textId="77777777" w:rsidR="00000000" w:rsidRDefault="00E614A4">
            <w:pPr>
              <w:rPr>
                <w:rFonts w:eastAsia="Times New Roman"/>
                <w:sz w:val="20"/>
                <w:szCs w:val="20"/>
              </w:rPr>
            </w:pPr>
          </w:p>
        </w:tc>
      </w:tr>
      <w:tr w:rsidR="00000000" w14:paraId="0CC4A5DA" w14:textId="77777777">
        <w:trPr>
          <w:divId w:val="262540137"/>
        </w:trPr>
        <w:tc>
          <w:tcPr>
            <w:tcW w:w="0" w:type="auto"/>
            <w:gridSpan w:val="3"/>
            <w:tcMar>
              <w:top w:w="30" w:type="dxa"/>
              <w:left w:w="20" w:type="dxa"/>
              <w:bottom w:w="30" w:type="dxa"/>
              <w:right w:w="20" w:type="dxa"/>
            </w:tcMar>
            <w:hideMark/>
          </w:tcPr>
          <w:p w14:paraId="6775C47C" w14:textId="77777777" w:rsidR="00000000" w:rsidRDefault="00E614A4">
            <w:pPr>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hideMark/>
          </w:tcPr>
          <w:p w14:paraId="2BFFBB64" w14:textId="77777777" w:rsidR="00000000" w:rsidRDefault="00E614A4">
            <w:pPr>
              <w:rPr>
                <w:rFonts w:eastAsia="Times New Roman"/>
              </w:rPr>
            </w:pPr>
            <w:r>
              <w:rPr>
                <w:rFonts w:eastAsia="Times New Roman"/>
                <w:b/>
                <w:bCs/>
                <w:i/>
                <w:iCs/>
                <w:color w:val="000000"/>
                <w:sz w:val="20"/>
                <w:szCs w:val="20"/>
              </w:rPr>
              <w:t>SELECTED FINANCIAL DATA</w:t>
            </w:r>
          </w:p>
        </w:tc>
      </w:tr>
    </w:tbl>
    <w:p w14:paraId="6F1B4A59" w14:textId="77777777" w:rsidR="00000000" w:rsidRDefault="00E614A4">
      <w:pPr>
        <w:jc w:val="both"/>
        <w:divId w:val="1149370908"/>
        <w:rPr>
          <w:rFonts w:eastAsia="Times New Roman"/>
        </w:rPr>
      </w:pPr>
      <w:r>
        <w:rPr>
          <w:rFonts w:eastAsia="Times New Roman"/>
          <w:color w:val="000000"/>
          <w:sz w:val="20"/>
          <w:szCs w:val="20"/>
        </w:rPr>
        <w:t xml:space="preserve">The selected Consolidated Statements of Operations and Comprehensive Loss data and Consolidated Balance Sheets data displayed below is derived from our audited Consolidated Financial Statements for the five-year period ended December 31, 2020. </w:t>
      </w:r>
    </w:p>
    <w:p w14:paraId="05003458" w14:textId="77777777" w:rsidR="00000000" w:rsidRDefault="00E614A4">
      <w:pPr>
        <w:jc w:val="both"/>
        <w:divId w:val="1646160110"/>
        <w:rPr>
          <w:rFonts w:eastAsia="Times New Roman"/>
        </w:rPr>
      </w:pPr>
      <w:r>
        <w:rPr>
          <w:rFonts w:eastAsia="Times New Roman"/>
          <w:color w:val="000000"/>
          <w:sz w:val="20"/>
          <w:szCs w:val="20"/>
        </w:rPr>
        <w:t xml:space="preserve">The selected financial data set forth below is not necessarily indicative of results of future operations, and should be read in conjunction with </w:t>
      </w:r>
      <w:hyperlink w:anchor="ided6989bcc374020961c421c465250ee_49" w:history="1">
        <w:r>
          <w:rPr>
            <w:rStyle w:val="a3"/>
            <w:rFonts w:eastAsia="Times New Roman"/>
            <w:sz w:val="20"/>
            <w:szCs w:val="20"/>
          </w:rPr>
          <w:t>Item 7</w:t>
        </w:r>
      </w:hyperlink>
      <w:r>
        <w:rPr>
          <w:rFonts w:eastAsia="Times New Roman"/>
          <w:color w:val="000000"/>
          <w:sz w:val="20"/>
          <w:szCs w:val="20"/>
        </w:rPr>
        <w:t xml:space="preserve">, </w:t>
      </w:r>
      <w:r>
        <w:rPr>
          <w:rFonts w:eastAsia="Times New Roman"/>
          <w:i/>
          <w:iCs/>
          <w:color w:val="000000"/>
          <w:sz w:val="20"/>
          <w:szCs w:val="20"/>
        </w:rPr>
        <w:t>Management's Discussion and Analysis of Fin</w:t>
      </w:r>
      <w:r>
        <w:rPr>
          <w:rFonts w:eastAsia="Times New Roman"/>
          <w:i/>
          <w:iCs/>
          <w:color w:val="000000"/>
          <w:sz w:val="20"/>
          <w:szCs w:val="20"/>
        </w:rPr>
        <w:t>ancial Condition and Results of Operations</w:t>
      </w:r>
      <w:r>
        <w:rPr>
          <w:rFonts w:eastAsia="Times New Roman"/>
          <w:color w:val="000000"/>
          <w:sz w:val="20"/>
          <w:szCs w:val="20"/>
        </w:rPr>
        <w:t xml:space="preserve">, and the Consolidated Financial Statements and related notes thereto included in this 10-K under the caption </w:t>
      </w:r>
      <w:hyperlink w:anchor="ided6989bcc374020961c421c465250ee_76" w:history="1">
        <w:r>
          <w:rPr>
            <w:rStyle w:val="a3"/>
            <w:rFonts w:eastAsia="Times New Roman"/>
            <w:sz w:val="20"/>
            <w:szCs w:val="20"/>
          </w:rPr>
          <w:t>Item 8</w:t>
        </w:r>
      </w:hyperlink>
      <w:r>
        <w:rPr>
          <w:rFonts w:eastAsia="Times New Roman"/>
          <w:color w:val="000000"/>
          <w:sz w:val="20"/>
          <w:szCs w:val="20"/>
        </w:rPr>
        <w:t xml:space="preserve">, </w:t>
      </w:r>
      <w:r>
        <w:rPr>
          <w:rFonts w:eastAsia="Times New Roman"/>
          <w:i/>
          <w:iCs/>
          <w:color w:val="000000"/>
          <w:sz w:val="20"/>
          <w:szCs w:val="20"/>
        </w:rPr>
        <w:t>Financial Statements and Supplementar</w:t>
      </w:r>
      <w:r>
        <w:rPr>
          <w:rFonts w:eastAsia="Times New Roman"/>
          <w:i/>
          <w:iCs/>
          <w:color w:val="000000"/>
          <w:sz w:val="20"/>
          <w:szCs w:val="20"/>
        </w:rPr>
        <w:t>y Data</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006"/>
        <w:gridCol w:w="37"/>
        <w:gridCol w:w="36"/>
        <w:gridCol w:w="36"/>
        <w:gridCol w:w="36"/>
        <w:gridCol w:w="111"/>
        <w:gridCol w:w="790"/>
        <w:gridCol w:w="36"/>
        <w:gridCol w:w="36"/>
        <w:gridCol w:w="36"/>
        <w:gridCol w:w="36"/>
        <w:gridCol w:w="111"/>
        <w:gridCol w:w="790"/>
        <w:gridCol w:w="36"/>
        <w:gridCol w:w="36"/>
        <w:gridCol w:w="36"/>
        <w:gridCol w:w="36"/>
        <w:gridCol w:w="111"/>
        <w:gridCol w:w="790"/>
        <w:gridCol w:w="36"/>
        <w:gridCol w:w="36"/>
        <w:gridCol w:w="36"/>
        <w:gridCol w:w="36"/>
        <w:gridCol w:w="111"/>
        <w:gridCol w:w="790"/>
        <w:gridCol w:w="36"/>
        <w:gridCol w:w="36"/>
        <w:gridCol w:w="36"/>
        <w:gridCol w:w="36"/>
        <w:gridCol w:w="111"/>
        <w:gridCol w:w="790"/>
        <w:gridCol w:w="36"/>
      </w:tblGrid>
      <w:tr w:rsidR="00000000" w14:paraId="43200F89" w14:textId="77777777">
        <w:trPr>
          <w:divId w:val="877090312"/>
          <w:jc w:val="center"/>
        </w:trPr>
        <w:tc>
          <w:tcPr>
            <w:tcW w:w="50" w:type="pct"/>
            <w:vAlign w:val="center"/>
            <w:hideMark/>
          </w:tcPr>
          <w:p w14:paraId="73E4B8C1" w14:textId="77777777" w:rsidR="00000000" w:rsidRDefault="00E614A4">
            <w:pPr>
              <w:jc w:val="both"/>
              <w:rPr>
                <w:rFonts w:eastAsia="Times New Roman"/>
              </w:rPr>
            </w:pPr>
          </w:p>
        </w:tc>
        <w:tc>
          <w:tcPr>
            <w:tcW w:w="2201" w:type="pct"/>
            <w:vAlign w:val="center"/>
            <w:hideMark/>
          </w:tcPr>
          <w:p w14:paraId="2890CB6F" w14:textId="77777777" w:rsidR="00000000" w:rsidRDefault="00E614A4">
            <w:pPr>
              <w:rPr>
                <w:rFonts w:eastAsia="Times New Roman"/>
                <w:sz w:val="20"/>
                <w:szCs w:val="20"/>
              </w:rPr>
            </w:pPr>
          </w:p>
        </w:tc>
        <w:tc>
          <w:tcPr>
            <w:tcW w:w="5" w:type="pct"/>
            <w:vAlign w:val="center"/>
            <w:hideMark/>
          </w:tcPr>
          <w:p w14:paraId="55D93CF6" w14:textId="77777777" w:rsidR="00000000" w:rsidRDefault="00E614A4">
            <w:pPr>
              <w:rPr>
                <w:rFonts w:eastAsia="Times New Roman"/>
                <w:sz w:val="20"/>
                <w:szCs w:val="20"/>
              </w:rPr>
            </w:pPr>
          </w:p>
        </w:tc>
        <w:tc>
          <w:tcPr>
            <w:tcW w:w="5" w:type="pct"/>
            <w:vAlign w:val="center"/>
            <w:hideMark/>
          </w:tcPr>
          <w:p w14:paraId="0A0488D4" w14:textId="77777777" w:rsidR="00000000" w:rsidRDefault="00E614A4">
            <w:pPr>
              <w:rPr>
                <w:rFonts w:eastAsia="Times New Roman"/>
                <w:sz w:val="20"/>
                <w:szCs w:val="20"/>
              </w:rPr>
            </w:pPr>
          </w:p>
        </w:tc>
        <w:tc>
          <w:tcPr>
            <w:tcW w:w="17" w:type="pct"/>
            <w:vAlign w:val="center"/>
            <w:hideMark/>
          </w:tcPr>
          <w:p w14:paraId="6B01F039" w14:textId="77777777" w:rsidR="00000000" w:rsidRDefault="00E614A4">
            <w:pPr>
              <w:rPr>
                <w:rFonts w:eastAsia="Times New Roman"/>
                <w:sz w:val="20"/>
                <w:szCs w:val="20"/>
              </w:rPr>
            </w:pPr>
          </w:p>
        </w:tc>
        <w:tc>
          <w:tcPr>
            <w:tcW w:w="5" w:type="pct"/>
            <w:vAlign w:val="center"/>
            <w:hideMark/>
          </w:tcPr>
          <w:p w14:paraId="4469B849" w14:textId="77777777" w:rsidR="00000000" w:rsidRDefault="00E614A4">
            <w:pPr>
              <w:rPr>
                <w:rFonts w:eastAsia="Times New Roman"/>
                <w:sz w:val="20"/>
                <w:szCs w:val="20"/>
              </w:rPr>
            </w:pPr>
          </w:p>
        </w:tc>
        <w:tc>
          <w:tcPr>
            <w:tcW w:w="50" w:type="pct"/>
            <w:vAlign w:val="center"/>
            <w:hideMark/>
          </w:tcPr>
          <w:p w14:paraId="26CFB2D8" w14:textId="77777777" w:rsidR="00000000" w:rsidRDefault="00E614A4">
            <w:pPr>
              <w:rPr>
                <w:rFonts w:eastAsia="Times New Roman"/>
                <w:sz w:val="20"/>
                <w:szCs w:val="20"/>
              </w:rPr>
            </w:pPr>
          </w:p>
        </w:tc>
        <w:tc>
          <w:tcPr>
            <w:tcW w:w="465" w:type="pct"/>
            <w:vAlign w:val="center"/>
            <w:hideMark/>
          </w:tcPr>
          <w:p w14:paraId="090CD8A5" w14:textId="77777777" w:rsidR="00000000" w:rsidRDefault="00E614A4">
            <w:pPr>
              <w:rPr>
                <w:rFonts w:eastAsia="Times New Roman"/>
                <w:sz w:val="20"/>
                <w:szCs w:val="20"/>
              </w:rPr>
            </w:pPr>
          </w:p>
        </w:tc>
        <w:tc>
          <w:tcPr>
            <w:tcW w:w="5" w:type="pct"/>
            <w:vAlign w:val="center"/>
            <w:hideMark/>
          </w:tcPr>
          <w:p w14:paraId="4CDFF30E" w14:textId="77777777" w:rsidR="00000000" w:rsidRDefault="00E614A4">
            <w:pPr>
              <w:rPr>
                <w:rFonts w:eastAsia="Times New Roman"/>
                <w:sz w:val="20"/>
                <w:szCs w:val="20"/>
              </w:rPr>
            </w:pPr>
          </w:p>
        </w:tc>
        <w:tc>
          <w:tcPr>
            <w:tcW w:w="5" w:type="pct"/>
            <w:vAlign w:val="center"/>
            <w:hideMark/>
          </w:tcPr>
          <w:p w14:paraId="467C3401" w14:textId="77777777" w:rsidR="00000000" w:rsidRDefault="00E614A4">
            <w:pPr>
              <w:rPr>
                <w:rFonts w:eastAsia="Times New Roman"/>
                <w:sz w:val="20"/>
                <w:szCs w:val="20"/>
              </w:rPr>
            </w:pPr>
          </w:p>
        </w:tc>
        <w:tc>
          <w:tcPr>
            <w:tcW w:w="17" w:type="pct"/>
            <w:vAlign w:val="center"/>
            <w:hideMark/>
          </w:tcPr>
          <w:p w14:paraId="25E3F4FD" w14:textId="77777777" w:rsidR="00000000" w:rsidRDefault="00E614A4">
            <w:pPr>
              <w:rPr>
                <w:rFonts w:eastAsia="Times New Roman"/>
                <w:sz w:val="20"/>
                <w:szCs w:val="20"/>
              </w:rPr>
            </w:pPr>
          </w:p>
        </w:tc>
        <w:tc>
          <w:tcPr>
            <w:tcW w:w="5" w:type="pct"/>
            <w:vAlign w:val="center"/>
            <w:hideMark/>
          </w:tcPr>
          <w:p w14:paraId="353A5398" w14:textId="77777777" w:rsidR="00000000" w:rsidRDefault="00E614A4">
            <w:pPr>
              <w:rPr>
                <w:rFonts w:eastAsia="Times New Roman"/>
                <w:sz w:val="20"/>
                <w:szCs w:val="20"/>
              </w:rPr>
            </w:pPr>
          </w:p>
        </w:tc>
        <w:tc>
          <w:tcPr>
            <w:tcW w:w="50" w:type="pct"/>
            <w:vAlign w:val="center"/>
            <w:hideMark/>
          </w:tcPr>
          <w:p w14:paraId="19A5C537" w14:textId="77777777" w:rsidR="00000000" w:rsidRDefault="00E614A4">
            <w:pPr>
              <w:rPr>
                <w:rFonts w:eastAsia="Times New Roman"/>
                <w:sz w:val="20"/>
                <w:szCs w:val="20"/>
              </w:rPr>
            </w:pPr>
          </w:p>
        </w:tc>
        <w:tc>
          <w:tcPr>
            <w:tcW w:w="465" w:type="pct"/>
            <w:vAlign w:val="center"/>
            <w:hideMark/>
          </w:tcPr>
          <w:p w14:paraId="078B7E0A" w14:textId="77777777" w:rsidR="00000000" w:rsidRDefault="00E614A4">
            <w:pPr>
              <w:rPr>
                <w:rFonts w:eastAsia="Times New Roman"/>
                <w:sz w:val="20"/>
                <w:szCs w:val="20"/>
              </w:rPr>
            </w:pPr>
          </w:p>
        </w:tc>
        <w:tc>
          <w:tcPr>
            <w:tcW w:w="5" w:type="pct"/>
            <w:vAlign w:val="center"/>
            <w:hideMark/>
          </w:tcPr>
          <w:p w14:paraId="0D6EFBCF" w14:textId="77777777" w:rsidR="00000000" w:rsidRDefault="00E614A4">
            <w:pPr>
              <w:rPr>
                <w:rFonts w:eastAsia="Times New Roman"/>
                <w:sz w:val="20"/>
                <w:szCs w:val="20"/>
              </w:rPr>
            </w:pPr>
          </w:p>
        </w:tc>
        <w:tc>
          <w:tcPr>
            <w:tcW w:w="5" w:type="pct"/>
            <w:vAlign w:val="center"/>
            <w:hideMark/>
          </w:tcPr>
          <w:p w14:paraId="75BEF42F" w14:textId="77777777" w:rsidR="00000000" w:rsidRDefault="00E614A4">
            <w:pPr>
              <w:rPr>
                <w:rFonts w:eastAsia="Times New Roman"/>
                <w:sz w:val="20"/>
                <w:szCs w:val="20"/>
              </w:rPr>
            </w:pPr>
          </w:p>
        </w:tc>
        <w:tc>
          <w:tcPr>
            <w:tcW w:w="17" w:type="pct"/>
            <w:vAlign w:val="center"/>
            <w:hideMark/>
          </w:tcPr>
          <w:p w14:paraId="39AAB3EC" w14:textId="77777777" w:rsidR="00000000" w:rsidRDefault="00E614A4">
            <w:pPr>
              <w:rPr>
                <w:rFonts w:eastAsia="Times New Roman"/>
                <w:sz w:val="20"/>
                <w:szCs w:val="20"/>
              </w:rPr>
            </w:pPr>
          </w:p>
        </w:tc>
        <w:tc>
          <w:tcPr>
            <w:tcW w:w="5" w:type="pct"/>
            <w:vAlign w:val="center"/>
            <w:hideMark/>
          </w:tcPr>
          <w:p w14:paraId="64C54085" w14:textId="77777777" w:rsidR="00000000" w:rsidRDefault="00E614A4">
            <w:pPr>
              <w:rPr>
                <w:rFonts w:eastAsia="Times New Roman"/>
                <w:sz w:val="20"/>
                <w:szCs w:val="20"/>
              </w:rPr>
            </w:pPr>
          </w:p>
        </w:tc>
        <w:tc>
          <w:tcPr>
            <w:tcW w:w="50" w:type="pct"/>
            <w:vAlign w:val="center"/>
            <w:hideMark/>
          </w:tcPr>
          <w:p w14:paraId="7E491BB5" w14:textId="77777777" w:rsidR="00000000" w:rsidRDefault="00E614A4">
            <w:pPr>
              <w:rPr>
                <w:rFonts w:eastAsia="Times New Roman"/>
                <w:sz w:val="20"/>
                <w:szCs w:val="20"/>
              </w:rPr>
            </w:pPr>
          </w:p>
        </w:tc>
        <w:tc>
          <w:tcPr>
            <w:tcW w:w="465" w:type="pct"/>
            <w:vAlign w:val="center"/>
            <w:hideMark/>
          </w:tcPr>
          <w:p w14:paraId="55B8F673" w14:textId="77777777" w:rsidR="00000000" w:rsidRDefault="00E614A4">
            <w:pPr>
              <w:rPr>
                <w:rFonts w:eastAsia="Times New Roman"/>
                <w:sz w:val="20"/>
                <w:szCs w:val="20"/>
              </w:rPr>
            </w:pPr>
          </w:p>
        </w:tc>
        <w:tc>
          <w:tcPr>
            <w:tcW w:w="5" w:type="pct"/>
            <w:vAlign w:val="center"/>
            <w:hideMark/>
          </w:tcPr>
          <w:p w14:paraId="33D371D2" w14:textId="77777777" w:rsidR="00000000" w:rsidRDefault="00E614A4">
            <w:pPr>
              <w:rPr>
                <w:rFonts w:eastAsia="Times New Roman"/>
                <w:sz w:val="20"/>
                <w:szCs w:val="20"/>
              </w:rPr>
            </w:pPr>
          </w:p>
        </w:tc>
        <w:tc>
          <w:tcPr>
            <w:tcW w:w="5" w:type="pct"/>
            <w:vAlign w:val="center"/>
            <w:hideMark/>
          </w:tcPr>
          <w:p w14:paraId="51C2492C" w14:textId="77777777" w:rsidR="00000000" w:rsidRDefault="00E614A4">
            <w:pPr>
              <w:rPr>
                <w:rFonts w:eastAsia="Times New Roman"/>
                <w:sz w:val="20"/>
                <w:szCs w:val="20"/>
              </w:rPr>
            </w:pPr>
          </w:p>
        </w:tc>
        <w:tc>
          <w:tcPr>
            <w:tcW w:w="17" w:type="pct"/>
            <w:vAlign w:val="center"/>
            <w:hideMark/>
          </w:tcPr>
          <w:p w14:paraId="257E0C8E" w14:textId="77777777" w:rsidR="00000000" w:rsidRDefault="00E614A4">
            <w:pPr>
              <w:rPr>
                <w:rFonts w:eastAsia="Times New Roman"/>
                <w:sz w:val="20"/>
                <w:szCs w:val="20"/>
              </w:rPr>
            </w:pPr>
          </w:p>
        </w:tc>
        <w:tc>
          <w:tcPr>
            <w:tcW w:w="5" w:type="pct"/>
            <w:vAlign w:val="center"/>
            <w:hideMark/>
          </w:tcPr>
          <w:p w14:paraId="6FB468D1" w14:textId="77777777" w:rsidR="00000000" w:rsidRDefault="00E614A4">
            <w:pPr>
              <w:rPr>
                <w:rFonts w:eastAsia="Times New Roman"/>
                <w:sz w:val="20"/>
                <w:szCs w:val="20"/>
              </w:rPr>
            </w:pPr>
          </w:p>
        </w:tc>
        <w:tc>
          <w:tcPr>
            <w:tcW w:w="50" w:type="pct"/>
            <w:vAlign w:val="center"/>
            <w:hideMark/>
          </w:tcPr>
          <w:p w14:paraId="772613D5" w14:textId="77777777" w:rsidR="00000000" w:rsidRDefault="00E614A4">
            <w:pPr>
              <w:rPr>
                <w:rFonts w:eastAsia="Times New Roman"/>
                <w:sz w:val="20"/>
                <w:szCs w:val="20"/>
              </w:rPr>
            </w:pPr>
          </w:p>
        </w:tc>
        <w:tc>
          <w:tcPr>
            <w:tcW w:w="465" w:type="pct"/>
            <w:vAlign w:val="center"/>
            <w:hideMark/>
          </w:tcPr>
          <w:p w14:paraId="0AD3C09A" w14:textId="77777777" w:rsidR="00000000" w:rsidRDefault="00E614A4">
            <w:pPr>
              <w:rPr>
                <w:rFonts w:eastAsia="Times New Roman"/>
                <w:sz w:val="20"/>
                <w:szCs w:val="20"/>
              </w:rPr>
            </w:pPr>
          </w:p>
        </w:tc>
        <w:tc>
          <w:tcPr>
            <w:tcW w:w="5" w:type="pct"/>
            <w:vAlign w:val="center"/>
            <w:hideMark/>
          </w:tcPr>
          <w:p w14:paraId="78908EE9" w14:textId="77777777" w:rsidR="00000000" w:rsidRDefault="00E614A4">
            <w:pPr>
              <w:rPr>
                <w:rFonts w:eastAsia="Times New Roman"/>
                <w:sz w:val="20"/>
                <w:szCs w:val="20"/>
              </w:rPr>
            </w:pPr>
          </w:p>
        </w:tc>
        <w:tc>
          <w:tcPr>
            <w:tcW w:w="5" w:type="pct"/>
            <w:vAlign w:val="center"/>
            <w:hideMark/>
          </w:tcPr>
          <w:p w14:paraId="5CC77EF9" w14:textId="77777777" w:rsidR="00000000" w:rsidRDefault="00E614A4">
            <w:pPr>
              <w:rPr>
                <w:rFonts w:eastAsia="Times New Roman"/>
                <w:sz w:val="20"/>
                <w:szCs w:val="20"/>
              </w:rPr>
            </w:pPr>
          </w:p>
        </w:tc>
        <w:tc>
          <w:tcPr>
            <w:tcW w:w="17" w:type="pct"/>
            <w:vAlign w:val="center"/>
            <w:hideMark/>
          </w:tcPr>
          <w:p w14:paraId="6C5EF9E2" w14:textId="77777777" w:rsidR="00000000" w:rsidRDefault="00E614A4">
            <w:pPr>
              <w:rPr>
                <w:rFonts w:eastAsia="Times New Roman"/>
                <w:sz w:val="20"/>
                <w:szCs w:val="20"/>
              </w:rPr>
            </w:pPr>
          </w:p>
        </w:tc>
        <w:tc>
          <w:tcPr>
            <w:tcW w:w="5" w:type="pct"/>
            <w:vAlign w:val="center"/>
            <w:hideMark/>
          </w:tcPr>
          <w:p w14:paraId="12A554BB" w14:textId="77777777" w:rsidR="00000000" w:rsidRDefault="00E614A4">
            <w:pPr>
              <w:rPr>
                <w:rFonts w:eastAsia="Times New Roman"/>
                <w:sz w:val="20"/>
                <w:szCs w:val="20"/>
              </w:rPr>
            </w:pPr>
          </w:p>
        </w:tc>
        <w:tc>
          <w:tcPr>
            <w:tcW w:w="50" w:type="pct"/>
            <w:vAlign w:val="center"/>
            <w:hideMark/>
          </w:tcPr>
          <w:p w14:paraId="6BB046B3" w14:textId="77777777" w:rsidR="00000000" w:rsidRDefault="00E614A4">
            <w:pPr>
              <w:rPr>
                <w:rFonts w:eastAsia="Times New Roman"/>
                <w:sz w:val="20"/>
                <w:szCs w:val="20"/>
              </w:rPr>
            </w:pPr>
          </w:p>
        </w:tc>
        <w:tc>
          <w:tcPr>
            <w:tcW w:w="466" w:type="pct"/>
            <w:vAlign w:val="center"/>
            <w:hideMark/>
          </w:tcPr>
          <w:p w14:paraId="649526C7" w14:textId="77777777" w:rsidR="00000000" w:rsidRDefault="00E614A4">
            <w:pPr>
              <w:rPr>
                <w:rFonts w:eastAsia="Times New Roman"/>
                <w:sz w:val="20"/>
                <w:szCs w:val="20"/>
              </w:rPr>
            </w:pPr>
          </w:p>
        </w:tc>
        <w:tc>
          <w:tcPr>
            <w:tcW w:w="5" w:type="pct"/>
            <w:vAlign w:val="center"/>
            <w:hideMark/>
          </w:tcPr>
          <w:p w14:paraId="48FD93E8" w14:textId="77777777" w:rsidR="00000000" w:rsidRDefault="00E614A4">
            <w:pPr>
              <w:rPr>
                <w:rFonts w:eastAsia="Times New Roman"/>
                <w:sz w:val="20"/>
                <w:szCs w:val="20"/>
              </w:rPr>
            </w:pPr>
          </w:p>
        </w:tc>
      </w:tr>
      <w:tr w:rsidR="00000000" w14:paraId="043CE660" w14:textId="77777777">
        <w:trPr>
          <w:divId w:val="877090312"/>
          <w:jc w:val="center"/>
        </w:trPr>
        <w:tc>
          <w:tcPr>
            <w:tcW w:w="0" w:type="auto"/>
            <w:gridSpan w:val="3"/>
            <w:shd w:val="clear" w:color="auto" w:fill="FFFFFF"/>
            <w:tcMar>
              <w:top w:w="30" w:type="dxa"/>
              <w:left w:w="20" w:type="dxa"/>
              <w:bottom w:w="30" w:type="dxa"/>
              <w:right w:w="20" w:type="dxa"/>
            </w:tcMar>
            <w:vAlign w:val="bottom"/>
            <w:hideMark/>
          </w:tcPr>
          <w:p w14:paraId="4000D5F5" w14:textId="77777777" w:rsidR="00000000" w:rsidRDefault="00E614A4">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B1CF403" w14:textId="77777777" w:rsidR="00000000" w:rsidRDefault="00E614A4">
            <w:pPr>
              <w:rPr>
                <w:rFonts w:eastAsia="Times New Roman"/>
              </w:rPr>
            </w:pPr>
          </w:p>
        </w:tc>
        <w:tc>
          <w:tcPr>
            <w:tcW w:w="0" w:type="auto"/>
            <w:gridSpan w:val="27"/>
            <w:shd w:val="clear" w:color="auto" w:fill="FFFFFF"/>
            <w:tcMar>
              <w:top w:w="30" w:type="dxa"/>
              <w:left w:w="20" w:type="dxa"/>
              <w:bottom w:w="30" w:type="dxa"/>
              <w:right w:w="20" w:type="dxa"/>
            </w:tcMar>
            <w:vAlign w:val="bottom"/>
            <w:hideMark/>
          </w:tcPr>
          <w:p w14:paraId="20CA1964" w14:textId="77777777" w:rsidR="00000000" w:rsidRDefault="00E614A4">
            <w:pPr>
              <w:jc w:val="center"/>
              <w:rPr>
                <w:rFonts w:eastAsia="Times New Roman"/>
              </w:rPr>
            </w:pPr>
            <w:r>
              <w:rPr>
                <w:rFonts w:eastAsia="Times New Roman"/>
                <w:b/>
                <w:bCs/>
                <w:color w:val="000000"/>
                <w:sz w:val="16"/>
                <w:szCs w:val="16"/>
              </w:rPr>
              <w:t>Year ended December 31,</w:t>
            </w:r>
          </w:p>
        </w:tc>
      </w:tr>
      <w:tr w:rsidR="00000000" w14:paraId="28A94001" w14:textId="77777777">
        <w:trPr>
          <w:divId w:val="877090312"/>
          <w:jc w:val="center"/>
        </w:trPr>
        <w:tc>
          <w:tcPr>
            <w:tcW w:w="0" w:type="auto"/>
            <w:gridSpan w:val="3"/>
            <w:shd w:val="clear" w:color="auto" w:fill="FFFFFF"/>
            <w:tcMar>
              <w:top w:w="30" w:type="dxa"/>
              <w:left w:w="20" w:type="dxa"/>
              <w:bottom w:w="30" w:type="dxa"/>
              <w:right w:w="20" w:type="dxa"/>
            </w:tcMar>
            <w:vAlign w:val="bottom"/>
            <w:hideMark/>
          </w:tcPr>
          <w:p w14:paraId="2F5EAA92" w14:textId="77777777" w:rsidR="00000000" w:rsidRDefault="00E614A4">
            <w:pPr>
              <w:rPr>
                <w:rFonts w:eastAsia="Times New Roman"/>
              </w:rPr>
            </w:pPr>
            <w:r>
              <w:rPr>
                <w:rFonts w:eastAsia="Times New Roman"/>
                <w:i/>
                <w:iCs/>
                <w:color w:val="000000"/>
                <w:sz w:val="16"/>
                <w:szCs w:val="16"/>
              </w:rPr>
              <w:t>(In thousands, except share and per share data)</w:t>
            </w:r>
          </w:p>
        </w:tc>
        <w:tc>
          <w:tcPr>
            <w:tcW w:w="0" w:type="auto"/>
            <w:gridSpan w:val="3"/>
            <w:shd w:val="clear" w:color="auto" w:fill="FFFFFF"/>
            <w:tcMar>
              <w:top w:w="0" w:type="dxa"/>
              <w:left w:w="20" w:type="dxa"/>
              <w:bottom w:w="0" w:type="dxa"/>
              <w:right w:w="20" w:type="dxa"/>
            </w:tcMar>
            <w:vAlign w:val="center"/>
            <w:hideMark/>
          </w:tcPr>
          <w:p w14:paraId="5DC277A2" w14:textId="77777777" w:rsidR="00000000" w:rsidRDefault="00E614A4">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8745E77"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58C22F"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F1E85CD"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FFE5B6"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1C4199" w14:textId="77777777" w:rsidR="00000000" w:rsidRDefault="00E614A4">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0D5330"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93D32A8" w14:textId="77777777" w:rsidR="00000000" w:rsidRDefault="00E614A4">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CCFED2"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2588313" w14:textId="77777777" w:rsidR="00000000" w:rsidRDefault="00E614A4">
            <w:pPr>
              <w:jc w:val="center"/>
              <w:rPr>
                <w:rFonts w:eastAsia="Times New Roman"/>
              </w:rPr>
            </w:pPr>
            <w:r>
              <w:rPr>
                <w:rFonts w:eastAsia="Times New Roman"/>
                <w:b/>
                <w:bCs/>
                <w:color w:val="000000"/>
                <w:sz w:val="16"/>
                <w:szCs w:val="16"/>
              </w:rPr>
              <w:t>2016</w:t>
            </w:r>
            <w:r>
              <w:rPr>
                <w:rFonts w:eastAsia="Times New Roman"/>
                <w:b/>
                <w:bCs/>
                <w:color w:val="000000"/>
                <w:sz w:val="16"/>
                <w:szCs w:val="16"/>
              </w:rPr>
              <w:t xml:space="preserve"> </w:t>
            </w:r>
            <w:r>
              <w:rPr>
                <w:rFonts w:eastAsia="Times New Roman"/>
                <w:b/>
                <w:bCs/>
                <w:i/>
                <w:iCs/>
                <w:color w:val="000000"/>
                <w:sz w:val="10"/>
                <w:szCs w:val="10"/>
              </w:rPr>
              <w:t>(1</w:t>
            </w:r>
            <w:r>
              <w:rPr>
                <w:rFonts w:eastAsia="Times New Roman"/>
                <w:b/>
                <w:bCs/>
                <w:i/>
                <w:iCs/>
                <w:color w:val="000000"/>
                <w:sz w:val="10"/>
                <w:szCs w:val="10"/>
              </w:rPr>
              <w:t>)</w:t>
            </w:r>
          </w:p>
        </w:tc>
      </w:tr>
      <w:tr w:rsidR="00000000" w14:paraId="5862A7C6" w14:textId="77777777">
        <w:trPr>
          <w:divId w:val="877090312"/>
          <w:jc w:val="center"/>
        </w:trPr>
        <w:tc>
          <w:tcPr>
            <w:tcW w:w="0" w:type="auto"/>
            <w:gridSpan w:val="3"/>
            <w:shd w:val="clear" w:color="auto" w:fill="CCEEFF"/>
            <w:tcMar>
              <w:top w:w="30" w:type="dxa"/>
              <w:left w:w="20" w:type="dxa"/>
              <w:bottom w:w="30" w:type="dxa"/>
              <w:right w:w="20" w:type="dxa"/>
            </w:tcMar>
            <w:vAlign w:val="bottom"/>
            <w:hideMark/>
          </w:tcPr>
          <w:p w14:paraId="00092083" w14:textId="77777777" w:rsidR="00000000" w:rsidRDefault="00E614A4">
            <w:pPr>
              <w:divId w:val="119692716"/>
              <w:rPr>
                <w:rFonts w:eastAsia="Times New Roman"/>
              </w:rPr>
            </w:pPr>
            <w:r>
              <w:rPr>
                <w:rFonts w:eastAsia="Times New Roman"/>
                <w:b/>
                <w:bCs/>
                <w:color w:val="000000"/>
                <w:sz w:val="18"/>
                <w:szCs w:val="18"/>
              </w:rPr>
              <w:t>Consolidated Statement of Operations and Comprehensive Loss Data</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930F344" w14:textId="77777777" w:rsidR="00000000" w:rsidRDefault="00E614A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F161F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47A4A1"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83B044"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0E239B"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78B15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396EF7"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62D179"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0ADD54"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D9DF92" w14:textId="77777777" w:rsidR="00000000" w:rsidRDefault="00E614A4">
            <w:pPr>
              <w:rPr>
                <w:rFonts w:eastAsia="Times New Roman"/>
                <w:sz w:val="20"/>
                <w:szCs w:val="20"/>
              </w:rPr>
            </w:pPr>
          </w:p>
        </w:tc>
      </w:tr>
      <w:tr w:rsidR="00000000" w14:paraId="4766DCAF" w14:textId="77777777">
        <w:trPr>
          <w:divId w:val="877090312"/>
          <w:jc w:val="center"/>
        </w:trPr>
        <w:tc>
          <w:tcPr>
            <w:tcW w:w="0" w:type="auto"/>
            <w:gridSpan w:val="3"/>
            <w:shd w:val="clear" w:color="auto" w:fill="FFFFFF"/>
            <w:tcMar>
              <w:top w:w="30" w:type="dxa"/>
              <w:left w:w="20" w:type="dxa"/>
              <w:bottom w:w="30" w:type="dxa"/>
              <w:right w:w="20" w:type="dxa"/>
            </w:tcMar>
            <w:hideMark/>
          </w:tcPr>
          <w:p w14:paraId="5BCB388F" w14:textId="77777777" w:rsidR="00000000" w:rsidRDefault="00E614A4">
            <w:pPr>
              <w:divId w:val="1039470352"/>
              <w:rPr>
                <w:rFonts w:eastAsia="Times New Roman"/>
              </w:rPr>
            </w:pPr>
            <w:r>
              <w:rPr>
                <w:rFonts w:eastAsia="Times New Roman"/>
                <w:color w:val="000000"/>
                <w:sz w:val="18"/>
                <w:szCs w:val="18"/>
              </w:rPr>
              <w:t>Revenue</w:t>
            </w:r>
            <w:r>
              <w:rPr>
                <w:rFonts w:eastAsia="Times New Roman"/>
                <w:color w:val="000000"/>
                <w:sz w:val="18"/>
                <w:szCs w:val="18"/>
              </w:rPr>
              <w:t>s</w:t>
            </w:r>
            <w:r>
              <w:rPr>
                <w:rFonts w:eastAsia="Times New Roman"/>
                <w:color w:val="000000"/>
                <w:sz w:val="12"/>
                <w:szCs w:val="12"/>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E45B9CA"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73F54D2D"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49EAC8A" w14:textId="77777777" w:rsidR="00000000" w:rsidRDefault="00E614A4">
            <w:pPr>
              <w:jc w:val="right"/>
              <w:rPr>
                <w:rFonts w:eastAsia="Times New Roman"/>
              </w:rPr>
            </w:pPr>
            <w:r>
              <w:rPr>
                <w:rFonts w:eastAsia="Times New Roman"/>
                <w:color w:val="000000"/>
                <w:sz w:val="18"/>
                <w:szCs w:val="18"/>
              </w:rPr>
              <w:t>356,036 </w:t>
            </w:r>
          </w:p>
        </w:tc>
        <w:tc>
          <w:tcPr>
            <w:tcW w:w="0" w:type="auto"/>
            <w:shd w:val="clear" w:color="auto" w:fill="FFFFFF"/>
            <w:tcMar>
              <w:top w:w="30" w:type="dxa"/>
              <w:left w:w="0" w:type="dxa"/>
              <w:bottom w:w="30" w:type="dxa"/>
              <w:right w:w="20" w:type="dxa"/>
            </w:tcMar>
            <w:vAlign w:val="bottom"/>
            <w:hideMark/>
          </w:tcPr>
          <w:p w14:paraId="764DE0E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9F5A8"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11EBB3"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38BF850" w14:textId="77777777" w:rsidR="00000000" w:rsidRDefault="00E614A4">
            <w:pPr>
              <w:jc w:val="right"/>
              <w:rPr>
                <w:rFonts w:eastAsia="Times New Roman"/>
              </w:rPr>
            </w:pPr>
            <w:r>
              <w:rPr>
                <w:rFonts w:eastAsia="Times New Roman"/>
                <w:color w:val="000000"/>
                <w:sz w:val="18"/>
                <w:szCs w:val="18"/>
              </w:rPr>
              <w:t>388,645 </w:t>
            </w:r>
          </w:p>
        </w:tc>
        <w:tc>
          <w:tcPr>
            <w:tcW w:w="0" w:type="auto"/>
            <w:shd w:val="clear" w:color="auto" w:fill="FFFFFF"/>
            <w:tcMar>
              <w:top w:w="30" w:type="dxa"/>
              <w:left w:w="0" w:type="dxa"/>
              <w:bottom w:w="30" w:type="dxa"/>
              <w:right w:w="20" w:type="dxa"/>
            </w:tcMar>
            <w:vAlign w:val="bottom"/>
            <w:hideMark/>
          </w:tcPr>
          <w:p w14:paraId="2BC1D71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64CEB7"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5B2204"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734BDA2" w14:textId="77777777" w:rsidR="00000000" w:rsidRDefault="00E614A4">
            <w:pPr>
              <w:jc w:val="right"/>
              <w:rPr>
                <w:rFonts w:eastAsia="Times New Roman"/>
              </w:rPr>
            </w:pPr>
            <w:r>
              <w:rPr>
                <w:rFonts w:eastAsia="Times New Roman"/>
                <w:color w:val="000000"/>
                <w:sz w:val="18"/>
                <w:szCs w:val="18"/>
              </w:rPr>
              <w:t>419,482 </w:t>
            </w:r>
          </w:p>
        </w:tc>
        <w:tc>
          <w:tcPr>
            <w:tcW w:w="0" w:type="auto"/>
            <w:shd w:val="clear" w:color="auto" w:fill="FFFFFF"/>
            <w:tcMar>
              <w:top w:w="30" w:type="dxa"/>
              <w:left w:w="0" w:type="dxa"/>
              <w:bottom w:w="30" w:type="dxa"/>
              <w:right w:w="20" w:type="dxa"/>
            </w:tcMar>
            <w:vAlign w:val="bottom"/>
            <w:hideMark/>
          </w:tcPr>
          <w:p w14:paraId="1D5BC2F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2A89C"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1B5BB0"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E9941CE" w14:textId="77777777" w:rsidR="00000000" w:rsidRDefault="00E614A4">
            <w:pPr>
              <w:jc w:val="right"/>
              <w:rPr>
                <w:rFonts w:eastAsia="Times New Roman"/>
              </w:rPr>
            </w:pPr>
            <w:r>
              <w:rPr>
                <w:rFonts w:eastAsia="Times New Roman"/>
                <w:color w:val="000000"/>
                <w:sz w:val="18"/>
                <w:szCs w:val="18"/>
              </w:rPr>
              <w:t>403,549 </w:t>
            </w:r>
          </w:p>
        </w:tc>
        <w:tc>
          <w:tcPr>
            <w:tcW w:w="0" w:type="auto"/>
            <w:shd w:val="clear" w:color="auto" w:fill="FFFFFF"/>
            <w:tcMar>
              <w:top w:w="30" w:type="dxa"/>
              <w:left w:w="0" w:type="dxa"/>
              <w:bottom w:w="30" w:type="dxa"/>
              <w:right w:w="20" w:type="dxa"/>
            </w:tcMar>
            <w:vAlign w:val="bottom"/>
            <w:hideMark/>
          </w:tcPr>
          <w:p w14:paraId="587E77F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E245E"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55DC80"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1F8F6BC" w14:textId="77777777" w:rsidR="00000000" w:rsidRDefault="00E614A4">
            <w:pPr>
              <w:jc w:val="right"/>
              <w:rPr>
                <w:rFonts w:eastAsia="Times New Roman"/>
              </w:rPr>
            </w:pPr>
            <w:r>
              <w:rPr>
                <w:rFonts w:eastAsia="Times New Roman"/>
                <w:color w:val="000000"/>
                <w:sz w:val="18"/>
                <w:szCs w:val="18"/>
              </w:rPr>
              <w:t>399,460 </w:t>
            </w:r>
          </w:p>
        </w:tc>
        <w:tc>
          <w:tcPr>
            <w:tcW w:w="0" w:type="auto"/>
            <w:shd w:val="clear" w:color="auto" w:fill="FFFFFF"/>
            <w:tcMar>
              <w:top w:w="30" w:type="dxa"/>
              <w:left w:w="0" w:type="dxa"/>
              <w:bottom w:w="30" w:type="dxa"/>
              <w:right w:w="20" w:type="dxa"/>
            </w:tcMar>
            <w:vAlign w:val="bottom"/>
            <w:hideMark/>
          </w:tcPr>
          <w:p w14:paraId="571E7B23" w14:textId="77777777" w:rsidR="00000000" w:rsidRDefault="00E614A4">
            <w:pPr>
              <w:jc w:val="right"/>
              <w:rPr>
                <w:rFonts w:eastAsia="Times New Roman"/>
              </w:rPr>
            </w:pPr>
          </w:p>
        </w:tc>
      </w:tr>
      <w:tr w:rsidR="00000000" w14:paraId="394B873C" w14:textId="77777777">
        <w:trPr>
          <w:divId w:val="877090312"/>
          <w:jc w:val="center"/>
        </w:trPr>
        <w:tc>
          <w:tcPr>
            <w:tcW w:w="0" w:type="auto"/>
            <w:gridSpan w:val="3"/>
            <w:shd w:val="clear" w:color="auto" w:fill="CCEEFF"/>
            <w:tcMar>
              <w:top w:w="30" w:type="dxa"/>
              <w:left w:w="20" w:type="dxa"/>
              <w:bottom w:w="30" w:type="dxa"/>
              <w:right w:w="20" w:type="dxa"/>
            </w:tcMar>
            <w:hideMark/>
          </w:tcPr>
          <w:p w14:paraId="502CFFCA" w14:textId="77777777" w:rsidR="00000000" w:rsidRDefault="00E614A4">
            <w:pPr>
              <w:rPr>
                <w:rFonts w:eastAsia="Times New Roman"/>
              </w:rPr>
            </w:pPr>
            <w:r>
              <w:rPr>
                <w:rFonts w:eastAsia="Times New Roman"/>
                <w:color w:val="000000"/>
                <w:sz w:val="18"/>
                <w:szCs w:val="18"/>
              </w:rPr>
              <w:t>Total expenses from operations</w:t>
            </w:r>
          </w:p>
        </w:tc>
        <w:tc>
          <w:tcPr>
            <w:tcW w:w="0" w:type="auto"/>
            <w:gridSpan w:val="3"/>
            <w:shd w:val="clear" w:color="auto" w:fill="CCEEFF"/>
            <w:tcMar>
              <w:top w:w="0" w:type="dxa"/>
              <w:left w:w="20" w:type="dxa"/>
              <w:bottom w:w="0" w:type="dxa"/>
              <w:right w:w="20" w:type="dxa"/>
            </w:tcMar>
            <w:vAlign w:val="center"/>
            <w:hideMark/>
          </w:tcPr>
          <w:p w14:paraId="695DB68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306A8E" w14:textId="77777777" w:rsidR="00000000" w:rsidRDefault="00E614A4">
            <w:pPr>
              <w:jc w:val="right"/>
              <w:rPr>
                <w:rFonts w:eastAsia="Times New Roman"/>
              </w:rPr>
            </w:pPr>
            <w:r>
              <w:rPr>
                <w:rFonts w:eastAsia="Times New Roman"/>
                <w:color w:val="000000"/>
                <w:sz w:val="18"/>
                <w:szCs w:val="18"/>
              </w:rPr>
              <w:t>377,311 </w:t>
            </w:r>
          </w:p>
        </w:tc>
        <w:tc>
          <w:tcPr>
            <w:tcW w:w="0" w:type="auto"/>
            <w:shd w:val="clear" w:color="auto" w:fill="CCEEFF"/>
            <w:tcMar>
              <w:top w:w="30" w:type="dxa"/>
              <w:left w:w="0" w:type="dxa"/>
              <w:bottom w:w="30" w:type="dxa"/>
              <w:right w:w="20" w:type="dxa"/>
            </w:tcMar>
            <w:vAlign w:val="bottom"/>
            <w:hideMark/>
          </w:tcPr>
          <w:p w14:paraId="1B7499B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8AF1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A190AC" w14:textId="77777777" w:rsidR="00000000" w:rsidRDefault="00E614A4">
            <w:pPr>
              <w:jc w:val="right"/>
              <w:rPr>
                <w:rFonts w:eastAsia="Times New Roman"/>
              </w:rPr>
            </w:pPr>
            <w:r>
              <w:rPr>
                <w:rFonts w:eastAsia="Times New Roman"/>
                <w:color w:val="000000"/>
                <w:sz w:val="18"/>
                <w:szCs w:val="18"/>
              </w:rPr>
              <w:t>699,112 </w:t>
            </w:r>
          </w:p>
        </w:tc>
        <w:tc>
          <w:tcPr>
            <w:tcW w:w="0" w:type="auto"/>
            <w:shd w:val="clear" w:color="auto" w:fill="CCEEFF"/>
            <w:tcMar>
              <w:top w:w="30" w:type="dxa"/>
              <w:left w:w="0" w:type="dxa"/>
              <w:bottom w:w="30" w:type="dxa"/>
              <w:right w:w="20" w:type="dxa"/>
            </w:tcMar>
            <w:vAlign w:val="bottom"/>
            <w:hideMark/>
          </w:tcPr>
          <w:p w14:paraId="2137DA5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137B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835313" w14:textId="77777777" w:rsidR="00000000" w:rsidRDefault="00E614A4">
            <w:pPr>
              <w:jc w:val="right"/>
              <w:rPr>
                <w:rFonts w:eastAsia="Times New Roman"/>
              </w:rPr>
            </w:pPr>
            <w:r>
              <w:rPr>
                <w:rFonts w:eastAsia="Times New Roman"/>
                <w:color w:val="000000"/>
                <w:sz w:val="18"/>
                <w:szCs w:val="18"/>
              </w:rPr>
              <w:t>558,418 </w:t>
            </w:r>
          </w:p>
        </w:tc>
        <w:tc>
          <w:tcPr>
            <w:tcW w:w="0" w:type="auto"/>
            <w:shd w:val="clear" w:color="auto" w:fill="CCEEFF"/>
            <w:tcMar>
              <w:top w:w="30" w:type="dxa"/>
              <w:left w:w="0" w:type="dxa"/>
              <w:bottom w:w="30" w:type="dxa"/>
              <w:right w:w="20" w:type="dxa"/>
            </w:tcMar>
            <w:vAlign w:val="bottom"/>
            <w:hideMark/>
          </w:tcPr>
          <w:p w14:paraId="6216F9C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7A686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04B221" w14:textId="77777777" w:rsidR="00000000" w:rsidRDefault="00E614A4">
            <w:pPr>
              <w:jc w:val="right"/>
              <w:rPr>
                <w:rFonts w:eastAsia="Times New Roman"/>
              </w:rPr>
            </w:pPr>
            <w:r>
              <w:rPr>
                <w:rFonts w:eastAsia="Times New Roman"/>
                <w:color w:val="000000"/>
                <w:sz w:val="18"/>
                <w:szCs w:val="18"/>
              </w:rPr>
              <w:t>699,052 </w:t>
            </w:r>
          </w:p>
        </w:tc>
        <w:tc>
          <w:tcPr>
            <w:tcW w:w="0" w:type="auto"/>
            <w:shd w:val="clear" w:color="auto" w:fill="CCEEFF"/>
            <w:tcMar>
              <w:top w:w="30" w:type="dxa"/>
              <w:left w:w="0" w:type="dxa"/>
              <w:bottom w:w="30" w:type="dxa"/>
              <w:right w:w="20" w:type="dxa"/>
            </w:tcMar>
            <w:vAlign w:val="bottom"/>
            <w:hideMark/>
          </w:tcPr>
          <w:p w14:paraId="6C326CF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BE6F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27C53B" w14:textId="77777777" w:rsidR="00000000" w:rsidRDefault="00E614A4">
            <w:pPr>
              <w:jc w:val="right"/>
              <w:rPr>
                <w:rFonts w:eastAsia="Times New Roman"/>
              </w:rPr>
            </w:pPr>
            <w:r>
              <w:rPr>
                <w:rFonts w:eastAsia="Times New Roman"/>
                <w:color w:val="000000"/>
                <w:sz w:val="18"/>
                <w:szCs w:val="18"/>
              </w:rPr>
              <w:t>531,302 </w:t>
            </w:r>
          </w:p>
        </w:tc>
        <w:tc>
          <w:tcPr>
            <w:tcW w:w="0" w:type="auto"/>
            <w:shd w:val="clear" w:color="auto" w:fill="CCEEFF"/>
            <w:tcMar>
              <w:top w:w="30" w:type="dxa"/>
              <w:left w:w="0" w:type="dxa"/>
              <w:bottom w:w="30" w:type="dxa"/>
              <w:right w:w="20" w:type="dxa"/>
            </w:tcMar>
            <w:vAlign w:val="bottom"/>
            <w:hideMark/>
          </w:tcPr>
          <w:p w14:paraId="67C630D0" w14:textId="77777777" w:rsidR="00000000" w:rsidRDefault="00E614A4">
            <w:pPr>
              <w:jc w:val="right"/>
              <w:rPr>
                <w:rFonts w:eastAsia="Times New Roman"/>
              </w:rPr>
            </w:pPr>
          </w:p>
        </w:tc>
      </w:tr>
      <w:tr w:rsidR="00000000" w14:paraId="5238784B" w14:textId="77777777">
        <w:trPr>
          <w:divId w:val="877090312"/>
          <w:jc w:val="center"/>
        </w:trPr>
        <w:tc>
          <w:tcPr>
            <w:tcW w:w="0" w:type="auto"/>
            <w:gridSpan w:val="3"/>
            <w:shd w:val="clear" w:color="auto" w:fill="FFFFFF"/>
            <w:tcMar>
              <w:top w:w="30" w:type="dxa"/>
              <w:left w:w="20" w:type="dxa"/>
              <w:bottom w:w="30" w:type="dxa"/>
              <w:right w:w="20" w:type="dxa"/>
            </w:tcMar>
            <w:hideMark/>
          </w:tcPr>
          <w:p w14:paraId="218FE350" w14:textId="77777777" w:rsidR="00000000" w:rsidRDefault="00E614A4">
            <w:pPr>
              <w:rPr>
                <w:rFonts w:eastAsia="Times New Roman"/>
              </w:rPr>
            </w:pPr>
            <w:r>
              <w:rPr>
                <w:rFonts w:eastAsia="Times New Roman"/>
                <w:color w:val="000000"/>
                <w:sz w:val="18"/>
                <w:szCs w:val="18"/>
              </w:rPr>
              <w:t>Loss from operations</w:t>
            </w:r>
          </w:p>
        </w:tc>
        <w:tc>
          <w:tcPr>
            <w:tcW w:w="0" w:type="auto"/>
            <w:gridSpan w:val="3"/>
            <w:shd w:val="clear" w:color="auto" w:fill="FFFFFF"/>
            <w:tcMar>
              <w:top w:w="0" w:type="dxa"/>
              <w:left w:w="20" w:type="dxa"/>
              <w:bottom w:w="0" w:type="dxa"/>
              <w:right w:w="20" w:type="dxa"/>
            </w:tcMar>
            <w:vAlign w:val="center"/>
            <w:hideMark/>
          </w:tcPr>
          <w:p w14:paraId="281037B9"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368EE0" w14:textId="77777777" w:rsidR="00000000" w:rsidRDefault="00E614A4">
            <w:pPr>
              <w:jc w:val="right"/>
              <w:rPr>
                <w:rFonts w:eastAsia="Times New Roman"/>
              </w:rPr>
            </w:pPr>
            <w:r>
              <w:rPr>
                <w:rFonts w:eastAsia="Times New Roman"/>
                <w:color w:val="000000"/>
                <w:sz w:val="18"/>
                <w:szCs w:val="18"/>
              </w:rPr>
              <w:t>(21,275)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13D29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37D1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62D411" w14:textId="77777777" w:rsidR="00000000" w:rsidRDefault="00E614A4">
            <w:pPr>
              <w:jc w:val="right"/>
              <w:rPr>
                <w:rFonts w:eastAsia="Times New Roman"/>
              </w:rPr>
            </w:pPr>
            <w:r>
              <w:rPr>
                <w:rFonts w:eastAsia="Times New Roman"/>
                <w:color w:val="000000"/>
                <w:sz w:val="18"/>
                <w:szCs w:val="18"/>
              </w:rPr>
              <w:t>(310,467)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6E5B8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B2617"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B0E91E" w14:textId="77777777" w:rsidR="00000000" w:rsidRDefault="00E614A4">
            <w:pPr>
              <w:jc w:val="right"/>
              <w:rPr>
                <w:rFonts w:eastAsia="Times New Roman"/>
              </w:rPr>
            </w:pPr>
            <w:r>
              <w:rPr>
                <w:rFonts w:eastAsia="Times New Roman"/>
                <w:color w:val="000000"/>
                <w:sz w:val="18"/>
                <w:szCs w:val="18"/>
              </w:rPr>
              <w:t>(138,936)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EBF68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E19C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0E99C4" w14:textId="77777777" w:rsidR="00000000" w:rsidRDefault="00E614A4">
            <w:pPr>
              <w:jc w:val="right"/>
              <w:rPr>
                <w:rFonts w:eastAsia="Times New Roman"/>
              </w:rPr>
            </w:pPr>
            <w:r>
              <w:rPr>
                <w:rFonts w:eastAsia="Times New Roman"/>
                <w:color w:val="000000"/>
                <w:sz w:val="18"/>
                <w:szCs w:val="18"/>
              </w:rPr>
              <w:t>(295,503)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2DC4D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4BD94"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4991F5" w14:textId="77777777" w:rsidR="00000000" w:rsidRDefault="00E614A4">
            <w:pPr>
              <w:jc w:val="right"/>
              <w:rPr>
                <w:rFonts w:eastAsia="Times New Roman"/>
              </w:rPr>
            </w:pPr>
            <w:r>
              <w:rPr>
                <w:rFonts w:eastAsia="Times New Roman"/>
                <w:color w:val="000000"/>
                <w:sz w:val="18"/>
                <w:szCs w:val="18"/>
              </w:rPr>
              <w:t>(131,842)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7150DF" w14:textId="77777777" w:rsidR="00000000" w:rsidRDefault="00E614A4">
            <w:pPr>
              <w:jc w:val="right"/>
              <w:rPr>
                <w:rFonts w:eastAsia="Times New Roman"/>
              </w:rPr>
            </w:pPr>
          </w:p>
        </w:tc>
      </w:tr>
      <w:tr w:rsidR="00000000" w14:paraId="3871E4DF" w14:textId="77777777">
        <w:trPr>
          <w:divId w:val="877090312"/>
          <w:jc w:val="center"/>
        </w:trPr>
        <w:tc>
          <w:tcPr>
            <w:tcW w:w="0" w:type="auto"/>
            <w:gridSpan w:val="3"/>
            <w:shd w:val="clear" w:color="auto" w:fill="CCEEFF"/>
            <w:tcMar>
              <w:top w:w="30" w:type="dxa"/>
              <w:left w:w="20" w:type="dxa"/>
              <w:bottom w:w="30" w:type="dxa"/>
              <w:right w:w="20" w:type="dxa"/>
            </w:tcMar>
            <w:hideMark/>
          </w:tcPr>
          <w:p w14:paraId="5B6BA3B2" w14:textId="77777777" w:rsidR="00000000" w:rsidRDefault="00E614A4">
            <w:pPr>
              <w:rPr>
                <w:rFonts w:eastAsia="Times New Roman"/>
              </w:rPr>
            </w:pPr>
            <w:r>
              <w:rPr>
                <w:rFonts w:eastAsia="Times New Roman"/>
                <w:color w:val="000000"/>
                <w:sz w:val="18"/>
                <w:szCs w:val="18"/>
              </w:rPr>
              <w:t>Non-operating (expenses) income, net</w:t>
            </w:r>
          </w:p>
        </w:tc>
        <w:tc>
          <w:tcPr>
            <w:tcW w:w="0" w:type="auto"/>
            <w:gridSpan w:val="3"/>
            <w:shd w:val="clear" w:color="auto" w:fill="CCEEFF"/>
            <w:tcMar>
              <w:top w:w="0" w:type="dxa"/>
              <w:left w:w="20" w:type="dxa"/>
              <w:bottom w:w="0" w:type="dxa"/>
              <w:right w:w="20" w:type="dxa"/>
            </w:tcMar>
            <w:vAlign w:val="center"/>
            <w:hideMark/>
          </w:tcPr>
          <w:p w14:paraId="4B73C45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3F63C4" w14:textId="77777777" w:rsidR="00000000" w:rsidRDefault="00E614A4">
            <w:pPr>
              <w:jc w:val="right"/>
              <w:rPr>
                <w:rFonts w:eastAsia="Times New Roman"/>
              </w:rPr>
            </w:pPr>
            <w:r>
              <w:rPr>
                <w:rFonts w:eastAsia="Times New Roman"/>
                <w:color w:val="000000"/>
                <w:sz w:val="18"/>
                <w:szCs w:val="18"/>
              </w:rPr>
              <w:t>(25,741)</w:t>
            </w:r>
          </w:p>
        </w:tc>
        <w:tc>
          <w:tcPr>
            <w:tcW w:w="0" w:type="auto"/>
            <w:shd w:val="clear" w:color="auto" w:fill="CCEEFF"/>
            <w:tcMar>
              <w:top w:w="30" w:type="dxa"/>
              <w:left w:w="0" w:type="dxa"/>
              <w:bottom w:w="30" w:type="dxa"/>
              <w:right w:w="20" w:type="dxa"/>
            </w:tcMar>
            <w:vAlign w:val="bottom"/>
            <w:hideMark/>
          </w:tcPr>
          <w:p w14:paraId="21E3383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0399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DD7A98" w14:textId="77777777" w:rsidR="00000000" w:rsidRDefault="00E614A4">
            <w:pPr>
              <w:jc w:val="right"/>
              <w:rPr>
                <w:rFonts w:eastAsia="Times New Roman"/>
              </w:rPr>
            </w:pPr>
            <w:r>
              <w:rPr>
                <w:rFonts w:eastAsia="Times New Roman"/>
                <w:color w:val="000000"/>
                <w:sz w:val="18"/>
                <w:szCs w:val="18"/>
              </w:rPr>
              <w:t>(29,536)</w:t>
            </w:r>
          </w:p>
        </w:tc>
        <w:tc>
          <w:tcPr>
            <w:tcW w:w="0" w:type="auto"/>
            <w:shd w:val="clear" w:color="auto" w:fill="CCEEFF"/>
            <w:tcMar>
              <w:top w:w="30" w:type="dxa"/>
              <w:left w:w="0" w:type="dxa"/>
              <w:bottom w:w="30" w:type="dxa"/>
              <w:right w:w="20" w:type="dxa"/>
            </w:tcMar>
            <w:vAlign w:val="bottom"/>
            <w:hideMark/>
          </w:tcPr>
          <w:p w14:paraId="01B4E9E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EA7E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FBFFFE" w14:textId="77777777" w:rsidR="00000000" w:rsidRDefault="00E614A4">
            <w:pPr>
              <w:jc w:val="right"/>
              <w:rPr>
                <w:rFonts w:eastAsia="Times New Roman"/>
              </w:rPr>
            </w:pPr>
            <w:r>
              <w:rPr>
                <w:rFonts w:eastAsia="Times New Roman"/>
                <w:color w:val="000000"/>
                <w:sz w:val="18"/>
                <w:szCs w:val="18"/>
              </w:rPr>
              <w:t>(16,626)</w:t>
            </w:r>
          </w:p>
        </w:tc>
        <w:tc>
          <w:tcPr>
            <w:tcW w:w="0" w:type="auto"/>
            <w:shd w:val="clear" w:color="auto" w:fill="CCEEFF"/>
            <w:tcMar>
              <w:top w:w="30" w:type="dxa"/>
              <w:left w:w="0" w:type="dxa"/>
              <w:bottom w:w="30" w:type="dxa"/>
              <w:right w:w="20" w:type="dxa"/>
            </w:tcMar>
            <w:vAlign w:val="bottom"/>
            <w:hideMark/>
          </w:tcPr>
          <w:p w14:paraId="3398912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59C3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4717BE" w14:textId="77777777" w:rsidR="00000000" w:rsidRDefault="00E614A4">
            <w:pPr>
              <w:jc w:val="right"/>
              <w:rPr>
                <w:rFonts w:eastAsia="Times New Roman"/>
              </w:rPr>
            </w:pPr>
            <w:r>
              <w:rPr>
                <w:rFonts w:eastAsia="Times New Roman"/>
                <w:color w:val="000000"/>
                <w:sz w:val="18"/>
                <w:szCs w:val="18"/>
              </w:rPr>
              <w:t>11,393 </w:t>
            </w:r>
          </w:p>
        </w:tc>
        <w:tc>
          <w:tcPr>
            <w:tcW w:w="0" w:type="auto"/>
            <w:shd w:val="clear" w:color="auto" w:fill="CCEEFF"/>
            <w:tcMar>
              <w:top w:w="30" w:type="dxa"/>
              <w:left w:w="0" w:type="dxa"/>
              <w:bottom w:w="30" w:type="dxa"/>
              <w:right w:w="20" w:type="dxa"/>
            </w:tcMar>
            <w:vAlign w:val="bottom"/>
            <w:hideMark/>
          </w:tcPr>
          <w:p w14:paraId="6366903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67C2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C66BB1" w14:textId="77777777" w:rsidR="00000000" w:rsidRDefault="00E614A4">
            <w:pPr>
              <w:jc w:val="right"/>
              <w:rPr>
                <w:rFonts w:eastAsia="Times New Roman"/>
              </w:rPr>
            </w:pPr>
            <w:r>
              <w:rPr>
                <w:rFonts w:eastAsia="Times New Roman"/>
                <w:color w:val="000000"/>
                <w:sz w:val="18"/>
                <w:szCs w:val="18"/>
              </w:rPr>
              <w:t>10,662 </w:t>
            </w:r>
          </w:p>
        </w:tc>
        <w:tc>
          <w:tcPr>
            <w:tcW w:w="0" w:type="auto"/>
            <w:shd w:val="clear" w:color="auto" w:fill="CCEEFF"/>
            <w:tcMar>
              <w:top w:w="30" w:type="dxa"/>
              <w:left w:w="0" w:type="dxa"/>
              <w:bottom w:w="30" w:type="dxa"/>
              <w:right w:w="20" w:type="dxa"/>
            </w:tcMar>
            <w:vAlign w:val="bottom"/>
            <w:hideMark/>
          </w:tcPr>
          <w:p w14:paraId="0E1E38B3" w14:textId="77777777" w:rsidR="00000000" w:rsidRDefault="00E614A4">
            <w:pPr>
              <w:jc w:val="right"/>
              <w:rPr>
                <w:rFonts w:eastAsia="Times New Roman"/>
              </w:rPr>
            </w:pPr>
          </w:p>
        </w:tc>
      </w:tr>
      <w:tr w:rsidR="00000000" w14:paraId="7BCA16CD" w14:textId="77777777">
        <w:trPr>
          <w:divId w:val="877090312"/>
          <w:jc w:val="center"/>
        </w:trPr>
        <w:tc>
          <w:tcPr>
            <w:tcW w:w="0" w:type="auto"/>
            <w:gridSpan w:val="3"/>
            <w:shd w:val="clear" w:color="auto" w:fill="FFFFFF"/>
            <w:tcMar>
              <w:top w:w="30" w:type="dxa"/>
              <w:left w:w="20" w:type="dxa"/>
              <w:bottom w:w="30" w:type="dxa"/>
              <w:right w:w="20" w:type="dxa"/>
            </w:tcMar>
            <w:hideMark/>
          </w:tcPr>
          <w:p w14:paraId="0466218C" w14:textId="77777777" w:rsidR="00000000" w:rsidRDefault="00E614A4">
            <w:pPr>
              <w:rPr>
                <w:rFonts w:eastAsia="Times New Roman"/>
              </w:rPr>
            </w:pPr>
            <w:r>
              <w:rPr>
                <w:rFonts w:eastAsia="Times New Roman"/>
                <w:color w:val="000000"/>
                <w:sz w:val="18"/>
                <w:szCs w:val="18"/>
              </w:rPr>
              <w:t xml:space="preserve">Income tax (provision) benefit </w:t>
            </w:r>
          </w:p>
        </w:tc>
        <w:tc>
          <w:tcPr>
            <w:tcW w:w="0" w:type="auto"/>
            <w:gridSpan w:val="3"/>
            <w:shd w:val="clear" w:color="auto" w:fill="FFFFFF"/>
            <w:tcMar>
              <w:top w:w="0" w:type="dxa"/>
              <w:left w:w="20" w:type="dxa"/>
              <w:bottom w:w="0" w:type="dxa"/>
              <w:right w:w="20" w:type="dxa"/>
            </w:tcMar>
            <w:vAlign w:val="center"/>
            <w:hideMark/>
          </w:tcPr>
          <w:p w14:paraId="5D21A5DD"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E4FD5A" w14:textId="77777777" w:rsidR="00000000" w:rsidRDefault="00E614A4">
            <w:pPr>
              <w:jc w:val="right"/>
              <w:rPr>
                <w:rFonts w:eastAsia="Times New Roman"/>
              </w:rPr>
            </w:pPr>
            <w:r>
              <w:rPr>
                <w:rFonts w:eastAsia="Times New Roman"/>
                <w:color w:val="000000"/>
                <w:sz w:val="18"/>
                <w:szCs w:val="18"/>
              </w:rPr>
              <w:t>(902)</w:t>
            </w:r>
          </w:p>
        </w:tc>
        <w:tc>
          <w:tcPr>
            <w:tcW w:w="0" w:type="auto"/>
            <w:shd w:val="clear" w:color="auto" w:fill="FFFFFF"/>
            <w:tcMar>
              <w:top w:w="30" w:type="dxa"/>
              <w:left w:w="0" w:type="dxa"/>
              <w:bottom w:w="30" w:type="dxa"/>
              <w:right w:w="20" w:type="dxa"/>
            </w:tcMar>
            <w:vAlign w:val="bottom"/>
            <w:hideMark/>
          </w:tcPr>
          <w:p w14:paraId="61D85F6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FE57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A35FF8" w14:textId="77777777" w:rsidR="00000000" w:rsidRDefault="00E614A4">
            <w:pPr>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14:paraId="74A5A77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5D87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1D5604" w14:textId="77777777" w:rsidR="00000000" w:rsidRDefault="00E614A4">
            <w:pPr>
              <w:jc w:val="right"/>
              <w:rPr>
                <w:rFonts w:eastAsia="Times New Roman"/>
              </w:rPr>
            </w:pPr>
            <w:r>
              <w:rPr>
                <w:rFonts w:eastAsia="Times New Roman"/>
                <w:color w:val="000000"/>
                <w:sz w:val="18"/>
                <w:szCs w:val="18"/>
              </w:rPr>
              <w:t>(3,706)</w:t>
            </w:r>
          </w:p>
        </w:tc>
        <w:tc>
          <w:tcPr>
            <w:tcW w:w="0" w:type="auto"/>
            <w:shd w:val="clear" w:color="auto" w:fill="FFFFFF"/>
            <w:tcMar>
              <w:top w:w="30" w:type="dxa"/>
              <w:left w:w="0" w:type="dxa"/>
              <w:bottom w:w="30" w:type="dxa"/>
              <w:right w:w="20" w:type="dxa"/>
            </w:tcMar>
            <w:vAlign w:val="bottom"/>
            <w:hideMark/>
          </w:tcPr>
          <w:p w14:paraId="5F79D80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1790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6DF93C" w14:textId="77777777" w:rsidR="00000000" w:rsidRDefault="00E614A4">
            <w:pPr>
              <w:jc w:val="right"/>
              <w:rPr>
                <w:rFonts w:eastAsia="Times New Roman"/>
              </w:rPr>
            </w:pPr>
            <w:r>
              <w:rPr>
                <w:rFonts w:eastAsia="Times New Roman"/>
                <w:color w:val="000000"/>
                <w:sz w:val="18"/>
                <w:szCs w:val="18"/>
              </w:rPr>
              <w:t>2,717 </w:t>
            </w:r>
          </w:p>
        </w:tc>
        <w:tc>
          <w:tcPr>
            <w:tcW w:w="0" w:type="auto"/>
            <w:shd w:val="clear" w:color="auto" w:fill="FFFFFF"/>
            <w:tcMar>
              <w:top w:w="30" w:type="dxa"/>
              <w:left w:w="0" w:type="dxa"/>
              <w:bottom w:w="30" w:type="dxa"/>
              <w:right w:w="20" w:type="dxa"/>
            </w:tcMar>
            <w:vAlign w:val="bottom"/>
            <w:hideMark/>
          </w:tcPr>
          <w:p w14:paraId="13FF42E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62BB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B74A11" w14:textId="77777777" w:rsidR="00000000" w:rsidRDefault="00E614A4">
            <w:pPr>
              <w:jc w:val="right"/>
              <w:rPr>
                <w:rFonts w:eastAsia="Times New Roman"/>
              </w:rPr>
            </w:pPr>
            <w:r>
              <w:rPr>
                <w:rFonts w:eastAsia="Times New Roman"/>
                <w:color w:val="000000"/>
                <w:sz w:val="18"/>
                <w:szCs w:val="18"/>
              </w:rPr>
              <w:t>4,007 </w:t>
            </w:r>
          </w:p>
        </w:tc>
        <w:tc>
          <w:tcPr>
            <w:tcW w:w="0" w:type="auto"/>
            <w:shd w:val="clear" w:color="auto" w:fill="FFFFFF"/>
            <w:tcMar>
              <w:top w:w="30" w:type="dxa"/>
              <w:left w:w="0" w:type="dxa"/>
              <w:bottom w:w="30" w:type="dxa"/>
              <w:right w:w="20" w:type="dxa"/>
            </w:tcMar>
            <w:vAlign w:val="bottom"/>
            <w:hideMark/>
          </w:tcPr>
          <w:p w14:paraId="4FA1586C" w14:textId="77777777" w:rsidR="00000000" w:rsidRDefault="00E614A4">
            <w:pPr>
              <w:jc w:val="right"/>
              <w:rPr>
                <w:rFonts w:eastAsia="Times New Roman"/>
              </w:rPr>
            </w:pPr>
          </w:p>
        </w:tc>
      </w:tr>
      <w:tr w:rsidR="00000000" w14:paraId="3BD3877C" w14:textId="77777777">
        <w:trPr>
          <w:divId w:val="877090312"/>
          <w:jc w:val="center"/>
        </w:trPr>
        <w:tc>
          <w:tcPr>
            <w:tcW w:w="0" w:type="auto"/>
            <w:gridSpan w:val="3"/>
            <w:shd w:val="clear" w:color="auto" w:fill="CCEEFF"/>
            <w:tcMar>
              <w:top w:w="30" w:type="dxa"/>
              <w:left w:w="20" w:type="dxa"/>
              <w:bottom w:w="30" w:type="dxa"/>
              <w:right w:w="20" w:type="dxa"/>
            </w:tcMar>
            <w:hideMark/>
          </w:tcPr>
          <w:p w14:paraId="12D9A213" w14:textId="77777777" w:rsidR="00000000" w:rsidRDefault="00E614A4">
            <w:pPr>
              <w:rPr>
                <w:rFonts w:eastAsia="Times New Roman"/>
              </w:rPr>
            </w:pPr>
            <w:r>
              <w:rPr>
                <w:rFonts w:eastAsia="Times New Roman"/>
                <w:color w:val="000000"/>
                <w:sz w:val="18"/>
                <w:szCs w:val="18"/>
              </w:rPr>
              <w:t xml:space="preserve">Net loss </w:t>
            </w:r>
          </w:p>
        </w:tc>
        <w:tc>
          <w:tcPr>
            <w:tcW w:w="0" w:type="auto"/>
            <w:gridSpan w:val="3"/>
            <w:shd w:val="clear" w:color="auto" w:fill="CCEEFF"/>
            <w:tcMar>
              <w:top w:w="0" w:type="dxa"/>
              <w:left w:w="20" w:type="dxa"/>
              <w:bottom w:w="0" w:type="dxa"/>
              <w:right w:w="20" w:type="dxa"/>
            </w:tcMar>
            <w:vAlign w:val="center"/>
            <w:hideMark/>
          </w:tcPr>
          <w:p w14:paraId="422B6016"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11F3C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C1CD37" w14:textId="77777777" w:rsidR="00000000" w:rsidRDefault="00E614A4">
            <w:pPr>
              <w:jc w:val="right"/>
              <w:rPr>
                <w:rFonts w:eastAsia="Times New Roman"/>
              </w:rPr>
            </w:pPr>
            <w:r>
              <w:rPr>
                <w:rFonts w:eastAsia="Times New Roman"/>
                <w:color w:val="000000"/>
                <w:sz w:val="18"/>
                <w:szCs w:val="18"/>
              </w:rPr>
              <w:t>(47,918)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EAB27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D3FE6"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1904A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D4CABE" w14:textId="77777777" w:rsidR="00000000" w:rsidRDefault="00E614A4">
            <w:pPr>
              <w:jc w:val="right"/>
              <w:rPr>
                <w:rFonts w:eastAsia="Times New Roman"/>
              </w:rPr>
            </w:pPr>
            <w:r>
              <w:rPr>
                <w:rFonts w:eastAsia="Times New Roman"/>
                <w:color w:val="000000"/>
                <w:sz w:val="18"/>
                <w:szCs w:val="18"/>
              </w:rPr>
              <w:t>(338,996)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72C4E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8785C"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2E1BD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EFE133" w14:textId="77777777" w:rsidR="00000000" w:rsidRDefault="00E614A4">
            <w:pPr>
              <w:jc w:val="right"/>
              <w:rPr>
                <w:rFonts w:eastAsia="Times New Roman"/>
              </w:rPr>
            </w:pPr>
            <w:r>
              <w:rPr>
                <w:rFonts w:eastAsia="Times New Roman"/>
                <w:color w:val="000000"/>
                <w:sz w:val="18"/>
                <w:szCs w:val="18"/>
              </w:rPr>
              <w:t>(159,268)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9F524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4EF40"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FB223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5CB27B" w14:textId="77777777" w:rsidR="00000000" w:rsidRDefault="00E614A4">
            <w:pPr>
              <w:jc w:val="right"/>
              <w:rPr>
                <w:rFonts w:eastAsia="Times New Roman"/>
              </w:rPr>
            </w:pPr>
            <w:r>
              <w:rPr>
                <w:rFonts w:eastAsia="Times New Roman"/>
                <w:color w:val="000000"/>
                <w:sz w:val="18"/>
                <w:szCs w:val="18"/>
              </w:rPr>
              <w:t>(281,393)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38075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EEC66"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3FE3B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0ED797" w14:textId="77777777" w:rsidR="00000000" w:rsidRDefault="00E614A4">
            <w:pPr>
              <w:jc w:val="right"/>
              <w:rPr>
                <w:rFonts w:eastAsia="Times New Roman"/>
              </w:rPr>
            </w:pPr>
            <w:r>
              <w:rPr>
                <w:rFonts w:eastAsia="Times New Roman"/>
                <w:color w:val="000000"/>
                <w:sz w:val="18"/>
                <w:szCs w:val="18"/>
              </w:rPr>
              <w:t>(117,173)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7190F9" w14:textId="77777777" w:rsidR="00000000" w:rsidRDefault="00E614A4">
            <w:pPr>
              <w:jc w:val="right"/>
              <w:rPr>
                <w:rFonts w:eastAsia="Times New Roman"/>
              </w:rPr>
            </w:pPr>
          </w:p>
        </w:tc>
      </w:tr>
      <w:tr w:rsidR="00000000" w14:paraId="2057F697" w14:textId="77777777">
        <w:trPr>
          <w:divId w:val="877090312"/>
          <w:jc w:val="center"/>
        </w:trPr>
        <w:tc>
          <w:tcPr>
            <w:tcW w:w="0" w:type="auto"/>
            <w:gridSpan w:val="3"/>
            <w:shd w:val="clear" w:color="auto" w:fill="FFFFFF"/>
            <w:tcMar>
              <w:top w:w="30" w:type="dxa"/>
              <w:left w:w="20" w:type="dxa"/>
              <w:bottom w:w="30" w:type="dxa"/>
              <w:right w:w="20" w:type="dxa"/>
            </w:tcMar>
            <w:hideMark/>
          </w:tcPr>
          <w:p w14:paraId="3D017085" w14:textId="77777777" w:rsidR="00000000" w:rsidRDefault="00E614A4">
            <w:pPr>
              <w:rPr>
                <w:rFonts w:eastAsia="Times New Roman"/>
              </w:rPr>
            </w:pPr>
            <w:r>
              <w:rPr>
                <w:rFonts w:eastAsia="Times New Roman"/>
                <w:color w:val="000000"/>
                <w:sz w:val="18"/>
                <w:szCs w:val="18"/>
              </w:rPr>
              <w:t xml:space="preserve">Net loss per common share: </w:t>
            </w:r>
          </w:p>
        </w:tc>
        <w:tc>
          <w:tcPr>
            <w:tcW w:w="0" w:type="auto"/>
            <w:gridSpan w:val="3"/>
            <w:shd w:val="clear" w:color="auto" w:fill="FFFFFF"/>
            <w:tcMar>
              <w:top w:w="0" w:type="dxa"/>
              <w:left w:w="20" w:type="dxa"/>
              <w:bottom w:w="0" w:type="dxa"/>
              <w:right w:w="20" w:type="dxa"/>
            </w:tcMar>
            <w:vAlign w:val="center"/>
            <w:hideMark/>
          </w:tcPr>
          <w:p w14:paraId="7B467B4D" w14:textId="77777777" w:rsidR="00000000" w:rsidRDefault="00E614A4">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F522C5"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43CBB1"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E9FCE6"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97D4DB"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CD8C1B"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84CAA3"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5EBF8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E6A90A"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EF95F0" w14:textId="77777777" w:rsidR="00000000" w:rsidRDefault="00E614A4">
            <w:pPr>
              <w:rPr>
                <w:rFonts w:eastAsia="Times New Roman"/>
                <w:sz w:val="20"/>
                <w:szCs w:val="20"/>
              </w:rPr>
            </w:pPr>
          </w:p>
        </w:tc>
      </w:tr>
      <w:tr w:rsidR="00000000" w14:paraId="5C456953" w14:textId="77777777">
        <w:trPr>
          <w:divId w:val="877090312"/>
          <w:jc w:val="center"/>
        </w:trPr>
        <w:tc>
          <w:tcPr>
            <w:tcW w:w="0" w:type="auto"/>
            <w:gridSpan w:val="3"/>
            <w:shd w:val="clear" w:color="auto" w:fill="CCEEFF"/>
            <w:tcMar>
              <w:top w:w="30" w:type="dxa"/>
              <w:left w:w="380" w:type="dxa"/>
              <w:bottom w:w="30" w:type="dxa"/>
              <w:right w:w="20" w:type="dxa"/>
            </w:tcMar>
            <w:hideMark/>
          </w:tcPr>
          <w:p w14:paraId="699BC450" w14:textId="77777777" w:rsidR="00000000" w:rsidRDefault="00E614A4">
            <w:pPr>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17C71984" w14:textId="77777777" w:rsidR="00000000" w:rsidRDefault="00E614A4">
            <w:pPr>
              <w:rPr>
                <w:rFonts w:eastAsia="Times New Roman"/>
              </w:rPr>
            </w:pPr>
          </w:p>
        </w:tc>
        <w:tc>
          <w:tcPr>
            <w:tcW w:w="0" w:type="auto"/>
            <w:shd w:val="clear" w:color="auto" w:fill="CCEEFF"/>
            <w:tcMar>
              <w:top w:w="30" w:type="dxa"/>
              <w:left w:w="20" w:type="dxa"/>
              <w:bottom w:w="30" w:type="dxa"/>
              <w:right w:w="0" w:type="dxa"/>
            </w:tcMar>
            <w:vAlign w:val="bottom"/>
            <w:hideMark/>
          </w:tcPr>
          <w:p w14:paraId="4C2A985F"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9244FED" w14:textId="77777777" w:rsidR="00000000" w:rsidRDefault="00E614A4">
            <w:pPr>
              <w:jc w:val="right"/>
              <w:rPr>
                <w:rFonts w:eastAsia="Times New Roman"/>
              </w:rPr>
            </w:pPr>
            <w:r>
              <w:rPr>
                <w:rFonts w:eastAsia="Times New Roman"/>
                <w:color w:val="000000"/>
                <w:sz w:val="18"/>
                <w:szCs w:val="18"/>
              </w:rPr>
              <w:t>(0.67)</w:t>
            </w:r>
          </w:p>
        </w:tc>
        <w:tc>
          <w:tcPr>
            <w:tcW w:w="0" w:type="auto"/>
            <w:shd w:val="clear" w:color="auto" w:fill="CCEEFF"/>
            <w:tcMar>
              <w:top w:w="30" w:type="dxa"/>
              <w:left w:w="0" w:type="dxa"/>
              <w:bottom w:w="30" w:type="dxa"/>
              <w:right w:w="20" w:type="dxa"/>
            </w:tcMar>
            <w:vAlign w:val="bottom"/>
            <w:hideMark/>
          </w:tcPr>
          <w:p w14:paraId="211B01A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B333E"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89A79E"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5F026ED" w14:textId="77777777" w:rsidR="00000000" w:rsidRDefault="00E614A4">
            <w:pPr>
              <w:jc w:val="right"/>
              <w:rPr>
                <w:rFonts w:eastAsia="Times New Roman"/>
              </w:rPr>
            </w:pPr>
            <w:r>
              <w:rPr>
                <w:rFonts w:eastAsia="Times New Roman"/>
                <w:color w:val="000000"/>
                <w:sz w:val="18"/>
                <w:szCs w:val="18"/>
              </w:rPr>
              <w:t>(5.33)</w:t>
            </w:r>
          </w:p>
        </w:tc>
        <w:tc>
          <w:tcPr>
            <w:tcW w:w="0" w:type="auto"/>
            <w:shd w:val="clear" w:color="auto" w:fill="CCEEFF"/>
            <w:tcMar>
              <w:top w:w="30" w:type="dxa"/>
              <w:left w:w="0" w:type="dxa"/>
              <w:bottom w:w="30" w:type="dxa"/>
              <w:right w:w="20" w:type="dxa"/>
            </w:tcMar>
            <w:vAlign w:val="bottom"/>
            <w:hideMark/>
          </w:tcPr>
          <w:p w14:paraId="5912135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D9248"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61902C"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2E4D4C9" w14:textId="77777777" w:rsidR="00000000" w:rsidRDefault="00E614A4">
            <w:pPr>
              <w:jc w:val="right"/>
              <w:rPr>
                <w:rFonts w:eastAsia="Times New Roman"/>
              </w:rPr>
            </w:pPr>
            <w:r>
              <w:rPr>
                <w:rFonts w:eastAsia="Times New Roman"/>
                <w:color w:val="000000"/>
                <w:sz w:val="18"/>
                <w:szCs w:val="18"/>
              </w:rPr>
              <w:t>(2.76)</w:t>
            </w:r>
          </w:p>
        </w:tc>
        <w:tc>
          <w:tcPr>
            <w:tcW w:w="0" w:type="auto"/>
            <w:shd w:val="clear" w:color="auto" w:fill="CCEEFF"/>
            <w:tcMar>
              <w:top w:w="30" w:type="dxa"/>
              <w:left w:w="0" w:type="dxa"/>
              <w:bottom w:w="30" w:type="dxa"/>
              <w:right w:w="20" w:type="dxa"/>
            </w:tcMar>
            <w:vAlign w:val="bottom"/>
            <w:hideMark/>
          </w:tcPr>
          <w:p w14:paraId="1FC3CC9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D28E2"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663707"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359C19E" w14:textId="77777777" w:rsidR="00000000" w:rsidRDefault="00E614A4">
            <w:pPr>
              <w:jc w:val="right"/>
              <w:rPr>
                <w:rFonts w:eastAsia="Times New Roman"/>
              </w:rPr>
            </w:pPr>
            <w:r>
              <w:rPr>
                <w:rFonts w:eastAsia="Times New Roman"/>
                <w:color w:val="000000"/>
                <w:sz w:val="18"/>
                <w:szCs w:val="18"/>
              </w:rPr>
              <w:t>(4.90)</w:t>
            </w:r>
          </w:p>
        </w:tc>
        <w:tc>
          <w:tcPr>
            <w:tcW w:w="0" w:type="auto"/>
            <w:shd w:val="clear" w:color="auto" w:fill="CCEEFF"/>
            <w:tcMar>
              <w:top w:w="30" w:type="dxa"/>
              <w:left w:w="0" w:type="dxa"/>
              <w:bottom w:w="30" w:type="dxa"/>
              <w:right w:w="20" w:type="dxa"/>
            </w:tcMar>
            <w:vAlign w:val="bottom"/>
            <w:hideMark/>
          </w:tcPr>
          <w:p w14:paraId="2565751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A7B2E"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645C8C"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93F0941" w14:textId="77777777" w:rsidR="00000000" w:rsidRDefault="00E614A4">
            <w:pPr>
              <w:jc w:val="right"/>
              <w:rPr>
                <w:rFonts w:eastAsia="Times New Roman"/>
              </w:rPr>
            </w:pPr>
            <w:r>
              <w:rPr>
                <w:rFonts w:eastAsia="Times New Roman"/>
                <w:color w:val="000000"/>
                <w:sz w:val="18"/>
                <w:szCs w:val="18"/>
              </w:rPr>
              <w:t>(2.10)</w:t>
            </w:r>
          </w:p>
        </w:tc>
        <w:tc>
          <w:tcPr>
            <w:tcW w:w="0" w:type="auto"/>
            <w:shd w:val="clear" w:color="auto" w:fill="CCEEFF"/>
            <w:tcMar>
              <w:top w:w="30" w:type="dxa"/>
              <w:left w:w="0" w:type="dxa"/>
              <w:bottom w:w="30" w:type="dxa"/>
              <w:right w:w="20" w:type="dxa"/>
            </w:tcMar>
            <w:vAlign w:val="bottom"/>
            <w:hideMark/>
          </w:tcPr>
          <w:p w14:paraId="2252C467" w14:textId="77777777" w:rsidR="00000000" w:rsidRDefault="00E614A4">
            <w:pPr>
              <w:jc w:val="right"/>
              <w:rPr>
                <w:rFonts w:eastAsia="Times New Roman"/>
              </w:rPr>
            </w:pPr>
          </w:p>
        </w:tc>
      </w:tr>
      <w:tr w:rsidR="00000000" w14:paraId="0098374D" w14:textId="77777777">
        <w:trPr>
          <w:divId w:val="877090312"/>
          <w:jc w:val="center"/>
        </w:trPr>
        <w:tc>
          <w:tcPr>
            <w:tcW w:w="0" w:type="auto"/>
            <w:gridSpan w:val="27"/>
            <w:shd w:val="clear" w:color="auto" w:fill="FFFFFF"/>
            <w:tcMar>
              <w:top w:w="30" w:type="dxa"/>
              <w:left w:w="20" w:type="dxa"/>
              <w:bottom w:w="30" w:type="dxa"/>
              <w:right w:w="20" w:type="dxa"/>
            </w:tcMar>
            <w:hideMark/>
          </w:tcPr>
          <w:p w14:paraId="6DE6810C" w14:textId="77777777" w:rsidR="00000000" w:rsidRDefault="00E614A4">
            <w:pPr>
              <w:rPr>
                <w:rFonts w:eastAsia="Times New Roman"/>
              </w:rPr>
            </w:pPr>
            <w:r>
              <w:rPr>
                <w:rFonts w:eastAsia="Times New Roman"/>
                <w:color w:val="000000"/>
                <w:sz w:val="18"/>
                <w:szCs w:val="18"/>
              </w:rPr>
              <w:t xml:space="preserve">Weighted-average number of shares used in per share calculations - Common Stock: </w:t>
            </w:r>
          </w:p>
        </w:tc>
        <w:tc>
          <w:tcPr>
            <w:tcW w:w="0" w:type="auto"/>
            <w:gridSpan w:val="3"/>
            <w:shd w:val="clear" w:color="auto" w:fill="FFFFFF"/>
            <w:tcMar>
              <w:top w:w="0" w:type="dxa"/>
              <w:left w:w="20" w:type="dxa"/>
              <w:bottom w:w="0" w:type="dxa"/>
              <w:right w:w="20" w:type="dxa"/>
            </w:tcMar>
            <w:vAlign w:val="center"/>
            <w:hideMark/>
          </w:tcPr>
          <w:p w14:paraId="3EF198C7"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EE807" w14:textId="77777777" w:rsidR="00000000" w:rsidRDefault="00E614A4">
            <w:pPr>
              <w:rPr>
                <w:rFonts w:eastAsia="Times New Roman"/>
                <w:sz w:val="20"/>
                <w:szCs w:val="20"/>
              </w:rPr>
            </w:pPr>
          </w:p>
        </w:tc>
      </w:tr>
      <w:tr w:rsidR="00000000" w14:paraId="23DFDBBC" w14:textId="77777777">
        <w:trPr>
          <w:divId w:val="877090312"/>
          <w:jc w:val="center"/>
        </w:trPr>
        <w:tc>
          <w:tcPr>
            <w:tcW w:w="0" w:type="auto"/>
            <w:gridSpan w:val="3"/>
            <w:shd w:val="clear" w:color="auto" w:fill="CCEEFF"/>
            <w:tcMar>
              <w:top w:w="30" w:type="dxa"/>
              <w:left w:w="380" w:type="dxa"/>
              <w:bottom w:w="30" w:type="dxa"/>
              <w:right w:w="20" w:type="dxa"/>
            </w:tcMar>
            <w:hideMark/>
          </w:tcPr>
          <w:p w14:paraId="6A8E47E2" w14:textId="77777777" w:rsidR="00000000" w:rsidRDefault="00E614A4">
            <w:pPr>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6F688ACF"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A2071C" w14:textId="77777777" w:rsidR="00000000" w:rsidRDefault="00E614A4">
            <w:pPr>
              <w:jc w:val="right"/>
              <w:rPr>
                <w:rFonts w:eastAsia="Times New Roman"/>
              </w:rPr>
            </w:pPr>
            <w:r>
              <w:rPr>
                <w:rFonts w:eastAsia="Times New Roman"/>
                <w:color w:val="000000"/>
                <w:sz w:val="18"/>
                <w:szCs w:val="18"/>
              </w:rPr>
              <w:t>71,181,496 </w:t>
            </w:r>
          </w:p>
        </w:tc>
        <w:tc>
          <w:tcPr>
            <w:tcW w:w="0" w:type="auto"/>
            <w:shd w:val="clear" w:color="auto" w:fill="CCEEFF"/>
            <w:tcMar>
              <w:top w:w="30" w:type="dxa"/>
              <w:left w:w="0" w:type="dxa"/>
              <w:bottom w:w="30" w:type="dxa"/>
              <w:right w:w="20" w:type="dxa"/>
            </w:tcMar>
            <w:vAlign w:val="bottom"/>
            <w:hideMark/>
          </w:tcPr>
          <w:p w14:paraId="1AF783D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940D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8A7138" w14:textId="77777777" w:rsidR="00000000" w:rsidRDefault="00E614A4">
            <w:pPr>
              <w:jc w:val="right"/>
              <w:rPr>
                <w:rFonts w:eastAsia="Times New Roman"/>
              </w:rPr>
            </w:pPr>
            <w:r>
              <w:rPr>
                <w:rFonts w:eastAsia="Times New Roman"/>
                <w:color w:val="000000"/>
                <w:sz w:val="18"/>
                <w:szCs w:val="18"/>
              </w:rPr>
              <w:t>63,590,882 </w:t>
            </w:r>
          </w:p>
        </w:tc>
        <w:tc>
          <w:tcPr>
            <w:tcW w:w="0" w:type="auto"/>
            <w:shd w:val="clear" w:color="auto" w:fill="CCEEFF"/>
            <w:tcMar>
              <w:top w:w="30" w:type="dxa"/>
              <w:left w:w="0" w:type="dxa"/>
              <w:bottom w:w="30" w:type="dxa"/>
              <w:right w:w="20" w:type="dxa"/>
            </w:tcMar>
            <w:vAlign w:val="bottom"/>
            <w:hideMark/>
          </w:tcPr>
          <w:p w14:paraId="1A2652C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16EA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400EBC" w14:textId="77777777" w:rsidR="00000000" w:rsidRDefault="00E614A4">
            <w:pPr>
              <w:jc w:val="right"/>
              <w:rPr>
                <w:rFonts w:eastAsia="Times New Roman"/>
              </w:rPr>
            </w:pPr>
            <w:r>
              <w:rPr>
                <w:rFonts w:eastAsia="Times New Roman"/>
                <w:color w:val="000000"/>
                <w:sz w:val="18"/>
                <w:szCs w:val="18"/>
              </w:rPr>
              <w:t>57,700,603 </w:t>
            </w:r>
          </w:p>
        </w:tc>
        <w:tc>
          <w:tcPr>
            <w:tcW w:w="0" w:type="auto"/>
            <w:shd w:val="clear" w:color="auto" w:fill="CCEEFF"/>
            <w:tcMar>
              <w:top w:w="30" w:type="dxa"/>
              <w:left w:w="0" w:type="dxa"/>
              <w:bottom w:w="30" w:type="dxa"/>
              <w:right w:w="20" w:type="dxa"/>
            </w:tcMar>
            <w:vAlign w:val="bottom"/>
            <w:hideMark/>
          </w:tcPr>
          <w:p w14:paraId="3C82100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C915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507911" w14:textId="77777777" w:rsidR="00000000" w:rsidRDefault="00E614A4">
            <w:pPr>
              <w:jc w:val="right"/>
              <w:rPr>
                <w:rFonts w:eastAsia="Times New Roman"/>
              </w:rPr>
            </w:pPr>
            <w:r>
              <w:rPr>
                <w:rFonts w:eastAsia="Times New Roman"/>
                <w:color w:val="000000"/>
                <w:sz w:val="18"/>
                <w:szCs w:val="18"/>
              </w:rPr>
              <w:t>57,485,755 </w:t>
            </w:r>
          </w:p>
        </w:tc>
        <w:tc>
          <w:tcPr>
            <w:tcW w:w="0" w:type="auto"/>
            <w:shd w:val="clear" w:color="auto" w:fill="CCEEFF"/>
            <w:tcMar>
              <w:top w:w="30" w:type="dxa"/>
              <w:left w:w="0" w:type="dxa"/>
              <w:bottom w:w="30" w:type="dxa"/>
              <w:right w:w="20" w:type="dxa"/>
            </w:tcMar>
            <w:vAlign w:val="bottom"/>
            <w:hideMark/>
          </w:tcPr>
          <w:p w14:paraId="69415F6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F7128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8D5E91" w14:textId="77777777" w:rsidR="00000000" w:rsidRDefault="00E614A4">
            <w:pPr>
              <w:jc w:val="right"/>
              <w:rPr>
                <w:rFonts w:eastAsia="Times New Roman"/>
              </w:rPr>
            </w:pPr>
            <w:r>
              <w:rPr>
                <w:rFonts w:eastAsia="Times New Roman"/>
                <w:color w:val="000000"/>
                <w:sz w:val="18"/>
                <w:szCs w:val="18"/>
              </w:rPr>
              <w:t>55,728,090 </w:t>
            </w:r>
          </w:p>
        </w:tc>
        <w:tc>
          <w:tcPr>
            <w:tcW w:w="0" w:type="auto"/>
            <w:shd w:val="clear" w:color="auto" w:fill="CCEEFF"/>
            <w:tcMar>
              <w:top w:w="30" w:type="dxa"/>
              <w:left w:w="0" w:type="dxa"/>
              <w:bottom w:w="30" w:type="dxa"/>
              <w:right w:w="20" w:type="dxa"/>
            </w:tcMar>
            <w:vAlign w:val="bottom"/>
            <w:hideMark/>
          </w:tcPr>
          <w:p w14:paraId="6A719EA4" w14:textId="77777777" w:rsidR="00000000" w:rsidRDefault="00E614A4">
            <w:pPr>
              <w:jc w:val="right"/>
              <w:rPr>
                <w:rFonts w:eastAsia="Times New Roman"/>
              </w:rPr>
            </w:pPr>
          </w:p>
        </w:tc>
      </w:tr>
    </w:tbl>
    <w:p w14:paraId="5DFD9330" w14:textId="77777777" w:rsidR="00000000" w:rsidRDefault="00E614A4">
      <w:pPr>
        <w:jc w:val="both"/>
        <w:divId w:val="53429354"/>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Due to the Rentrak merger in January 2016, 2016 results include 11 months of Rentrak activity as compared to full-ye</w:t>
      </w:r>
      <w:r>
        <w:rPr>
          <w:rFonts w:eastAsia="Times New Roman"/>
          <w:i/>
          <w:iCs/>
          <w:color w:val="000000"/>
          <w:sz w:val="16"/>
          <w:szCs w:val="16"/>
        </w:rPr>
        <w:t>ar results in the subsequent years.</w:t>
      </w:r>
    </w:p>
    <w:p w14:paraId="640474BF" w14:textId="77777777" w:rsidR="00000000" w:rsidRDefault="00E614A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As discussed in </w:t>
      </w:r>
      <w:hyperlink r:id="rId5" w:history="1">
        <w:r>
          <w:rPr>
            <w:rStyle w:val="a3"/>
            <w:rFonts w:eastAsia="Times New Roman"/>
            <w:i/>
            <w:iCs/>
            <w:sz w:val="16"/>
            <w:szCs w:val="16"/>
          </w:rPr>
          <w:t>Footnote 2</w:t>
        </w:r>
      </w:hyperlink>
      <w:r>
        <w:rPr>
          <w:rFonts w:eastAsia="Times New Roman"/>
          <w:i/>
          <w:iCs/>
          <w:color w:val="000000"/>
          <w:sz w:val="16"/>
          <w:szCs w:val="16"/>
        </w:rPr>
        <w:t xml:space="preserve">, Summary of Significant Accounting Policies, in our </w:t>
      </w:r>
      <w:hyperlink r:id="rId6" w:history="1">
        <w:r>
          <w:rPr>
            <w:rStyle w:val="a3"/>
            <w:rFonts w:eastAsia="Times New Roman"/>
            <w:i/>
            <w:iCs/>
            <w:sz w:val="16"/>
            <w:szCs w:val="16"/>
          </w:rPr>
          <w:t>2018 10-K</w:t>
        </w:r>
      </w:hyperlink>
      <w:r>
        <w:rPr>
          <w:rFonts w:eastAsia="Times New Roman"/>
          <w:i/>
          <w:iCs/>
          <w:color w:val="000000"/>
          <w:sz w:val="16"/>
          <w:szCs w:val="16"/>
        </w:rPr>
        <w:t>, revenue for the years ended December 31, 2017 and 2016 is not comparable to revenue for the years ended December 31, 2020, 2019 and 2018 due to our adoption of Accounting Standards</w:t>
      </w:r>
      <w:r>
        <w:rPr>
          <w:rFonts w:eastAsia="Times New Roman"/>
          <w:i/>
          <w:iCs/>
          <w:color w:val="000000"/>
          <w:sz w:val="16"/>
          <w:szCs w:val="16"/>
        </w:rPr>
        <w:t xml:space="preserve"> Codification 606, Revenue from Contracts with Customers ("ASC 606" or "Topic 606").</w:t>
      </w:r>
    </w:p>
    <w:tbl>
      <w:tblPr>
        <w:tblW w:w="5000" w:type="pct"/>
        <w:tblCellMar>
          <w:top w:w="15" w:type="dxa"/>
          <w:left w:w="15" w:type="dxa"/>
          <w:bottom w:w="15" w:type="dxa"/>
          <w:right w:w="15" w:type="dxa"/>
        </w:tblCellMar>
        <w:tblLook w:val="04A0" w:firstRow="1" w:lastRow="0" w:firstColumn="1" w:lastColumn="0" w:noHBand="0" w:noVBand="1"/>
      </w:tblPr>
      <w:tblGrid>
        <w:gridCol w:w="38"/>
        <w:gridCol w:w="3519"/>
        <w:gridCol w:w="36"/>
        <w:gridCol w:w="36"/>
        <w:gridCol w:w="36"/>
        <w:gridCol w:w="36"/>
        <w:gridCol w:w="110"/>
        <w:gridCol w:w="674"/>
        <w:gridCol w:w="36"/>
        <w:gridCol w:w="36"/>
        <w:gridCol w:w="36"/>
        <w:gridCol w:w="36"/>
        <w:gridCol w:w="110"/>
        <w:gridCol w:w="675"/>
        <w:gridCol w:w="36"/>
        <w:gridCol w:w="36"/>
        <w:gridCol w:w="36"/>
        <w:gridCol w:w="36"/>
        <w:gridCol w:w="110"/>
        <w:gridCol w:w="676"/>
        <w:gridCol w:w="36"/>
        <w:gridCol w:w="36"/>
        <w:gridCol w:w="36"/>
        <w:gridCol w:w="36"/>
        <w:gridCol w:w="111"/>
        <w:gridCol w:w="708"/>
        <w:gridCol w:w="36"/>
        <w:gridCol w:w="36"/>
        <w:gridCol w:w="36"/>
        <w:gridCol w:w="36"/>
        <w:gridCol w:w="111"/>
        <w:gridCol w:w="708"/>
        <w:gridCol w:w="36"/>
      </w:tblGrid>
      <w:tr w:rsidR="00000000" w14:paraId="47A1FC20" w14:textId="77777777">
        <w:trPr>
          <w:divId w:val="2087070831"/>
        </w:trPr>
        <w:tc>
          <w:tcPr>
            <w:tcW w:w="50" w:type="pct"/>
            <w:vAlign w:val="center"/>
            <w:hideMark/>
          </w:tcPr>
          <w:p w14:paraId="19FFBB33" w14:textId="77777777" w:rsidR="00000000" w:rsidRDefault="00E614A4">
            <w:pPr>
              <w:jc w:val="both"/>
              <w:rPr>
                <w:rFonts w:eastAsia="Times New Roman"/>
              </w:rPr>
            </w:pPr>
          </w:p>
        </w:tc>
        <w:tc>
          <w:tcPr>
            <w:tcW w:w="2201" w:type="pct"/>
            <w:vAlign w:val="center"/>
            <w:hideMark/>
          </w:tcPr>
          <w:p w14:paraId="02BD5804" w14:textId="77777777" w:rsidR="00000000" w:rsidRDefault="00E614A4">
            <w:pPr>
              <w:rPr>
                <w:rFonts w:eastAsia="Times New Roman"/>
                <w:sz w:val="20"/>
                <w:szCs w:val="20"/>
              </w:rPr>
            </w:pPr>
          </w:p>
        </w:tc>
        <w:tc>
          <w:tcPr>
            <w:tcW w:w="5" w:type="pct"/>
            <w:vAlign w:val="center"/>
            <w:hideMark/>
          </w:tcPr>
          <w:p w14:paraId="34E645AE" w14:textId="77777777" w:rsidR="00000000" w:rsidRDefault="00E614A4">
            <w:pPr>
              <w:rPr>
                <w:rFonts w:eastAsia="Times New Roman"/>
                <w:sz w:val="20"/>
                <w:szCs w:val="20"/>
              </w:rPr>
            </w:pPr>
          </w:p>
        </w:tc>
        <w:tc>
          <w:tcPr>
            <w:tcW w:w="5" w:type="pct"/>
            <w:vAlign w:val="center"/>
            <w:hideMark/>
          </w:tcPr>
          <w:p w14:paraId="010BEED9" w14:textId="77777777" w:rsidR="00000000" w:rsidRDefault="00E614A4">
            <w:pPr>
              <w:rPr>
                <w:rFonts w:eastAsia="Times New Roman"/>
                <w:sz w:val="20"/>
                <w:szCs w:val="20"/>
              </w:rPr>
            </w:pPr>
          </w:p>
        </w:tc>
        <w:tc>
          <w:tcPr>
            <w:tcW w:w="17" w:type="pct"/>
            <w:vAlign w:val="center"/>
            <w:hideMark/>
          </w:tcPr>
          <w:p w14:paraId="41D69BA7" w14:textId="77777777" w:rsidR="00000000" w:rsidRDefault="00E614A4">
            <w:pPr>
              <w:rPr>
                <w:rFonts w:eastAsia="Times New Roman"/>
                <w:sz w:val="20"/>
                <w:szCs w:val="20"/>
              </w:rPr>
            </w:pPr>
          </w:p>
        </w:tc>
        <w:tc>
          <w:tcPr>
            <w:tcW w:w="5" w:type="pct"/>
            <w:vAlign w:val="center"/>
            <w:hideMark/>
          </w:tcPr>
          <w:p w14:paraId="611E1E93" w14:textId="77777777" w:rsidR="00000000" w:rsidRDefault="00E614A4">
            <w:pPr>
              <w:rPr>
                <w:rFonts w:eastAsia="Times New Roman"/>
                <w:sz w:val="20"/>
                <w:szCs w:val="20"/>
              </w:rPr>
            </w:pPr>
          </w:p>
        </w:tc>
        <w:tc>
          <w:tcPr>
            <w:tcW w:w="50" w:type="pct"/>
            <w:vAlign w:val="center"/>
            <w:hideMark/>
          </w:tcPr>
          <w:p w14:paraId="5B87C897" w14:textId="77777777" w:rsidR="00000000" w:rsidRDefault="00E614A4">
            <w:pPr>
              <w:rPr>
                <w:rFonts w:eastAsia="Times New Roman"/>
                <w:sz w:val="20"/>
                <w:szCs w:val="20"/>
              </w:rPr>
            </w:pPr>
          </w:p>
        </w:tc>
        <w:tc>
          <w:tcPr>
            <w:tcW w:w="465" w:type="pct"/>
            <w:vAlign w:val="center"/>
            <w:hideMark/>
          </w:tcPr>
          <w:p w14:paraId="032724DF" w14:textId="77777777" w:rsidR="00000000" w:rsidRDefault="00E614A4">
            <w:pPr>
              <w:rPr>
                <w:rFonts w:eastAsia="Times New Roman"/>
                <w:sz w:val="20"/>
                <w:szCs w:val="20"/>
              </w:rPr>
            </w:pPr>
          </w:p>
        </w:tc>
        <w:tc>
          <w:tcPr>
            <w:tcW w:w="5" w:type="pct"/>
            <w:vAlign w:val="center"/>
            <w:hideMark/>
          </w:tcPr>
          <w:p w14:paraId="0FBE3497" w14:textId="77777777" w:rsidR="00000000" w:rsidRDefault="00E614A4">
            <w:pPr>
              <w:rPr>
                <w:rFonts w:eastAsia="Times New Roman"/>
                <w:sz w:val="20"/>
                <w:szCs w:val="20"/>
              </w:rPr>
            </w:pPr>
          </w:p>
        </w:tc>
        <w:tc>
          <w:tcPr>
            <w:tcW w:w="5" w:type="pct"/>
            <w:vAlign w:val="center"/>
            <w:hideMark/>
          </w:tcPr>
          <w:p w14:paraId="0EF43377" w14:textId="77777777" w:rsidR="00000000" w:rsidRDefault="00E614A4">
            <w:pPr>
              <w:rPr>
                <w:rFonts w:eastAsia="Times New Roman"/>
                <w:sz w:val="20"/>
                <w:szCs w:val="20"/>
              </w:rPr>
            </w:pPr>
          </w:p>
        </w:tc>
        <w:tc>
          <w:tcPr>
            <w:tcW w:w="17" w:type="pct"/>
            <w:vAlign w:val="center"/>
            <w:hideMark/>
          </w:tcPr>
          <w:p w14:paraId="496725F6" w14:textId="77777777" w:rsidR="00000000" w:rsidRDefault="00E614A4">
            <w:pPr>
              <w:rPr>
                <w:rFonts w:eastAsia="Times New Roman"/>
                <w:sz w:val="20"/>
                <w:szCs w:val="20"/>
              </w:rPr>
            </w:pPr>
          </w:p>
        </w:tc>
        <w:tc>
          <w:tcPr>
            <w:tcW w:w="5" w:type="pct"/>
            <w:vAlign w:val="center"/>
            <w:hideMark/>
          </w:tcPr>
          <w:p w14:paraId="15281E05" w14:textId="77777777" w:rsidR="00000000" w:rsidRDefault="00E614A4">
            <w:pPr>
              <w:rPr>
                <w:rFonts w:eastAsia="Times New Roman"/>
                <w:sz w:val="20"/>
                <w:szCs w:val="20"/>
              </w:rPr>
            </w:pPr>
          </w:p>
        </w:tc>
        <w:tc>
          <w:tcPr>
            <w:tcW w:w="50" w:type="pct"/>
            <w:vAlign w:val="center"/>
            <w:hideMark/>
          </w:tcPr>
          <w:p w14:paraId="3F145C84" w14:textId="77777777" w:rsidR="00000000" w:rsidRDefault="00E614A4">
            <w:pPr>
              <w:rPr>
                <w:rFonts w:eastAsia="Times New Roman"/>
                <w:sz w:val="20"/>
                <w:szCs w:val="20"/>
              </w:rPr>
            </w:pPr>
          </w:p>
        </w:tc>
        <w:tc>
          <w:tcPr>
            <w:tcW w:w="465" w:type="pct"/>
            <w:vAlign w:val="center"/>
            <w:hideMark/>
          </w:tcPr>
          <w:p w14:paraId="0B2DFE5C" w14:textId="77777777" w:rsidR="00000000" w:rsidRDefault="00E614A4">
            <w:pPr>
              <w:rPr>
                <w:rFonts w:eastAsia="Times New Roman"/>
                <w:sz w:val="20"/>
                <w:szCs w:val="20"/>
              </w:rPr>
            </w:pPr>
          </w:p>
        </w:tc>
        <w:tc>
          <w:tcPr>
            <w:tcW w:w="5" w:type="pct"/>
            <w:vAlign w:val="center"/>
            <w:hideMark/>
          </w:tcPr>
          <w:p w14:paraId="7E83D10E" w14:textId="77777777" w:rsidR="00000000" w:rsidRDefault="00E614A4">
            <w:pPr>
              <w:rPr>
                <w:rFonts w:eastAsia="Times New Roman"/>
                <w:sz w:val="20"/>
                <w:szCs w:val="20"/>
              </w:rPr>
            </w:pPr>
          </w:p>
        </w:tc>
        <w:tc>
          <w:tcPr>
            <w:tcW w:w="5" w:type="pct"/>
            <w:vAlign w:val="center"/>
            <w:hideMark/>
          </w:tcPr>
          <w:p w14:paraId="21F80AC9" w14:textId="77777777" w:rsidR="00000000" w:rsidRDefault="00E614A4">
            <w:pPr>
              <w:rPr>
                <w:rFonts w:eastAsia="Times New Roman"/>
                <w:sz w:val="20"/>
                <w:szCs w:val="20"/>
              </w:rPr>
            </w:pPr>
          </w:p>
        </w:tc>
        <w:tc>
          <w:tcPr>
            <w:tcW w:w="17" w:type="pct"/>
            <w:vAlign w:val="center"/>
            <w:hideMark/>
          </w:tcPr>
          <w:p w14:paraId="43C28EDF" w14:textId="77777777" w:rsidR="00000000" w:rsidRDefault="00E614A4">
            <w:pPr>
              <w:rPr>
                <w:rFonts w:eastAsia="Times New Roman"/>
                <w:sz w:val="20"/>
                <w:szCs w:val="20"/>
              </w:rPr>
            </w:pPr>
          </w:p>
        </w:tc>
        <w:tc>
          <w:tcPr>
            <w:tcW w:w="5" w:type="pct"/>
            <w:vAlign w:val="center"/>
            <w:hideMark/>
          </w:tcPr>
          <w:p w14:paraId="19EFD04A" w14:textId="77777777" w:rsidR="00000000" w:rsidRDefault="00E614A4">
            <w:pPr>
              <w:rPr>
                <w:rFonts w:eastAsia="Times New Roman"/>
                <w:sz w:val="20"/>
                <w:szCs w:val="20"/>
              </w:rPr>
            </w:pPr>
          </w:p>
        </w:tc>
        <w:tc>
          <w:tcPr>
            <w:tcW w:w="50" w:type="pct"/>
            <w:vAlign w:val="center"/>
            <w:hideMark/>
          </w:tcPr>
          <w:p w14:paraId="2016611B" w14:textId="77777777" w:rsidR="00000000" w:rsidRDefault="00E614A4">
            <w:pPr>
              <w:rPr>
                <w:rFonts w:eastAsia="Times New Roman"/>
                <w:sz w:val="20"/>
                <w:szCs w:val="20"/>
              </w:rPr>
            </w:pPr>
          </w:p>
        </w:tc>
        <w:tc>
          <w:tcPr>
            <w:tcW w:w="465" w:type="pct"/>
            <w:vAlign w:val="center"/>
            <w:hideMark/>
          </w:tcPr>
          <w:p w14:paraId="15980175" w14:textId="77777777" w:rsidR="00000000" w:rsidRDefault="00E614A4">
            <w:pPr>
              <w:rPr>
                <w:rFonts w:eastAsia="Times New Roman"/>
                <w:sz w:val="20"/>
                <w:szCs w:val="20"/>
              </w:rPr>
            </w:pPr>
          </w:p>
        </w:tc>
        <w:tc>
          <w:tcPr>
            <w:tcW w:w="5" w:type="pct"/>
            <w:vAlign w:val="center"/>
            <w:hideMark/>
          </w:tcPr>
          <w:p w14:paraId="037CA546" w14:textId="77777777" w:rsidR="00000000" w:rsidRDefault="00E614A4">
            <w:pPr>
              <w:rPr>
                <w:rFonts w:eastAsia="Times New Roman"/>
                <w:sz w:val="20"/>
                <w:szCs w:val="20"/>
              </w:rPr>
            </w:pPr>
          </w:p>
        </w:tc>
        <w:tc>
          <w:tcPr>
            <w:tcW w:w="5" w:type="pct"/>
            <w:vAlign w:val="center"/>
            <w:hideMark/>
          </w:tcPr>
          <w:p w14:paraId="5FDD11A5" w14:textId="77777777" w:rsidR="00000000" w:rsidRDefault="00E614A4">
            <w:pPr>
              <w:rPr>
                <w:rFonts w:eastAsia="Times New Roman"/>
                <w:sz w:val="20"/>
                <w:szCs w:val="20"/>
              </w:rPr>
            </w:pPr>
          </w:p>
        </w:tc>
        <w:tc>
          <w:tcPr>
            <w:tcW w:w="17" w:type="pct"/>
            <w:vAlign w:val="center"/>
            <w:hideMark/>
          </w:tcPr>
          <w:p w14:paraId="3EFACF04" w14:textId="77777777" w:rsidR="00000000" w:rsidRDefault="00E614A4">
            <w:pPr>
              <w:rPr>
                <w:rFonts w:eastAsia="Times New Roman"/>
                <w:sz w:val="20"/>
                <w:szCs w:val="20"/>
              </w:rPr>
            </w:pPr>
          </w:p>
        </w:tc>
        <w:tc>
          <w:tcPr>
            <w:tcW w:w="5" w:type="pct"/>
            <w:vAlign w:val="center"/>
            <w:hideMark/>
          </w:tcPr>
          <w:p w14:paraId="36E4B1C2" w14:textId="77777777" w:rsidR="00000000" w:rsidRDefault="00E614A4">
            <w:pPr>
              <w:rPr>
                <w:rFonts w:eastAsia="Times New Roman"/>
                <w:sz w:val="20"/>
                <w:szCs w:val="20"/>
              </w:rPr>
            </w:pPr>
          </w:p>
        </w:tc>
        <w:tc>
          <w:tcPr>
            <w:tcW w:w="50" w:type="pct"/>
            <w:vAlign w:val="center"/>
            <w:hideMark/>
          </w:tcPr>
          <w:p w14:paraId="7E842921" w14:textId="77777777" w:rsidR="00000000" w:rsidRDefault="00E614A4">
            <w:pPr>
              <w:rPr>
                <w:rFonts w:eastAsia="Times New Roman"/>
                <w:sz w:val="20"/>
                <w:szCs w:val="20"/>
              </w:rPr>
            </w:pPr>
          </w:p>
        </w:tc>
        <w:tc>
          <w:tcPr>
            <w:tcW w:w="465" w:type="pct"/>
            <w:vAlign w:val="center"/>
            <w:hideMark/>
          </w:tcPr>
          <w:p w14:paraId="2F2AC609" w14:textId="77777777" w:rsidR="00000000" w:rsidRDefault="00E614A4">
            <w:pPr>
              <w:rPr>
                <w:rFonts w:eastAsia="Times New Roman"/>
                <w:sz w:val="20"/>
                <w:szCs w:val="20"/>
              </w:rPr>
            </w:pPr>
          </w:p>
        </w:tc>
        <w:tc>
          <w:tcPr>
            <w:tcW w:w="5" w:type="pct"/>
            <w:vAlign w:val="center"/>
            <w:hideMark/>
          </w:tcPr>
          <w:p w14:paraId="16FC023E" w14:textId="77777777" w:rsidR="00000000" w:rsidRDefault="00E614A4">
            <w:pPr>
              <w:rPr>
                <w:rFonts w:eastAsia="Times New Roman"/>
                <w:sz w:val="20"/>
                <w:szCs w:val="20"/>
              </w:rPr>
            </w:pPr>
          </w:p>
        </w:tc>
        <w:tc>
          <w:tcPr>
            <w:tcW w:w="5" w:type="pct"/>
            <w:vAlign w:val="center"/>
            <w:hideMark/>
          </w:tcPr>
          <w:p w14:paraId="5CEEB620" w14:textId="77777777" w:rsidR="00000000" w:rsidRDefault="00E614A4">
            <w:pPr>
              <w:rPr>
                <w:rFonts w:eastAsia="Times New Roman"/>
                <w:sz w:val="20"/>
                <w:szCs w:val="20"/>
              </w:rPr>
            </w:pPr>
          </w:p>
        </w:tc>
        <w:tc>
          <w:tcPr>
            <w:tcW w:w="17" w:type="pct"/>
            <w:vAlign w:val="center"/>
            <w:hideMark/>
          </w:tcPr>
          <w:p w14:paraId="4CCDCCE8" w14:textId="77777777" w:rsidR="00000000" w:rsidRDefault="00E614A4">
            <w:pPr>
              <w:rPr>
                <w:rFonts w:eastAsia="Times New Roman"/>
                <w:sz w:val="20"/>
                <w:szCs w:val="20"/>
              </w:rPr>
            </w:pPr>
          </w:p>
        </w:tc>
        <w:tc>
          <w:tcPr>
            <w:tcW w:w="5" w:type="pct"/>
            <w:vAlign w:val="center"/>
            <w:hideMark/>
          </w:tcPr>
          <w:p w14:paraId="0E3AAD9C" w14:textId="77777777" w:rsidR="00000000" w:rsidRDefault="00E614A4">
            <w:pPr>
              <w:rPr>
                <w:rFonts w:eastAsia="Times New Roman"/>
                <w:sz w:val="20"/>
                <w:szCs w:val="20"/>
              </w:rPr>
            </w:pPr>
          </w:p>
        </w:tc>
        <w:tc>
          <w:tcPr>
            <w:tcW w:w="50" w:type="pct"/>
            <w:vAlign w:val="center"/>
            <w:hideMark/>
          </w:tcPr>
          <w:p w14:paraId="7C22FE87" w14:textId="77777777" w:rsidR="00000000" w:rsidRDefault="00E614A4">
            <w:pPr>
              <w:rPr>
                <w:rFonts w:eastAsia="Times New Roman"/>
                <w:sz w:val="20"/>
                <w:szCs w:val="20"/>
              </w:rPr>
            </w:pPr>
          </w:p>
        </w:tc>
        <w:tc>
          <w:tcPr>
            <w:tcW w:w="466" w:type="pct"/>
            <w:vAlign w:val="center"/>
            <w:hideMark/>
          </w:tcPr>
          <w:p w14:paraId="658B7E79" w14:textId="77777777" w:rsidR="00000000" w:rsidRDefault="00E614A4">
            <w:pPr>
              <w:rPr>
                <w:rFonts w:eastAsia="Times New Roman"/>
                <w:sz w:val="20"/>
                <w:szCs w:val="20"/>
              </w:rPr>
            </w:pPr>
          </w:p>
        </w:tc>
        <w:tc>
          <w:tcPr>
            <w:tcW w:w="5" w:type="pct"/>
            <w:vAlign w:val="center"/>
            <w:hideMark/>
          </w:tcPr>
          <w:p w14:paraId="337FC47F" w14:textId="77777777" w:rsidR="00000000" w:rsidRDefault="00E614A4">
            <w:pPr>
              <w:rPr>
                <w:rFonts w:eastAsia="Times New Roman"/>
                <w:sz w:val="20"/>
                <w:szCs w:val="20"/>
              </w:rPr>
            </w:pPr>
          </w:p>
        </w:tc>
      </w:tr>
      <w:tr w:rsidR="00000000" w14:paraId="0FFD9780" w14:textId="77777777">
        <w:trPr>
          <w:divId w:val="2087070831"/>
        </w:trPr>
        <w:tc>
          <w:tcPr>
            <w:tcW w:w="0" w:type="auto"/>
            <w:gridSpan w:val="3"/>
            <w:tcMar>
              <w:top w:w="30" w:type="dxa"/>
              <w:left w:w="20" w:type="dxa"/>
              <w:bottom w:w="30" w:type="dxa"/>
              <w:right w:w="20" w:type="dxa"/>
            </w:tcMar>
            <w:vAlign w:val="bottom"/>
            <w:hideMark/>
          </w:tcPr>
          <w:p w14:paraId="2C52361C" w14:textId="77777777" w:rsidR="00000000" w:rsidRDefault="00E614A4">
            <w:pPr>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8F2ABE2" w14:textId="77777777" w:rsidR="00000000" w:rsidRDefault="00E614A4">
            <w:pPr>
              <w:jc w:val="center"/>
              <w:rPr>
                <w:rFonts w:eastAsia="Times New Roman"/>
              </w:rPr>
            </w:pPr>
          </w:p>
        </w:tc>
        <w:tc>
          <w:tcPr>
            <w:tcW w:w="0" w:type="auto"/>
            <w:gridSpan w:val="27"/>
            <w:tcMar>
              <w:top w:w="30" w:type="dxa"/>
              <w:left w:w="20" w:type="dxa"/>
              <w:bottom w:w="30" w:type="dxa"/>
              <w:right w:w="20" w:type="dxa"/>
            </w:tcMar>
            <w:vAlign w:val="bottom"/>
            <w:hideMark/>
          </w:tcPr>
          <w:p w14:paraId="40B8E387"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41B56A30" w14:textId="77777777">
        <w:trPr>
          <w:divId w:val="2087070831"/>
        </w:trPr>
        <w:tc>
          <w:tcPr>
            <w:tcW w:w="0" w:type="auto"/>
            <w:gridSpan w:val="3"/>
            <w:tcMar>
              <w:top w:w="30" w:type="dxa"/>
              <w:left w:w="20" w:type="dxa"/>
              <w:bottom w:w="30" w:type="dxa"/>
              <w:right w:w="20" w:type="dxa"/>
            </w:tcMar>
            <w:vAlign w:val="bottom"/>
            <w:hideMark/>
          </w:tcPr>
          <w:p w14:paraId="0EA9BABB"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206D5860"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E41672"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23DD66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56EFBB"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0737A943"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651806" w14:textId="77777777" w:rsidR="00000000" w:rsidRDefault="00E614A4">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14:paraId="2A579039"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449FDD" w14:textId="77777777" w:rsidR="00000000" w:rsidRDefault="00E614A4">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14:paraId="6FB5D439"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9B8120" w14:textId="77777777" w:rsidR="00000000" w:rsidRDefault="00E614A4">
            <w:pPr>
              <w:jc w:val="center"/>
              <w:rPr>
                <w:rFonts w:eastAsia="Times New Roman"/>
              </w:rPr>
            </w:pPr>
            <w:r>
              <w:rPr>
                <w:rFonts w:eastAsia="Times New Roman"/>
                <w:b/>
                <w:bCs/>
                <w:color w:val="000000"/>
                <w:sz w:val="16"/>
                <w:szCs w:val="16"/>
              </w:rPr>
              <w:t>2016</w:t>
            </w:r>
          </w:p>
        </w:tc>
      </w:tr>
      <w:tr w:rsidR="00000000" w14:paraId="30785825" w14:textId="77777777">
        <w:trPr>
          <w:divId w:val="2087070831"/>
        </w:trPr>
        <w:tc>
          <w:tcPr>
            <w:tcW w:w="0" w:type="auto"/>
            <w:gridSpan w:val="3"/>
            <w:shd w:val="clear" w:color="auto" w:fill="CCEEFF"/>
            <w:tcMar>
              <w:top w:w="30" w:type="dxa"/>
              <w:left w:w="20" w:type="dxa"/>
              <w:bottom w:w="30" w:type="dxa"/>
              <w:right w:w="20" w:type="dxa"/>
            </w:tcMar>
            <w:hideMark/>
          </w:tcPr>
          <w:p w14:paraId="67B78ACD" w14:textId="77777777" w:rsidR="00000000" w:rsidRDefault="00E614A4">
            <w:pPr>
              <w:divId w:val="587157397"/>
              <w:rPr>
                <w:rFonts w:eastAsia="Times New Roman"/>
              </w:rPr>
            </w:pPr>
            <w:r>
              <w:rPr>
                <w:rFonts w:eastAsia="Times New Roman"/>
                <w:b/>
                <w:bCs/>
                <w:color w:val="000000"/>
                <w:sz w:val="18"/>
                <w:szCs w:val="18"/>
              </w:rPr>
              <w:t>Consolidated Balance Sheets Data</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54D2BD" w14:textId="77777777" w:rsidR="00000000" w:rsidRDefault="00E614A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253E3A"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D11F4C"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AA737C"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1D43D2"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BFBF1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1262C4"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63E6C0"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981CA9"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9028C1" w14:textId="77777777" w:rsidR="00000000" w:rsidRDefault="00E614A4">
            <w:pPr>
              <w:rPr>
                <w:rFonts w:eastAsia="Times New Roman"/>
                <w:sz w:val="20"/>
                <w:szCs w:val="20"/>
              </w:rPr>
            </w:pPr>
          </w:p>
        </w:tc>
      </w:tr>
      <w:tr w:rsidR="00000000" w14:paraId="7FF9D109" w14:textId="77777777">
        <w:trPr>
          <w:divId w:val="2087070831"/>
        </w:trPr>
        <w:tc>
          <w:tcPr>
            <w:tcW w:w="0" w:type="auto"/>
            <w:gridSpan w:val="3"/>
            <w:shd w:val="clear" w:color="auto" w:fill="FFFFFF"/>
            <w:tcMar>
              <w:top w:w="30" w:type="dxa"/>
              <w:left w:w="20" w:type="dxa"/>
              <w:bottom w:w="30" w:type="dxa"/>
              <w:right w:w="20" w:type="dxa"/>
            </w:tcMar>
            <w:hideMark/>
          </w:tcPr>
          <w:p w14:paraId="13DA49BA" w14:textId="77777777" w:rsidR="00000000" w:rsidRDefault="00E614A4">
            <w:pPr>
              <w:rPr>
                <w:rFonts w:eastAsia="Times New Roman"/>
              </w:rPr>
            </w:pPr>
            <w:r>
              <w:rPr>
                <w:rFonts w:eastAsia="Times New Roman"/>
                <w:color w:val="000000"/>
                <w:sz w:val="18"/>
                <w:szCs w:val="18"/>
              </w:rPr>
              <w:t>Cash, cash equivalents, restricted cash and marketable securities</w:t>
            </w:r>
          </w:p>
        </w:tc>
        <w:tc>
          <w:tcPr>
            <w:tcW w:w="0" w:type="auto"/>
            <w:gridSpan w:val="3"/>
            <w:shd w:val="clear" w:color="auto" w:fill="FFFFFF"/>
            <w:tcMar>
              <w:top w:w="0" w:type="dxa"/>
              <w:left w:w="20" w:type="dxa"/>
              <w:bottom w:w="0" w:type="dxa"/>
              <w:right w:w="20" w:type="dxa"/>
            </w:tcMar>
            <w:vAlign w:val="center"/>
            <w:hideMark/>
          </w:tcPr>
          <w:p w14:paraId="384B2695"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3613FCF1"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7DB8916" w14:textId="77777777" w:rsidR="00000000" w:rsidRDefault="00E614A4">
            <w:pPr>
              <w:jc w:val="right"/>
              <w:rPr>
                <w:rFonts w:eastAsia="Times New Roman"/>
              </w:rPr>
            </w:pPr>
            <w:r>
              <w:rPr>
                <w:rFonts w:eastAsia="Times New Roman"/>
                <w:color w:val="000000"/>
                <w:sz w:val="18"/>
                <w:szCs w:val="18"/>
              </w:rPr>
              <w:t>50,741 </w:t>
            </w:r>
          </w:p>
        </w:tc>
        <w:tc>
          <w:tcPr>
            <w:tcW w:w="0" w:type="auto"/>
            <w:shd w:val="clear" w:color="auto" w:fill="FFFFFF"/>
            <w:tcMar>
              <w:top w:w="30" w:type="dxa"/>
              <w:left w:w="0" w:type="dxa"/>
              <w:bottom w:w="30" w:type="dxa"/>
              <w:right w:w="20" w:type="dxa"/>
            </w:tcMar>
            <w:vAlign w:val="bottom"/>
            <w:hideMark/>
          </w:tcPr>
          <w:p w14:paraId="7C26DB2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2FA14"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30BC09"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2AA9F55" w14:textId="77777777" w:rsidR="00000000" w:rsidRDefault="00E614A4">
            <w:pPr>
              <w:jc w:val="right"/>
              <w:rPr>
                <w:rFonts w:eastAsia="Times New Roman"/>
              </w:rPr>
            </w:pPr>
            <w:r>
              <w:rPr>
                <w:rFonts w:eastAsia="Times New Roman"/>
                <w:color w:val="000000"/>
                <w:sz w:val="18"/>
                <w:szCs w:val="18"/>
              </w:rPr>
              <w:t>66,773 </w:t>
            </w:r>
          </w:p>
        </w:tc>
        <w:tc>
          <w:tcPr>
            <w:tcW w:w="0" w:type="auto"/>
            <w:shd w:val="clear" w:color="auto" w:fill="FFFFFF"/>
            <w:tcMar>
              <w:top w:w="30" w:type="dxa"/>
              <w:left w:w="0" w:type="dxa"/>
              <w:bottom w:w="30" w:type="dxa"/>
              <w:right w:w="20" w:type="dxa"/>
            </w:tcMar>
            <w:vAlign w:val="bottom"/>
            <w:hideMark/>
          </w:tcPr>
          <w:p w14:paraId="66AF2F3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3E2D8"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126557"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DC69186" w14:textId="77777777" w:rsidR="00000000" w:rsidRDefault="00E614A4">
            <w:pPr>
              <w:jc w:val="right"/>
              <w:rPr>
                <w:rFonts w:eastAsia="Times New Roman"/>
              </w:rPr>
            </w:pPr>
            <w:r>
              <w:rPr>
                <w:rFonts w:eastAsia="Times New Roman"/>
                <w:color w:val="000000"/>
                <w:sz w:val="18"/>
                <w:szCs w:val="18"/>
              </w:rPr>
              <w:t>50,198 </w:t>
            </w:r>
          </w:p>
        </w:tc>
        <w:tc>
          <w:tcPr>
            <w:tcW w:w="0" w:type="auto"/>
            <w:shd w:val="clear" w:color="auto" w:fill="FFFFFF"/>
            <w:tcMar>
              <w:top w:w="30" w:type="dxa"/>
              <w:left w:w="0" w:type="dxa"/>
              <w:bottom w:w="30" w:type="dxa"/>
              <w:right w:w="20" w:type="dxa"/>
            </w:tcMar>
            <w:vAlign w:val="bottom"/>
            <w:hideMark/>
          </w:tcPr>
          <w:p w14:paraId="65C9902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AB22A6"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5CF9EB"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9EC8E61" w14:textId="77777777" w:rsidR="00000000" w:rsidRDefault="00E614A4">
            <w:pPr>
              <w:jc w:val="right"/>
              <w:rPr>
                <w:rFonts w:eastAsia="Times New Roman"/>
              </w:rPr>
            </w:pPr>
            <w:r>
              <w:rPr>
                <w:rFonts w:eastAsia="Times New Roman"/>
                <w:color w:val="000000"/>
                <w:sz w:val="18"/>
                <w:szCs w:val="18"/>
              </w:rPr>
              <w:t>45,125 </w:t>
            </w:r>
          </w:p>
        </w:tc>
        <w:tc>
          <w:tcPr>
            <w:tcW w:w="0" w:type="auto"/>
            <w:shd w:val="clear" w:color="auto" w:fill="FFFFFF"/>
            <w:tcMar>
              <w:top w:w="30" w:type="dxa"/>
              <w:left w:w="0" w:type="dxa"/>
              <w:bottom w:w="30" w:type="dxa"/>
              <w:right w:w="20" w:type="dxa"/>
            </w:tcMar>
            <w:vAlign w:val="bottom"/>
            <w:hideMark/>
          </w:tcPr>
          <w:p w14:paraId="131EF4A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9CAD92"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BB7A08"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1453D07" w14:textId="77777777" w:rsidR="00000000" w:rsidRDefault="00E614A4">
            <w:pPr>
              <w:jc w:val="right"/>
              <w:rPr>
                <w:rFonts w:eastAsia="Times New Roman"/>
              </w:rPr>
            </w:pPr>
            <w:r>
              <w:rPr>
                <w:rFonts w:eastAsia="Times New Roman"/>
                <w:color w:val="000000"/>
                <w:sz w:val="18"/>
                <w:szCs w:val="18"/>
              </w:rPr>
              <w:t>116,753 </w:t>
            </w:r>
          </w:p>
        </w:tc>
        <w:tc>
          <w:tcPr>
            <w:tcW w:w="0" w:type="auto"/>
            <w:shd w:val="clear" w:color="auto" w:fill="FFFFFF"/>
            <w:tcMar>
              <w:top w:w="30" w:type="dxa"/>
              <w:left w:w="0" w:type="dxa"/>
              <w:bottom w:w="30" w:type="dxa"/>
              <w:right w:w="20" w:type="dxa"/>
            </w:tcMar>
            <w:vAlign w:val="bottom"/>
            <w:hideMark/>
          </w:tcPr>
          <w:p w14:paraId="38431142" w14:textId="77777777" w:rsidR="00000000" w:rsidRDefault="00E614A4">
            <w:pPr>
              <w:jc w:val="right"/>
              <w:rPr>
                <w:rFonts w:eastAsia="Times New Roman"/>
              </w:rPr>
            </w:pPr>
          </w:p>
        </w:tc>
      </w:tr>
      <w:tr w:rsidR="00000000" w14:paraId="51657B53" w14:textId="77777777">
        <w:trPr>
          <w:divId w:val="2087070831"/>
        </w:trPr>
        <w:tc>
          <w:tcPr>
            <w:tcW w:w="0" w:type="auto"/>
            <w:gridSpan w:val="3"/>
            <w:shd w:val="clear" w:color="auto" w:fill="CCEEFF"/>
            <w:tcMar>
              <w:top w:w="30" w:type="dxa"/>
              <w:left w:w="20" w:type="dxa"/>
              <w:bottom w:w="30" w:type="dxa"/>
              <w:right w:w="20" w:type="dxa"/>
            </w:tcMar>
            <w:hideMark/>
          </w:tcPr>
          <w:p w14:paraId="2DD55216" w14:textId="77777777" w:rsidR="00000000" w:rsidRDefault="00E614A4">
            <w:pPr>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14:paraId="6BBAEDBB"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3F13AB" w14:textId="77777777" w:rsidR="00000000" w:rsidRDefault="00E614A4">
            <w:pPr>
              <w:jc w:val="right"/>
              <w:rPr>
                <w:rFonts w:eastAsia="Times New Roman"/>
              </w:rPr>
            </w:pPr>
            <w:r>
              <w:rPr>
                <w:rFonts w:eastAsia="Times New Roman"/>
                <w:color w:val="000000"/>
                <w:sz w:val="18"/>
                <w:szCs w:val="18"/>
              </w:rPr>
              <w:t>137,030 </w:t>
            </w:r>
          </w:p>
        </w:tc>
        <w:tc>
          <w:tcPr>
            <w:tcW w:w="0" w:type="auto"/>
            <w:shd w:val="clear" w:color="auto" w:fill="CCEEFF"/>
            <w:tcMar>
              <w:top w:w="30" w:type="dxa"/>
              <w:left w:w="0" w:type="dxa"/>
              <w:bottom w:w="30" w:type="dxa"/>
              <w:right w:w="20" w:type="dxa"/>
            </w:tcMar>
            <w:vAlign w:val="bottom"/>
            <w:hideMark/>
          </w:tcPr>
          <w:p w14:paraId="77E2875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6E4CE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88F3FD" w14:textId="77777777" w:rsidR="00000000" w:rsidRDefault="00E614A4">
            <w:pPr>
              <w:jc w:val="right"/>
              <w:rPr>
                <w:rFonts w:eastAsia="Times New Roman"/>
              </w:rPr>
            </w:pPr>
            <w:r>
              <w:rPr>
                <w:rFonts w:eastAsia="Times New Roman"/>
                <w:color w:val="000000"/>
                <w:sz w:val="18"/>
                <w:szCs w:val="18"/>
              </w:rPr>
              <w:t>153,983 </w:t>
            </w:r>
          </w:p>
        </w:tc>
        <w:tc>
          <w:tcPr>
            <w:tcW w:w="0" w:type="auto"/>
            <w:shd w:val="clear" w:color="auto" w:fill="CCEEFF"/>
            <w:tcMar>
              <w:top w:w="30" w:type="dxa"/>
              <w:left w:w="0" w:type="dxa"/>
              <w:bottom w:w="30" w:type="dxa"/>
              <w:right w:w="20" w:type="dxa"/>
            </w:tcMar>
            <w:vAlign w:val="bottom"/>
            <w:hideMark/>
          </w:tcPr>
          <w:p w14:paraId="030501F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9E88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CB586B" w14:textId="77777777" w:rsidR="00000000" w:rsidRDefault="00E614A4">
            <w:pPr>
              <w:jc w:val="right"/>
              <w:rPr>
                <w:rFonts w:eastAsia="Times New Roman"/>
              </w:rPr>
            </w:pPr>
            <w:r>
              <w:rPr>
                <w:rFonts w:eastAsia="Times New Roman"/>
                <w:color w:val="000000"/>
                <w:sz w:val="18"/>
                <w:szCs w:val="18"/>
              </w:rPr>
              <w:t>145,779 </w:t>
            </w:r>
          </w:p>
        </w:tc>
        <w:tc>
          <w:tcPr>
            <w:tcW w:w="0" w:type="auto"/>
            <w:shd w:val="clear" w:color="auto" w:fill="CCEEFF"/>
            <w:tcMar>
              <w:top w:w="30" w:type="dxa"/>
              <w:left w:w="0" w:type="dxa"/>
              <w:bottom w:w="30" w:type="dxa"/>
              <w:right w:w="20" w:type="dxa"/>
            </w:tcMar>
            <w:vAlign w:val="bottom"/>
            <w:hideMark/>
          </w:tcPr>
          <w:p w14:paraId="300BE0B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83F7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66BB08" w14:textId="77777777" w:rsidR="00000000" w:rsidRDefault="00E614A4">
            <w:pPr>
              <w:jc w:val="right"/>
              <w:rPr>
                <w:rFonts w:eastAsia="Times New Roman"/>
              </w:rPr>
            </w:pPr>
            <w:r>
              <w:rPr>
                <w:rFonts w:eastAsia="Times New Roman"/>
                <w:color w:val="000000"/>
                <w:sz w:val="18"/>
                <w:szCs w:val="18"/>
              </w:rPr>
              <w:t>179,554 </w:t>
            </w:r>
          </w:p>
        </w:tc>
        <w:tc>
          <w:tcPr>
            <w:tcW w:w="0" w:type="auto"/>
            <w:shd w:val="clear" w:color="auto" w:fill="CCEEFF"/>
            <w:tcMar>
              <w:top w:w="30" w:type="dxa"/>
              <w:left w:w="0" w:type="dxa"/>
              <w:bottom w:w="30" w:type="dxa"/>
              <w:right w:w="20" w:type="dxa"/>
            </w:tcMar>
            <w:vAlign w:val="bottom"/>
            <w:hideMark/>
          </w:tcPr>
          <w:p w14:paraId="5D21C16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464C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9C0B7B" w14:textId="77777777" w:rsidR="00000000" w:rsidRDefault="00E614A4">
            <w:pPr>
              <w:jc w:val="right"/>
              <w:rPr>
                <w:rFonts w:eastAsia="Times New Roman"/>
              </w:rPr>
            </w:pPr>
            <w:r>
              <w:rPr>
                <w:rFonts w:eastAsia="Times New Roman"/>
                <w:color w:val="000000"/>
                <w:sz w:val="18"/>
                <w:szCs w:val="18"/>
              </w:rPr>
              <w:t>232,433 </w:t>
            </w:r>
          </w:p>
        </w:tc>
        <w:tc>
          <w:tcPr>
            <w:tcW w:w="0" w:type="auto"/>
            <w:shd w:val="clear" w:color="auto" w:fill="CCEEFF"/>
            <w:tcMar>
              <w:top w:w="30" w:type="dxa"/>
              <w:left w:w="0" w:type="dxa"/>
              <w:bottom w:w="30" w:type="dxa"/>
              <w:right w:w="20" w:type="dxa"/>
            </w:tcMar>
            <w:vAlign w:val="bottom"/>
            <w:hideMark/>
          </w:tcPr>
          <w:p w14:paraId="1F711CAA" w14:textId="77777777" w:rsidR="00000000" w:rsidRDefault="00E614A4">
            <w:pPr>
              <w:jc w:val="right"/>
              <w:rPr>
                <w:rFonts w:eastAsia="Times New Roman"/>
              </w:rPr>
            </w:pPr>
          </w:p>
        </w:tc>
      </w:tr>
      <w:tr w:rsidR="00000000" w14:paraId="38816125" w14:textId="77777777">
        <w:trPr>
          <w:divId w:val="2087070831"/>
        </w:trPr>
        <w:tc>
          <w:tcPr>
            <w:tcW w:w="0" w:type="auto"/>
            <w:gridSpan w:val="3"/>
            <w:shd w:val="clear" w:color="auto" w:fill="FFFFFF"/>
            <w:tcMar>
              <w:top w:w="30" w:type="dxa"/>
              <w:left w:w="20" w:type="dxa"/>
              <w:bottom w:w="30" w:type="dxa"/>
              <w:right w:w="20" w:type="dxa"/>
            </w:tcMar>
            <w:hideMark/>
          </w:tcPr>
          <w:p w14:paraId="3D3909A0" w14:textId="77777777" w:rsidR="00000000" w:rsidRDefault="00E614A4">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50331D3C"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F56608" w14:textId="77777777" w:rsidR="00000000" w:rsidRDefault="00E614A4">
            <w:pPr>
              <w:jc w:val="right"/>
              <w:rPr>
                <w:rFonts w:eastAsia="Times New Roman"/>
              </w:rPr>
            </w:pPr>
            <w:r>
              <w:rPr>
                <w:rFonts w:eastAsia="Times New Roman"/>
                <w:color w:val="000000"/>
                <w:sz w:val="18"/>
                <w:szCs w:val="18"/>
              </w:rPr>
              <w:t>677,970 </w:t>
            </w:r>
          </w:p>
        </w:tc>
        <w:tc>
          <w:tcPr>
            <w:tcW w:w="0" w:type="auto"/>
            <w:shd w:val="clear" w:color="auto" w:fill="FFFFFF"/>
            <w:tcMar>
              <w:top w:w="30" w:type="dxa"/>
              <w:left w:w="0" w:type="dxa"/>
              <w:bottom w:w="30" w:type="dxa"/>
              <w:right w:w="20" w:type="dxa"/>
            </w:tcMar>
            <w:vAlign w:val="bottom"/>
            <w:hideMark/>
          </w:tcPr>
          <w:p w14:paraId="0858159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08BF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70562" w14:textId="77777777" w:rsidR="00000000" w:rsidRDefault="00E614A4">
            <w:pPr>
              <w:jc w:val="right"/>
              <w:rPr>
                <w:rFonts w:eastAsia="Times New Roman"/>
              </w:rPr>
            </w:pPr>
            <w:r>
              <w:rPr>
                <w:rFonts w:eastAsia="Times New Roman"/>
                <w:color w:val="000000"/>
                <w:sz w:val="18"/>
                <w:szCs w:val="18"/>
              </w:rPr>
              <w:t>723,695 </w:t>
            </w:r>
          </w:p>
        </w:tc>
        <w:tc>
          <w:tcPr>
            <w:tcW w:w="0" w:type="auto"/>
            <w:shd w:val="clear" w:color="auto" w:fill="FFFFFF"/>
            <w:tcMar>
              <w:top w:w="30" w:type="dxa"/>
              <w:left w:w="0" w:type="dxa"/>
              <w:bottom w:w="30" w:type="dxa"/>
              <w:right w:w="20" w:type="dxa"/>
            </w:tcMar>
            <w:vAlign w:val="bottom"/>
            <w:hideMark/>
          </w:tcPr>
          <w:p w14:paraId="70A65B5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AF12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2F36E" w14:textId="77777777" w:rsidR="00000000" w:rsidRDefault="00E614A4">
            <w:pPr>
              <w:jc w:val="right"/>
              <w:rPr>
                <w:rFonts w:eastAsia="Times New Roman"/>
              </w:rPr>
            </w:pPr>
            <w:r>
              <w:rPr>
                <w:rFonts w:eastAsia="Times New Roman"/>
                <w:color w:val="000000"/>
                <w:sz w:val="18"/>
                <w:szCs w:val="18"/>
              </w:rPr>
              <w:t>954,143 </w:t>
            </w:r>
          </w:p>
        </w:tc>
        <w:tc>
          <w:tcPr>
            <w:tcW w:w="0" w:type="auto"/>
            <w:shd w:val="clear" w:color="auto" w:fill="FFFFFF"/>
            <w:tcMar>
              <w:top w:w="30" w:type="dxa"/>
              <w:left w:w="0" w:type="dxa"/>
              <w:bottom w:w="30" w:type="dxa"/>
              <w:right w:w="20" w:type="dxa"/>
            </w:tcMar>
            <w:vAlign w:val="bottom"/>
            <w:hideMark/>
          </w:tcPr>
          <w:p w14:paraId="7ED1C9F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3E884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002EB7" w14:textId="77777777" w:rsidR="00000000" w:rsidRDefault="00E614A4">
            <w:pPr>
              <w:jc w:val="right"/>
              <w:rPr>
                <w:rFonts w:eastAsia="Times New Roman"/>
              </w:rPr>
            </w:pPr>
            <w:r>
              <w:rPr>
                <w:rFonts w:eastAsia="Times New Roman"/>
                <w:color w:val="000000"/>
                <w:sz w:val="18"/>
                <w:szCs w:val="18"/>
              </w:rPr>
              <w:t>1,022,439 </w:t>
            </w:r>
          </w:p>
        </w:tc>
        <w:tc>
          <w:tcPr>
            <w:tcW w:w="0" w:type="auto"/>
            <w:shd w:val="clear" w:color="auto" w:fill="FFFFFF"/>
            <w:tcMar>
              <w:top w:w="30" w:type="dxa"/>
              <w:left w:w="0" w:type="dxa"/>
              <w:bottom w:w="30" w:type="dxa"/>
              <w:right w:w="20" w:type="dxa"/>
            </w:tcMar>
            <w:vAlign w:val="bottom"/>
            <w:hideMark/>
          </w:tcPr>
          <w:p w14:paraId="0D0D118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622D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544250" w14:textId="77777777" w:rsidR="00000000" w:rsidRDefault="00E614A4">
            <w:pPr>
              <w:jc w:val="right"/>
              <w:rPr>
                <w:rFonts w:eastAsia="Times New Roman"/>
              </w:rPr>
            </w:pPr>
            <w:r>
              <w:rPr>
                <w:rFonts w:eastAsia="Times New Roman"/>
                <w:color w:val="000000"/>
                <w:sz w:val="18"/>
                <w:szCs w:val="18"/>
              </w:rPr>
              <w:t>1,120,792 </w:t>
            </w:r>
          </w:p>
        </w:tc>
        <w:tc>
          <w:tcPr>
            <w:tcW w:w="0" w:type="auto"/>
            <w:shd w:val="clear" w:color="auto" w:fill="FFFFFF"/>
            <w:tcMar>
              <w:top w:w="30" w:type="dxa"/>
              <w:left w:w="0" w:type="dxa"/>
              <w:bottom w:w="30" w:type="dxa"/>
              <w:right w:w="20" w:type="dxa"/>
            </w:tcMar>
            <w:vAlign w:val="bottom"/>
            <w:hideMark/>
          </w:tcPr>
          <w:p w14:paraId="3180E296" w14:textId="77777777" w:rsidR="00000000" w:rsidRDefault="00E614A4">
            <w:pPr>
              <w:jc w:val="right"/>
              <w:rPr>
                <w:rFonts w:eastAsia="Times New Roman"/>
              </w:rPr>
            </w:pPr>
          </w:p>
        </w:tc>
      </w:tr>
      <w:tr w:rsidR="00000000" w14:paraId="4A5443B5" w14:textId="77777777">
        <w:trPr>
          <w:divId w:val="2087070831"/>
        </w:trPr>
        <w:tc>
          <w:tcPr>
            <w:tcW w:w="0" w:type="auto"/>
            <w:gridSpan w:val="3"/>
            <w:shd w:val="clear" w:color="auto" w:fill="CCEEFF"/>
            <w:tcMar>
              <w:top w:w="30" w:type="dxa"/>
              <w:left w:w="20" w:type="dxa"/>
              <w:bottom w:w="30" w:type="dxa"/>
              <w:right w:w="20" w:type="dxa"/>
            </w:tcMar>
            <w:vAlign w:val="bottom"/>
            <w:hideMark/>
          </w:tcPr>
          <w:p w14:paraId="56789B50" w14:textId="77777777" w:rsidR="00000000" w:rsidRDefault="00E614A4">
            <w:pPr>
              <w:divId w:val="636689803"/>
              <w:rPr>
                <w:rFonts w:eastAsia="Times New Roman"/>
              </w:rPr>
            </w:pPr>
            <w:r>
              <w:rPr>
                <w:rFonts w:eastAsia="Times New Roman"/>
                <w:color w:val="000000"/>
                <w:sz w:val="18"/>
                <w:szCs w:val="18"/>
              </w:rPr>
              <w:t>Capital lease obligations and software license arrangements, current and non-current</w:t>
            </w:r>
            <w:r>
              <w:rPr>
                <w:rFonts w:eastAsia="Times New Roman"/>
                <w:color w:val="000000"/>
                <w:sz w:val="18"/>
                <w:szCs w:val="18"/>
              </w:rPr>
              <w:t xml:space="preserve"> </w:t>
            </w:r>
            <w:r>
              <w:rPr>
                <w:rFonts w:eastAsia="Times New Roman"/>
                <w:i/>
                <w:iCs/>
                <w:color w:val="000000"/>
                <w:sz w:val="12"/>
                <w:szCs w:val="12"/>
              </w:rPr>
              <w:t>(1) (2</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BEB21DA"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7EA793" w14:textId="77777777" w:rsidR="00000000" w:rsidRDefault="00E614A4">
            <w:pPr>
              <w:jc w:val="right"/>
              <w:rPr>
                <w:rFonts w:eastAsia="Times New Roman"/>
              </w:rPr>
            </w:pPr>
            <w:r>
              <w:rPr>
                <w:rFonts w:eastAsia="Times New Roman"/>
                <w:color w:val="000000"/>
                <w:sz w:val="18"/>
                <w:szCs w:val="18"/>
              </w:rPr>
              <w:t>567 </w:t>
            </w:r>
          </w:p>
        </w:tc>
        <w:tc>
          <w:tcPr>
            <w:tcW w:w="0" w:type="auto"/>
            <w:shd w:val="clear" w:color="auto" w:fill="CCEEFF"/>
            <w:tcMar>
              <w:top w:w="30" w:type="dxa"/>
              <w:left w:w="0" w:type="dxa"/>
              <w:bottom w:w="30" w:type="dxa"/>
              <w:right w:w="20" w:type="dxa"/>
            </w:tcMar>
            <w:vAlign w:val="bottom"/>
            <w:hideMark/>
          </w:tcPr>
          <w:p w14:paraId="33EF842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D862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00C35D" w14:textId="77777777" w:rsidR="00000000" w:rsidRDefault="00E614A4">
            <w:pPr>
              <w:jc w:val="right"/>
              <w:rPr>
                <w:rFonts w:eastAsia="Times New Roman"/>
              </w:rPr>
            </w:pPr>
            <w:r>
              <w:rPr>
                <w:rFonts w:eastAsia="Times New Roman"/>
                <w:color w:val="000000"/>
                <w:sz w:val="18"/>
                <w:szCs w:val="18"/>
              </w:rPr>
              <w:t>950 </w:t>
            </w:r>
          </w:p>
        </w:tc>
        <w:tc>
          <w:tcPr>
            <w:tcW w:w="0" w:type="auto"/>
            <w:shd w:val="clear" w:color="auto" w:fill="CCEEFF"/>
            <w:tcMar>
              <w:top w:w="30" w:type="dxa"/>
              <w:left w:w="0" w:type="dxa"/>
              <w:bottom w:w="30" w:type="dxa"/>
              <w:right w:w="20" w:type="dxa"/>
            </w:tcMar>
            <w:vAlign w:val="bottom"/>
            <w:hideMark/>
          </w:tcPr>
          <w:p w14:paraId="1A5392E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7E37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1E1881" w14:textId="77777777" w:rsidR="00000000" w:rsidRDefault="00E614A4">
            <w:pPr>
              <w:jc w:val="right"/>
              <w:rPr>
                <w:rFonts w:eastAsia="Times New Roman"/>
              </w:rPr>
            </w:pPr>
            <w:r>
              <w:rPr>
                <w:rFonts w:eastAsia="Times New Roman"/>
                <w:color w:val="000000"/>
                <w:sz w:val="18"/>
                <w:szCs w:val="18"/>
              </w:rPr>
              <w:t>5,417 </w:t>
            </w:r>
          </w:p>
        </w:tc>
        <w:tc>
          <w:tcPr>
            <w:tcW w:w="0" w:type="auto"/>
            <w:shd w:val="clear" w:color="auto" w:fill="CCEEFF"/>
            <w:tcMar>
              <w:top w:w="30" w:type="dxa"/>
              <w:left w:w="0" w:type="dxa"/>
              <w:bottom w:w="30" w:type="dxa"/>
              <w:right w:w="20" w:type="dxa"/>
            </w:tcMar>
            <w:vAlign w:val="bottom"/>
            <w:hideMark/>
          </w:tcPr>
          <w:p w14:paraId="379F099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0DCC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635541" w14:textId="77777777" w:rsidR="00000000" w:rsidRDefault="00E614A4">
            <w:pPr>
              <w:jc w:val="right"/>
              <w:rPr>
                <w:rFonts w:eastAsia="Times New Roman"/>
              </w:rPr>
            </w:pPr>
            <w:r>
              <w:rPr>
                <w:rFonts w:eastAsia="Times New Roman"/>
                <w:color w:val="000000"/>
                <w:sz w:val="18"/>
                <w:szCs w:val="18"/>
              </w:rPr>
              <w:t>13,162 </w:t>
            </w:r>
          </w:p>
        </w:tc>
        <w:tc>
          <w:tcPr>
            <w:tcW w:w="0" w:type="auto"/>
            <w:shd w:val="clear" w:color="auto" w:fill="CCEEFF"/>
            <w:tcMar>
              <w:top w:w="30" w:type="dxa"/>
              <w:left w:w="0" w:type="dxa"/>
              <w:bottom w:w="30" w:type="dxa"/>
              <w:right w:w="20" w:type="dxa"/>
            </w:tcMar>
            <w:vAlign w:val="bottom"/>
            <w:hideMark/>
          </w:tcPr>
          <w:p w14:paraId="27CA5BA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BFD7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A7EDF0" w14:textId="77777777" w:rsidR="00000000" w:rsidRDefault="00E614A4">
            <w:pPr>
              <w:jc w:val="right"/>
              <w:rPr>
                <w:rFonts w:eastAsia="Times New Roman"/>
              </w:rPr>
            </w:pPr>
            <w:r>
              <w:rPr>
                <w:rFonts w:eastAsia="Times New Roman"/>
                <w:color w:val="000000"/>
                <w:sz w:val="18"/>
                <w:szCs w:val="18"/>
              </w:rPr>
              <w:t>28,578 </w:t>
            </w:r>
          </w:p>
        </w:tc>
        <w:tc>
          <w:tcPr>
            <w:tcW w:w="0" w:type="auto"/>
            <w:shd w:val="clear" w:color="auto" w:fill="CCEEFF"/>
            <w:tcMar>
              <w:top w:w="30" w:type="dxa"/>
              <w:left w:w="0" w:type="dxa"/>
              <w:bottom w:w="30" w:type="dxa"/>
              <w:right w:w="20" w:type="dxa"/>
            </w:tcMar>
            <w:vAlign w:val="bottom"/>
            <w:hideMark/>
          </w:tcPr>
          <w:p w14:paraId="105FE802" w14:textId="77777777" w:rsidR="00000000" w:rsidRDefault="00E614A4">
            <w:pPr>
              <w:jc w:val="right"/>
              <w:rPr>
                <w:rFonts w:eastAsia="Times New Roman"/>
              </w:rPr>
            </w:pPr>
          </w:p>
        </w:tc>
      </w:tr>
      <w:tr w:rsidR="00000000" w14:paraId="0FE82851" w14:textId="77777777">
        <w:trPr>
          <w:divId w:val="2087070831"/>
        </w:trPr>
        <w:tc>
          <w:tcPr>
            <w:tcW w:w="0" w:type="auto"/>
            <w:gridSpan w:val="3"/>
            <w:shd w:val="clear" w:color="auto" w:fill="FFFFFF"/>
            <w:tcMar>
              <w:top w:w="30" w:type="dxa"/>
              <w:left w:w="20" w:type="dxa"/>
              <w:bottom w:w="30" w:type="dxa"/>
              <w:right w:w="20" w:type="dxa"/>
            </w:tcMar>
            <w:hideMark/>
          </w:tcPr>
          <w:p w14:paraId="1DB64C53" w14:textId="77777777" w:rsidR="00000000" w:rsidRDefault="00E614A4">
            <w:pPr>
              <w:divId w:val="1789470939"/>
              <w:rPr>
                <w:rFonts w:eastAsia="Times New Roman"/>
              </w:rPr>
            </w:pPr>
            <w:r>
              <w:rPr>
                <w:rFonts w:eastAsia="Times New Roman"/>
                <w:color w:val="000000"/>
                <w:sz w:val="18"/>
                <w:szCs w:val="18"/>
              </w:rPr>
              <w:t>Finance lease liabilities, current and non-current</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59AD042"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347873" w14:textId="77777777" w:rsidR="00000000" w:rsidRDefault="00E614A4">
            <w:pPr>
              <w:jc w:val="right"/>
              <w:rPr>
                <w:rFonts w:eastAsia="Times New Roman"/>
              </w:rPr>
            </w:pPr>
            <w:r>
              <w:rPr>
                <w:rFonts w:eastAsia="Times New Roman"/>
                <w:color w:val="000000"/>
                <w:sz w:val="18"/>
                <w:szCs w:val="18"/>
              </w:rPr>
              <w:t>3,133 </w:t>
            </w:r>
          </w:p>
        </w:tc>
        <w:tc>
          <w:tcPr>
            <w:tcW w:w="0" w:type="auto"/>
            <w:shd w:val="clear" w:color="auto" w:fill="FFFFFF"/>
            <w:tcMar>
              <w:top w:w="30" w:type="dxa"/>
              <w:left w:w="0" w:type="dxa"/>
              <w:bottom w:w="30" w:type="dxa"/>
              <w:right w:w="20" w:type="dxa"/>
            </w:tcMar>
            <w:vAlign w:val="bottom"/>
            <w:hideMark/>
          </w:tcPr>
          <w:p w14:paraId="2AFDB30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94EC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F4C0F" w14:textId="77777777" w:rsidR="00000000" w:rsidRDefault="00E614A4">
            <w:pPr>
              <w:jc w:val="right"/>
              <w:rPr>
                <w:rFonts w:eastAsia="Times New Roman"/>
              </w:rPr>
            </w:pPr>
            <w:r>
              <w:rPr>
                <w:rFonts w:eastAsia="Times New Roman"/>
                <w:color w:val="000000"/>
                <w:sz w:val="18"/>
                <w:szCs w:val="18"/>
              </w:rPr>
              <w:t>4,250 </w:t>
            </w:r>
          </w:p>
        </w:tc>
        <w:tc>
          <w:tcPr>
            <w:tcW w:w="0" w:type="auto"/>
            <w:shd w:val="clear" w:color="auto" w:fill="FFFFFF"/>
            <w:tcMar>
              <w:top w:w="30" w:type="dxa"/>
              <w:left w:w="0" w:type="dxa"/>
              <w:bottom w:w="30" w:type="dxa"/>
              <w:right w:w="20" w:type="dxa"/>
            </w:tcMar>
            <w:vAlign w:val="bottom"/>
            <w:hideMark/>
          </w:tcPr>
          <w:p w14:paraId="4B759E4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6314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DCA08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07E02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2FAC3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E5E3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A26D6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CE6E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42DB9" w14:textId="77777777" w:rsidR="00000000" w:rsidRDefault="00E614A4">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9AF64F" w14:textId="77777777" w:rsidR="00000000" w:rsidRDefault="00E614A4">
            <w:pPr>
              <w:jc w:val="right"/>
              <w:rPr>
                <w:rFonts w:eastAsia="Times New Roman"/>
              </w:rPr>
            </w:pPr>
          </w:p>
        </w:tc>
      </w:tr>
      <w:tr w:rsidR="00000000" w14:paraId="3258EC41" w14:textId="77777777">
        <w:trPr>
          <w:divId w:val="2087070831"/>
        </w:trPr>
        <w:tc>
          <w:tcPr>
            <w:tcW w:w="0" w:type="auto"/>
            <w:gridSpan w:val="3"/>
            <w:shd w:val="clear" w:color="auto" w:fill="CCEEFF"/>
            <w:tcMar>
              <w:top w:w="30" w:type="dxa"/>
              <w:left w:w="20" w:type="dxa"/>
              <w:bottom w:w="30" w:type="dxa"/>
              <w:right w:w="20" w:type="dxa"/>
            </w:tcMar>
            <w:hideMark/>
          </w:tcPr>
          <w:p w14:paraId="585F6964" w14:textId="77777777" w:rsidR="00000000" w:rsidRDefault="00E614A4">
            <w:pPr>
              <w:divId w:val="2029214085"/>
              <w:rPr>
                <w:rFonts w:eastAsia="Times New Roman"/>
              </w:rPr>
            </w:pPr>
            <w:r>
              <w:rPr>
                <w:rFonts w:eastAsia="Times New Roman"/>
                <w:color w:val="000000"/>
                <w:sz w:val="18"/>
                <w:szCs w:val="18"/>
              </w:rPr>
              <w:t>Operating lease liabilities, current and non-current</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F5B037C"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A183F0" w14:textId="77777777" w:rsidR="00000000" w:rsidRDefault="00E614A4">
            <w:pPr>
              <w:jc w:val="right"/>
              <w:rPr>
                <w:rFonts w:eastAsia="Times New Roman"/>
              </w:rPr>
            </w:pPr>
            <w:r>
              <w:rPr>
                <w:rFonts w:eastAsia="Times New Roman"/>
                <w:color w:val="000000"/>
                <w:sz w:val="18"/>
                <w:szCs w:val="18"/>
              </w:rPr>
              <w:t>43,151 </w:t>
            </w:r>
          </w:p>
        </w:tc>
        <w:tc>
          <w:tcPr>
            <w:tcW w:w="0" w:type="auto"/>
            <w:shd w:val="clear" w:color="auto" w:fill="CCEEFF"/>
            <w:tcMar>
              <w:top w:w="30" w:type="dxa"/>
              <w:left w:w="0" w:type="dxa"/>
              <w:bottom w:w="30" w:type="dxa"/>
              <w:right w:w="20" w:type="dxa"/>
            </w:tcMar>
            <w:vAlign w:val="bottom"/>
            <w:hideMark/>
          </w:tcPr>
          <w:p w14:paraId="6C4F6A7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581F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470BD5" w14:textId="77777777" w:rsidR="00000000" w:rsidRDefault="00E614A4">
            <w:pPr>
              <w:jc w:val="right"/>
              <w:rPr>
                <w:rFonts w:eastAsia="Times New Roman"/>
              </w:rPr>
            </w:pPr>
            <w:r>
              <w:rPr>
                <w:rFonts w:eastAsia="Times New Roman"/>
                <w:color w:val="000000"/>
                <w:sz w:val="18"/>
                <w:szCs w:val="18"/>
              </w:rPr>
              <w:t>49,261 </w:t>
            </w:r>
          </w:p>
        </w:tc>
        <w:tc>
          <w:tcPr>
            <w:tcW w:w="0" w:type="auto"/>
            <w:shd w:val="clear" w:color="auto" w:fill="CCEEFF"/>
            <w:tcMar>
              <w:top w:w="30" w:type="dxa"/>
              <w:left w:w="0" w:type="dxa"/>
              <w:bottom w:w="30" w:type="dxa"/>
              <w:right w:w="20" w:type="dxa"/>
            </w:tcMar>
            <w:vAlign w:val="bottom"/>
            <w:hideMark/>
          </w:tcPr>
          <w:p w14:paraId="7B9DF24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53AA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87176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9A312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B568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12E12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53FE1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7944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10D63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F6D512" w14:textId="77777777" w:rsidR="00000000" w:rsidRDefault="00E614A4">
            <w:pPr>
              <w:jc w:val="right"/>
              <w:rPr>
                <w:rFonts w:eastAsia="Times New Roman"/>
              </w:rPr>
            </w:pPr>
          </w:p>
        </w:tc>
      </w:tr>
      <w:tr w:rsidR="00000000" w14:paraId="7987ADE7" w14:textId="77777777">
        <w:trPr>
          <w:divId w:val="2087070831"/>
        </w:trPr>
        <w:tc>
          <w:tcPr>
            <w:tcW w:w="0" w:type="auto"/>
            <w:gridSpan w:val="3"/>
            <w:shd w:val="clear" w:color="auto" w:fill="FFFFFF"/>
            <w:tcMar>
              <w:top w:w="30" w:type="dxa"/>
              <w:left w:w="20" w:type="dxa"/>
              <w:bottom w:w="30" w:type="dxa"/>
              <w:right w:w="20" w:type="dxa"/>
            </w:tcMar>
            <w:hideMark/>
          </w:tcPr>
          <w:p w14:paraId="186C55DA" w14:textId="77777777" w:rsidR="00000000" w:rsidRDefault="00E614A4">
            <w:pPr>
              <w:divId w:val="1711225011"/>
              <w:rPr>
                <w:rFonts w:eastAsia="Times New Roman"/>
              </w:rPr>
            </w:pPr>
            <w:r>
              <w:rPr>
                <w:rFonts w:eastAsia="Times New Roman"/>
                <w:color w:val="000000"/>
                <w:sz w:val="18"/>
                <w:szCs w:val="18"/>
              </w:rPr>
              <w:t>Senior secured convertible notes</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F2656AD"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D7F374" w14:textId="77777777" w:rsidR="00000000" w:rsidRDefault="00E614A4">
            <w:pPr>
              <w:jc w:val="right"/>
              <w:rPr>
                <w:rFonts w:eastAsia="Times New Roman"/>
              </w:rPr>
            </w:pPr>
            <w:r>
              <w:rPr>
                <w:rFonts w:eastAsia="Times New Roman"/>
                <w:color w:val="000000"/>
                <w:sz w:val="18"/>
                <w:szCs w:val="18"/>
              </w:rPr>
              <w:t>192,895 </w:t>
            </w:r>
          </w:p>
        </w:tc>
        <w:tc>
          <w:tcPr>
            <w:tcW w:w="0" w:type="auto"/>
            <w:shd w:val="clear" w:color="auto" w:fill="FFFFFF"/>
            <w:tcMar>
              <w:top w:w="30" w:type="dxa"/>
              <w:left w:w="0" w:type="dxa"/>
              <w:bottom w:w="30" w:type="dxa"/>
              <w:right w:w="20" w:type="dxa"/>
            </w:tcMar>
            <w:vAlign w:val="bottom"/>
            <w:hideMark/>
          </w:tcPr>
          <w:p w14:paraId="13A3835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3083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EC467" w14:textId="77777777" w:rsidR="00000000" w:rsidRDefault="00E614A4">
            <w:pPr>
              <w:jc w:val="right"/>
              <w:rPr>
                <w:rFonts w:eastAsia="Times New Roman"/>
              </w:rPr>
            </w:pPr>
            <w:r>
              <w:rPr>
                <w:rFonts w:eastAsia="Times New Roman"/>
                <w:color w:val="000000"/>
                <w:sz w:val="18"/>
                <w:szCs w:val="18"/>
              </w:rPr>
              <w:t>184,075 </w:t>
            </w:r>
          </w:p>
        </w:tc>
        <w:tc>
          <w:tcPr>
            <w:tcW w:w="0" w:type="auto"/>
            <w:shd w:val="clear" w:color="auto" w:fill="FFFFFF"/>
            <w:tcMar>
              <w:top w:w="30" w:type="dxa"/>
              <w:left w:w="0" w:type="dxa"/>
              <w:bottom w:w="30" w:type="dxa"/>
              <w:right w:w="20" w:type="dxa"/>
            </w:tcMar>
            <w:vAlign w:val="bottom"/>
            <w:hideMark/>
          </w:tcPr>
          <w:p w14:paraId="4011738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9867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F85234" w14:textId="77777777" w:rsidR="00000000" w:rsidRDefault="00E614A4">
            <w:pPr>
              <w:jc w:val="right"/>
              <w:rPr>
                <w:rFonts w:eastAsia="Times New Roman"/>
              </w:rPr>
            </w:pPr>
            <w:r>
              <w:rPr>
                <w:rFonts w:eastAsia="Times New Roman"/>
                <w:color w:val="000000"/>
                <w:sz w:val="18"/>
                <w:szCs w:val="18"/>
              </w:rPr>
              <w:t>177,342 </w:t>
            </w:r>
          </w:p>
        </w:tc>
        <w:tc>
          <w:tcPr>
            <w:tcW w:w="0" w:type="auto"/>
            <w:shd w:val="clear" w:color="auto" w:fill="FFFFFF"/>
            <w:tcMar>
              <w:top w:w="30" w:type="dxa"/>
              <w:left w:w="0" w:type="dxa"/>
              <w:bottom w:w="30" w:type="dxa"/>
              <w:right w:w="20" w:type="dxa"/>
            </w:tcMar>
            <w:vAlign w:val="bottom"/>
            <w:hideMark/>
          </w:tcPr>
          <w:p w14:paraId="2776801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DAF9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E6835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492C4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51FF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86E6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50EC57" w14:textId="77777777" w:rsidR="00000000" w:rsidRDefault="00E614A4">
            <w:pPr>
              <w:jc w:val="right"/>
              <w:rPr>
                <w:rFonts w:eastAsia="Times New Roman"/>
              </w:rPr>
            </w:pPr>
          </w:p>
        </w:tc>
      </w:tr>
      <w:tr w:rsidR="00000000" w14:paraId="4340879D" w14:textId="77777777">
        <w:trPr>
          <w:divId w:val="2087070831"/>
        </w:trPr>
        <w:tc>
          <w:tcPr>
            <w:tcW w:w="0" w:type="auto"/>
            <w:gridSpan w:val="3"/>
            <w:shd w:val="clear" w:color="auto" w:fill="CCEEFF"/>
            <w:tcMar>
              <w:top w:w="30" w:type="dxa"/>
              <w:left w:w="20" w:type="dxa"/>
              <w:bottom w:w="30" w:type="dxa"/>
              <w:right w:w="20" w:type="dxa"/>
            </w:tcMar>
            <w:hideMark/>
          </w:tcPr>
          <w:p w14:paraId="65277120" w14:textId="77777777" w:rsidR="00000000" w:rsidRDefault="00E614A4">
            <w:pPr>
              <w:divId w:val="1056004681"/>
              <w:rPr>
                <w:rFonts w:eastAsia="Times New Roman"/>
              </w:rPr>
            </w:pPr>
            <w:r>
              <w:rPr>
                <w:rFonts w:eastAsia="Times New Roman"/>
                <w:color w:val="000000"/>
                <w:sz w:val="18"/>
                <w:szCs w:val="18"/>
              </w:rPr>
              <w:t>Financing derivatives</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52BBC5B"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E5BFD4" w14:textId="77777777" w:rsidR="00000000" w:rsidRDefault="00E614A4">
            <w:pPr>
              <w:jc w:val="right"/>
              <w:rPr>
                <w:rFonts w:eastAsia="Times New Roman"/>
              </w:rPr>
            </w:pPr>
            <w:r>
              <w:rPr>
                <w:rFonts w:eastAsia="Times New Roman"/>
                <w:color w:val="000000"/>
                <w:sz w:val="18"/>
                <w:szCs w:val="18"/>
              </w:rPr>
              <w:t>11,300 </w:t>
            </w:r>
          </w:p>
        </w:tc>
        <w:tc>
          <w:tcPr>
            <w:tcW w:w="0" w:type="auto"/>
            <w:shd w:val="clear" w:color="auto" w:fill="CCEEFF"/>
            <w:tcMar>
              <w:top w:w="30" w:type="dxa"/>
              <w:left w:w="0" w:type="dxa"/>
              <w:bottom w:w="30" w:type="dxa"/>
              <w:right w:w="20" w:type="dxa"/>
            </w:tcMar>
            <w:vAlign w:val="bottom"/>
            <w:hideMark/>
          </w:tcPr>
          <w:p w14:paraId="2DFD20E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30AB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DEF8F" w14:textId="77777777" w:rsidR="00000000" w:rsidRDefault="00E614A4">
            <w:pPr>
              <w:jc w:val="right"/>
              <w:rPr>
                <w:rFonts w:eastAsia="Times New Roman"/>
              </w:rPr>
            </w:pPr>
            <w:r>
              <w:rPr>
                <w:rFonts w:eastAsia="Times New Roman"/>
                <w:color w:val="000000"/>
                <w:sz w:val="18"/>
                <w:szCs w:val="18"/>
              </w:rPr>
              <w:t>21,587 </w:t>
            </w:r>
          </w:p>
        </w:tc>
        <w:tc>
          <w:tcPr>
            <w:tcW w:w="0" w:type="auto"/>
            <w:shd w:val="clear" w:color="auto" w:fill="CCEEFF"/>
            <w:tcMar>
              <w:top w:w="30" w:type="dxa"/>
              <w:left w:w="0" w:type="dxa"/>
              <w:bottom w:w="30" w:type="dxa"/>
              <w:right w:w="20" w:type="dxa"/>
            </w:tcMar>
            <w:vAlign w:val="bottom"/>
            <w:hideMark/>
          </w:tcPr>
          <w:p w14:paraId="067C10D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9E3A4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2DB405" w14:textId="77777777" w:rsidR="00000000" w:rsidRDefault="00E614A4">
            <w:pPr>
              <w:jc w:val="right"/>
              <w:rPr>
                <w:rFonts w:eastAsia="Times New Roman"/>
              </w:rPr>
            </w:pPr>
            <w:r>
              <w:rPr>
                <w:rFonts w:eastAsia="Times New Roman"/>
                <w:color w:val="000000"/>
                <w:sz w:val="18"/>
                <w:szCs w:val="18"/>
              </w:rPr>
              <w:t>26,100 </w:t>
            </w:r>
          </w:p>
        </w:tc>
        <w:tc>
          <w:tcPr>
            <w:tcW w:w="0" w:type="auto"/>
            <w:shd w:val="clear" w:color="auto" w:fill="CCEEFF"/>
            <w:tcMar>
              <w:top w:w="30" w:type="dxa"/>
              <w:left w:w="0" w:type="dxa"/>
              <w:bottom w:w="30" w:type="dxa"/>
              <w:right w:w="20" w:type="dxa"/>
            </w:tcMar>
            <w:vAlign w:val="bottom"/>
            <w:hideMark/>
          </w:tcPr>
          <w:p w14:paraId="415FE69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D8F8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18577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DFF16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DDF3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8AA5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9C1E3B" w14:textId="77777777" w:rsidR="00000000" w:rsidRDefault="00E614A4">
            <w:pPr>
              <w:jc w:val="right"/>
              <w:rPr>
                <w:rFonts w:eastAsia="Times New Roman"/>
              </w:rPr>
            </w:pPr>
          </w:p>
        </w:tc>
      </w:tr>
      <w:tr w:rsidR="00000000" w14:paraId="4CF531DB" w14:textId="77777777">
        <w:trPr>
          <w:divId w:val="2087070831"/>
        </w:trPr>
        <w:tc>
          <w:tcPr>
            <w:tcW w:w="0" w:type="auto"/>
            <w:gridSpan w:val="3"/>
            <w:tcMar>
              <w:top w:w="30" w:type="dxa"/>
              <w:left w:w="20" w:type="dxa"/>
              <w:bottom w:w="30" w:type="dxa"/>
              <w:right w:w="20" w:type="dxa"/>
            </w:tcMar>
            <w:hideMark/>
          </w:tcPr>
          <w:p w14:paraId="1D9F6522" w14:textId="77777777" w:rsidR="00000000" w:rsidRDefault="00E614A4">
            <w:pPr>
              <w:divId w:val="1039865000"/>
              <w:rPr>
                <w:rFonts w:eastAsia="Times New Roman"/>
              </w:rPr>
            </w:pPr>
            <w:r>
              <w:rPr>
                <w:rFonts w:eastAsia="Times New Roman"/>
                <w:color w:val="000000"/>
                <w:sz w:val="18"/>
                <w:szCs w:val="18"/>
              </w:rPr>
              <w:t>Secured term note, current and non-current</w:t>
            </w:r>
            <w:r>
              <w:rPr>
                <w:rFonts w:eastAsia="Times New Roman"/>
                <w:color w:val="000000"/>
                <w:sz w:val="18"/>
                <w:szCs w:val="18"/>
              </w:rPr>
              <w:t xml:space="preserve"> </w:t>
            </w:r>
            <w:r>
              <w:rPr>
                <w:rFonts w:eastAsia="Times New Roman"/>
                <w:i/>
                <w:iCs/>
                <w:color w:val="000000"/>
                <w:sz w:val="12"/>
                <w:szCs w:val="12"/>
              </w:rPr>
              <w:t>(4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6F78DB1"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036596" w14:textId="77777777" w:rsidR="00000000" w:rsidRDefault="00E614A4">
            <w:pPr>
              <w:jc w:val="right"/>
              <w:rPr>
                <w:rFonts w:eastAsia="Times New Roman"/>
              </w:rPr>
            </w:pPr>
            <w:r>
              <w:rPr>
                <w:rFonts w:eastAsia="Times New Roman"/>
                <w:color w:val="000000"/>
                <w:sz w:val="18"/>
                <w:szCs w:val="18"/>
              </w:rPr>
              <w:t>12,644 </w:t>
            </w:r>
          </w:p>
        </w:tc>
        <w:tc>
          <w:tcPr>
            <w:tcW w:w="0" w:type="auto"/>
            <w:shd w:val="clear" w:color="auto" w:fill="FFFFFF"/>
            <w:tcMar>
              <w:top w:w="30" w:type="dxa"/>
              <w:left w:w="0" w:type="dxa"/>
              <w:bottom w:w="30" w:type="dxa"/>
              <w:right w:w="20" w:type="dxa"/>
            </w:tcMar>
            <w:vAlign w:val="bottom"/>
            <w:hideMark/>
          </w:tcPr>
          <w:p w14:paraId="375D24B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6C95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77CDCD" w14:textId="77777777" w:rsidR="00000000" w:rsidRDefault="00E614A4">
            <w:pPr>
              <w:jc w:val="right"/>
              <w:rPr>
                <w:rFonts w:eastAsia="Times New Roman"/>
              </w:rPr>
            </w:pPr>
            <w:r>
              <w:rPr>
                <w:rFonts w:eastAsia="Times New Roman"/>
                <w:color w:val="000000"/>
                <w:sz w:val="18"/>
                <w:szCs w:val="18"/>
              </w:rPr>
              <w:t>12,463 </w:t>
            </w:r>
          </w:p>
        </w:tc>
        <w:tc>
          <w:tcPr>
            <w:tcW w:w="0" w:type="auto"/>
            <w:shd w:val="clear" w:color="auto" w:fill="FFFFFF"/>
            <w:tcMar>
              <w:top w:w="30" w:type="dxa"/>
              <w:left w:w="0" w:type="dxa"/>
              <w:bottom w:w="30" w:type="dxa"/>
              <w:right w:w="20" w:type="dxa"/>
            </w:tcMar>
            <w:vAlign w:val="bottom"/>
            <w:hideMark/>
          </w:tcPr>
          <w:p w14:paraId="5E1F033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B5BB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89D27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5D1E4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EDF2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A3F42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DB126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5CD74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B6F9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B41778" w14:textId="77777777" w:rsidR="00000000" w:rsidRDefault="00E614A4">
            <w:pPr>
              <w:jc w:val="right"/>
              <w:rPr>
                <w:rFonts w:eastAsia="Times New Roman"/>
              </w:rPr>
            </w:pPr>
          </w:p>
        </w:tc>
      </w:tr>
      <w:tr w:rsidR="00000000" w14:paraId="70109F2F" w14:textId="77777777">
        <w:trPr>
          <w:divId w:val="2087070831"/>
        </w:trPr>
        <w:tc>
          <w:tcPr>
            <w:tcW w:w="0" w:type="auto"/>
            <w:gridSpan w:val="3"/>
            <w:shd w:val="clear" w:color="auto" w:fill="CCEEFF"/>
            <w:tcMar>
              <w:top w:w="30" w:type="dxa"/>
              <w:left w:w="20" w:type="dxa"/>
              <w:bottom w:w="30" w:type="dxa"/>
              <w:right w:w="20" w:type="dxa"/>
            </w:tcMar>
            <w:hideMark/>
          </w:tcPr>
          <w:p w14:paraId="75868189" w14:textId="77777777" w:rsidR="00000000" w:rsidRDefault="00E614A4">
            <w:pPr>
              <w:divId w:val="247623245"/>
              <w:rPr>
                <w:rFonts w:eastAsia="Times New Roman"/>
              </w:rPr>
            </w:pPr>
            <w:r>
              <w:rPr>
                <w:rFonts w:eastAsia="Times New Roman"/>
                <w:color w:val="000000"/>
                <w:sz w:val="18"/>
                <w:szCs w:val="18"/>
              </w:rPr>
              <w:t>Warrants liabilit</w:t>
            </w:r>
            <w:r>
              <w:rPr>
                <w:rFonts w:eastAsia="Times New Roman"/>
                <w:color w:val="000000"/>
                <w:sz w:val="18"/>
                <w:szCs w:val="18"/>
              </w:rPr>
              <w:t>y</w:t>
            </w:r>
            <w:r>
              <w:rPr>
                <w:rFonts w:eastAsia="Times New Roman"/>
                <w:i/>
                <w:iCs/>
                <w:color w:val="000000"/>
                <w:sz w:val="12"/>
                <w:szCs w:val="12"/>
              </w:rPr>
              <w:t xml:space="preserve"> (5</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42462F3"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F4D99F" w14:textId="77777777" w:rsidR="00000000" w:rsidRDefault="00E614A4">
            <w:pPr>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14:paraId="464D7E5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446F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543606" w14:textId="77777777" w:rsidR="00000000" w:rsidRDefault="00E614A4">
            <w:pPr>
              <w:jc w:val="right"/>
              <w:rPr>
                <w:rFonts w:eastAsia="Times New Roman"/>
              </w:rPr>
            </w:pPr>
            <w:r>
              <w:rPr>
                <w:rFonts w:eastAsia="Times New Roman"/>
                <w:color w:val="000000"/>
                <w:sz w:val="18"/>
                <w:szCs w:val="18"/>
              </w:rPr>
              <w:t>7,725 </w:t>
            </w:r>
          </w:p>
        </w:tc>
        <w:tc>
          <w:tcPr>
            <w:tcW w:w="0" w:type="auto"/>
            <w:shd w:val="clear" w:color="auto" w:fill="CCEEFF"/>
            <w:tcMar>
              <w:top w:w="30" w:type="dxa"/>
              <w:left w:w="0" w:type="dxa"/>
              <w:bottom w:w="30" w:type="dxa"/>
              <w:right w:w="20" w:type="dxa"/>
            </w:tcMar>
            <w:vAlign w:val="bottom"/>
            <w:hideMark/>
          </w:tcPr>
          <w:p w14:paraId="64A93D0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7F06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EE0FE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E5207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BE96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D6ACC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B002C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738A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F5268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D3C3EF" w14:textId="77777777" w:rsidR="00000000" w:rsidRDefault="00E614A4">
            <w:pPr>
              <w:jc w:val="right"/>
              <w:rPr>
                <w:rFonts w:eastAsia="Times New Roman"/>
              </w:rPr>
            </w:pPr>
          </w:p>
        </w:tc>
      </w:tr>
      <w:tr w:rsidR="00000000" w14:paraId="16CE56D7" w14:textId="77777777">
        <w:trPr>
          <w:divId w:val="2087070831"/>
        </w:trPr>
        <w:tc>
          <w:tcPr>
            <w:tcW w:w="0" w:type="auto"/>
            <w:gridSpan w:val="3"/>
            <w:shd w:val="clear" w:color="auto" w:fill="FFFFFF"/>
            <w:tcMar>
              <w:top w:w="30" w:type="dxa"/>
              <w:left w:w="20" w:type="dxa"/>
              <w:bottom w:w="30" w:type="dxa"/>
              <w:right w:w="20" w:type="dxa"/>
            </w:tcMar>
            <w:hideMark/>
          </w:tcPr>
          <w:p w14:paraId="48B7B58D" w14:textId="77777777" w:rsidR="00000000" w:rsidRDefault="00E614A4">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4ABCB638"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A74D92" w14:textId="77777777" w:rsidR="00000000" w:rsidRDefault="00E614A4">
            <w:pPr>
              <w:jc w:val="right"/>
              <w:rPr>
                <w:rFonts w:eastAsia="Times New Roman"/>
              </w:rPr>
            </w:pPr>
            <w:r>
              <w:rPr>
                <w:rFonts w:eastAsia="Times New Roman"/>
                <w:color w:val="000000"/>
                <w:sz w:val="18"/>
                <w:szCs w:val="18"/>
              </w:rPr>
              <w:t>448,980 </w:t>
            </w:r>
          </w:p>
        </w:tc>
        <w:tc>
          <w:tcPr>
            <w:tcW w:w="0" w:type="auto"/>
            <w:shd w:val="clear" w:color="auto" w:fill="FFFFFF"/>
            <w:tcMar>
              <w:top w:w="30" w:type="dxa"/>
              <w:left w:w="0" w:type="dxa"/>
              <w:bottom w:w="30" w:type="dxa"/>
              <w:right w:w="20" w:type="dxa"/>
            </w:tcMar>
            <w:vAlign w:val="bottom"/>
            <w:hideMark/>
          </w:tcPr>
          <w:p w14:paraId="6157C1F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8F81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12A8FB" w14:textId="77777777" w:rsidR="00000000" w:rsidRDefault="00E614A4">
            <w:pPr>
              <w:jc w:val="right"/>
              <w:rPr>
                <w:rFonts w:eastAsia="Times New Roman"/>
              </w:rPr>
            </w:pPr>
            <w:r>
              <w:rPr>
                <w:rFonts w:eastAsia="Times New Roman"/>
                <w:color w:val="000000"/>
                <w:sz w:val="18"/>
                <w:szCs w:val="18"/>
              </w:rPr>
              <w:t>464,721 </w:t>
            </w:r>
          </w:p>
        </w:tc>
        <w:tc>
          <w:tcPr>
            <w:tcW w:w="0" w:type="auto"/>
            <w:shd w:val="clear" w:color="auto" w:fill="FFFFFF"/>
            <w:tcMar>
              <w:top w:w="30" w:type="dxa"/>
              <w:left w:w="0" w:type="dxa"/>
              <w:bottom w:w="30" w:type="dxa"/>
              <w:right w:w="20" w:type="dxa"/>
            </w:tcMar>
            <w:vAlign w:val="bottom"/>
            <w:hideMark/>
          </w:tcPr>
          <w:p w14:paraId="7BE96D3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EB9A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F4449B" w14:textId="77777777" w:rsidR="00000000" w:rsidRDefault="00E614A4">
            <w:pPr>
              <w:jc w:val="right"/>
              <w:rPr>
                <w:rFonts w:eastAsia="Times New Roman"/>
              </w:rPr>
            </w:pPr>
            <w:r>
              <w:rPr>
                <w:rFonts w:eastAsia="Times New Roman"/>
                <w:color w:val="000000"/>
                <w:sz w:val="18"/>
                <w:szCs w:val="18"/>
              </w:rPr>
              <w:t>402,576 </w:t>
            </w:r>
          </w:p>
        </w:tc>
        <w:tc>
          <w:tcPr>
            <w:tcW w:w="0" w:type="auto"/>
            <w:shd w:val="clear" w:color="auto" w:fill="FFFFFF"/>
            <w:tcMar>
              <w:top w:w="30" w:type="dxa"/>
              <w:left w:w="0" w:type="dxa"/>
              <w:bottom w:w="30" w:type="dxa"/>
              <w:right w:w="20" w:type="dxa"/>
            </w:tcMar>
            <w:vAlign w:val="bottom"/>
            <w:hideMark/>
          </w:tcPr>
          <w:p w14:paraId="15F8D67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832C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D0C1D4" w14:textId="77777777" w:rsidR="00000000" w:rsidRDefault="00E614A4">
            <w:pPr>
              <w:jc w:val="right"/>
              <w:rPr>
                <w:rFonts w:eastAsia="Times New Roman"/>
              </w:rPr>
            </w:pPr>
            <w:r>
              <w:rPr>
                <w:rFonts w:eastAsia="Times New Roman"/>
                <w:color w:val="000000"/>
                <w:sz w:val="18"/>
                <w:szCs w:val="18"/>
              </w:rPr>
              <w:t>365,947 </w:t>
            </w:r>
          </w:p>
        </w:tc>
        <w:tc>
          <w:tcPr>
            <w:tcW w:w="0" w:type="auto"/>
            <w:shd w:val="clear" w:color="auto" w:fill="FFFFFF"/>
            <w:tcMar>
              <w:top w:w="30" w:type="dxa"/>
              <w:left w:w="0" w:type="dxa"/>
              <w:bottom w:w="30" w:type="dxa"/>
              <w:right w:w="20" w:type="dxa"/>
            </w:tcMar>
            <w:vAlign w:val="bottom"/>
            <w:hideMark/>
          </w:tcPr>
          <w:p w14:paraId="55A8AB1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7AF3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C91351" w14:textId="77777777" w:rsidR="00000000" w:rsidRDefault="00E614A4">
            <w:pPr>
              <w:jc w:val="right"/>
              <w:rPr>
                <w:rFonts w:eastAsia="Times New Roman"/>
              </w:rPr>
            </w:pPr>
            <w:r>
              <w:rPr>
                <w:rFonts w:eastAsia="Times New Roman"/>
                <w:color w:val="000000"/>
                <w:sz w:val="18"/>
                <w:szCs w:val="18"/>
              </w:rPr>
              <w:t>215,939 </w:t>
            </w:r>
          </w:p>
        </w:tc>
        <w:tc>
          <w:tcPr>
            <w:tcW w:w="0" w:type="auto"/>
            <w:shd w:val="clear" w:color="auto" w:fill="FFFFFF"/>
            <w:tcMar>
              <w:top w:w="30" w:type="dxa"/>
              <w:left w:w="0" w:type="dxa"/>
              <w:bottom w:w="30" w:type="dxa"/>
              <w:right w:w="20" w:type="dxa"/>
            </w:tcMar>
            <w:vAlign w:val="bottom"/>
            <w:hideMark/>
          </w:tcPr>
          <w:p w14:paraId="0BF6D176" w14:textId="77777777" w:rsidR="00000000" w:rsidRDefault="00E614A4">
            <w:pPr>
              <w:jc w:val="right"/>
              <w:rPr>
                <w:rFonts w:eastAsia="Times New Roman"/>
              </w:rPr>
            </w:pPr>
          </w:p>
        </w:tc>
      </w:tr>
      <w:tr w:rsidR="00000000" w14:paraId="19687C41" w14:textId="77777777">
        <w:trPr>
          <w:divId w:val="2087070831"/>
        </w:trPr>
        <w:tc>
          <w:tcPr>
            <w:tcW w:w="0" w:type="auto"/>
            <w:gridSpan w:val="3"/>
            <w:shd w:val="clear" w:color="auto" w:fill="CCEEFF"/>
            <w:tcMar>
              <w:top w:w="30" w:type="dxa"/>
              <w:left w:w="20" w:type="dxa"/>
              <w:bottom w:w="30" w:type="dxa"/>
              <w:right w:w="20" w:type="dxa"/>
            </w:tcMar>
            <w:hideMark/>
          </w:tcPr>
          <w:p w14:paraId="04E627B6" w14:textId="77777777" w:rsidR="00000000" w:rsidRDefault="00E614A4">
            <w:pPr>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0C8E2E0A"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88DC98" w14:textId="77777777" w:rsidR="00000000" w:rsidRDefault="00E614A4">
            <w:pPr>
              <w:jc w:val="right"/>
              <w:rPr>
                <w:rFonts w:eastAsia="Times New Roman"/>
              </w:rPr>
            </w:pPr>
            <w:r>
              <w:rPr>
                <w:rFonts w:eastAsia="Times New Roman"/>
                <w:color w:val="000000"/>
                <w:sz w:val="18"/>
                <w:szCs w:val="18"/>
              </w:rPr>
              <w:t>228,990 </w:t>
            </w:r>
          </w:p>
        </w:tc>
        <w:tc>
          <w:tcPr>
            <w:tcW w:w="0" w:type="auto"/>
            <w:shd w:val="clear" w:color="auto" w:fill="CCEEFF"/>
            <w:tcMar>
              <w:top w:w="30" w:type="dxa"/>
              <w:left w:w="0" w:type="dxa"/>
              <w:bottom w:w="30" w:type="dxa"/>
              <w:right w:w="20" w:type="dxa"/>
            </w:tcMar>
            <w:vAlign w:val="bottom"/>
            <w:hideMark/>
          </w:tcPr>
          <w:p w14:paraId="2E839E7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622C1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435748" w14:textId="77777777" w:rsidR="00000000" w:rsidRDefault="00E614A4">
            <w:pPr>
              <w:jc w:val="right"/>
              <w:rPr>
                <w:rFonts w:eastAsia="Times New Roman"/>
              </w:rPr>
            </w:pPr>
            <w:r>
              <w:rPr>
                <w:rFonts w:eastAsia="Times New Roman"/>
                <w:color w:val="000000"/>
                <w:sz w:val="18"/>
                <w:szCs w:val="18"/>
              </w:rPr>
              <w:t>258,974 </w:t>
            </w:r>
          </w:p>
        </w:tc>
        <w:tc>
          <w:tcPr>
            <w:tcW w:w="0" w:type="auto"/>
            <w:shd w:val="clear" w:color="auto" w:fill="CCEEFF"/>
            <w:tcMar>
              <w:top w:w="30" w:type="dxa"/>
              <w:left w:w="0" w:type="dxa"/>
              <w:bottom w:w="30" w:type="dxa"/>
              <w:right w:w="20" w:type="dxa"/>
            </w:tcMar>
            <w:vAlign w:val="bottom"/>
            <w:hideMark/>
          </w:tcPr>
          <w:p w14:paraId="797863E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EAE8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9B3242" w14:textId="77777777" w:rsidR="00000000" w:rsidRDefault="00E614A4">
            <w:pPr>
              <w:jc w:val="right"/>
              <w:rPr>
                <w:rFonts w:eastAsia="Times New Roman"/>
              </w:rPr>
            </w:pPr>
            <w:r>
              <w:rPr>
                <w:rFonts w:eastAsia="Times New Roman"/>
                <w:color w:val="000000"/>
                <w:sz w:val="18"/>
                <w:szCs w:val="18"/>
              </w:rPr>
              <w:t>551,567 </w:t>
            </w:r>
          </w:p>
        </w:tc>
        <w:tc>
          <w:tcPr>
            <w:tcW w:w="0" w:type="auto"/>
            <w:shd w:val="clear" w:color="auto" w:fill="CCEEFF"/>
            <w:tcMar>
              <w:top w:w="30" w:type="dxa"/>
              <w:left w:w="0" w:type="dxa"/>
              <w:bottom w:w="30" w:type="dxa"/>
              <w:right w:w="20" w:type="dxa"/>
            </w:tcMar>
            <w:vAlign w:val="bottom"/>
            <w:hideMark/>
          </w:tcPr>
          <w:p w14:paraId="60E4026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D80B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7EB429" w14:textId="77777777" w:rsidR="00000000" w:rsidRDefault="00E614A4">
            <w:pPr>
              <w:jc w:val="right"/>
              <w:rPr>
                <w:rFonts w:eastAsia="Times New Roman"/>
              </w:rPr>
            </w:pPr>
            <w:r>
              <w:rPr>
                <w:rFonts w:eastAsia="Times New Roman"/>
                <w:color w:val="000000"/>
                <w:sz w:val="18"/>
                <w:szCs w:val="18"/>
              </w:rPr>
              <w:t>656,492 </w:t>
            </w:r>
          </w:p>
        </w:tc>
        <w:tc>
          <w:tcPr>
            <w:tcW w:w="0" w:type="auto"/>
            <w:shd w:val="clear" w:color="auto" w:fill="CCEEFF"/>
            <w:tcMar>
              <w:top w:w="30" w:type="dxa"/>
              <w:left w:w="0" w:type="dxa"/>
              <w:bottom w:w="30" w:type="dxa"/>
              <w:right w:w="20" w:type="dxa"/>
            </w:tcMar>
            <w:vAlign w:val="bottom"/>
            <w:hideMark/>
          </w:tcPr>
          <w:p w14:paraId="37D242A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44F5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73D547" w14:textId="77777777" w:rsidR="00000000" w:rsidRDefault="00E614A4">
            <w:pPr>
              <w:jc w:val="right"/>
              <w:rPr>
                <w:rFonts w:eastAsia="Times New Roman"/>
              </w:rPr>
            </w:pPr>
            <w:r>
              <w:rPr>
                <w:rFonts w:eastAsia="Times New Roman"/>
                <w:color w:val="000000"/>
                <w:sz w:val="18"/>
                <w:szCs w:val="18"/>
              </w:rPr>
              <w:t>904,853 </w:t>
            </w:r>
          </w:p>
        </w:tc>
        <w:tc>
          <w:tcPr>
            <w:tcW w:w="0" w:type="auto"/>
            <w:shd w:val="clear" w:color="auto" w:fill="CCEEFF"/>
            <w:tcMar>
              <w:top w:w="30" w:type="dxa"/>
              <w:left w:w="0" w:type="dxa"/>
              <w:bottom w:w="30" w:type="dxa"/>
              <w:right w:w="20" w:type="dxa"/>
            </w:tcMar>
            <w:vAlign w:val="bottom"/>
            <w:hideMark/>
          </w:tcPr>
          <w:p w14:paraId="77C9F27C" w14:textId="77777777" w:rsidR="00000000" w:rsidRDefault="00E614A4">
            <w:pPr>
              <w:jc w:val="right"/>
              <w:rPr>
                <w:rFonts w:eastAsia="Times New Roman"/>
              </w:rPr>
            </w:pPr>
          </w:p>
        </w:tc>
      </w:tr>
    </w:tbl>
    <w:p w14:paraId="5873912B" w14:textId="77777777" w:rsidR="00000000" w:rsidRDefault="00E614A4">
      <w:pPr>
        <w:jc w:val="both"/>
        <w:divId w:val="563371831"/>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Amounts for December 31, 2020, 2019, 2018, 2017, and 2016 include software license obligations in the am</w:t>
      </w:r>
      <w:r>
        <w:rPr>
          <w:rFonts w:eastAsia="Times New Roman"/>
          <w:i/>
          <w:iCs/>
          <w:color w:val="000000"/>
          <w:sz w:val="16"/>
          <w:szCs w:val="16"/>
        </w:rPr>
        <w:t>ount of $0.6 million, $0.6 million, $1.8 million, $4.8 million, and $7.7 million, respectively.</w:t>
      </w:r>
    </w:p>
    <w:p w14:paraId="64950A5E" w14:textId="77777777" w:rsidR="00000000" w:rsidRDefault="00E614A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As discussed in </w:t>
      </w:r>
      <w:hyperlink r:id="rId7" w:anchor="s5B1B894228215AEEABBC1FE6C8EB010C" w:history="1">
        <w:r>
          <w:rPr>
            <w:rStyle w:val="a3"/>
            <w:rFonts w:eastAsia="Times New Roman"/>
            <w:i/>
            <w:iCs/>
            <w:sz w:val="16"/>
            <w:szCs w:val="16"/>
          </w:rPr>
          <w:t>Footnote 2</w:t>
        </w:r>
      </w:hyperlink>
      <w:r>
        <w:rPr>
          <w:rFonts w:eastAsia="Times New Roman"/>
          <w:i/>
          <w:iCs/>
          <w:color w:val="000000"/>
          <w:sz w:val="16"/>
          <w:szCs w:val="16"/>
        </w:rPr>
        <w:t>, Summary of Significant Accounting Policies, we adopted Accounting Standards Codification 842, L</w:t>
      </w:r>
      <w:r>
        <w:rPr>
          <w:rFonts w:eastAsia="Times New Roman"/>
          <w:i/>
          <w:iCs/>
          <w:color w:val="000000"/>
          <w:sz w:val="16"/>
          <w:szCs w:val="16"/>
        </w:rPr>
        <w:t>eases ("ASC 842") as of January 1, 2019.</w:t>
      </w:r>
    </w:p>
    <w:p w14:paraId="44BB99A1" w14:textId="77777777" w:rsidR="00000000" w:rsidRDefault="00E614A4">
      <w:pPr>
        <w:jc w:val="both"/>
        <w:rPr>
          <w:rFonts w:eastAsia="Times New Roman"/>
        </w:rPr>
      </w:pPr>
      <w:r>
        <w:rPr>
          <w:rFonts w:eastAsia="Times New Roman"/>
          <w:i/>
          <w:iCs/>
          <w:color w:val="000000"/>
          <w:sz w:val="10"/>
          <w:szCs w:val="10"/>
        </w:rPr>
        <w:t>(3)</w:t>
      </w:r>
      <w:r>
        <w:rPr>
          <w:rFonts w:eastAsia="Times New Roman"/>
          <w:i/>
          <w:iCs/>
          <w:color w:val="000000"/>
          <w:sz w:val="10"/>
          <w:szCs w:val="10"/>
        </w:rPr>
        <w:t xml:space="preserve"> </w:t>
      </w:r>
      <w:r>
        <w:rPr>
          <w:rFonts w:eastAsia="Times New Roman"/>
          <w:i/>
          <w:iCs/>
          <w:color w:val="000000"/>
          <w:sz w:val="16"/>
          <w:szCs w:val="16"/>
        </w:rPr>
        <w:t xml:space="preserve">We entered into financing arrangements and issued senior secured convertible notes in 2018. Refer to </w:t>
      </w:r>
      <w:hyperlink w:anchor="ided6989bcc374020961c421c465250ee_124" w:history="1">
        <w:r>
          <w:rPr>
            <w:rStyle w:val="a3"/>
            <w:rFonts w:eastAsia="Times New Roman"/>
            <w:i/>
            <w:iCs/>
            <w:sz w:val="16"/>
            <w:szCs w:val="16"/>
          </w:rPr>
          <w:t>Footnote 4</w:t>
        </w:r>
      </w:hyperlink>
      <w:r>
        <w:rPr>
          <w:rFonts w:eastAsia="Times New Roman"/>
          <w:i/>
          <w:iCs/>
          <w:color w:val="000000"/>
          <w:sz w:val="16"/>
          <w:szCs w:val="16"/>
        </w:rPr>
        <w:t>, Debt, for additional details.</w:t>
      </w:r>
    </w:p>
    <w:p w14:paraId="6C019B63" w14:textId="77777777" w:rsidR="00000000" w:rsidRDefault="00E614A4">
      <w:pPr>
        <w:jc w:val="both"/>
        <w:rPr>
          <w:rFonts w:eastAsia="Times New Roman"/>
        </w:rPr>
      </w:pPr>
      <w:r>
        <w:rPr>
          <w:rFonts w:eastAsia="Times New Roman"/>
          <w:i/>
          <w:iCs/>
          <w:color w:val="000000"/>
          <w:sz w:val="10"/>
          <w:szCs w:val="10"/>
        </w:rPr>
        <w:t>(4</w:t>
      </w:r>
      <w:r>
        <w:rPr>
          <w:rFonts w:eastAsia="Times New Roman"/>
          <w:i/>
          <w:iCs/>
          <w:color w:val="000000"/>
          <w:sz w:val="10"/>
          <w:szCs w:val="10"/>
        </w:rPr>
        <w:t>)</w:t>
      </w:r>
      <w:r>
        <w:rPr>
          <w:rFonts w:eastAsia="Times New Roman"/>
          <w:i/>
          <w:iCs/>
          <w:color w:val="000000"/>
          <w:sz w:val="16"/>
          <w:szCs w:val="16"/>
        </w:rPr>
        <w:t xml:space="preserve"> We i</w:t>
      </w:r>
      <w:r>
        <w:rPr>
          <w:rFonts w:eastAsia="Times New Roman"/>
          <w:i/>
          <w:iCs/>
          <w:color w:val="000000"/>
          <w:sz w:val="16"/>
          <w:szCs w:val="16"/>
        </w:rPr>
        <w:t xml:space="preserve">ssued a secured term note in December 2019. Refer to </w:t>
      </w:r>
      <w:hyperlink w:anchor="ided6989bcc374020961c421c465250ee_124" w:history="1">
        <w:r>
          <w:rPr>
            <w:rStyle w:val="a3"/>
            <w:rFonts w:eastAsia="Times New Roman"/>
            <w:i/>
            <w:iCs/>
            <w:sz w:val="16"/>
            <w:szCs w:val="16"/>
          </w:rPr>
          <w:t>Footnote 4</w:t>
        </w:r>
      </w:hyperlink>
      <w:r>
        <w:rPr>
          <w:rFonts w:eastAsia="Times New Roman"/>
          <w:i/>
          <w:iCs/>
          <w:color w:val="000000"/>
          <w:sz w:val="16"/>
          <w:szCs w:val="16"/>
        </w:rPr>
        <w:t>, Debt, for additional details.</w:t>
      </w:r>
    </w:p>
    <w:p w14:paraId="14B3265E" w14:textId="77777777" w:rsidR="00000000" w:rsidRDefault="00E614A4">
      <w:pPr>
        <w:jc w:val="both"/>
        <w:rPr>
          <w:rFonts w:eastAsia="Times New Roman"/>
        </w:rPr>
      </w:pPr>
      <w:r>
        <w:rPr>
          <w:rFonts w:eastAsia="Times New Roman"/>
          <w:i/>
          <w:iCs/>
          <w:color w:val="000000"/>
          <w:sz w:val="10"/>
          <w:szCs w:val="10"/>
        </w:rPr>
        <w:t>(5</w:t>
      </w:r>
      <w:r>
        <w:rPr>
          <w:rFonts w:eastAsia="Times New Roman"/>
          <w:i/>
          <w:iCs/>
          <w:color w:val="000000"/>
          <w:sz w:val="10"/>
          <w:szCs w:val="10"/>
        </w:rPr>
        <w:t>)</w:t>
      </w:r>
      <w:r>
        <w:rPr>
          <w:rFonts w:eastAsia="Times New Roman"/>
          <w:i/>
          <w:iCs/>
          <w:color w:val="000000"/>
          <w:sz w:val="16"/>
          <w:szCs w:val="16"/>
        </w:rPr>
        <w:t xml:space="preserve"> We issued four series of liability-classified warrants in June 2019. Refer to </w:t>
      </w:r>
      <w:hyperlink w:anchor="ided6989bcc374020961c421c465250ee_133" w:history="1">
        <w:r>
          <w:rPr>
            <w:rStyle w:val="a3"/>
            <w:rFonts w:eastAsia="Times New Roman"/>
            <w:i/>
            <w:iCs/>
            <w:sz w:val="16"/>
            <w:szCs w:val="16"/>
          </w:rPr>
          <w:t>Footnote 5</w:t>
        </w:r>
      </w:hyperlink>
      <w:r>
        <w:rPr>
          <w:rFonts w:eastAsia="Times New Roman"/>
          <w:i/>
          <w:iCs/>
          <w:color w:val="000000"/>
          <w:sz w:val="16"/>
          <w:szCs w:val="16"/>
        </w:rPr>
        <w:t xml:space="preserve">, Stockholders' Equity, for additional details. </w:t>
      </w:r>
    </w:p>
    <w:p w14:paraId="37D3B24D" w14:textId="77777777" w:rsidR="00000000" w:rsidRDefault="00E614A4">
      <w:pPr>
        <w:jc w:val="center"/>
        <w:divId w:val="1533423687"/>
        <w:rPr>
          <w:rFonts w:eastAsia="Times New Roman"/>
        </w:rPr>
      </w:pPr>
      <w:r>
        <w:rPr>
          <w:rFonts w:eastAsia="Times New Roman"/>
          <w:color w:val="000000"/>
          <w:sz w:val="20"/>
          <w:szCs w:val="20"/>
        </w:rPr>
        <w:t>34</w:t>
      </w:r>
    </w:p>
    <w:p w14:paraId="4F6BF8C2" w14:textId="77777777" w:rsidR="00000000" w:rsidRDefault="00E614A4">
      <w:pPr>
        <w:rPr>
          <w:rFonts w:eastAsia="Times New Roman"/>
        </w:rPr>
      </w:pPr>
      <w:r>
        <w:rPr>
          <w:rFonts w:eastAsia="Times New Roman"/>
        </w:rPr>
        <w:pict w14:anchorId="7C900F60">
          <v:rect id="_x0000_i1062" style="width:0;height:1.5pt" o:hralign="center" o:hrstd="t" o:hr="t" fillcolor="#a0a0a0" stroked="f"/>
        </w:pict>
      </w:r>
    </w:p>
    <w:p w14:paraId="7C32FA92" w14:textId="77777777" w:rsidR="00000000" w:rsidRDefault="00E614A4">
      <w:pPr>
        <w:divId w:val="72006028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AC3B9E9" w14:textId="77777777" w:rsidR="00000000" w:rsidRDefault="00E614A4">
      <w:pPr>
        <w:divId w:val="687366377"/>
        <w:rPr>
          <w:rFonts w:eastAsia="Times New Roman"/>
        </w:rPr>
      </w:pPr>
    </w:p>
    <w:p w14:paraId="51BFF7AF" w14:textId="77777777" w:rsidR="00000000" w:rsidRDefault="00E614A4">
      <w:pPr>
        <w:jc w:val="both"/>
        <w:divId w:val="1315836049"/>
        <w:rPr>
          <w:rFonts w:eastAsia="Times New Roman"/>
        </w:rPr>
      </w:pPr>
      <w:r>
        <w:rPr>
          <w:rFonts w:eastAsia="Times New Roman"/>
          <w:b/>
          <w:bCs/>
          <w:color w:val="000000"/>
          <w:sz w:val="20"/>
          <w:szCs w:val="20"/>
        </w:rPr>
        <w:t>ITEM 7.</w:t>
      </w:r>
      <w:r>
        <w:rPr>
          <w:rFonts w:eastAsia="Times New Roman"/>
          <w:b/>
          <w:bCs/>
          <w:i/>
          <w:iCs/>
          <w:color w:val="000000"/>
          <w:sz w:val="20"/>
          <w:szCs w:val="20"/>
        </w:rPr>
        <w:t> MANAGEMENT'S DISCUSSION AND ANALYSIS OF FINANCIAL CONDITION AND RESULTS OF OPERATIONS</w:t>
      </w:r>
    </w:p>
    <w:p w14:paraId="4C8DDED2" w14:textId="77777777" w:rsidR="00000000" w:rsidRDefault="00E614A4">
      <w:pPr>
        <w:jc w:val="both"/>
        <w:divId w:val="205146551"/>
        <w:rPr>
          <w:rFonts w:eastAsia="Times New Roman"/>
        </w:rPr>
      </w:pPr>
      <w:r>
        <w:rPr>
          <w:rFonts w:eastAsia="Times New Roman"/>
          <w:i/>
          <w:iCs/>
          <w:color w:val="000000"/>
          <w:sz w:val="20"/>
          <w:szCs w:val="20"/>
        </w:rPr>
        <w:t xml:space="preserve">The following discussion and analysis of our financial condition and results of operations should </w:t>
      </w:r>
      <w:r>
        <w:rPr>
          <w:rFonts w:eastAsia="Times New Roman"/>
          <w:i/>
          <w:iCs/>
          <w:color w:val="000000"/>
          <w:sz w:val="20"/>
          <w:szCs w:val="20"/>
        </w:rPr>
        <w:t xml:space="preserve">be read in conjunction with our Consolidated Financial Statements and the related Notes to Consolidated Financial Statements included in Part II, </w:t>
      </w:r>
      <w:hyperlink w:anchor="ided6989bcc374020961c421c465250ee_76" w:history="1">
        <w:r>
          <w:rPr>
            <w:rStyle w:val="a3"/>
            <w:rFonts w:eastAsia="Times New Roman"/>
            <w:i/>
            <w:iCs/>
            <w:sz w:val="20"/>
            <w:szCs w:val="20"/>
          </w:rPr>
          <w:t>Item 8</w:t>
        </w:r>
      </w:hyperlink>
      <w:r>
        <w:rPr>
          <w:rFonts w:eastAsia="Times New Roman"/>
          <w:i/>
          <w:iCs/>
          <w:color w:val="000000"/>
          <w:sz w:val="20"/>
          <w:szCs w:val="20"/>
        </w:rPr>
        <w:t xml:space="preserve"> of this Annual Report on Form 10-K, or 10-K.</w:t>
      </w:r>
      <w:r>
        <w:rPr>
          <w:rFonts w:eastAsia="Times New Roman"/>
          <w:i/>
          <w:iCs/>
          <w:color w:val="000000"/>
          <w:sz w:val="20"/>
          <w:szCs w:val="20"/>
        </w:rPr>
        <w:t xml:space="preserve"> In addition to historical financial information, the following discussion and analysis contains forward-looking statements that involve risks, uncertainties and assumptions. Our actual results and timing of selected events in future periods may differ mat</w:t>
      </w:r>
      <w:r>
        <w:rPr>
          <w:rFonts w:eastAsia="Times New Roman"/>
          <w:i/>
          <w:iCs/>
          <w:color w:val="000000"/>
          <w:sz w:val="20"/>
          <w:szCs w:val="20"/>
        </w:rPr>
        <w:t xml:space="preserve">erially from those anticipated or implied in these forward-looking statements as a result of many factors, including those discussed under </w:t>
      </w:r>
      <w:hyperlink w:anchor="ided6989bcc374020961c421c465250ee_22" w:history="1">
        <w:r>
          <w:rPr>
            <w:rStyle w:val="a3"/>
            <w:rFonts w:eastAsia="Times New Roman"/>
            <w:i/>
            <w:iCs/>
            <w:sz w:val="20"/>
            <w:szCs w:val="20"/>
          </w:rPr>
          <w:t>Item 1A</w:t>
        </w:r>
      </w:hyperlink>
      <w:r>
        <w:rPr>
          <w:rFonts w:eastAsia="Times New Roman"/>
          <w:i/>
          <w:iCs/>
          <w:color w:val="000000"/>
          <w:sz w:val="20"/>
          <w:szCs w:val="20"/>
        </w:rPr>
        <w:t>, "Risk Factors," and elsewhere in this 10-K. See a</w:t>
      </w:r>
      <w:r>
        <w:rPr>
          <w:rFonts w:eastAsia="Times New Roman"/>
          <w:i/>
          <w:iCs/>
          <w:color w:val="000000"/>
          <w:sz w:val="20"/>
          <w:szCs w:val="20"/>
        </w:rPr>
        <w:t>lso "</w:t>
      </w:r>
      <w:hyperlink w:anchor="ided6989bcc374020961c421c465250ee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10-K.</w:t>
      </w:r>
    </w:p>
    <w:p w14:paraId="79AA0DDB" w14:textId="77777777" w:rsidR="00000000" w:rsidRDefault="00E614A4">
      <w:pPr>
        <w:jc w:val="both"/>
        <w:divId w:val="2131703898"/>
        <w:rPr>
          <w:rFonts w:eastAsia="Times New Roman"/>
        </w:rPr>
      </w:pPr>
      <w:r>
        <w:rPr>
          <w:rFonts w:eastAsia="Times New Roman"/>
          <w:b/>
          <w:bCs/>
          <w:color w:val="000000"/>
          <w:sz w:val="20"/>
          <w:szCs w:val="20"/>
        </w:rPr>
        <w:t xml:space="preserve">Overview </w:t>
      </w:r>
    </w:p>
    <w:p w14:paraId="0BE27629" w14:textId="77777777" w:rsidR="00000000" w:rsidRDefault="00E614A4">
      <w:pPr>
        <w:jc w:val="both"/>
        <w:divId w:val="1825124509"/>
        <w:rPr>
          <w:rFonts w:eastAsia="Times New Roman"/>
        </w:rPr>
      </w:pPr>
      <w:r>
        <w:rPr>
          <w:rFonts w:eastAsia="Times New Roman"/>
          <w:color w:val="000000"/>
          <w:sz w:val="20"/>
          <w:szCs w:val="20"/>
        </w:rPr>
        <w:t>We are a global information and analytics company that measures advertising, content, and the con</w:t>
      </w:r>
      <w:r>
        <w:rPr>
          <w:rFonts w:eastAsia="Times New Roman"/>
          <w:color w:val="000000"/>
          <w:sz w:val="20"/>
          <w:szCs w:val="20"/>
        </w:rPr>
        <w:t xml:space="preserve">sumer audiences of each, across media platforms. We create our products using a global data platform that combines information on digital platforms (connected (Smart) televisions, mobile devices, tablets and computers), TV, OTT devices, direct to consumer </w:t>
      </w:r>
      <w:r>
        <w:rPr>
          <w:rFonts w:eastAsia="Times New Roman"/>
          <w:color w:val="000000"/>
          <w:sz w:val="20"/>
          <w:szCs w:val="20"/>
        </w:rPr>
        <w:t>applications and movie screens with demographics and other descriptive information. We have developed proprietary data science that enables measurement of person-level and household-level audiences, removing duplicated viewing across devices and over time.</w:t>
      </w:r>
      <w:r>
        <w:rPr>
          <w:rFonts w:eastAsia="Times New Roman"/>
          <w:color w:val="000000"/>
          <w:sz w:val="20"/>
          <w:szCs w:val="20"/>
        </w:rPr>
        <w:t xml:space="preserve"> This combination of data and methods enables a common standard for buyers and sellers to transact on advertising. This helps companies across the media ecosystem better understand and monetize their audiences and develop marketing plans and products to mo</w:t>
      </w:r>
      <w:r>
        <w:rPr>
          <w:rFonts w:eastAsia="Times New Roman"/>
          <w:color w:val="000000"/>
          <w:sz w:val="20"/>
          <w:szCs w:val="20"/>
        </w:rPr>
        <w:t>re efficiently and effectively reach those audiences. Our ability to unify behavioral and other descriptive data enables us to provide audience ratings, advertising verification, and granular consumer segments that describe hundreds of millions of consumer</w:t>
      </w:r>
      <w:r>
        <w:rPr>
          <w:rFonts w:eastAsia="Times New Roman"/>
          <w:color w:val="000000"/>
          <w:sz w:val="20"/>
          <w:szCs w:val="20"/>
        </w:rPr>
        <w:t>s. Our customers include digital publishers, television networks, movie studios, content owners, brand advertisers, agencies and technology providers.</w:t>
      </w:r>
    </w:p>
    <w:p w14:paraId="09DBB014" w14:textId="77777777" w:rsidR="00000000" w:rsidRDefault="00E614A4">
      <w:pPr>
        <w:jc w:val="both"/>
        <w:divId w:val="164055589"/>
        <w:rPr>
          <w:rFonts w:eastAsia="Times New Roman"/>
        </w:rPr>
      </w:pPr>
      <w:r>
        <w:rPr>
          <w:rFonts w:eastAsia="Times New Roman"/>
          <w:color w:val="000000"/>
          <w:sz w:val="20"/>
          <w:szCs w:val="20"/>
        </w:rPr>
        <w:t>The platforms we measure include televisions, mobile devices, computers, tablets, OTT devices and movie t</w:t>
      </w:r>
      <w:r>
        <w:rPr>
          <w:rFonts w:eastAsia="Times New Roman"/>
          <w:color w:val="000000"/>
          <w:sz w:val="20"/>
          <w:szCs w:val="20"/>
        </w:rPr>
        <w:t>heaters. The information we analyze crosses geographies, types of content and activities, including websites, mobile and OTT apps, video games, television and movie programming, e-commerce, and advertising.</w:t>
      </w:r>
    </w:p>
    <w:p w14:paraId="4BFEB70C" w14:textId="77777777" w:rsidR="00000000" w:rsidRDefault="00E614A4">
      <w:pPr>
        <w:divId w:val="2118788672"/>
        <w:rPr>
          <w:rFonts w:eastAsia="Times New Roman"/>
        </w:rPr>
      </w:pPr>
      <w:r>
        <w:rPr>
          <w:rFonts w:eastAsia="Times New Roman"/>
          <w:b/>
          <w:bCs/>
          <w:color w:val="000000"/>
          <w:sz w:val="20"/>
          <w:szCs w:val="20"/>
        </w:rPr>
        <w:t>Results of Operations</w:t>
      </w:r>
    </w:p>
    <w:p w14:paraId="05C121A7" w14:textId="77777777" w:rsidR="00000000" w:rsidRDefault="00E614A4">
      <w:pPr>
        <w:jc w:val="both"/>
        <w:divId w:val="1881435406"/>
        <w:rPr>
          <w:rFonts w:eastAsia="Times New Roman"/>
        </w:rPr>
      </w:pPr>
      <w:r>
        <w:rPr>
          <w:rFonts w:eastAsia="Times New Roman"/>
          <w:color w:val="000000"/>
          <w:sz w:val="20"/>
          <w:szCs w:val="20"/>
        </w:rPr>
        <w:t>The following table sets forth selected Consolidated Statements of Operations and Comprehensive Loss data as a percentage of revenues for each of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02"/>
        <w:gridCol w:w="38"/>
        <w:gridCol w:w="36"/>
        <w:gridCol w:w="36"/>
        <w:gridCol w:w="36"/>
        <w:gridCol w:w="110"/>
        <w:gridCol w:w="678"/>
        <w:gridCol w:w="36"/>
        <w:gridCol w:w="36"/>
        <w:gridCol w:w="36"/>
        <w:gridCol w:w="36"/>
        <w:gridCol w:w="61"/>
        <w:gridCol w:w="604"/>
        <w:gridCol w:w="170"/>
        <w:gridCol w:w="36"/>
        <w:gridCol w:w="36"/>
        <w:gridCol w:w="36"/>
        <w:gridCol w:w="110"/>
        <w:gridCol w:w="705"/>
        <w:gridCol w:w="36"/>
        <w:gridCol w:w="36"/>
        <w:gridCol w:w="36"/>
        <w:gridCol w:w="36"/>
        <w:gridCol w:w="61"/>
        <w:gridCol w:w="577"/>
        <w:gridCol w:w="170"/>
        <w:gridCol w:w="36"/>
        <w:gridCol w:w="36"/>
        <w:gridCol w:w="36"/>
        <w:gridCol w:w="110"/>
        <w:gridCol w:w="705"/>
        <w:gridCol w:w="36"/>
        <w:gridCol w:w="36"/>
        <w:gridCol w:w="36"/>
        <w:gridCol w:w="36"/>
        <w:gridCol w:w="61"/>
        <w:gridCol w:w="579"/>
        <w:gridCol w:w="170"/>
      </w:tblGrid>
      <w:tr w:rsidR="00000000" w14:paraId="2C0581F7" w14:textId="77777777">
        <w:trPr>
          <w:divId w:val="1631276246"/>
          <w:jc w:val="center"/>
        </w:trPr>
        <w:tc>
          <w:tcPr>
            <w:tcW w:w="50" w:type="pct"/>
            <w:vAlign w:val="center"/>
            <w:hideMark/>
          </w:tcPr>
          <w:p w14:paraId="5D34B26C" w14:textId="77777777" w:rsidR="00000000" w:rsidRDefault="00E614A4">
            <w:pPr>
              <w:jc w:val="both"/>
              <w:rPr>
                <w:rFonts w:eastAsia="Times New Roman"/>
              </w:rPr>
            </w:pPr>
          </w:p>
        </w:tc>
        <w:tc>
          <w:tcPr>
            <w:tcW w:w="1653" w:type="pct"/>
            <w:vAlign w:val="center"/>
            <w:hideMark/>
          </w:tcPr>
          <w:p w14:paraId="49ADC043" w14:textId="77777777" w:rsidR="00000000" w:rsidRDefault="00E614A4">
            <w:pPr>
              <w:rPr>
                <w:rFonts w:eastAsia="Times New Roman"/>
                <w:sz w:val="20"/>
                <w:szCs w:val="20"/>
              </w:rPr>
            </w:pPr>
          </w:p>
        </w:tc>
        <w:tc>
          <w:tcPr>
            <w:tcW w:w="5" w:type="pct"/>
            <w:vAlign w:val="center"/>
            <w:hideMark/>
          </w:tcPr>
          <w:p w14:paraId="29B59AD1" w14:textId="77777777" w:rsidR="00000000" w:rsidRDefault="00E614A4">
            <w:pPr>
              <w:rPr>
                <w:rFonts w:eastAsia="Times New Roman"/>
                <w:sz w:val="20"/>
                <w:szCs w:val="20"/>
              </w:rPr>
            </w:pPr>
          </w:p>
        </w:tc>
        <w:tc>
          <w:tcPr>
            <w:tcW w:w="5" w:type="pct"/>
            <w:vAlign w:val="center"/>
            <w:hideMark/>
          </w:tcPr>
          <w:p w14:paraId="3700FA8D" w14:textId="77777777" w:rsidR="00000000" w:rsidRDefault="00E614A4">
            <w:pPr>
              <w:rPr>
                <w:rFonts w:eastAsia="Times New Roman"/>
                <w:sz w:val="20"/>
                <w:szCs w:val="20"/>
              </w:rPr>
            </w:pPr>
          </w:p>
        </w:tc>
        <w:tc>
          <w:tcPr>
            <w:tcW w:w="17" w:type="pct"/>
            <w:vAlign w:val="center"/>
            <w:hideMark/>
          </w:tcPr>
          <w:p w14:paraId="3B98B6A9" w14:textId="77777777" w:rsidR="00000000" w:rsidRDefault="00E614A4">
            <w:pPr>
              <w:rPr>
                <w:rFonts w:eastAsia="Times New Roman"/>
                <w:sz w:val="20"/>
                <w:szCs w:val="20"/>
              </w:rPr>
            </w:pPr>
          </w:p>
        </w:tc>
        <w:tc>
          <w:tcPr>
            <w:tcW w:w="5" w:type="pct"/>
            <w:vAlign w:val="center"/>
            <w:hideMark/>
          </w:tcPr>
          <w:p w14:paraId="6CA43726" w14:textId="77777777" w:rsidR="00000000" w:rsidRDefault="00E614A4">
            <w:pPr>
              <w:rPr>
                <w:rFonts w:eastAsia="Times New Roman"/>
                <w:sz w:val="20"/>
                <w:szCs w:val="20"/>
              </w:rPr>
            </w:pPr>
          </w:p>
        </w:tc>
        <w:tc>
          <w:tcPr>
            <w:tcW w:w="50" w:type="pct"/>
            <w:vAlign w:val="center"/>
            <w:hideMark/>
          </w:tcPr>
          <w:p w14:paraId="72E4B120" w14:textId="77777777" w:rsidR="00000000" w:rsidRDefault="00E614A4">
            <w:pPr>
              <w:rPr>
                <w:rFonts w:eastAsia="Times New Roman"/>
                <w:sz w:val="20"/>
                <w:szCs w:val="20"/>
              </w:rPr>
            </w:pPr>
          </w:p>
        </w:tc>
        <w:tc>
          <w:tcPr>
            <w:tcW w:w="465" w:type="pct"/>
            <w:vAlign w:val="center"/>
            <w:hideMark/>
          </w:tcPr>
          <w:p w14:paraId="4A6C106F" w14:textId="77777777" w:rsidR="00000000" w:rsidRDefault="00E614A4">
            <w:pPr>
              <w:rPr>
                <w:rFonts w:eastAsia="Times New Roman"/>
                <w:sz w:val="20"/>
                <w:szCs w:val="20"/>
              </w:rPr>
            </w:pPr>
          </w:p>
        </w:tc>
        <w:tc>
          <w:tcPr>
            <w:tcW w:w="5" w:type="pct"/>
            <w:vAlign w:val="center"/>
            <w:hideMark/>
          </w:tcPr>
          <w:p w14:paraId="2EBF5D40" w14:textId="77777777" w:rsidR="00000000" w:rsidRDefault="00E614A4">
            <w:pPr>
              <w:rPr>
                <w:rFonts w:eastAsia="Times New Roman"/>
                <w:sz w:val="20"/>
                <w:szCs w:val="20"/>
              </w:rPr>
            </w:pPr>
          </w:p>
        </w:tc>
        <w:tc>
          <w:tcPr>
            <w:tcW w:w="5" w:type="pct"/>
            <w:vAlign w:val="center"/>
            <w:hideMark/>
          </w:tcPr>
          <w:p w14:paraId="7E691B71" w14:textId="77777777" w:rsidR="00000000" w:rsidRDefault="00E614A4">
            <w:pPr>
              <w:rPr>
                <w:rFonts w:eastAsia="Times New Roman"/>
                <w:sz w:val="20"/>
                <w:szCs w:val="20"/>
              </w:rPr>
            </w:pPr>
          </w:p>
        </w:tc>
        <w:tc>
          <w:tcPr>
            <w:tcW w:w="17" w:type="pct"/>
            <w:vAlign w:val="center"/>
            <w:hideMark/>
          </w:tcPr>
          <w:p w14:paraId="214EAAEC" w14:textId="77777777" w:rsidR="00000000" w:rsidRDefault="00E614A4">
            <w:pPr>
              <w:rPr>
                <w:rFonts w:eastAsia="Times New Roman"/>
                <w:sz w:val="20"/>
                <w:szCs w:val="20"/>
              </w:rPr>
            </w:pPr>
          </w:p>
        </w:tc>
        <w:tc>
          <w:tcPr>
            <w:tcW w:w="5" w:type="pct"/>
            <w:vAlign w:val="center"/>
            <w:hideMark/>
          </w:tcPr>
          <w:p w14:paraId="61FFF6B9" w14:textId="77777777" w:rsidR="00000000" w:rsidRDefault="00E614A4">
            <w:pPr>
              <w:rPr>
                <w:rFonts w:eastAsia="Times New Roman"/>
                <w:sz w:val="20"/>
                <w:szCs w:val="20"/>
              </w:rPr>
            </w:pPr>
          </w:p>
        </w:tc>
        <w:tc>
          <w:tcPr>
            <w:tcW w:w="50" w:type="pct"/>
            <w:vAlign w:val="center"/>
            <w:hideMark/>
          </w:tcPr>
          <w:p w14:paraId="33A912FD" w14:textId="77777777" w:rsidR="00000000" w:rsidRDefault="00E614A4">
            <w:pPr>
              <w:rPr>
                <w:rFonts w:eastAsia="Times New Roman"/>
                <w:sz w:val="20"/>
                <w:szCs w:val="20"/>
              </w:rPr>
            </w:pPr>
          </w:p>
        </w:tc>
        <w:tc>
          <w:tcPr>
            <w:tcW w:w="465" w:type="pct"/>
            <w:vAlign w:val="center"/>
            <w:hideMark/>
          </w:tcPr>
          <w:p w14:paraId="784A5072" w14:textId="77777777" w:rsidR="00000000" w:rsidRDefault="00E614A4">
            <w:pPr>
              <w:rPr>
                <w:rFonts w:eastAsia="Times New Roman"/>
                <w:sz w:val="20"/>
                <w:szCs w:val="20"/>
              </w:rPr>
            </w:pPr>
          </w:p>
        </w:tc>
        <w:tc>
          <w:tcPr>
            <w:tcW w:w="5" w:type="pct"/>
            <w:vAlign w:val="center"/>
            <w:hideMark/>
          </w:tcPr>
          <w:p w14:paraId="55FD0BC4" w14:textId="77777777" w:rsidR="00000000" w:rsidRDefault="00E614A4">
            <w:pPr>
              <w:rPr>
                <w:rFonts w:eastAsia="Times New Roman"/>
                <w:sz w:val="20"/>
                <w:szCs w:val="20"/>
              </w:rPr>
            </w:pPr>
          </w:p>
        </w:tc>
        <w:tc>
          <w:tcPr>
            <w:tcW w:w="5" w:type="pct"/>
            <w:vAlign w:val="center"/>
            <w:hideMark/>
          </w:tcPr>
          <w:p w14:paraId="67B93CD6" w14:textId="77777777" w:rsidR="00000000" w:rsidRDefault="00E614A4">
            <w:pPr>
              <w:rPr>
                <w:rFonts w:eastAsia="Times New Roman"/>
                <w:sz w:val="20"/>
                <w:szCs w:val="20"/>
              </w:rPr>
            </w:pPr>
          </w:p>
        </w:tc>
        <w:tc>
          <w:tcPr>
            <w:tcW w:w="17" w:type="pct"/>
            <w:vAlign w:val="center"/>
            <w:hideMark/>
          </w:tcPr>
          <w:p w14:paraId="485FC764" w14:textId="77777777" w:rsidR="00000000" w:rsidRDefault="00E614A4">
            <w:pPr>
              <w:rPr>
                <w:rFonts w:eastAsia="Times New Roman"/>
                <w:sz w:val="20"/>
                <w:szCs w:val="20"/>
              </w:rPr>
            </w:pPr>
          </w:p>
        </w:tc>
        <w:tc>
          <w:tcPr>
            <w:tcW w:w="5" w:type="pct"/>
            <w:vAlign w:val="center"/>
            <w:hideMark/>
          </w:tcPr>
          <w:p w14:paraId="1D712584" w14:textId="77777777" w:rsidR="00000000" w:rsidRDefault="00E614A4">
            <w:pPr>
              <w:rPr>
                <w:rFonts w:eastAsia="Times New Roman"/>
                <w:sz w:val="20"/>
                <w:szCs w:val="20"/>
              </w:rPr>
            </w:pPr>
          </w:p>
        </w:tc>
        <w:tc>
          <w:tcPr>
            <w:tcW w:w="50" w:type="pct"/>
            <w:vAlign w:val="center"/>
            <w:hideMark/>
          </w:tcPr>
          <w:p w14:paraId="18B8F8CB" w14:textId="77777777" w:rsidR="00000000" w:rsidRDefault="00E614A4">
            <w:pPr>
              <w:rPr>
                <w:rFonts w:eastAsia="Times New Roman"/>
                <w:sz w:val="20"/>
                <w:szCs w:val="20"/>
              </w:rPr>
            </w:pPr>
          </w:p>
        </w:tc>
        <w:tc>
          <w:tcPr>
            <w:tcW w:w="465" w:type="pct"/>
            <w:vAlign w:val="center"/>
            <w:hideMark/>
          </w:tcPr>
          <w:p w14:paraId="0B2D544C" w14:textId="77777777" w:rsidR="00000000" w:rsidRDefault="00E614A4">
            <w:pPr>
              <w:rPr>
                <w:rFonts w:eastAsia="Times New Roman"/>
                <w:sz w:val="20"/>
                <w:szCs w:val="20"/>
              </w:rPr>
            </w:pPr>
          </w:p>
        </w:tc>
        <w:tc>
          <w:tcPr>
            <w:tcW w:w="5" w:type="pct"/>
            <w:vAlign w:val="center"/>
            <w:hideMark/>
          </w:tcPr>
          <w:p w14:paraId="6507A533" w14:textId="77777777" w:rsidR="00000000" w:rsidRDefault="00E614A4">
            <w:pPr>
              <w:rPr>
                <w:rFonts w:eastAsia="Times New Roman"/>
                <w:sz w:val="20"/>
                <w:szCs w:val="20"/>
              </w:rPr>
            </w:pPr>
          </w:p>
        </w:tc>
        <w:tc>
          <w:tcPr>
            <w:tcW w:w="5" w:type="pct"/>
            <w:vAlign w:val="center"/>
            <w:hideMark/>
          </w:tcPr>
          <w:p w14:paraId="71597B34" w14:textId="77777777" w:rsidR="00000000" w:rsidRDefault="00E614A4">
            <w:pPr>
              <w:rPr>
                <w:rFonts w:eastAsia="Times New Roman"/>
                <w:sz w:val="20"/>
                <w:szCs w:val="20"/>
              </w:rPr>
            </w:pPr>
          </w:p>
        </w:tc>
        <w:tc>
          <w:tcPr>
            <w:tcW w:w="17" w:type="pct"/>
            <w:vAlign w:val="center"/>
            <w:hideMark/>
          </w:tcPr>
          <w:p w14:paraId="10D86664" w14:textId="77777777" w:rsidR="00000000" w:rsidRDefault="00E614A4">
            <w:pPr>
              <w:rPr>
                <w:rFonts w:eastAsia="Times New Roman"/>
                <w:sz w:val="20"/>
                <w:szCs w:val="20"/>
              </w:rPr>
            </w:pPr>
          </w:p>
        </w:tc>
        <w:tc>
          <w:tcPr>
            <w:tcW w:w="5" w:type="pct"/>
            <w:vAlign w:val="center"/>
            <w:hideMark/>
          </w:tcPr>
          <w:p w14:paraId="58DCBE67" w14:textId="77777777" w:rsidR="00000000" w:rsidRDefault="00E614A4">
            <w:pPr>
              <w:rPr>
                <w:rFonts w:eastAsia="Times New Roman"/>
                <w:sz w:val="20"/>
                <w:szCs w:val="20"/>
              </w:rPr>
            </w:pPr>
          </w:p>
        </w:tc>
        <w:tc>
          <w:tcPr>
            <w:tcW w:w="50" w:type="pct"/>
            <w:vAlign w:val="center"/>
            <w:hideMark/>
          </w:tcPr>
          <w:p w14:paraId="2781587A" w14:textId="77777777" w:rsidR="00000000" w:rsidRDefault="00E614A4">
            <w:pPr>
              <w:rPr>
                <w:rFonts w:eastAsia="Times New Roman"/>
                <w:sz w:val="20"/>
                <w:szCs w:val="20"/>
              </w:rPr>
            </w:pPr>
          </w:p>
        </w:tc>
        <w:tc>
          <w:tcPr>
            <w:tcW w:w="465" w:type="pct"/>
            <w:vAlign w:val="center"/>
            <w:hideMark/>
          </w:tcPr>
          <w:p w14:paraId="282BF8BE" w14:textId="77777777" w:rsidR="00000000" w:rsidRDefault="00E614A4">
            <w:pPr>
              <w:rPr>
                <w:rFonts w:eastAsia="Times New Roman"/>
                <w:sz w:val="20"/>
                <w:szCs w:val="20"/>
              </w:rPr>
            </w:pPr>
          </w:p>
        </w:tc>
        <w:tc>
          <w:tcPr>
            <w:tcW w:w="5" w:type="pct"/>
            <w:vAlign w:val="center"/>
            <w:hideMark/>
          </w:tcPr>
          <w:p w14:paraId="39F2623F" w14:textId="77777777" w:rsidR="00000000" w:rsidRDefault="00E614A4">
            <w:pPr>
              <w:rPr>
                <w:rFonts w:eastAsia="Times New Roman"/>
                <w:sz w:val="20"/>
                <w:szCs w:val="20"/>
              </w:rPr>
            </w:pPr>
          </w:p>
        </w:tc>
        <w:tc>
          <w:tcPr>
            <w:tcW w:w="5" w:type="pct"/>
            <w:vAlign w:val="center"/>
            <w:hideMark/>
          </w:tcPr>
          <w:p w14:paraId="22AFE0D5" w14:textId="77777777" w:rsidR="00000000" w:rsidRDefault="00E614A4">
            <w:pPr>
              <w:rPr>
                <w:rFonts w:eastAsia="Times New Roman"/>
                <w:sz w:val="20"/>
                <w:szCs w:val="20"/>
              </w:rPr>
            </w:pPr>
          </w:p>
        </w:tc>
        <w:tc>
          <w:tcPr>
            <w:tcW w:w="17" w:type="pct"/>
            <w:vAlign w:val="center"/>
            <w:hideMark/>
          </w:tcPr>
          <w:p w14:paraId="50510BF7" w14:textId="77777777" w:rsidR="00000000" w:rsidRDefault="00E614A4">
            <w:pPr>
              <w:rPr>
                <w:rFonts w:eastAsia="Times New Roman"/>
                <w:sz w:val="20"/>
                <w:szCs w:val="20"/>
              </w:rPr>
            </w:pPr>
          </w:p>
        </w:tc>
        <w:tc>
          <w:tcPr>
            <w:tcW w:w="5" w:type="pct"/>
            <w:vAlign w:val="center"/>
            <w:hideMark/>
          </w:tcPr>
          <w:p w14:paraId="5044F299" w14:textId="77777777" w:rsidR="00000000" w:rsidRDefault="00E614A4">
            <w:pPr>
              <w:rPr>
                <w:rFonts w:eastAsia="Times New Roman"/>
                <w:sz w:val="20"/>
                <w:szCs w:val="20"/>
              </w:rPr>
            </w:pPr>
          </w:p>
        </w:tc>
        <w:tc>
          <w:tcPr>
            <w:tcW w:w="50" w:type="pct"/>
            <w:vAlign w:val="center"/>
            <w:hideMark/>
          </w:tcPr>
          <w:p w14:paraId="001BB8B1" w14:textId="77777777" w:rsidR="00000000" w:rsidRDefault="00E614A4">
            <w:pPr>
              <w:rPr>
                <w:rFonts w:eastAsia="Times New Roman"/>
                <w:sz w:val="20"/>
                <w:szCs w:val="20"/>
              </w:rPr>
            </w:pPr>
          </w:p>
        </w:tc>
        <w:tc>
          <w:tcPr>
            <w:tcW w:w="465" w:type="pct"/>
            <w:vAlign w:val="center"/>
            <w:hideMark/>
          </w:tcPr>
          <w:p w14:paraId="4289215D" w14:textId="77777777" w:rsidR="00000000" w:rsidRDefault="00E614A4">
            <w:pPr>
              <w:rPr>
                <w:rFonts w:eastAsia="Times New Roman"/>
                <w:sz w:val="20"/>
                <w:szCs w:val="20"/>
              </w:rPr>
            </w:pPr>
          </w:p>
        </w:tc>
        <w:tc>
          <w:tcPr>
            <w:tcW w:w="5" w:type="pct"/>
            <w:vAlign w:val="center"/>
            <w:hideMark/>
          </w:tcPr>
          <w:p w14:paraId="21D1B612" w14:textId="77777777" w:rsidR="00000000" w:rsidRDefault="00E614A4">
            <w:pPr>
              <w:rPr>
                <w:rFonts w:eastAsia="Times New Roman"/>
                <w:sz w:val="20"/>
                <w:szCs w:val="20"/>
              </w:rPr>
            </w:pPr>
          </w:p>
        </w:tc>
        <w:tc>
          <w:tcPr>
            <w:tcW w:w="5" w:type="pct"/>
            <w:vAlign w:val="center"/>
            <w:hideMark/>
          </w:tcPr>
          <w:p w14:paraId="054284C5" w14:textId="77777777" w:rsidR="00000000" w:rsidRDefault="00E614A4">
            <w:pPr>
              <w:rPr>
                <w:rFonts w:eastAsia="Times New Roman"/>
                <w:sz w:val="20"/>
                <w:szCs w:val="20"/>
              </w:rPr>
            </w:pPr>
          </w:p>
        </w:tc>
        <w:tc>
          <w:tcPr>
            <w:tcW w:w="17" w:type="pct"/>
            <w:vAlign w:val="center"/>
            <w:hideMark/>
          </w:tcPr>
          <w:p w14:paraId="63EC1DD4" w14:textId="77777777" w:rsidR="00000000" w:rsidRDefault="00E614A4">
            <w:pPr>
              <w:rPr>
                <w:rFonts w:eastAsia="Times New Roman"/>
                <w:sz w:val="20"/>
                <w:szCs w:val="20"/>
              </w:rPr>
            </w:pPr>
          </w:p>
        </w:tc>
        <w:tc>
          <w:tcPr>
            <w:tcW w:w="5" w:type="pct"/>
            <w:vAlign w:val="center"/>
            <w:hideMark/>
          </w:tcPr>
          <w:p w14:paraId="74414AEB" w14:textId="77777777" w:rsidR="00000000" w:rsidRDefault="00E614A4">
            <w:pPr>
              <w:rPr>
                <w:rFonts w:eastAsia="Times New Roman"/>
                <w:sz w:val="20"/>
                <w:szCs w:val="20"/>
              </w:rPr>
            </w:pPr>
          </w:p>
        </w:tc>
        <w:tc>
          <w:tcPr>
            <w:tcW w:w="50" w:type="pct"/>
            <w:vAlign w:val="center"/>
            <w:hideMark/>
          </w:tcPr>
          <w:p w14:paraId="07E411B6" w14:textId="77777777" w:rsidR="00000000" w:rsidRDefault="00E614A4">
            <w:pPr>
              <w:rPr>
                <w:rFonts w:eastAsia="Times New Roman"/>
                <w:sz w:val="20"/>
                <w:szCs w:val="20"/>
              </w:rPr>
            </w:pPr>
          </w:p>
        </w:tc>
        <w:tc>
          <w:tcPr>
            <w:tcW w:w="466" w:type="pct"/>
            <w:vAlign w:val="center"/>
            <w:hideMark/>
          </w:tcPr>
          <w:p w14:paraId="53881BCD" w14:textId="77777777" w:rsidR="00000000" w:rsidRDefault="00E614A4">
            <w:pPr>
              <w:rPr>
                <w:rFonts w:eastAsia="Times New Roman"/>
                <w:sz w:val="20"/>
                <w:szCs w:val="20"/>
              </w:rPr>
            </w:pPr>
          </w:p>
        </w:tc>
        <w:tc>
          <w:tcPr>
            <w:tcW w:w="5" w:type="pct"/>
            <w:vAlign w:val="center"/>
            <w:hideMark/>
          </w:tcPr>
          <w:p w14:paraId="279F7984" w14:textId="77777777" w:rsidR="00000000" w:rsidRDefault="00E614A4">
            <w:pPr>
              <w:rPr>
                <w:rFonts w:eastAsia="Times New Roman"/>
                <w:sz w:val="20"/>
                <w:szCs w:val="20"/>
              </w:rPr>
            </w:pPr>
          </w:p>
        </w:tc>
      </w:tr>
      <w:tr w:rsidR="00000000" w14:paraId="64C636D8" w14:textId="77777777">
        <w:trPr>
          <w:divId w:val="1631276246"/>
          <w:jc w:val="center"/>
        </w:trPr>
        <w:tc>
          <w:tcPr>
            <w:tcW w:w="0" w:type="auto"/>
            <w:gridSpan w:val="3"/>
            <w:tcMar>
              <w:top w:w="30" w:type="dxa"/>
              <w:left w:w="20" w:type="dxa"/>
              <w:bottom w:w="30" w:type="dxa"/>
              <w:right w:w="20" w:type="dxa"/>
            </w:tcMar>
            <w:vAlign w:val="bottom"/>
            <w:hideMark/>
          </w:tcPr>
          <w:p w14:paraId="6A579F5E"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E89D3A8" w14:textId="77777777" w:rsidR="00000000" w:rsidRDefault="00E614A4">
            <w:pP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4889AD32"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29F12106" w14:textId="77777777">
        <w:trPr>
          <w:divId w:val="1631276246"/>
          <w:jc w:val="center"/>
        </w:trPr>
        <w:tc>
          <w:tcPr>
            <w:tcW w:w="0" w:type="auto"/>
            <w:gridSpan w:val="3"/>
            <w:tcMar>
              <w:top w:w="30" w:type="dxa"/>
              <w:left w:w="20" w:type="dxa"/>
              <w:bottom w:w="30" w:type="dxa"/>
              <w:right w:w="20" w:type="dxa"/>
            </w:tcMar>
            <w:vAlign w:val="bottom"/>
            <w:hideMark/>
          </w:tcPr>
          <w:p w14:paraId="2332FAF3"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5D20721" w14:textId="77777777" w:rsidR="00000000" w:rsidRDefault="00E614A4">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5686870"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17B5672" w14:textId="77777777" w:rsidR="00000000" w:rsidRDefault="00E614A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3B03160"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2963012D" w14:textId="77777777" w:rsidR="00000000" w:rsidRDefault="00E614A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630D1E5" w14:textId="77777777" w:rsidR="00000000" w:rsidRDefault="00E614A4">
            <w:pPr>
              <w:jc w:val="center"/>
              <w:rPr>
                <w:rFonts w:eastAsia="Times New Roman"/>
              </w:rPr>
            </w:pPr>
            <w:r>
              <w:rPr>
                <w:rFonts w:eastAsia="Times New Roman"/>
                <w:b/>
                <w:bCs/>
                <w:color w:val="000000"/>
                <w:sz w:val="16"/>
                <w:szCs w:val="16"/>
              </w:rPr>
              <w:t>2018</w:t>
            </w:r>
          </w:p>
        </w:tc>
      </w:tr>
      <w:tr w:rsidR="00000000" w14:paraId="352A1715" w14:textId="77777777">
        <w:trPr>
          <w:divId w:val="1631276246"/>
          <w:jc w:val="center"/>
        </w:trPr>
        <w:tc>
          <w:tcPr>
            <w:tcW w:w="0" w:type="auto"/>
            <w:gridSpan w:val="3"/>
            <w:tcMar>
              <w:top w:w="30" w:type="dxa"/>
              <w:left w:w="20" w:type="dxa"/>
              <w:bottom w:w="30" w:type="dxa"/>
              <w:right w:w="20" w:type="dxa"/>
            </w:tcMar>
            <w:vAlign w:val="bottom"/>
            <w:hideMark/>
          </w:tcPr>
          <w:p w14:paraId="228CAD10"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09D7F60A"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068C17" w14:textId="77777777" w:rsidR="00000000" w:rsidRDefault="00E614A4">
            <w:pPr>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3F391982"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947130"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35C6F39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7AACD6" w14:textId="77777777" w:rsidR="00000000" w:rsidRDefault="00E614A4">
            <w:pPr>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79455931"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7BA9A1"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47277701"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0D4265" w14:textId="77777777" w:rsidR="00000000" w:rsidRDefault="00E614A4">
            <w:pPr>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27B8FF2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212234" w14:textId="77777777" w:rsidR="00000000" w:rsidRDefault="00E614A4">
            <w:pPr>
              <w:jc w:val="center"/>
              <w:rPr>
                <w:rFonts w:eastAsia="Times New Roman"/>
              </w:rPr>
            </w:pPr>
            <w:r>
              <w:rPr>
                <w:rFonts w:eastAsia="Times New Roman"/>
                <w:b/>
                <w:bCs/>
                <w:color w:val="000000"/>
                <w:sz w:val="16"/>
                <w:szCs w:val="16"/>
              </w:rPr>
              <w:t>% of Revenue</w:t>
            </w:r>
          </w:p>
        </w:tc>
      </w:tr>
      <w:tr w:rsidR="00000000" w14:paraId="447A1362" w14:textId="77777777">
        <w:trPr>
          <w:divId w:val="1631276246"/>
          <w:jc w:val="center"/>
        </w:trPr>
        <w:tc>
          <w:tcPr>
            <w:tcW w:w="0" w:type="auto"/>
            <w:gridSpan w:val="3"/>
            <w:shd w:val="clear" w:color="auto" w:fill="CCEEFF"/>
            <w:tcMar>
              <w:top w:w="30" w:type="dxa"/>
              <w:left w:w="20" w:type="dxa"/>
              <w:bottom w:w="30" w:type="dxa"/>
              <w:right w:w="20" w:type="dxa"/>
            </w:tcMar>
            <w:hideMark/>
          </w:tcPr>
          <w:p w14:paraId="2AC45393" w14:textId="77777777" w:rsidR="00000000" w:rsidRDefault="00E614A4">
            <w:pPr>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14:paraId="48C70B2A"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041F2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2BED4B" w14:textId="77777777" w:rsidR="00000000" w:rsidRDefault="00E614A4">
            <w:pPr>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3B0CB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3CAB5"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644FE7" w14:textId="77777777" w:rsidR="00000000" w:rsidRDefault="00E614A4">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5A3C1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6BF2847"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78E60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1CE019" w14:textId="77777777" w:rsidR="00000000" w:rsidRDefault="00E614A4">
            <w:pPr>
              <w:jc w:val="right"/>
              <w:rPr>
                <w:rFonts w:eastAsia="Times New Roman"/>
              </w:rPr>
            </w:pPr>
            <w:r>
              <w:rPr>
                <w:rFonts w:eastAsia="Times New Roman"/>
                <w:color w:val="000000"/>
                <w:sz w:val="18"/>
                <w:szCs w:val="18"/>
              </w:rPr>
              <w:t>388,645 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CE053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AB232"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83103E" w14:textId="77777777" w:rsidR="00000000" w:rsidRDefault="00E614A4">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12D97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B2D73E3"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C3942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1730A0" w14:textId="77777777" w:rsidR="00000000" w:rsidRDefault="00E614A4">
            <w:pPr>
              <w:jc w:val="right"/>
              <w:rPr>
                <w:rFonts w:eastAsia="Times New Roman"/>
              </w:rPr>
            </w:pPr>
            <w:r>
              <w:rPr>
                <w:rFonts w:eastAsia="Times New Roman"/>
                <w:color w:val="000000"/>
                <w:sz w:val="18"/>
                <w:szCs w:val="18"/>
              </w:rPr>
              <w:t>419,482 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B1342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AA7B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6FFDF4" w14:textId="77777777" w:rsidR="00000000" w:rsidRDefault="00E614A4">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6E4C84" w14:textId="77777777" w:rsidR="00000000" w:rsidRDefault="00E614A4">
            <w:pPr>
              <w:jc w:val="right"/>
              <w:rPr>
                <w:rFonts w:eastAsia="Times New Roman"/>
              </w:rPr>
            </w:pPr>
            <w:r>
              <w:rPr>
                <w:rFonts w:eastAsia="Times New Roman"/>
                <w:color w:val="000000"/>
                <w:sz w:val="18"/>
                <w:szCs w:val="18"/>
              </w:rPr>
              <w:t>%</w:t>
            </w:r>
          </w:p>
        </w:tc>
      </w:tr>
      <w:tr w:rsidR="00000000" w14:paraId="67F50F5E" w14:textId="77777777">
        <w:trPr>
          <w:divId w:val="1631276246"/>
          <w:jc w:val="center"/>
        </w:trPr>
        <w:tc>
          <w:tcPr>
            <w:tcW w:w="0" w:type="auto"/>
            <w:gridSpan w:val="3"/>
            <w:shd w:val="clear" w:color="auto" w:fill="FFFFFF"/>
            <w:tcMar>
              <w:top w:w="30" w:type="dxa"/>
              <w:left w:w="20" w:type="dxa"/>
              <w:bottom w:w="30" w:type="dxa"/>
              <w:right w:w="20" w:type="dxa"/>
            </w:tcMar>
            <w:hideMark/>
          </w:tcPr>
          <w:p w14:paraId="1A466F9E" w14:textId="77777777" w:rsidR="00000000" w:rsidRDefault="00E614A4">
            <w:pPr>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14:paraId="1B34D226"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6EB5CC" w14:textId="77777777" w:rsidR="00000000" w:rsidRDefault="00E614A4">
            <w:pPr>
              <w:jc w:val="right"/>
              <w:rPr>
                <w:rFonts w:eastAsia="Times New Roman"/>
              </w:rPr>
            </w:pPr>
            <w:r>
              <w:rPr>
                <w:rFonts w:eastAsia="Times New Roman"/>
                <w:color w:val="000000"/>
                <w:sz w:val="18"/>
                <w:szCs w:val="18"/>
              </w:rPr>
              <w:t>180,712 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41439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A50E6"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8E29A5" w14:textId="77777777" w:rsidR="00000000" w:rsidRDefault="00E614A4">
            <w:pPr>
              <w:jc w:val="right"/>
              <w:rPr>
                <w:rFonts w:eastAsia="Times New Roman"/>
              </w:rPr>
            </w:pPr>
            <w:r>
              <w:rPr>
                <w:rFonts w:eastAsia="Times New Roman"/>
                <w:color w:val="000000"/>
                <w:sz w:val="18"/>
                <w:szCs w:val="18"/>
              </w:rPr>
              <w:t>50.8 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E0919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63DE30F" w14:textId="77777777" w:rsidR="00000000" w:rsidRDefault="00E614A4">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3C9FCD" w14:textId="77777777" w:rsidR="00000000" w:rsidRDefault="00E614A4">
            <w:pPr>
              <w:jc w:val="right"/>
              <w:rPr>
                <w:rFonts w:eastAsia="Times New Roman"/>
              </w:rPr>
            </w:pPr>
            <w:r>
              <w:rPr>
                <w:rFonts w:eastAsia="Times New Roman"/>
                <w:color w:val="000000"/>
                <w:sz w:val="18"/>
                <w:szCs w:val="18"/>
              </w:rPr>
              <w:t>199,622 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CB3DC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E1857"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C8B704" w14:textId="77777777" w:rsidR="00000000" w:rsidRDefault="00E614A4">
            <w:pPr>
              <w:jc w:val="right"/>
              <w:rPr>
                <w:rFonts w:eastAsia="Times New Roman"/>
              </w:rPr>
            </w:pPr>
            <w:r>
              <w:rPr>
                <w:rFonts w:eastAsia="Times New Roman"/>
                <w:color w:val="000000"/>
                <w:sz w:val="18"/>
                <w:szCs w:val="18"/>
              </w:rPr>
              <w:t>51.4 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22067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95FFB26" w14:textId="77777777" w:rsidR="00000000" w:rsidRDefault="00E614A4">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329F85" w14:textId="77777777" w:rsidR="00000000" w:rsidRDefault="00E614A4">
            <w:pPr>
              <w:jc w:val="right"/>
              <w:rPr>
                <w:rFonts w:eastAsia="Times New Roman"/>
              </w:rPr>
            </w:pPr>
            <w:r>
              <w:rPr>
                <w:rFonts w:eastAsia="Times New Roman"/>
                <w:color w:val="000000"/>
                <w:sz w:val="18"/>
                <w:szCs w:val="18"/>
              </w:rPr>
              <w:t>200,220 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1E8C6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E2D01"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115F6C" w14:textId="77777777" w:rsidR="00000000" w:rsidRDefault="00E614A4">
            <w:pPr>
              <w:jc w:val="right"/>
              <w:rPr>
                <w:rFonts w:eastAsia="Times New Roman"/>
              </w:rPr>
            </w:pPr>
            <w:r>
              <w:rPr>
                <w:rFonts w:eastAsia="Times New Roman"/>
                <w:color w:val="000000"/>
                <w:sz w:val="18"/>
                <w:szCs w:val="18"/>
              </w:rPr>
              <w:t>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8686FA" w14:textId="77777777" w:rsidR="00000000" w:rsidRDefault="00E614A4">
            <w:pPr>
              <w:jc w:val="right"/>
              <w:rPr>
                <w:rFonts w:eastAsia="Times New Roman"/>
              </w:rPr>
            </w:pPr>
            <w:r>
              <w:rPr>
                <w:rFonts w:eastAsia="Times New Roman"/>
                <w:color w:val="000000"/>
                <w:sz w:val="18"/>
                <w:szCs w:val="18"/>
              </w:rPr>
              <w:t>%</w:t>
            </w:r>
          </w:p>
        </w:tc>
      </w:tr>
      <w:tr w:rsidR="00000000" w14:paraId="6FBD45AA" w14:textId="77777777">
        <w:trPr>
          <w:divId w:val="1631276246"/>
          <w:jc w:val="center"/>
        </w:trPr>
        <w:tc>
          <w:tcPr>
            <w:tcW w:w="0" w:type="auto"/>
            <w:gridSpan w:val="3"/>
            <w:shd w:val="clear" w:color="auto" w:fill="CCEEFF"/>
            <w:tcMar>
              <w:top w:w="30" w:type="dxa"/>
              <w:left w:w="20" w:type="dxa"/>
              <w:bottom w:w="30" w:type="dxa"/>
              <w:right w:w="20" w:type="dxa"/>
            </w:tcMar>
            <w:hideMark/>
          </w:tcPr>
          <w:p w14:paraId="3F5B6E60" w14:textId="77777777" w:rsidR="00000000" w:rsidRDefault="00E614A4">
            <w:pPr>
              <w:rPr>
                <w:rFonts w:eastAsia="Times New Roman"/>
              </w:rPr>
            </w:pPr>
            <w:r>
              <w:rPr>
                <w:rFonts w:eastAsia="Times New Roman"/>
                <w:color w:val="000000"/>
                <w:sz w:val="18"/>
                <w:szCs w:val="18"/>
              </w:rPr>
              <w:t>Selling and marketing</w:t>
            </w:r>
          </w:p>
        </w:tc>
        <w:tc>
          <w:tcPr>
            <w:tcW w:w="0" w:type="auto"/>
            <w:gridSpan w:val="3"/>
            <w:shd w:val="clear" w:color="auto" w:fill="CCEEFF"/>
            <w:tcMar>
              <w:top w:w="0" w:type="dxa"/>
              <w:left w:w="20" w:type="dxa"/>
              <w:bottom w:w="0" w:type="dxa"/>
              <w:right w:w="20" w:type="dxa"/>
            </w:tcMar>
            <w:vAlign w:val="center"/>
            <w:hideMark/>
          </w:tcPr>
          <w:p w14:paraId="31A641ED"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3BEDE6" w14:textId="77777777" w:rsidR="00000000" w:rsidRDefault="00E614A4">
            <w:pPr>
              <w:jc w:val="right"/>
              <w:rPr>
                <w:rFonts w:eastAsia="Times New Roman"/>
              </w:rPr>
            </w:pPr>
            <w:r>
              <w:rPr>
                <w:rFonts w:eastAsia="Times New Roman"/>
                <w:color w:val="000000"/>
                <w:sz w:val="18"/>
                <w:szCs w:val="18"/>
              </w:rPr>
              <w:t>70,220 </w:t>
            </w:r>
          </w:p>
        </w:tc>
        <w:tc>
          <w:tcPr>
            <w:tcW w:w="0" w:type="auto"/>
            <w:shd w:val="clear" w:color="auto" w:fill="CCEEFF"/>
            <w:tcMar>
              <w:top w:w="30" w:type="dxa"/>
              <w:left w:w="0" w:type="dxa"/>
              <w:bottom w:w="30" w:type="dxa"/>
              <w:right w:w="20" w:type="dxa"/>
            </w:tcMar>
            <w:vAlign w:val="bottom"/>
            <w:hideMark/>
          </w:tcPr>
          <w:p w14:paraId="6022715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63CA5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561F02" w14:textId="77777777" w:rsidR="00000000" w:rsidRDefault="00E614A4">
            <w:pPr>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14:paraId="39F05A6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4CA0B78"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26EECE" w14:textId="77777777" w:rsidR="00000000" w:rsidRDefault="00E614A4">
            <w:pPr>
              <w:jc w:val="right"/>
              <w:rPr>
                <w:rFonts w:eastAsia="Times New Roman"/>
              </w:rPr>
            </w:pPr>
            <w:r>
              <w:rPr>
                <w:rFonts w:eastAsia="Times New Roman"/>
                <w:color w:val="000000"/>
                <w:sz w:val="18"/>
                <w:szCs w:val="18"/>
              </w:rPr>
              <w:t>89,145 </w:t>
            </w:r>
          </w:p>
        </w:tc>
        <w:tc>
          <w:tcPr>
            <w:tcW w:w="0" w:type="auto"/>
            <w:shd w:val="clear" w:color="auto" w:fill="CCEEFF"/>
            <w:tcMar>
              <w:top w:w="30" w:type="dxa"/>
              <w:left w:w="0" w:type="dxa"/>
              <w:bottom w:w="30" w:type="dxa"/>
              <w:right w:w="20" w:type="dxa"/>
            </w:tcMar>
            <w:vAlign w:val="bottom"/>
            <w:hideMark/>
          </w:tcPr>
          <w:p w14:paraId="7EA44A7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9E48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516137" w14:textId="77777777" w:rsidR="00000000" w:rsidRDefault="00E614A4">
            <w:pPr>
              <w:jc w:val="right"/>
              <w:rPr>
                <w:rFonts w:eastAsia="Times New Roman"/>
              </w:rPr>
            </w:pPr>
            <w:r>
              <w:rPr>
                <w:rFonts w:eastAsia="Times New Roman"/>
                <w:color w:val="000000"/>
                <w:sz w:val="18"/>
                <w:szCs w:val="18"/>
              </w:rPr>
              <w:t>22.9 </w:t>
            </w:r>
          </w:p>
        </w:tc>
        <w:tc>
          <w:tcPr>
            <w:tcW w:w="0" w:type="auto"/>
            <w:shd w:val="clear" w:color="auto" w:fill="CCEEFF"/>
            <w:tcMar>
              <w:top w:w="30" w:type="dxa"/>
              <w:left w:w="0" w:type="dxa"/>
              <w:bottom w:w="30" w:type="dxa"/>
              <w:right w:w="20" w:type="dxa"/>
            </w:tcMar>
            <w:vAlign w:val="bottom"/>
            <w:hideMark/>
          </w:tcPr>
          <w:p w14:paraId="700B682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0A76CAD"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00C77F" w14:textId="77777777" w:rsidR="00000000" w:rsidRDefault="00E614A4">
            <w:pPr>
              <w:jc w:val="right"/>
              <w:rPr>
                <w:rFonts w:eastAsia="Times New Roman"/>
              </w:rPr>
            </w:pPr>
            <w:r>
              <w:rPr>
                <w:rFonts w:eastAsia="Times New Roman"/>
                <w:color w:val="000000"/>
                <w:sz w:val="18"/>
                <w:szCs w:val="18"/>
              </w:rPr>
              <w:t>108,395 </w:t>
            </w:r>
          </w:p>
        </w:tc>
        <w:tc>
          <w:tcPr>
            <w:tcW w:w="0" w:type="auto"/>
            <w:shd w:val="clear" w:color="auto" w:fill="CCEEFF"/>
            <w:tcMar>
              <w:top w:w="30" w:type="dxa"/>
              <w:left w:w="0" w:type="dxa"/>
              <w:bottom w:w="30" w:type="dxa"/>
              <w:right w:w="20" w:type="dxa"/>
            </w:tcMar>
            <w:vAlign w:val="bottom"/>
            <w:hideMark/>
          </w:tcPr>
          <w:p w14:paraId="62F211C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0DEF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58509" w14:textId="77777777" w:rsidR="00000000" w:rsidRDefault="00E614A4">
            <w:pPr>
              <w:jc w:val="right"/>
              <w:rPr>
                <w:rFonts w:eastAsia="Times New Roman"/>
              </w:rPr>
            </w:pPr>
            <w:r>
              <w:rPr>
                <w:rFonts w:eastAsia="Times New Roman"/>
                <w:color w:val="000000"/>
                <w:sz w:val="18"/>
                <w:szCs w:val="18"/>
              </w:rPr>
              <w:t>25.8 </w:t>
            </w:r>
          </w:p>
        </w:tc>
        <w:tc>
          <w:tcPr>
            <w:tcW w:w="0" w:type="auto"/>
            <w:shd w:val="clear" w:color="auto" w:fill="CCEEFF"/>
            <w:tcMar>
              <w:top w:w="30" w:type="dxa"/>
              <w:left w:w="0" w:type="dxa"/>
              <w:bottom w:w="30" w:type="dxa"/>
              <w:right w:w="20" w:type="dxa"/>
            </w:tcMar>
            <w:vAlign w:val="bottom"/>
            <w:hideMark/>
          </w:tcPr>
          <w:p w14:paraId="341DA12F" w14:textId="77777777" w:rsidR="00000000" w:rsidRDefault="00E614A4">
            <w:pPr>
              <w:jc w:val="right"/>
              <w:rPr>
                <w:rFonts w:eastAsia="Times New Roman"/>
              </w:rPr>
            </w:pPr>
            <w:r>
              <w:rPr>
                <w:rFonts w:eastAsia="Times New Roman"/>
                <w:color w:val="000000"/>
                <w:sz w:val="18"/>
                <w:szCs w:val="18"/>
              </w:rPr>
              <w:t>%</w:t>
            </w:r>
          </w:p>
        </w:tc>
      </w:tr>
      <w:tr w:rsidR="00000000" w14:paraId="02DD5ABF" w14:textId="77777777">
        <w:trPr>
          <w:divId w:val="1631276246"/>
          <w:jc w:val="center"/>
        </w:trPr>
        <w:tc>
          <w:tcPr>
            <w:tcW w:w="0" w:type="auto"/>
            <w:gridSpan w:val="3"/>
            <w:shd w:val="clear" w:color="auto" w:fill="FFFFFF"/>
            <w:tcMar>
              <w:top w:w="30" w:type="dxa"/>
              <w:left w:w="20" w:type="dxa"/>
              <w:bottom w:w="30" w:type="dxa"/>
              <w:right w:w="20" w:type="dxa"/>
            </w:tcMar>
            <w:hideMark/>
          </w:tcPr>
          <w:p w14:paraId="4B26706F" w14:textId="77777777" w:rsidR="00000000" w:rsidRDefault="00E614A4">
            <w:pPr>
              <w:rPr>
                <w:rFonts w:eastAsia="Times New Roman"/>
              </w:rPr>
            </w:pPr>
            <w:r>
              <w:rPr>
                <w:rFonts w:eastAsia="Times New Roman"/>
                <w:color w:val="000000"/>
                <w:sz w:val="18"/>
                <w:szCs w:val="18"/>
              </w:rPr>
              <w:t>Research and development</w:t>
            </w:r>
          </w:p>
        </w:tc>
        <w:tc>
          <w:tcPr>
            <w:tcW w:w="0" w:type="auto"/>
            <w:gridSpan w:val="3"/>
            <w:shd w:val="clear" w:color="auto" w:fill="FFFFFF"/>
            <w:tcMar>
              <w:top w:w="0" w:type="dxa"/>
              <w:left w:w="20" w:type="dxa"/>
              <w:bottom w:w="0" w:type="dxa"/>
              <w:right w:w="20" w:type="dxa"/>
            </w:tcMar>
            <w:vAlign w:val="center"/>
            <w:hideMark/>
          </w:tcPr>
          <w:p w14:paraId="1CB43EE6"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DDB899" w14:textId="77777777" w:rsidR="00000000" w:rsidRDefault="00E614A4">
            <w:pPr>
              <w:jc w:val="right"/>
              <w:rPr>
                <w:rFonts w:eastAsia="Times New Roman"/>
              </w:rPr>
            </w:pPr>
            <w:r>
              <w:rPr>
                <w:rFonts w:eastAsia="Times New Roman"/>
                <w:color w:val="000000"/>
                <w:sz w:val="18"/>
                <w:szCs w:val="18"/>
              </w:rPr>
              <w:t>38,706 </w:t>
            </w:r>
          </w:p>
        </w:tc>
        <w:tc>
          <w:tcPr>
            <w:tcW w:w="0" w:type="auto"/>
            <w:shd w:val="clear" w:color="auto" w:fill="FFFFFF"/>
            <w:tcMar>
              <w:top w:w="30" w:type="dxa"/>
              <w:left w:w="0" w:type="dxa"/>
              <w:bottom w:w="30" w:type="dxa"/>
              <w:right w:w="20" w:type="dxa"/>
            </w:tcMar>
            <w:vAlign w:val="bottom"/>
            <w:hideMark/>
          </w:tcPr>
          <w:p w14:paraId="59FFA48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73B1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83953D" w14:textId="77777777" w:rsidR="00000000" w:rsidRDefault="00E614A4">
            <w:pPr>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14:paraId="2301068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9631EF5"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A7A1A0" w14:textId="77777777" w:rsidR="00000000" w:rsidRDefault="00E614A4">
            <w:pPr>
              <w:jc w:val="right"/>
              <w:rPr>
                <w:rFonts w:eastAsia="Times New Roman"/>
              </w:rPr>
            </w:pPr>
            <w:r>
              <w:rPr>
                <w:rFonts w:eastAsia="Times New Roman"/>
                <w:color w:val="000000"/>
                <w:sz w:val="18"/>
                <w:szCs w:val="18"/>
              </w:rPr>
              <w:t>61,802 </w:t>
            </w:r>
          </w:p>
        </w:tc>
        <w:tc>
          <w:tcPr>
            <w:tcW w:w="0" w:type="auto"/>
            <w:shd w:val="clear" w:color="auto" w:fill="FFFFFF"/>
            <w:tcMar>
              <w:top w:w="30" w:type="dxa"/>
              <w:left w:w="0" w:type="dxa"/>
              <w:bottom w:w="30" w:type="dxa"/>
              <w:right w:w="20" w:type="dxa"/>
            </w:tcMar>
            <w:vAlign w:val="bottom"/>
            <w:hideMark/>
          </w:tcPr>
          <w:p w14:paraId="3BF0647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A43C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170562" w14:textId="77777777" w:rsidR="00000000" w:rsidRDefault="00E614A4">
            <w:pPr>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bottom"/>
            <w:hideMark/>
          </w:tcPr>
          <w:p w14:paraId="6A363D2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DD4854A"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0A415A" w14:textId="77777777" w:rsidR="00000000" w:rsidRDefault="00E614A4">
            <w:pPr>
              <w:jc w:val="right"/>
              <w:rPr>
                <w:rFonts w:eastAsia="Times New Roman"/>
              </w:rPr>
            </w:pPr>
            <w:r>
              <w:rPr>
                <w:rFonts w:eastAsia="Times New Roman"/>
                <w:color w:val="000000"/>
                <w:sz w:val="18"/>
                <w:szCs w:val="18"/>
              </w:rPr>
              <w:t>76,979 </w:t>
            </w:r>
          </w:p>
        </w:tc>
        <w:tc>
          <w:tcPr>
            <w:tcW w:w="0" w:type="auto"/>
            <w:shd w:val="clear" w:color="auto" w:fill="FFFFFF"/>
            <w:tcMar>
              <w:top w:w="30" w:type="dxa"/>
              <w:left w:w="0" w:type="dxa"/>
              <w:bottom w:w="30" w:type="dxa"/>
              <w:right w:w="20" w:type="dxa"/>
            </w:tcMar>
            <w:vAlign w:val="bottom"/>
            <w:hideMark/>
          </w:tcPr>
          <w:p w14:paraId="2D79C88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EAAA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B67B33" w14:textId="77777777" w:rsidR="00000000" w:rsidRDefault="00E614A4">
            <w:pPr>
              <w:jc w:val="right"/>
              <w:rPr>
                <w:rFonts w:eastAsia="Times New Roman"/>
              </w:rPr>
            </w:pPr>
            <w:r>
              <w:rPr>
                <w:rFonts w:eastAsia="Times New Roman"/>
                <w:color w:val="000000"/>
                <w:sz w:val="18"/>
                <w:szCs w:val="18"/>
              </w:rPr>
              <w:t>18.4 </w:t>
            </w:r>
          </w:p>
        </w:tc>
        <w:tc>
          <w:tcPr>
            <w:tcW w:w="0" w:type="auto"/>
            <w:shd w:val="clear" w:color="auto" w:fill="FFFFFF"/>
            <w:tcMar>
              <w:top w:w="30" w:type="dxa"/>
              <w:left w:w="0" w:type="dxa"/>
              <w:bottom w:w="30" w:type="dxa"/>
              <w:right w:w="20" w:type="dxa"/>
            </w:tcMar>
            <w:vAlign w:val="bottom"/>
            <w:hideMark/>
          </w:tcPr>
          <w:p w14:paraId="40A130E3" w14:textId="77777777" w:rsidR="00000000" w:rsidRDefault="00E614A4">
            <w:pPr>
              <w:jc w:val="right"/>
              <w:rPr>
                <w:rFonts w:eastAsia="Times New Roman"/>
              </w:rPr>
            </w:pPr>
            <w:r>
              <w:rPr>
                <w:rFonts w:eastAsia="Times New Roman"/>
                <w:color w:val="000000"/>
                <w:sz w:val="18"/>
                <w:szCs w:val="18"/>
              </w:rPr>
              <w:t>%</w:t>
            </w:r>
          </w:p>
        </w:tc>
      </w:tr>
      <w:tr w:rsidR="00000000" w14:paraId="3986A68D" w14:textId="77777777">
        <w:trPr>
          <w:divId w:val="1631276246"/>
          <w:jc w:val="center"/>
        </w:trPr>
        <w:tc>
          <w:tcPr>
            <w:tcW w:w="0" w:type="auto"/>
            <w:gridSpan w:val="3"/>
            <w:shd w:val="clear" w:color="auto" w:fill="CCEEFF"/>
            <w:tcMar>
              <w:top w:w="30" w:type="dxa"/>
              <w:left w:w="20" w:type="dxa"/>
              <w:bottom w:w="30" w:type="dxa"/>
              <w:right w:w="20" w:type="dxa"/>
            </w:tcMar>
            <w:hideMark/>
          </w:tcPr>
          <w:p w14:paraId="00EF028B" w14:textId="77777777" w:rsidR="00000000" w:rsidRDefault="00E614A4">
            <w:pPr>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14:paraId="6C4147F7"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72CBC8" w14:textId="77777777" w:rsidR="00000000" w:rsidRDefault="00E614A4">
            <w:pPr>
              <w:jc w:val="right"/>
              <w:rPr>
                <w:rFonts w:eastAsia="Times New Roman"/>
              </w:rPr>
            </w:pPr>
            <w:r>
              <w:rPr>
                <w:rFonts w:eastAsia="Times New Roman"/>
                <w:color w:val="000000"/>
                <w:sz w:val="18"/>
                <w:szCs w:val="18"/>
              </w:rPr>
              <w:t>55,783 </w:t>
            </w:r>
          </w:p>
        </w:tc>
        <w:tc>
          <w:tcPr>
            <w:tcW w:w="0" w:type="auto"/>
            <w:shd w:val="clear" w:color="auto" w:fill="CCEEFF"/>
            <w:tcMar>
              <w:top w:w="30" w:type="dxa"/>
              <w:left w:w="0" w:type="dxa"/>
              <w:bottom w:w="30" w:type="dxa"/>
              <w:right w:w="20" w:type="dxa"/>
            </w:tcMar>
            <w:vAlign w:val="bottom"/>
            <w:hideMark/>
          </w:tcPr>
          <w:p w14:paraId="1200847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65D5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96939C" w14:textId="77777777" w:rsidR="00000000" w:rsidRDefault="00E614A4">
            <w:pPr>
              <w:jc w:val="right"/>
              <w:rPr>
                <w:rFonts w:eastAsia="Times New Roman"/>
              </w:rPr>
            </w:pPr>
            <w:r>
              <w:rPr>
                <w:rFonts w:eastAsia="Times New Roman"/>
                <w:color w:val="000000"/>
                <w:sz w:val="18"/>
                <w:szCs w:val="18"/>
              </w:rPr>
              <w:t>15.7 </w:t>
            </w:r>
          </w:p>
        </w:tc>
        <w:tc>
          <w:tcPr>
            <w:tcW w:w="0" w:type="auto"/>
            <w:shd w:val="clear" w:color="auto" w:fill="CCEEFF"/>
            <w:tcMar>
              <w:top w:w="30" w:type="dxa"/>
              <w:left w:w="0" w:type="dxa"/>
              <w:bottom w:w="30" w:type="dxa"/>
              <w:right w:w="20" w:type="dxa"/>
            </w:tcMar>
            <w:vAlign w:val="bottom"/>
            <w:hideMark/>
          </w:tcPr>
          <w:p w14:paraId="43A9C7C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362CE53"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923199" w14:textId="77777777" w:rsidR="00000000" w:rsidRDefault="00E614A4">
            <w:pPr>
              <w:jc w:val="right"/>
              <w:rPr>
                <w:rFonts w:eastAsia="Times New Roman"/>
              </w:rPr>
            </w:pPr>
            <w:r>
              <w:rPr>
                <w:rFonts w:eastAsia="Times New Roman"/>
                <w:color w:val="000000"/>
                <w:sz w:val="18"/>
                <w:szCs w:val="18"/>
              </w:rPr>
              <w:t>66,419 </w:t>
            </w:r>
          </w:p>
        </w:tc>
        <w:tc>
          <w:tcPr>
            <w:tcW w:w="0" w:type="auto"/>
            <w:shd w:val="clear" w:color="auto" w:fill="CCEEFF"/>
            <w:tcMar>
              <w:top w:w="30" w:type="dxa"/>
              <w:left w:w="0" w:type="dxa"/>
              <w:bottom w:w="30" w:type="dxa"/>
              <w:right w:w="20" w:type="dxa"/>
            </w:tcMar>
            <w:vAlign w:val="bottom"/>
            <w:hideMark/>
          </w:tcPr>
          <w:p w14:paraId="6385A68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3659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6DEB36" w14:textId="77777777" w:rsidR="00000000" w:rsidRDefault="00E614A4">
            <w:pPr>
              <w:jc w:val="right"/>
              <w:rPr>
                <w:rFonts w:eastAsia="Times New Roman"/>
              </w:rPr>
            </w:pPr>
            <w:r>
              <w:rPr>
                <w:rFonts w:eastAsia="Times New Roman"/>
                <w:color w:val="000000"/>
                <w:sz w:val="18"/>
                <w:szCs w:val="18"/>
              </w:rPr>
              <w:t>17.1 </w:t>
            </w:r>
          </w:p>
        </w:tc>
        <w:tc>
          <w:tcPr>
            <w:tcW w:w="0" w:type="auto"/>
            <w:shd w:val="clear" w:color="auto" w:fill="CCEEFF"/>
            <w:tcMar>
              <w:top w:w="30" w:type="dxa"/>
              <w:left w:w="0" w:type="dxa"/>
              <w:bottom w:w="30" w:type="dxa"/>
              <w:right w:w="20" w:type="dxa"/>
            </w:tcMar>
            <w:vAlign w:val="bottom"/>
            <w:hideMark/>
          </w:tcPr>
          <w:p w14:paraId="26E552C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6A5862B"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18EC59" w14:textId="77777777" w:rsidR="00000000" w:rsidRDefault="00E614A4">
            <w:pPr>
              <w:jc w:val="right"/>
              <w:rPr>
                <w:rFonts w:eastAsia="Times New Roman"/>
              </w:rPr>
            </w:pPr>
            <w:r>
              <w:rPr>
                <w:rFonts w:eastAsia="Times New Roman"/>
                <w:color w:val="000000"/>
                <w:sz w:val="18"/>
                <w:szCs w:val="18"/>
              </w:rPr>
              <w:t>84,535 </w:t>
            </w:r>
          </w:p>
        </w:tc>
        <w:tc>
          <w:tcPr>
            <w:tcW w:w="0" w:type="auto"/>
            <w:shd w:val="clear" w:color="auto" w:fill="CCEEFF"/>
            <w:tcMar>
              <w:top w:w="30" w:type="dxa"/>
              <w:left w:w="0" w:type="dxa"/>
              <w:bottom w:w="30" w:type="dxa"/>
              <w:right w:w="20" w:type="dxa"/>
            </w:tcMar>
            <w:vAlign w:val="bottom"/>
            <w:hideMark/>
          </w:tcPr>
          <w:p w14:paraId="722FEC2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425A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A57791" w14:textId="77777777" w:rsidR="00000000" w:rsidRDefault="00E614A4">
            <w:pPr>
              <w:jc w:val="right"/>
              <w:rPr>
                <w:rFonts w:eastAsia="Times New Roman"/>
              </w:rPr>
            </w:pPr>
            <w:r>
              <w:rPr>
                <w:rFonts w:eastAsia="Times New Roman"/>
                <w:color w:val="000000"/>
                <w:sz w:val="18"/>
                <w:szCs w:val="18"/>
              </w:rPr>
              <w:t>20.2 </w:t>
            </w:r>
          </w:p>
        </w:tc>
        <w:tc>
          <w:tcPr>
            <w:tcW w:w="0" w:type="auto"/>
            <w:shd w:val="clear" w:color="auto" w:fill="CCEEFF"/>
            <w:tcMar>
              <w:top w:w="30" w:type="dxa"/>
              <w:left w:w="0" w:type="dxa"/>
              <w:bottom w:w="30" w:type="dxa"/>
              <w:right w:w="20" w:type="dxa"/>
            </w:tcMar>
            <w:vAlign w:val="bottom"/>
            <w:hideMark/>
          </w:tcPr>
          <w:p w14:paraId="39E8F834" w14:textId="77777777" w:rsidR="00000000" w:rsidRDefault="00E614A4">
            <w:pPr>
              <w:jc w:val="right"/>
              <w:rPr>
                <w:rFonts w:eastAsia="Times New Roman"/>
              </w:rPr>
            </w:pPr>
            <w:r>
              <w:rPr>
                <w:rFonts w:eastAsia="Times New Roman"/>
                <w:color w:val="000000"/>
                <w:sz w:val="18"/>
                <w:szCs w:val="18"/>
              </w:rPr>
              <w:t>%</w:t>
            </w:r>
          </w:p>
        </w:tc>
      </w:tr>
      <w:tr w:rsidR="00000000" w14:paraId="0C6409AA" w14:textId="77777777">
        <w:trPr>
          <w:divId w:val="1631276246"/>
          <w:jc w:val="center"/>
        </w:trPr>
        <w:tc>
          <w:tcPr>
            <w:tcW w:w="0" w:type="auto"/>
            <w:gridSpan w:val="3"/>
            <w:shd w:val="clear" w:color="auto" w:fill="FFFFFF"/>
            <w:tcMar>
              <w:top w:w="30" w:type="dxa"/>
              <w:left w:w="20" w:type="dxa"/>
              <w:bottom w:w="30" w:type="dxa"/>
              <w:right w:w="20" w:type="dxa"/>
            </w:tcMar>
            <w:hideMark/>
          </w:tcPr>
          <w:p w14:paraId="7DB049E2" w14:textId="77777777" w:rsidR="00000000" w:rsidRDefault="00E614A4">
            <w:pPr>
              <w:rPr>
                <w:rFonts w:eastAsia="Times New Roman"/>
              </w:rPr>
            </w:pPr>
            <w:r>
              <w:rPr>
                <w:rFonts w:eastAsia="Times New Roman"/>
                <w:color w:val="000000"/>
                <w:sz w:val="18"/>
                <w:szCs w:val="18"/>
              </w:rPr>
              <w:t>Amortization of intangible assets</w:t>
            </w:r>
          </w:p>
        </w:tc>
        <w:tc>
          <w:tcPr>
            <w:tcW w:w="0" w:type="auto"/>
            <w:gridSpan w:val="3"/>
            <w:shd w:val="clear" w:color="auto" w:fill="FFFFFF"/>
            <w:tcMar>
              <w:top w:w="0" w:type="dxa"/>
              <w:left w:w="20" w:type="dxa"/>
              <w:bottom w:w="0" w:type="dxa"/>
              <w:right w:w="20" w:type="dxa"/>
            </w:tcMar>
            <w:vAlign w:val="center"/>
            <w:hideMark/>
          </w:tcPr>
          <w:p w14:paraId="6F0F5B0F"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25474F" w14:textId="77777777" w:rsidR="00000000" w:rsidRDefault="00E614A4">
            <w:pPr>
              <w:jc w:val="right"/>
              <w:rPr>
                <w:rFonts w:eastAsia="Times New Roman"/>
              </w:rPr>
            </w:pPr>
            <w:r>
              <w:rPr>
                <w:rFonts w:eastAsia="Times New Roman"/>
                <w:color w:val="000000"/>
                <w:sz w:val="18"/>
                <w:szCs w:val="18"/>
              </w:rPr>
              <w:t>27,219 </w:t>
            </w:r>
          </w:p>
        </w:tc>
        <w:tc>
          <w:tcPr>
            <w:tcW w:w="0" w:type="auto"/>
            <w:shd w:val="clear" w:color="auto" w:fill="FFFFFF"/>
            <w:tcMar>
              <w:top w:w="30" w:type="dxa"/>
              <w:left w:w="0" w:type="dxa"/>
              <w:bottom w:w="30" w:type="dxa"/>
              <w:right w:w="20" w:type="dxa"/>
            </w:tcMar>
            <w:vAlign w:val="bottom"/>
            <w:hideMark/>
          </w:tcPr>
          <w:p w14:paraId="202D7B1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7EF9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0EF2E1" w14:textId="77777777" w:rsidR="00000000" w:rsidRDefault="00E614A4">
            <w:pPr>
              <w:jc w:val="right"/>
              <w:rPr>
                <w:rFonts w:eastAsia="Times New Roman"/>
              </w:rPr>
            </w:pPr>
            <w:r>
              <w:rPr>
                <w:rFonts w:eastAsia="Times New Roman"/>
                <w:color w:val="000000"/>
                <w:sz w:val="18"/>
                <w:szCs w:val="18"/>
              </w:rPr>
              <w:t>7.6 </w:t>
            </w:r>
          </w:p>
        </w:tc>
        <w:tc>
          <w:tcPr>
            <w:tcW w:w="0" w:type="auto"/>
            <w:shd w:val="clear" w:color="auto" w:fill="FFFFFF"/>
            <w:tcMar>
              <w:top w:w="30" w:type="dxa"/>
              <w:left w:w="0" w:type="dxa"/>
              <w:bottom w:w="30" w:type="dxa"/>
              <w:right w:w="20" w:type="dxa"/>
            </w:tcMar>
            <w:vAlign w:val="bottom"/>
            <w:hideMark/>
          </w:tcPr>
          <w:p w14:paraId="3688941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0A5A44D"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9CDA10" w14:textId="77777777" w:rsidR="00000000" w:rsidRDefault="00E614A4">
            <w:pPr>
              <w:jc w:val="right"/>
              <w:rPr>
                <w:rFonts w:eastAsia="Times New Roman"/>
              </w:rPr>
            </w:pPr>
            <w:r>
              <w:rPr>
                <w:rFonts w:eastAsia="Times New Roman"/>
                <w:color w:val="000000"/>
                <w:sz w:val="18"/>
                <w:szCs w:val="18"/>
              </w:rPr>
              <w:t>30,076 </w:t>
            </w:r>
          </w:p>
        </w:tc>
        <w:tc>
          <w:tcPr>
            <w:tcW w:w="0" w:type="auto"/>
            <w:shd w:val="clear" w:color="auto" w:fill="FFFFFF"/>
            <w:tcMar>
              <w:top w:w="30" w:type="dxa"/>
              <w:left w:w="0" w:type="dxa"/>
              <w:bottom w:w="30" w:type="dxa"/>
              <w:right w:w="20" w:type="dxa"/>
            </w:tcMar>
            <w:vAlign w:val="bottom"/>
            <w:hideMark/>
          </w:tcPr>
          <w:p w14:paraId="65668B9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0578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0322A" w14:textId="77777777" w:rsidR="00000000" w:rsidRDefault="00E614A4">
            <w:pPr>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4FC1520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745EB6"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623E3C" w14:textId="77777777" w:rsidR="00000000" w:rsidRDefault="00E614A4">
            <w:pPr>
              <w:jc w:val="right"/>
              <w:rPr>
                <w:rFonts w:eastAsia="Times New Roman"/>
              </w:rPr>
            </w:pPr>
            <w:r>
              <w:rPr>
                <w:rFonts w:eastAsia="Times New Roman"/>
                <w:color w:val="000000"/>
                <w:sz w:val="18"/>
                <w:szCs w:val="18"/>
              </w:rPr>
              <w:t>32,864 </w:t>
            </w:r>
          </w:p>
        </w:tc>
        <w:tc>
          <w:tcPr>
            <w:tcW w:w="0" w:type="auto"/>
            <w:shd w:val="clear" w:color="auto" w:fill="FFFFFF"/>
            <w:tcMar>
              <w:top w:w="30" w:type="dxa"/>
              <w:left w:w="0" w:type="dxa"/>
              <w:bottom w:w="30" w:type="dxa"/>
              <w:right w:w="20" w:type="dxa"/>
            </w:tcMar>
            <w:vAlign w:val="bottom"/>
            <w:hideMark/>
          </w:tcPr>
          <w:p w14:paraId="48FA86F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9C09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D9C5F" w14:textId="77777777" w:rsidR="00000000" w:rsidRDefault="00E614A4">
            <w:pPr>
              <w:jc w:val="right"/>
              <w:rPr>
                <w:rFonts w:eastAsia="Times New Roman"/>
              </w:rPr>
            </w:pPr>
            <w:r>
              <w:rPr>
                <w:rFonts w:eastAsia="Times New Roman"/>
                <w:color w:val="000000"/>
                <w:sz w:val="18"/>
                <w:szCs w:val="18"/>
              </w:rPr>
              <w:t>7.8 </w:t>
            </w:r>
          </w:p>
        </w:tc>
        <w:tc>
          <w:tcPr>
            <w:tcW w:w="0" w:type="auto"/>
            <w:shd w:val="clear" w:color="auto" w:fill="FFFFFF"/>
            <w:tcMar>
              <w:top w:w="30" w:type="dxa"/>
              <w:left w:w="0" w:type="dxa"/>
              <w:bottom w:w="30" w:type="dxa"/>
              <w:right w:w="20" w:type="dxa"/>
            </w:tcMar>
            <w:vAlign w:val="bottom"/>
            <w:hideMark/>
          </w:tcPr>
          <w:p w14:paraId="3864C19A" w14:textId="77777777" w:rsidR="00000000" w:rsidRDefault="00E614A4">
            <w:pPr>
              <w:jc w:val="right"/>
              <w:rPr>
                <w:rFonts w:eastAsia="Times New Roman"/>
              </w:rPr>
            </w:pPr>
            <w:r>
              <w:rPr>
                <w:rFonts w:eastAsia="Times New Roman"/>
                <w:color w:val="000000"/>
                <w:sz w:val="18"/>
                <w:szCs w:val="18"/>
              </w:rPr>
              <w:t>%</w:t>
            </w:r>
          </w:p>
        </w:tc>
      </w:tr>
      <w:tr w:rsidR="00000000" w14:paraId="2FC6DFF0" w14:textId="77777777">
        <w:trPr>
          <w:divId w:val="1631276246"/>
          <w:jc w:val="center"/>
        </w:trPr>
        <w:tc>
          <w:tcPr>
            <w:tcW w:w="0" w:type="auto"/>
            <w:gridSpan w:val="3"/>
            <w:shd w:val="clear" w:color="auto" w:fill="CCEEFF"/>
            <w:tcMar>
              <w:top w:w="30" w:type="dxa"/>
              <w:left w:w="20" w:type="dxa"/>
              <w:bottom w:w="30" w:type="dxa"/>
              <w:right w:w="20" w:type="dxa"/>
            </w:tcMar>
            <w:hideMark/>
          </w:tcPr>
          <w:p w14:paraId="74D374A1" w14:textId="77777777" w:rsidR="00000000" w:rsidRDefault="00E614A4">
            <w:pPr>
              <w:rPr>
                <w:rFonts w:eastAsia="Times New Roman"/>
              </w:rPr>
            </w:pPr>
            <w:r>
              <w:rPr>
                <w:rFonts w:eastAsia="Times New Roman"/>
                <w:color w:val="000000"/>
                <w:sz w:val="18"/>
                <w:szCs w:val="18"/>
              </w:rPr>
              <w:t>Impairment of right-of-use and long-lived assets</w:t>
            </w:r>
          </w:p>
        </w:tc>
        <w:tc>
          <w:tcPr>
            <w:tcW w:w="0" w:type="auto"/>
            <w:gridSpan w:val="3"/>
            <w:shd w:val="clear" w:color="auto" w:fill="CCEEFF"/>
            <w:tcMar>
              <w:top w:w="0" w:type="dxa"/>
              <w:left w:w="20" w:type="dxa"/>
              <w:bottom w:w="0" w:type="dxa"/>
              <w:right w:w="20" w:type="dxa"/>
            </w:tcMar>
            <w:vAlign w:val="center"/>
            <w:hideMark/>
          </w:tcPr>
          <w:p w14:paraId="6F2E3554"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C0C6A2" w14:textId="77777777" w:rsidR="00000000" w:rsidRDefault="00E614A4">
            <w:pPr>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14:paraId="30911D1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5552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02DDB" w14:textId="77777777" w:rsidR="00000000" w:rsidRDefault="00E614A4">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7D9BF3F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2EC0B0C"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70B8F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75450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71C0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2C032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80CBC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8155885"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F1C30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D2D6C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5785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66D5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7E2E67" w14:textId="77777777" w:rsidR="00000000" w:rsidRDefault="00E614A4">
            <w:pPr>
              <w:jc w:val="right"/>
              <w:rPr>
                <w:rFonts w:eastAsia="Times New Roman"/>
              </w:rPr>
            </w:pPr>
            <w:r>
              <w:rPr>
                <w:rFonts w:eastAsia="Times New Roman"/>
                <w:color w:val="000000"/>
                <w:sz w:val="18"/>
                <w:szCs w:val="18"/>
              </w:rPr>
              <w:t>%</w:t>
            </w:r>
          </w:p>
        </w:tc>
      </w:tr>
      <w:tr w:rsidR="00000000" w14:paraId="5B464D17" w14:textId="77777777">
        <w:trPr>
          <w:divId w:val="1631276246"/>
          <w:jc w:val="center"/>
        </w:trPr>
        <w:tc>
          <w:tcPr>
            <w:tcW w:w="0" w:type="auto"/>
            <w:gridSpan w:val="3"/>
            <w:shd w:val="clear" w:color="auto" w:fill="FFFFFF"/>
            <w:tcMar>
              <w:top w:w="30" w:type="dxa"/>
              <w:left w:w="20" w:type="dxa"/>
              <w:bottom w:w="30" w:type="dxa"/>
              <w:right w:w="20" w:type="dxa"/>
            </w:tcMar>
            <w:vAlign w:val="bottom"/>
            <w:hideMark/>
          </w:tcPr>
          <w:p w14:paraId="7B89CEB4" w14:textId="77777777" w:rsidR="00000000" w:rsidRDefault="00E614A4">
            <w:pPr>
              <w:rPr>
                <w:rFonts w:eastAsia="Times New Roman"/>
              </w:rPr>
            </w:pPr>
            <w:r>
              <w:rPr>
                <w:rFonts w:eastAsia="Times New Roman"/>
                <w:color w:val="000000"/>
                <w:sz w:val="18"/>
                <w:szCs w:val="18"/>
              </w:rPr>
              <w:t>Impairment of goodwill</w:t>
            </w:r>
          </w:p>
        </w:tc>
        <w:tc>
          <w:tcPr>
            <w:tcW w:w="0" w:type="auto"/>
            <w:gridSpan w:val="3"/>
            <w:shd w:val="clear" w:color="auto" w:fill="FFFFFF"/>
            <w:tcMar>
              <w:top w:w="0" w:type="dxa"/>
              <w:left w:w="20" w:type="dxa"/>
              <w:bottom w:w="0" w:type="dxa"/>
              <w:right w:w="20" w:type="dxa"/>
            </w:tcMar>
            <w:vAlign w:val="center"/>
            <w:hideMark/>
          </w:tcPr>
          <w:p w14:paraId="70CBCB65" w14:textId="77777777" w:rsidR="00000000" w:rsidRDefault="00E614A4">
            <w:pPr>
              <w:rPr>
                <w:rFonts w:eastAsia="Times New Roman"/>
              </w:rPr>
            </w:pPr>
          </w:p>
        </w:tc>
        <w:tc>
          <w:tcPr>
            <w:tcW w:w="0" w:type="auto"/>
            <w:gridSpan w:val="2"/>
            <w:tcMar>
              <w:top w:w="30" w:type="dxa"/>
              <w:left w:w="20" w:type="dxa"/>
              <w:bottom w:w="30" w:type="dxa"/>
              <w:right w:w="0" w:type="dxa"/>
            </w:tcMar>
            <w:vAlign w:val="bottom"/>
            <w:hideMark/>
          </w:tcPr>
          <w:p w14:paraId="5546D335" w14:textId="77777777" w:rsidR="00000000" w:rsidRDefault="00E614A4">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14:paraId="1921794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6C7F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28F3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5D498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4DADFB8"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C54C3D" w14:textId="77777777" w:rsidR="00000000" w:rsidRDefault="00E614A4">
            <w:pPr>
              <w:jc w:val="right"/>
              <w:rPr>
                <w:rFonts w:eastAsia="Times New Roman"/>
              </w:rPr>
            </w:pPr>
            <w:r>
              <w:rPr>
                <w:rFonts w:eastAsia="Times New Roman"/>
                <w:color w:val="000000"/>
                <w:sz w:val="18"/>
                <w:szCs w:val="18"/>
              </w:rPr>
              <w:t>224,272 </w:t>
            </w:r>
          </w:p>
        </w:tc>
        <w:tc>
          <w:tcPr>
            <w:tcW w:w="0" w:type="auto"/>
            <w:shd w:val="clear" w:color="auto" w:fill="FFFFFF"/>
            <w:tcMar>
              <w:top w:w="30" w:type="dxa"/>
              <w:left w:w="0" w:type="dxa"/>
              <w:bottom w:w="30" w:type="dxa"/>
              <w:right w:w="20" w:type="dxa"/>
            </w:tcMar>
            <w:vAlign w:val="bottom"/>
            <w:hideMark/>
          </w:tcPr>
          <w:p w14:paraId="5B0ABB6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4CA1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88D1FB" w14:textId="77777777" w:rsidR="00000000" w:rsidRDefault="00E614A4">
            <w:pPr>
              <w:jc w:val="right"/>
              <w:rPr>
                <w:rFonts w:eastAsia="Times New Roman"/>
              </w:rPr>
            </w:pPr>
            <w:r>
              <w:rPr>
                <w:rFonts w:eastAsia="Times New Roman"/>
                <w:color w:val="000000"/>
                <w:sz w:val="18"/>
                <w:szCs w:val="18"/>
              </w:rPr>
              <w:t>57.7 </w:t>
            </w:r>
          </w:p>
        </w:tc>
        <w:tc>
          <w:tcPr>
            <w:tcW w:w="0" w:type="auto"/>
            <w:shd w:val="clear" w:color="auto" w:fill="FFFFFF"/>
            <w:tcMar>
              <w:top w:w="30" w:type="dxa"/>
              <w:left w:w="0" w:type="dxa"/>
              <w:bottom w:w="30" w:type="dxa"/>
              <w:right w:w="20" w:type="dxa"/>
            </w:tcMar>
            <w:vAlign w:val="bottom"/>
            <w:hideMark/>
          </w:tcPr>
          <w:p w14:paraId="00EC61E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7758F7A"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0DEEA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89258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20F6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C4B37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258AB0" w14:textId="77777777" w:rsidR="00000000" w:rsidRDefault="00E614A4">
            <w:pPr>
              <w:jc w:val="right"/>
              <w:rPr>
                <w:rFonts w:eastAsia="Times New Roman"/>
              </w:rPr>
            </w:pPr>
            <w:r>
              <w:rPr>
                <w:rFonts w:eastAsia="Times New Roman"/>
                <w:color w:val="000000"/>
                <w:sz w:val="18"/>
                <w:szCs w:val="18"/>
              </w:rPr>
              <w:t>%</w:t>
            </w:r>
          </w:p>
        </w:tc>
      </w:tr>
      <w:tr w:rsidR="00000000" w14:paraId="6025CBE3" w14:textId="77777777">
        <w:trPr>
          <w:divId w:val="1631276246"/>
          <w:jc w:val="center"/>
        </w:trPr>
        <w:tc>
          <w:tcPr>
            <w:tcW w:w="0" w:type="auto"/>
            <w:gridSpan w:val="3"/>
            <w:shd w:val="clear" w:color="auto" w:fill="CCEEFF"/>
            <w:tcMar>
              <w:top w:w="30" w:type="dxa"/>
              <w:left w:w="20" w:type="dxa"/>
              <w:bottom w:w="30" w:type="dxa"/>
              <w:right w:w="20" w:type="dxa"/>
            </w:tcMar>
            <w:hideMark/>
          </w:tcPr>
          <w:p w14:paraId="33084C50" w14:textId="77777777" w:rsidR="00000000" w:rsidRDefault="00E614A4">
            <w:pPr>
              <w:rPr>
                <w:rFonts w:eastAsia="Times New Roman"/>
              </w:rPr>
            </w:pPr>
            <w:r>
              <w:rPr>
                <w:rFonts w:eastAsia="Times New Roman"/>
                <w:color w:val="000000"/>
                <w:sz w:val="18"/>
                <w:szCs w:val="18"/>
              </w:rPr>
              <w:t>Impairment of intangible asset</w:t>
            </w:r>
          </w:p>
        </w:tc>
        <w:tc>
          <w:tcPr>
            <w:tcW w:w="0" w:type="auto"/>
            <w:gridSpan w:val="3"/>
            <w:shd w:val="clear" w:color="auto" w:fill="CCEEFF"/>
            <w:tcMar>
              <w:top w:w="0" w:type="dxa"/>
              <w:left w:w="20" w:type="dxa"/>
              <w:bottom w:w="0" w:type="dxa"/>
              <w:right w:w="20" w:type="dxa"/>
            </w:tcMar>
            <w:vAlign w:val="center"/>
            <w:hideMark/>
          </w:tcPr>
          <w:p w14:paraId="6064748C"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D816C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ED68D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BD69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C3906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87B8C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CC98B35"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EE37F6" w14:textId="77777777" w:rsidR="00000000" w:rsidRDefault="00E614A4">
            <w:pPr>
              <w:jc w:val="right"/>
              <w:rPr>
                <w:rFonts w:eastAsia="Times New Roman"/>
              </w:rPr>
            </w:pPr>
            <w:r>
              <w:rPr>
                <w:rFonts w:eastAsia="Times New Roman"/>
                <w:color w:val="000000"/>
                <w:sz w:val="18"/>
                <w:szCs w:val="18"/>
              </w:rPr>
              <w:t>17,308 </w:t>
            </w:r>
          </w:p>
        </w:tc>
        <w:tc>
          <w:tcPr>
            <w:tcW w:w="0" w:type="auto"/>
            <w:shd w:val="clear" w:color="auto" w:fill="CCEEFF"/>
            <w:tcMar>
              <w:top w:w="30" w:type="dxa"/>
              <w:left w:w="0" w:type="dxa"/>
              <w:bottom w:w="30" w:type="dxa"/>
              <w:right w:w="20" w:type="dxa"/>
            </w:tcMar>
            <w:vAlign w:val="bottom"/>
            <w:hideMark/>
          </w:tcPr>
          <w:p w14:paraId="0FE5ABB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8582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5B9CFF" w14:textId="77777777" w:rsidR="00000000" w:rsidRDefault="00E614A4">
            <w:pPr>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14:paraId="57A2DD2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E0AAD9C"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B2F2F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20D26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4112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3FD2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93D381" w14:textId="77777777" w:rsidR="00000000" w:rsidRDefault="00E614A4">
            <w:pPr>
              <w:jc w:val="right"/>
              <w:rPr>
                <w:rFonts w:eastAsia="Times New Roman"/>
              </w:rPr>
            </w:pPr>
            <w:r>
              <w:rPr>
                <w:rFonts w:eastAsia="Times New Roman"/>
                <w:color w:val="000000"/>
                <w:sz w:val="18"/>
                <w:szCs w:val="18"/>
              </w:rPr>
              <w:t>%</w:t>
            </w:r>
          </w:p>
        </w:tc>
      </w:tr>
      <w:tr w:rsidR="00000000" w14:paraId="2DF39F96" w14:textId="77777777">
        <w:trPr>
          <w:divId w:val="1631276246"/>
          <w:jc w:val="center"/>
        </w:trPr>
        <w:tc>
          <w:tcPr>
            <w:tcW w:w="0" w:type="auto"/>
            <w:gridSpan w:val="3"/>
            <w:shd w:val="clear" w:color="auto" w:fill="FFFFFF"/>
            <w:tcMar>
              <w:top w:w="30" w:type="dxa"/>
              <w:left w:w="20" w:type="dxa"/>
              <w:bottom w:w="30" w:type="dxa"/>
              <w:right w:w="20" w:type="dxa"/>
            </w:tcMar>
            <w:hideMark/>
          </w:tcPr>
          <w:p w14:paraId="250B9D02" w14:textId="77777777" w:rsidR="00000000" w:rsidRDefault="00E614A4">
            <w:pPr>
              <w:rPr>
                <w:rFonts w:eastAsia="Times New Roman"/>
              </w:rPr>
            </w:pPr>
            <w:r>
              <w:rPr>
                <w:rFonts w:eastAsia="Times New Roman"/>
                <w:color w:val="000000"/>
                <w:sz w:val="18"/>
                <w:szCs w:val="18"/>
              </w:rPr>
              <w:t>Investigation and audit related</w:t>
            </w:r>
          </w:p>
        </w:tc>
        <w:tc>
          <w:tcPr>
            <w:tcW w:w="0" w:type="auto"/>
            <w:gridSpan w:val="3"/>
            <w:shd w:val="clear" w:color="auto" w:fill="FFFFFF"/>
            <w:tcMar>
              <w:top w:w="0" w:type="dxa"/>
              <w:left w:w="20" w:type="dxa"/>
              <w:bottom w:w="0" w:type="dxa"/>
              <w:right w:w="20" w:type="dxa"/>
            </w:tcMar>
            <w:vAlign w:val="center"/>
            <w:hideMark/>
          </w:tcPr>
          <w:p w14:paraId="49930B86"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2DFD8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64FD5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6BFE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0CD29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F7C43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230731C"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BCEB4A" w14:textId="77777777" w:rsidR="00000000" w:rsidRDefault="00E614A4">
            <w:pPr>
              <w:jc w:val="right"/>
              <w:rPr>
                <w:rFonts w:eastAsia="Times New Roman"/>
              </w:rPr>
            </w:pPr>
            <w:r>
              <w:rPr>
                <w:rFonts w:eastAsia="Times New Roman"/>
                <w:color w:val="000000"/>
                <w:sz w:val="18"/>
                <w:szCs w:val="18"/>
              </w:rPr>
              <w:t>4,305 </w:t>
            </w:r>
          </w:p>
        </w:tc>
        <w:tc>
          <w:tcPr>
            <w:tcW w:w="0" w:type="auto"/>
            <w:shd w:val="clear" w:color="auto" w:fill="FFFFFF"/>
            <w:tcMar>
              <w:top w:w="30" w:type="dxa"/>
              <w:left w:w="0" w:type="dxa"/>
              <w:bottom w:w="30" w:type="dxa"/>
              <w:right w:w="20" w:type="dxa"/>
            </w:tcMar>
            <w:vAlign w:val="bottom"/>
            <w:hideMark/>
          </w:tcPr>
          <w:p w14:paraId="359B41F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D55A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0C9E3E" w14:textId="77777777" w:rsidR="00000000" w:rsidRDefault="00E614A4">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3B1FACE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3907D6"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EE887E" w14:textId="77777777" w:rsidR="00000000" w:rsidRDefault="00E614A4">
            <w:pPr>
              <w:jc w:val="right"/>
              <w:rPr>
                <w:rFonts w:eastAsia="Times New Roman"/>
              </w:rPr>
            </w:pPr>
            <w:r>
              <w:rPr>
                <w:rFonts w:eastAsia="Times New Roman"/>
                <w:color w:val="000000"/>
                <w:sz w:val="18"/>
                <w:szCs w:val="18"/>
              </w:rPr>
              <w:t>38,338 </w:t>
            </w:r>
          </w:p>
        </w:tc>
        <w:tc>
          <w:tcPr>
            <w:tcW w:w="0" w:type="auto"/>
            <w:shd w:val="clear" w:color="auto" w:fill="FFFFFF"/>
            <w:tcMar>
              <w:top w:w="30" w:type="dxa"/>
              <w:left w:w="0" w:type="dxa"/>
              <w:bottom w:w="30" w:type="dxa"/>
              <w:right w:w="20" w:type="dxa"/>
            </w:tcMar>
            <w:vAlign w:val="bottom"/>
            <w:hideMark/>
          </w:tcPr>
          <w:p w14:paraId="78F704E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384B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87D4F9" w14:textId="77777777" w:rsidR="00000000" w:rsidRDefault="00E614A4">
            <w:pPr>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bottom"/>
            <w:hideMark/>
          </w:tcPr>
          <w:p w14:paraId="35022289" w14:textId="77777777" w:rsidR="00000000" w:rsidRDefault="00E614A4">
            <w:pPr>
              <w:jc w:val="right"/>
              <w:rPr>
                <w:rFonts w:eastAsia="Times New Roman"/>
              </w:rPr>
            </w:pPr>
            <w:r>
              <w:rPr>
                <w:rFonts w:eastAsia="Times New Roman"/>
                <w:color w:val="000000"/>
                <w:sz w:val="18"/>
                <w:szCs w:val="18"/>
              </w:rPr>
              <w:t>%</w:t>
            </w:r>
          </w:p>
        </w:tc>
      </w:tr>
      <w:tr w:rsidR="00000000" w14:paraId="3D187432" w14:textId="77777777">
        <w:trPr>
          <w:divId w:val="1631276246"/>
          <w:jc w:val="center"/>
        </w:trPr>
        <w:tc>
          <w:tcPr>
            <w:tcW w:w="0" w:type="auto"/>
            <w:gridSpan w:val="3"/>
            <w:shd w:val="clear" w:color="auto" w:fill="CCEEFF"/>
            <w:tcMar>
              <w:top w:w="30" w:type="dxa"/>
              <w:left w:w="20" w:type="dxa"/>
              <w:bottom w:w="30" w:type="dxa"/>
              <w:right w:w="20" w:type="dxa"/>
            </w:tcMar>
            <w:hideMark/>
          </w:tcPr>
          <w:p w14:paraId="763E11B5" w14:textId="77777777" w:rsidR="00000000" w:rsidRDefault="00E614A4">
            <w:pPr>
              <w:rPr>
                <w:rFonts w:eastAsia="Times New Roman"/>
              </w:rPr>
            </w:pPr>
            <w:r>
              <w:rPr>
                <w:rFonts w:eastAsia="Times New Roman"/>
                <w:color w:val="000000"/>
                <w:sz w:val="18"/>
                <w:szCs w:val="18"/>
              </w:rPr>
              <w:t>Restructuring</w:t>
            </w:r>
          </w:p>
        </w:tc>
        <w:tc>
          <w:tcPr>
            <w:tcW w:w="0" w:type="auto"/>
            <w:gridSpan w:val="3"/>
            <w:shd w:val="clear" w:color="auto" w:fill="CCEEFF"/>
            <w:tcMar>
              <w:top w:w="0" w:type="dxa"/>
              <w:left w:w="20" w:type="dxa"/>
              <w:bottom w:w="0" w:type="dxa"/>
              <w:right w:w="20" w:type="dxa"/>
            </w:tcMar>
            <w:vAlign w:val="center"/>
            <w:hideMark/>
          </w:tcPr>
          <w:p w14:paraId="463A5340"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9899E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5478E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FDF4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16B0E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8DEB5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89EC0D"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319659" w14:textId="77777777" w:rsidR="00000000" w:rsidRDefault="00E614A4">
            <w:pPr>
              <w:jc w:val="right"/>
              <w:rPr>
                <w:rFonts w:eastAsia="Times New Roman"/>
              </w:rPr>
            </w:pPr>
            <w:r>
              <w:rPr>
                <w:rFonts w:eastAsia="Times New Roman"/>
                <w:color w:val="000000"/>
                <w:sz w:val="18"/>
                <w:szCs w:val="18"/>
              </w:rPr>
              <w:t>3,263 </w:t>
            </w:r>
          </w:p>
        </w:tc>
        <w:tc>
          <w:tcPr>
            <w:tcW w:w="0" w:type="auto"/>
            <w:shd w:val="clear" w:color="auto" w:fill="CCEEFF"/>
            <w:tcMar>
              <w:top w:w="30" w:type="dxa"/>
              <w:left w:w="0" w:type="dxa"/>
              <w:bottom w:w="30" w:type="dxa"/>
              <w:right w:w="20" w:type="dxa"/>
            </w:tcMar>
            <w:vAlign w:val="bottom"/>
            <w:hideMark/>
          </w:tcPr>
          <w:p w14:paraId="7F61B62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731F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64CB89" w14:textId="77777777" w:rsidR="00000000" w:rsidRDefault="00E614A4">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7EE13BC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1C04367"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E679BE" w14:textId="77777777" w:rsidR="00000000" w:rsidRDefault="00E614A4">
            <w:pPr>
              <w:jc w:val="right"/>
              <w:rPr>
                <w:rFonts w:eastAsia="Times New Roman"/>
              </w:rPr>
            </w:pPr>
            <w:r>
              <w:rPr>
                <w:rFonts w:eastAsia="Times New Roman"/>
                <w:color w:val="000000"/>
                <w:sz w:val="18"/>
                <w:szCs w:val="18"/>
              </w:rPr>
              <w:t>11,837 </w:t>
            </w:r>
          </w:p>
        </w:tc>
        <w:tc>
          <w:tcPr>
            <w:tcW w:w="0" w:type="auto"/>
            <w:shd w:val="clear" w:color="auto" w:fill="CCEEFF"/>
            <w:tcMar>
              <w:top w:w="30" w:type="dxa"/>
              <w:left w:w="0" w:type="dxa"/>
              <w:bottom w:w="30" w:type="dxa"/>
              <w:right w:w="20" w:type="dxa"/>
            </w:tcMar>
            <w:vAlign w:val="bottom"/>
            <w:hideMark/>
          </w:tcPr>
          <w:p w14:paraId="0FD9582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67EE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0EE4AB" w14:textId="77777777" w:rsidR="00000000" w:rsidRDefault="00E614A4">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bottom"/>
            <w:hideMark/>
          </w:tcPr>
          <w:p w14:paraId="486746EB" w14:textId="77777777" w:rsidR="00000000" w:rsidRDefault="00E614A4">
            <w:pPr>
              <w:jc w:val="right"/>
              <w:rPr>
                <w:rFonts w:eastAsia="Times New Roman"/>
              </w:rPr>
            </w:pPr>
            <w:r>
              <w:rPr>
                <w:rFonts w:eastAsia="Times New Roman"/>
                <w:color w:val="000000"/>
                <w:sz w:val="18"/>
                <w:szCs w:val="18"/>
              </w:rPr>
              <w:t>%</w:t>
            </w:r>
          </w:p>
        </w:tc>
      </w:tr>
      <w:tr w:rsidR="00000000" w14:paraId="20D0A601" w14:textId="77777777">
        <w:trPr>
          <w:divId w:val="1631276246"/>
          <w:jc w:val="center"/>
        </w:trPr>
        <w:tc>
          <w:tcPr>
            <w:tcW w:w="0" w:type="auto"/>
            <w:gridSpan w:val="3"/>
            <w:shd w:val="clear" w:color="auto" w:fill="FFFFFF"/>
            <w:tcMar>
              <w:top w:w="30" w:type="dxa"/>
              <w:left w:w="20" w:type="dxa"/>
              <w:bottom w:w="30" w:type="dxa"/>
              <w:right w:w="20" w:type="dxa"/>
            </w:tcMar>
            <w:hideMark/>
          </w:tcPr>
          <w:p w14:paraId="6E2E7F4C" w14:textId="77777777" w:rsidR="00000000" w:rsidRDefault="00E614A4">
            <w:pPr>
              <w:rPr>
                <w:rFonts w:eastAsia="Times New Roman"/>
              </w:rPr>
            </w:pPr>
            <w:r>
              <w:rPr>
                <w:rFonts w:eastAsia="Times New Roman"/>
                <w:color w:val="000000"/>
                <w:sz w:val="18"/>
                <w:szCs w:val="18"/>
              </w:rPr>
              <w:t>Settlement of litigation, net</w:t>
            </w:r>
          </w:p>
        </w:tc>
        <w:tc>
          <w:tcPr>
            <w:tcW w:w="0" w:type="auto"/>
            <w:gridSpan w:val="3"/>
            <w:shd w:val="clear" w:color="auto" w:fill="FFFFFF"/>
            <w:tcMar>
              <w:top w:w="0" w:type="dxa"/>
              <w:left w:w="20" w:type="dxa"/>
              <w:bottom w:w="0" w:type="dxa"/>
              <w:right w:w="20" w:type="dxa"/>
            </w:tcMar>
            <w:vAlign w:val="center"/>
            <w:hideMark/>
          </w:tcPr>
          <w:p w14:paraId="08D67E59"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B9DA0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ECF84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DCA8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4F9E3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75A9E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D02E6EB"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61AF78" w14:textId="77777777" w:rsidR="00000000" w:rsidRDefault="00E614A4">
            <w:pPr>
              <w:jc w:val="right"/>
              <w:rPr>
                <w:rFonts w:eastAsia="Times New Roman"/>
              </w:rPr>
            </w:pPr>
            <w:r>
              <w:rPr>
                <w:rFonts w:eastAsia="Times New Roman"/>
                <w:color w:val="000000"/>
                <w:sz w:val="18"/>
                <w:szCs w:val="18"/>
              </w:rPr>
              <w:t>2,900 </w:t>
            </w:r>
          </w:p>
        </w:tc>
        <w:tc>
          <w:tcPr>
            <w:tcW w:w="0" w:type="auto"/>
            <w:shd w:val="clear" w:color="auto" w:fill="FFFFFF"/>
            <w:tcMar>
              <w:top w:w="30" w:type="dxa"/>
              <w:left w:w="0" w:type="dxa"/>
              <w:bottom w:w="30" w:type="dxa"/>
              <w:right w:w="20" w:type="dxa"/>
            </w:tcMar>
            <w:vAlign w:val="bottom"/>
            <w:hideMark/>
          </w:tcPr>
          <w:p w14:paraId="6595703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F2E8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A983A8" w14:textId="77777777" w:rsidR="00000000" w:rsidRDefault="00E614A4">
            <w:pPr>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2A2C92D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B0AB8B3"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5C560A" w14:textId="77777777" w:rsidR="00000000" w:rsidRDefault="00E614A4">
            <w:pPr>
              <w:jc w:val="right"/>
              <w:rPr>
                <w:rFonts w:eastAsia="Times New Roman"/>
              </w:rPr>
            </w:pPr>
            <w:r>
              <w:rPr>
                <w:rFonts w:eastAsia="Times New Roman"/>
                <w:color w:val="000000"/>
                <w:sz w:val="18"/>
                <w:szCs w:val="18"/>
              </w:rPr>
              <w:t>5,250 </w:t>
            </w:r>
          </w:p>
        </w:tc>
        <w:tc>
          <w:tcPr>
            <w:tcW w:w="0" w:type="auto"/>
            <w:shd w:val="clear" w:color="auto" w:fill="FFFFFF"/>
            <w:tcMar>
              <w:top w:w="30" w:type="dxa"/>
              <w:left w:w="0" w:type="dxa"/>
              <w:bottom w:w="30" w:type="dxa"/>
              <w:right w:w="20" w:type="dxa"/>
            </w:tcMar>
            <w:vAlign w:val="bottom"/>
            <w:hideMark/>
          </w:tcPr>
          <w:p w14:paraId="325D7B2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A3F8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737536" w14:textId="77777777" w:rsidR="00000000" w:rsidRDefault="00E614A4">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16644C52" w14:textId="77777777" w:rsidR="00000000" w:rsidRDefault="00E614A4">
            <w:pPr>
              <w:jc w:val="right"/>
              <w:rPr>
                <w:rFonts w:eastAsia="Times New Roman"/>
              </w:rPr>
            </w:pPr>
            <w:r>
              <w:rPr>
                <w:rFonts w:eastAsia="Times New Roman"/>
                <w:color w:val="000000"/>
                <w:sz w:val="18"/>
                <w:szCs w:val="18"/>
              </w:rPr>
              <w:t>%</w:t>
            </w:r>
          </w:p>
        </w:tc>
      </w:tr>
      <w:tr w:rsidR="00000000" w14:paraId="43C4244C" w14:textId="77777777">
        <w:trPr>
          <w:divId w:val="1631276246"/>
          <w:jc w:val="center"/>
        </w:trPr>
        <w:tc>
          <w:tcPr>
            <w:tcW w:w="0" w:type="auto"/>
            <w:gridSpan w:val="3"/>
            <w:shd w:val="clear" w:color="auto" w:fill="CCEEFF"/>
            <w:tcMar>
              <w:top w:w="30" w:type="dxa"/>
              <w:left w:w="20" w:type="dxa"/>
              <w:bottom w:w="30" w:type="dxa"/>
              <w:right w:w="20" w:type="dxa"/>
            </w:tcMar>
            <w:hideMark/>
          </w:tcPr>
          <w:p w14:paraId="7F7D4163" w14:textId="77777777" w:rsidR="00000000" w:rsidRDefault="00E614A4">
            <w:pPr>
              <w:rPr>
                <w:rFonts w:eastAsia="Times New Roman"/>
              </w:rPr>
            </w:pPr>
            <w:r>
              <w:rPr>
                <w:rFonts w:eastAsia="Times New Roman"/>
                <w:color w:val="000000"/>
                <w:sz w:val="18"/>
                <w:szCs w:val="18"/>
              </w:rPr>
              <w:t>Total expenses from operations</w:t>
            </w:r>
          </w:p>
        </w:tc>
        <w:tc>
          <w:tcPr>
            <w:tcW w:w="0" w:type="auto"/>
            <w:gridSpan w:val="3"/>
            <w:shd w:val="clear" w:color="auto" w:fill="CCEEFF"/>
            <w:tcMar>
              <w:top w:w="0" w:type="dxa"/>
              <w:left w:w="20" w:type="dxa"/>
              <w:bottom w:w="0" w:type="dxa"/>
              <w:right w:w="20" w:type="dxa"/>
            </w:tcMar>
            <w:vAlign w:val="center"/>
            <w:hideMark/>
          </w:tcPr>
          <w:p w14:paraId="034268AE"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B69C7A" w14:textId="77777777" w:rsidR="00000000" w:rsidRDefault="00E614A4">
            <w:pPr>
              <w:jc w:val="right"/>
              <w:rPr>
                <w:rFonts w:eastAsia="Times New Roman"/>
              </w:rPr>
            </w:pPr>
            <w:r>
              <w:rPr>
                <w:rFonts w:eastAsia="Times New Roman"/>
                <w:color w:val="000000"/>
                <w:sz w:val="18"/>
                <w:szCs w:val="18"/>
              </w:rPr>
              <w:t>377,311 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9DAFD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EB7F2"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93A2A4" w14:textId="77777777" w:rsidR="00000000" w:rsidRDefault="00E614A4">
            <w:pPr>
              <w:jc w:val="right"/>
              <w:rPr>
                <w:rFonts w:eastAsia="Times New Roman"/>
              </w:rPr>
            </w:pPr>
            <w:r>
              <w:rPr>
                <w:rFonts w:eastAsia="Times New Roman"/>
                <w:color w:val="000000"/>
                <w:sz w:val="18"/>
                <w:szCs w:val="18"/>
              </w:rPr>
              <w:t>106.0 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D364B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1CB9321" w14:textId="77777777" w:rsidR="00000000" w:rsidRDefault="00E614A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D819DF" w14:textId="77777777" w:rsidR="00000000" w:rsidRDefault="00E614A4">
            <w:pPr>
              <w:jc w:val="right"/>
              <w:rPr>
                <w:rFonts w:eastAsia="Times New Roman"/>
              </w:rPr>
            </w:pPr>
            <w:r>
              <w:rPr>
                <w:rFonts w:eastAsia="Times New Roman"/>
                <w:color w:val="000000"/>
                <w:sz w:val="18"/>
                <w:szCs w:val="18"/>
              </w:rPr>
              <w:t>699,112 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658BC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F52BD"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05FE98" w14:textId="77777777" w:rsidR="00000000" w:rsidRDefault="00E614A4">
            <w:pPr>
              <w:jc w:val="right"/>
              <w:rPr>
                <w:rFonts w:eastAsia="Times New Roman"/>
              </w:rPr>
            </w:pPr>
            <w:r>
              <w:rPr>
                <w:rFonts w:eastAsia="Times New Roman"/>
                <w:color w:val="000000"/>
                <w:sz w:val="18"/>
                <w:szCs w:val="18"/>
              </w:rPr>
              <w:t>179.9 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04D03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5B44392" w14:textId="77777777" w:rsidR="00000000" w:rsidRDefault="00E614A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90E1FF" w14:textId="77777777" w:rsidR="00000000" w:rsidRDefault="00E614A4">
            <w:pPr>
              <w:jc w:val="right"/>
              <w:rPr>
                <w:rFonts w:eastAsia="Times New Roman"/>
              </w:rPr>
            </w:pPr>
            <w:r>
              <w:rPr>
                <w:rFonts w:eastAsia="Times New Roman"/>
                <w:color w:val="000000"/>
                <w:sz w:val="18"/>
                <w:szCs w:val="18"/>
              </w:rPr>
              <w:t>558,418 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3AE90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0B637B"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F40B4C" w14:textId="77777777" w:rsidR="00000000" w:rsidRDefault="00E614A4">
            <w:pPr>
              <w:jc w:val="right"/>
              <w:rPr>
                <w:rFonts w:eastAsia="Times New Roman"/>
              </w:rPr>
            </w:pPr>
            <w:r>
              <w:rPr>
                <w:rFonts w:eastAsia="Times New Roman"/>
                <w:color w:val="000000"/>
                <w:sz w:val="18"/>
                <w:szCs w:val="18"/>
              </w:rPr>
              <w:t>133.1 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62437F" w14:textId="77777777" w:rsidR="00000000" w:rsidRDefault="00E614A4">
            <w:pPr>
              <w:jc w:val="right"/>
              <w:rPr>
                <w:rFonts w:eastAsia="Times New Roman"/>
              </w:rPr>
            </w:pPr>
            <w:r>
              <w:rPr>
                <w:rFonts w:eastAsia="Times New Roman"/>
                <w:color w:val="000000"/>
                <w:sz w:val="18"/>
                <w:szCs w:val="18"/>
              </w:rPr>
              <w:t>%</w:t>
            </w:r>
          </w:p>
        </w:tc>
      </w:tr>
      <w:tr w:rsidR="00000000" w14:paraId="3A13916E" w14:textId="77777777">
        <w:trPr>
          <w:divId w:val="1631276246"/>
          <w:jc w:val="center"/>
        </w:trPr>
        <w:tc>
          <w:tcPr>
            <w:tcW w:w="0" w:type="auto"/>
            <w:gridSpan w:val="3"/>
            <w:shd w:val="clear" w:color="auto" w:fill="FFFFFF"/>
            <w:tcMar>
              <w:top w:w="30" w:type="dxa"/>
              <w:left w:w="20" w:type="dxa"/>
              <w:bottom w:w="30" w:type="dxa"/>
              <w:right w:w="20" w:type="dxa"/>
            </w:tcMar>
            <w:hideMark/>
          </w:tcPr>
          <w:p w14:paraId="56B1442F" w14:textId="77777777" w:rsidR="00000000" w:rsidRDefault="00E614A4">
            <w:pPr>
              <w:rPr>
                <w:rFonts w:eastAsia="Times New Roman"/>
              </w:rPr>
            </w:pPr>
            <w:r>
              <w:rPr>
                <w:rFonts w:eastAsia="Times New Roman"/>
                <w:color w:val="000000"/>
                <w:sz w:val="18"/>
                <w:szCs w:val="18"/>
              </w:rPr>
              <w:t>Loss from operations</w:t>
            </w:r>
          </w:p>
        </w:tc>
        <w:tc>
          <w:tcPr>
            <w:tcW w:w="0" w:type="auto"/>
            <w:gridSpan w:val="3"/>
            <w:shd w:val="clear" w:color="auto" w:fill="FFFFFF"/>
            <w:tcMar>
              <w:top w:w="0" w:type="dxa"/>
              <w:left w:w="20" w:type="dxa"/>
              <w:bottom w:w="0" w:type="dxa"/>
              <w:right w:w="20" w:type="dxa"/>
            </w:tcMar>
            <w:vAlign w:val="center"/>
            <w:hideMark/>
          </w:tcPr>
          <w:p w14:paraId="6991B156"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4D3086" w14:textId="77777777" w:rsidR="00000000" w:rsidRDefault="00E614A4">
            <w:pPr>
              <w:jc w:val="right"/>
              <w:rPr>
                <w:rFonts w:eastAsia="Times New Roman"/>
              </w:rPr>
            </w:pPr>
            <w:r>
              <w:rPr>
                <w:rFonts w:eastAsia="Times New Roman"/>
                <w:color w:val="000000"/>
                <w:sz w:val="18"/>
                <w:szCs w:val="18"/>
              </w:rPr>
              <w:t>(21,275)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4B36F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82A45"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CA8E07" w14:textId="77777777" w:rsidR="00000000" w:rsidRDefault="00E614A4">
            <w:pPr>
              <w:jc w:val="right"/>
              <w:rPr>
                <w:rFonts w:eastAsia="Times New Roman"/>
              </w:rPr>
            </w:pPr>
            <w:r>
              <w:rPr>
                <w:rFonts w:eastAsia="Times New Roman"/>
                <w:color w:val="000000"/>
                <w:sz w:val="18"/>
                <w:szCs w:val="18"/>
              </w:rPr>
              <w:t>(6.0)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B7912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47C973" w14:textId="77777777" w:rsidR="00000000" w:rsidRDefault="00E614A4">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082388" w14:textId="77777777" w:rsidR="00000000" w:rsidRDefault="00E614A4">
            <w:pPr>
              <w:jc w:val="right"/>
              <w:rPr>
                <w:rFonts w:eastAsia="Times New Roman"/>
              </w:rPr>
            </w:pPr>
            <w:r>
              <w:rPr>
                <w:rFonts w:eastAsia="Times New Roman"/>
                <w:color w:val="000000"/>
                <w:sz w:val="18"/>
                <w:szCs w:val="18"/>
              </w:rPr>
              <w:t>(310,467)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4801D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B11BC"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642C78" w14:textId="77777777" w:rsidR="00000000" w:rsidRDefault="00E614A4">
            <w:pPr>
              <w:jc w:val="right"/>
              <w:rPr>
                <w:rFonts w:eastAsia="Times New Roman"/>
              </w:rPr>
            </w:pPr>
            <w:r>
              <w:rPr>
                <w:rFonts w:eastAsia="Times New Roman"/>
                <w:color w:val="000000"/>
                <w:sz w:val="18"/>
                <w:szCs w:val="18"/>
              </w:rPr>
              <w:t>(79.9)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0AC2E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3E3BA17" w14:textId="77777777" w:rsidR="00000000" w:rsidRDefault="00E614A4">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66B13D" w14:textId="77777777" w:rsidR="00000000" w:rsidRDefault="00E614A4">
            <w:pPr>
              <w:jc w:val="right"/>
              <w:rPr>
                <w:rFonts w:eastAsia="Times New Roman"/>
              </w:rPr>
            </w:pPr>
            <w:r>
              <w:rPr>
                <w:rFonts w:eastAsia="Times New Roman"/>
                <w:color w:val="000000"/>
                <w:sz w:val="18"/>
                <w:szCs w:val="18"/>
              </w:rPr>
              <w:t>(138,936)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AA436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9BDBC"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20A8EC" w14:textId="77777777" w:rsidR="00000000" w:rsidRDefault="00E614A4">
            <w:pPr>
              <w:jc w:val="right"/>
              <w:rPr>
                <w:rFonts w:eastAsia="Times New Roman"/>
              </w:rPr>
            </w:pPr>
            <w:r>
              <w:rPr>
                <w:rFonts w:eastAsia="Times New Roman"/>
                <w:color w:val="000000"/>
                <w:sz w:val="18"/>
                <w:szCs w:val="18"/>
              </w:rPr>
              <w:t>(33.1)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FD0E1F" w14:textId="77777777" w:rsidR="00000000" w:rsidRDefault="00E614A4">
            <w:pPr>
              <w:jc w:val="right"/>
              <w:rPr>
                <w:rFonts w:eastAsia="Times New Roman"/>
              </w:rPr>
            </w:pPr>
            <w:r>
              <w:rPr>
                <w:rFonts w:eastAsia="Times New Roman"/>
                <w:color w:val="000000"/>
                <w:sz w:val="18"/>
                <w:szCs w:val="18"/>
              </w:rPr>
              <w:t>%</w:t>
            </w:r>
          </w:p>
        </w:tc>
      </w:tr>
      <w:tr w:rsidR="00000000" w14:paraId="533C3423" w14:textId="77777777">
        <w:trPr>
          <w:divId w:val="1631276246"/>
          <w:jc w:val="center"/>
        </w:trPr>
        <w:tc>
          <w:tcPr>
            <w:tcW w:w="0" w:type="auto"/>
            <w:gridSpan w:val="3"/>
            <w:shd w:val="clear" w:color="auto" w:fill="CCEEFF"/>
            <w:tcMar>
              <w:top w:w="30" w:type="dxa"/>
              <w:left w:w="20" w:type="dxa"/>
              <w:bottom w:w="30" w:type="dxa"/>
              <w:right w:w="20" w:type="dxa"/>
            </w:tcMar>
            <w:hideMark/>
          </w:tcPr>
          <w:p w14:paraId="1BBEFE75" w14:textId="77777777" w:rsidR="00000000" w:rsidRDefault="00E614A4">
            <w:pPr>
              <w:rPr>
                <w:rFonts w:eastAsia="Times New Roman"/>
              </w:rPr>
            </w:pPr>
            <w:r>
              <w:rPr>
                <w:rFonts w:eastAsia="Times New Roman"/>
                <w:color w:val="000000"/>
                <w:sz w:val="18"/>
                <w:szCs w:val="18"/>
              </w:rPr>
              <w:t>Interest expense, net</w:t>
            </w:r>
          </w:p>
        </w:tc>
        <w:tc>
          <w:tcPr>
            <w:tcW w:w="0" w:type="auto"/>
            <w:gridSpan w:val="3"/>
            <w:shd w:val="clear" w:color="auto" w:fill="CCEEFF"/>
            <w:tcMar>
              <w:top w:w="0" w:type="dxa"/>
              <w:left w:w="20" w:type="dxa"/>
              <w:bottom w:w="0" w:type="dxa"/>
              <w:right w:w="20" w:type="dxa"/>
            </w:tcMar>
            <w:vAlign w:val="center"/>
            <w:hideMark/>
          </w:tcPr>
          <w:p w14:paraId="09348BA6"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DE1B2C" w14:textId="77777777" w:rsidR="00000000" w:rsidRDefault="00E614A4">
            <w:pPr>
              <w:jc w:val="right"/>
              <w:rPr>
                <w:rFonts w:eastAsia="Times New Roman"/>
              </w:rPr>
            </w:pPr>
            <w:r>
              <w:rPr>
                <w:rFonts w:eastAsia="Times New Roman"/>
                <w:color w:val="000000"/>
                <w:sz w:val="18"/>
                <w:szCs w:val="18"/>
              </w:rPr>
              <w:t>(35,805)</w:t>
            </w:r>
          </w:p>
        </w:tc>
        <w:tc>
          <w:tcPr>
            <w:tcW w:w="0" w:type="auto"/>
            <w:shd w:val="clear" w:color="auto" w:fill="CCEEFF"/>
            <w:tcMar>
              <w:top w:w="30" w:type="dxa"/>
              <w:left w:w="0" w:type="dxa"/>
              <w:bottom w:w="30" w:type="dxa"/>
              <w:right w:w="20" w:type="dxa"/>
            </w:tcMar>
            <w:vAlign w:val="bottom"/>
            <w:hideMark/>
          </w:tcPr>
          <w:p w14:paraId="46C545D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547A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6AF037" w14:textId="77777777" w:rsidR="00000000" w:rsidRDefault="00E614A4">
            <w:pPr>
              <w:jc w:val="right"/>
              <w:rPr>
                <w:rFonts w:eastAsia="Times New Roman"/>
              </w:rPr>
            </w:pPr>
            <w:r>
              <w:rPr>
                <w:rFonts w:eastAsia="Times New Roman"/>
                <w:color w:val="000000"/>
                <w:sz w:val="18"/>
                <w:szCs w:val="18"/>
              </w:rPr>
              <w:t>(10.1)</w:t>
            </w:r>
          </w:p>
        </w:tc>
        <w:tc>
          <w:tcPr>
            <w:tcW w:w="0" w:type="auto"/>
            <w:shd w:val="clear" w:color="auto" w:fill="CCEEFF"/>
            <w:tcMar>
              <w:top w:w="30" w:type="dxa"/>
              <w:left w:w="0" w:type="dxa"/>
              <w:bottom w:w="30" w:type="dxa"/>
              <w:right w:w="20" w:type="dxa"/>
            </w:tcMar>
            <w:vAlign w:val="bottom"/>
            <w:hideMark/>
          </w:tcPr>
          <w:p w14:paraId="018E555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C6B7DAF"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C16F14" w14:textId="77777777" w:rsidR="00000000" w:rsidRDefault="00E614A4">
            <w:pPr>
              <w:jc w:val="right"/>
              <w:rPr>
                <w:rFonts w:eastAsia="Times New Roman"/>
              </w:rPr>
            </w:pPr>
            <w:r>
              <w:rPr>
                <w:rFonts w:eastAsia="Times New Roman"/>
                <w:color w:val="000000"/>
                <w:sz w:val="18"/>
                <w:szCs w:val="18"/>
              </w:rPr>
              <w:t>(31,526)</w:t>
            </w:r>
          </w:p>
        </w:tc>
        <w:tc>
          <w:tcPr>
            <w:tcW w:w="0" w:type="auto"/>
            <w:shd w:val="clear" w:color="auto" w:fill="CCEEFF"/>
            <w:tcMar>
              <w:top w:w="30" w:type="dxa"/>
              <w:left w:w="0" w:type="dxa"/>
              <w:bottom w:w="30" w:type="dxa"/>
              <w:right w:w="20" w:type="dxa"/>
            </w:tcMar>
            <w:vAlign w:val="bottom"/>
            <w:hideMark/>
          </w:tcPr>
          <w:p w14:paraId="61CF22A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1A9C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8AFEDA" w14:textId="77777777" w:rsidR="00000000" w:rsidRDefault="00E614A4">
            <w:pPr>
              <w:jc w:val="right"/>
              <w:rPr>
                <w:rFonts w:eastAsia="Times New Roman"/>
              </w:rPr>
            </w:pPr>
            <w:r>
              <w:rPr>
                <w:rFonts w:eastAsia="Times New Roman"/>
                <w:color w:val="000000"/>
                <w:sz w:val="18"/>
                <w:szCs w:val="18"/>
              </w:rPr>
              <w:t>(8.1)</w:t>
            </w:r>
          </w:p>
        </w:tc>
        <w:tc>
          <w:tcPr>
            <w:tcW w:w="0" w:type="auto"/>
            <w:shd w:val="clear" w:color="auto" w:fill="CCEEFF"/>
            <w:tcMar>
              <w:top w:w="30" w:type="dxa"/>
              <w:left w:w="0" w:type="dxa"/>
              <w:bottom w:w="30" w:type="dxa"/>
              <w:right w:w="20" w:type="dxa"/>
            </w:tcMar>
            <w:vAlign w:val="bottom"/>
            <w:hideMark/>
          </w:tcPr>
          <w:p w14:paraId="185FB69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AEC2D40"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90AFCA" w14:textId="77777777" w:rsidR="00000000" w:rsidRDefault="00E614A4">
            <w:pPr>
              <w:jc w:val="right"/>
              <w:rPr>
                <w:rFonts w:eastAsia="Times New Roman"/>
              </w:rPr>
            </w:pPr>
            <w:r>
              <w:rPr>
                <w:rFonts w:eastAsia="Times New Roman"/>
                <w:color w:val="000000"/>
                <w:sz w:val="18"/>
                <w:szCs w:val="18"/>
              </w:rPr>
              <w:t>(16,465)</w:t>
            </w:r>
          </w:p>
        </w:tc>
        <w:tc>
          <w:tcPr>
            <w:tcW w:w="0" w:type="auto"/>
            <w:shd w:val="clear" w:color="auto" w:fill="CCEEFF"/>
            <w:tcMar>
              <w:top w:w="30" w:type="dxa"/>
              <w:left w:w="0" w:type="dxa"/>
              <w:bottom w:w="30" w:type="dxa"/>
              <w:right w:w="20" w:type="dxa"/>
            </w:tcMar>
            <w:vAlign w:val="bottom"/>
            <w:hideMark/>
          </w:tcPr>
          <w:p w14:paraId="66B4B36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4044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362EE1" w14:textId="77777777" w:rsidR="00000000" w:rsidRDefault="00E614A4">
            <w:pPr>
              <w:jc w:val="right"/>
              <w:rPr>
                <w:rFonts w:eastAsia="Times New Roman"/>
              </w:rPr>
            </w:pPr>
            <w:r>
              <w:rPr>
                <w:rFonts w:eastAsia="Times New Roman"/>
                <w:color w:val="000000"/>
                <w:sz w:val="18"/>
                <w:szCs w:val="18"/>
              </w:rPr>
              <w:t>(3.9)</w:t>
            </w:r>
          </w:p>
        </w:tc>
        <w:tc>
          <w:tcPr>
            <w:tcW w:w="0" w:type="auto"/>
            <w:shd w:val="clear" w:color="auto" w:fill="CCEEFF"/>
            <w:tcMar>
              <w:top w:w="30" w:type="dxa"/>
              <w:left w:w="0" w:type="dxa"/>
              <w:bottom w:w="30" w:type="dxa"/>
              <w:right w:w="20" w:type="dxa"/>
            </w:tcMar>
            <w:vAlign w:val="bottom"/>
            <w:hideMark/>
          </w:tcPr>
          <w:p w14:paraId="48B141F5" w14:textId="77777777" w:rsidR="00000000" w:rsidRDefault="00E614A4">
            <w:pPr>
              <w:jc w:val="right"/>
              <w:rPr>
                <w:rFonts w:eastAsia="Times New Roman"/>
              </w:rPr>
            </w:pPr>
            <w:r>
              <w:rPr>
                <w:rFonts w:eastAsia="Times New Roman"/>
                <w:color w:val="000000"/>
                <w:sz w:val="18"/>
                <w:szCs w:val="18"/>
              </w:rPr>
              <w:t>%</w:t>
            </w:r>
          </w:p>
        </w:tc>
      </w:tr>
      <w:tr w:rsidR="00000000" w14:paraId="5BC9F0E5" w14:textId="77777777">
        <w:trPr>
          <w:divId w:val="1631276246"/>
          <w:jc w:val="center"/>
        </w:trPr>
        <w:tc>
          <w:tcPr>
            <w:tcW w:w="0" w:type="auto"/>
            <w:gridSpan w:val="3"/>
            <w:shd w:val="clear" w:color="auto" w:fill="FFFFFF"/>
            <w:tcMar>
              <w:top w:w="30" w:type="dxa"/>
              <w:left w:w="20" w:type="dxa"/>
              <w:bottom w:w="30" w:type="dxa"/>
              <w:right w:w="20" w:type="dxa"/>
            </w:tcMar>
            <w:hideMark/>
          </w:tcPr>
          <w:p w14:paraId="47A8FE47" w14:textId="77777777" w:rsidR="00000000" w:rsidRDefault="00E614A4">
            <w:pPr>
              <w:rPr>
                <w:rFonts w:eastAsia="Times New Roman"/>
              </w:rPr>
            </w:pPr>
            <w:r>
              <w:rPr>
                <w:rFonts w:eastAsia="Times New Roman"/>
                <w:color w:val="000000"/>
                <w:sz w:val="18"/>
                <w:szCs w:val="18"/>
              </w:rPr>
              <w:t>Other income (expense), net</w:t>
            </w:r>
          </w:p>
        </w:tc>
        <w:tc>
          <w:tcPr>
            <w:tcW w:w="0" w:type="auto"/>
            <w:gridSpan w:val="3"/>
            <w:shd w:val="clear" w:color="auto" w:fill="FFFFFF"/>
            <w:tcMar>
              <w:top w:w="0" w:type="dxa"/>
              <w:left w:w="20" w:type="dxa"/>
              <w:bottom w:w="0" w:type="dxa"/>
              <w:right w:w="20" w:type="dxa"/>
            </w:tcMar>
            <w:vAlign w:val="center"/>
            <w:hideMark/>
          </w:tcPr>
          <w:p w14:paraId="392FC249"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3D31D9" w14:textId="77777777" w:rsidR="00000000" w:rsidRDefault="00E614A4">
            <w:pPr>
              <w:jc w:val="right"/>
              <w:rPr>
                <w:rFonts w:eastAsia="Times New Roman"/>
              </w:rPr>
            </w:pPr>
            <w:r>
              <w:rPr>
                <w:rFonts w:eastAsia="Times New Roman"/>
                <w:color w:val="000000"/>
                <w:sz w:val="18"/>
                <w:szCs w:val="18"/>
              </w:rPr>
              <w:t>14,554 </w:t>
            </w:r>
          </w:p>
        </w:tc>
        <w:tc>
          <w:tcPr>
            <w:tcW w:w="0" w:type="auto"/>
            <w:shd w:val="clear" w:color="auto" w:fill="FFFFFF"/>
            <w:tcMar>
              <w:top w:w="30" w:type="dxa"/>
              <w:left w:w="0" w:type="dxa"/>
              <w:bottom w:w="30" w:type="dxa"/>
              <w:right w:w="20" w:type="dxa"/>
            </w:tcMar>
            <w:vAlign w:val="bottom"/>
            <w:hideMark/>
          </w:tcPr>
          <w:p w14:paraId="5EAE4F0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AFA3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FCEF30" w14:textId="77777777" w:rsidR="00000000" w:rsidRDefault="00E614A4">
            <w:pPr>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5370BF8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771907E"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C0E673" w14:textId="77777777" w:rsidR="00000000" w:rsidRDefault="00E614A4">
            <w:pPr>
              <w:jc w:val="right"/>
              <w:rPr>
                <w:rFonts w:eastAsia="Times New Roman"/>
              </w:rPr>
            </w:pPr>
            <w:r>
              <w:rPr>
                <w:rFonts w:eastAsia="Times New Roman"/>
                <w:color w:val="000000"/>
                <w:sz w:val="18"/>
                <w:szCs w:val="18"/>
              </w:rPr>
              <w:t>1,654 </w:t>
            </w:r>
          </w:p>
        </w:tc>
        <w:tc>
          <w:tcPr>
            <w:tcW w:w="0" w:type="auto"/>
            <w:shd w:val="clear" w:color="auto" w:fill="FFFFFF"/>
            <w:tcMar>
              <w:top w:w="30" w:type="dxa"/>
              <w:left w:w="0" w:type="dxa"/>
              <w:bottom w:w="30" w:type="dxa"/>
              <w:right w:w="20" w:type="dxa"/>
            </w:tcMar>
            <w:vAlign w:val="bottom"/>
            <w:hideMark/>
          </w:tcPr>
          <w:p w14:paraId="655597D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F6A6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90B919" w14:textId="77777777" w:rsidR="00000000" w:rsidRDefault="00E614A4">
            <w:pPr>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7619ADD9"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22F5FC2"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796E1D" w14:textId="77777777" w:rsidR="00000000" w:rsidRDefault="00E614A4">
            <w:pPr>
              <w:jc w:val="right"/>
              <w:rPr>
                <w:rFonts w:eastAsia="Times New Roman"/>
              </w:rPr>
            </w:pPr>
            <w:r>
              <w:rPr>
                <w:rFonts w:eastAsia="Times New Roman"/>
                <w:color w:val="000000"/>
                <w:sz w:val="18"/>
                <w:szCs w:val="18"/>
              </w:rPr>
              <w:t>(1,464)</w:t>
            </w:r>
          </w:p>
        </w:tc>
        <w:tc>
          <w:tcPr>
            <w:tcW w:w="0" w:type="auto"/>
            <w:shd w:val="clear" w:color="auto" w:fill="FFFFFF"/>
            <w:tcMar>
              <w:top w:w="30" w:type="dxa"/>
              <w:left w:w="0" w:type="dxa"/>
              <w:bottom w:w="30" w:type="dxa"/>
              <w:right w:w="20" w:type="dxa"/>
            </w:tcMar>
            <w:vAlign w:val="bottom"/>
            <w:hideMark/>
          </w:tcPr>
          <w:p w14:paraId="13824A2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4226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876CAF" w14:textId="77777777" w:rsidR="00000000" w:rsidRDefault="00E614A4">
            <w:pPr>
              <w:jc w:val="right"/>
              <w:rPr>
                <w:rFonts w:eastAsia="Times New Roman"/>
              </w:rPr>
            </w:pPr>
            <w:r>
              <w:rPr>
                <w:rFonts w:eastAsia="Times New Roman"/>
                <w:color w:val="000000"/>
                <w:sz w:val="18"/>
                <w:szCs w:val="18"/>
              </w:rPr>
              <w:t>(0.3)</w:t>
            </w:r>
          </w:p>
        </w:tc>
        <w:tc>
          <w:tcPr>
            <w:tcW w:w="0" w:type="auto"/>
            <w:shd w:val="clear" w:color="auto" w:fill="FFFFFF"/>
            <w:tcMar>
              <w:top w:w="30" w:type="dxa"/>
              <w:left w:w="0" w:type="dxa"/>
              <w:bottom w:w="30" w:type="dxa"/>
              <w:right w:w="20" w:type="dxa"/>
            </w:tcMar>
            <w:vAlign w:val="bottom"/>
            <w:hideMark/>
          </w:tcPr>
          <w:p w14:paraId="5A6124B4" w14:textId="77777777" w:rsidR="00000000" w:rsidRDefault="00E614A4">
            <w:pPr>
              <w:jc w:val="right"/>
              <w:rPr>
                <w:rFonts w:eastAsia="Times New Roman"/>
              </w:rPr>
            </w:pPr>
            <w:r>
              <w:rPr>
                <w:rFonts w:eastAsia="Times New Roman"/>
                <w:color w:val="000000"/>
                <w:sz w:val="18"/>
                <w:szCs w:val="18"/>
              </w:rPr>
              <w:t>%</w:t>
            </w:r>
          </w:p>
        </w:tc>
      </w:tr>
      <w:tr w:rsidR="00000000" w14:paraId="472C63A1" w14:textId="77777777">
        <w:trPr>
          <w:divId w:val="1631276246"/>
          <w:jc w:val="center"/>
        </w:trPr>
        <w:tc>
          <w:tcPr>
            <w:tcW w:w="0" w:type="auto"/>
            <w:gridSpan w:val="3"/>
            <w:shd w:val="clear" w:color="auto" w:fill="CCEEFF"/>
            <w:tcMar>
              <w:top w:w="30" w:type="dxa"/>
              <w:left w:w="20" w:type="dxa"/>
              <w:bottom w:w="30" w:type="dxa"/>
              <w:right w:w="20" w:type="dxa"/>
            </w:tcMar>
            <w:hideMark/>
          </w:tcPr>
          <w:p w14:paraId="6D2B636C" w14:textId="77777777" w:rsidR="00000000" w:rsidRDefault="00E614A4">
            <w:pPr>
              <w:rPr>
                <w:rFonts w:eastAsia="Times New Roman"/>
              </w:rPr>
            </w:pPr>
            <w:r>
              <w:rPr>
                <w:rFonts w:eastAsia="Times New Roman"/>
                <w:color w:val="000000"/>
                <w:sz w:val="18"/>
                <w:szCs w:val="18"/>
              </w:rPr>
              <w:t>(Loss) gain from foreign currency transactions</w:t>
            </w:r>
          </w:p>
        </w:tc>
        <w:tc>
          <w:tcPr>
            <w:tcW w:w="0" w:type="auto"/>
            <w:gridSpan w:val="3"/>
            <w:shd w:val="clear" w:color="auto" w:fill="CCEEFF"/>
            <w:tcMar>
              <w:top w:w="0" w:type="dxa"/>
              <w:left w:w="20" w:type="dxa"/>
              <w:bottom w:w="0" w:type="dxa"/>
              <w:right w:w="20" w:type="dxa"/>
            </w:tcMar>
            <w:vAlign w:val="center"/>
            <w:hideMark/>
          </w:tcPr>
          <w:p w14:paraId="3492051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DA420F" w14:textId="77777777" w:rsidR="00000000" w:rsidRDefault="00E614A4">
            <w:pPr>
              <w:jc w:val="right"/>
              <w:rPr>
                <w:rFonts w:eastAsia="Times New Roman"/>
              </w:rPr>
            </w:pPr>
            <w:r>
              <w:rPr>
                <w:rFonts w:eastAsia="Times New Roman"/>
                <w:color w:val="000000"/>
                <w:sz w:val="18"/>
                <w:szCs w:val="18"/>
              </w:rPr>
              <w:t>(4,490)</w:t>
            </w:r>
          </w:p>
        </w:tc>
        <w:tc>
          <w:tcPr>
            <w:tcW w:w="0" w:type="auto"/>
            <w:shd w:val="clear" w:color="auto" w:fill="CCEEFF"/>
            <w:tcMar>
              <w:top w:w="30" w:type="dxa"/>
              <w:left w:w="0" w:type="dxa"/>
              <w:bottom w:w="30" w:type="dxa"/>
              <w:right w:w="20" w:type="dxa"/>
            </w:tcMar>
            <w:vAlign w:val="bottom"/>
            <w:hideMark/>
          </w:tcPr>
          <w:p w14:paraId="3025193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4E55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1F0156" w14:textId="77777777" w:rsidR="00000000" w:rsidRDefault="00E614A4">
            <w:pPr>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14:paraId="20832C1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33E4A43"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B3CE1F" w14:textId="77777777" w:rsidR="00000000" w:rsidRDefault="00E614A4">
            <w:pPr>
              <w:jc w:val="right"/>
              <w:rPr>
                <w:rFonts w:eastAsia="Times New Roman"/>
              </w:rPr>
            </w:pPr>
            <w:r>
              <w:rPr>
                <w:rFonts w:eastAsia="Times New Roman"/>
                <w:color w:val="000000"/>
                <w:sz w:val="18"/>
                <w:szCs w:val="18"/>
              </w:rPr>
              <w:t>336 </w:t>
            </w:r>
          </w:p>
        </w:tc>
        <w:tc>
          <w:tcPr>
            <w:tcW w:w="0" w:type="auto"/>
            <w:shd w:val="clear" w:color="auto" w:fill="CCEEFF"/>
            <w:tcMar>
              <w:top w:w="30" w:type="dxa"/>
              <w:left w:w="0" w:type="dxa"/>
              <w:bottom w:w="30" w:type="dxa"/>
              <w:right w:w="20" w:type="dxa"/>
            </w:tcMar>
            <w:vAlign w:val="bottom"/>
            <w:hideMark/>
          </w:tcPr>
          <w:p w14:paraId="77F756A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4F56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074011" w14:textId="77777777" w:rsidR="00000000" w:rsidRDefault="00E614A4">
            <w:pPr>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0A31A93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E365391"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30A34F" w14:textId="77777777" w:rsidR="00000000" w:rsidRDefault="00E614A4">
            <w:pPr>
              <w:jc w:val="right"/>
              <w:rPr>
                <w:rFonts w:eastAsia="Times New Roman"/>
              </w:rPr>
            </w:pPr>
            <w:r>
              <w:rPr>
                <w:rFonts w:eastAsia="Times New Roman"/>
                <w:color w:val="000000"/>
                <w:sz w:val="18"/>
                <w:szCs w:val="18"/>
              </w:rPr>
              <w:t>1,303 </w:t>
            </w:r>
          </w:p>
        </w:tc>
        <w:tc>
          <w:tcPr>
            <w:tcW w:w="0" w:type="auto"/>
            <w:shd w:val="clear" w:color="auto" w:fill="CCEEFF"/>
            <w:tcMar>
              <w:top w:w="30" w:type="dxa"/>
              <w:left w:w="0" w:type="dxa"/>
              <w:bottom w:w="30" w:type="dxa"/>
              <w:right w:w="20" w:type="dxa"/>
            </w:tcMar>
            <w:vAlign w:val="bottom"/>
            <w:hideMark/>
          </w:tcPr>
          <w:p w14:paraId="65F6126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CA0E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25B38E" w14:textId="77777777" w:rsidR="00000000" w:rsidRDefault="00E614A4">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14:paraId="0C662F2C" w14:textId="77777777" w:rsidR="00000000" w:rsidRDefault="00E614A4">
            <w:pPr>
              <w:jc w:val="right"/>
              <w:rPr>
                <w:rFonts w:eastAsia="Times New Roman"/>
              </w:rPr>
            </w:pPr>
            <w:r>
              <w:rPr>
                <w:rFonts w:eastAsia="Times New Roman"/>
                <w:color w:val="000000"/>
                <w:sz w:val="18"/>
                <w:szCs w:val="18"/>
              </w:rPr>
              <w:t>%</w:t>
            </w:r>
          </w:p>
        </w:tc>
      </w:tr>
      <w:tr w:rsidR="00000000" w14:paraId="7D3DD73A" w14:textId="77777777">
        <w:trPr>
          <w:divId w:val="1631276246"/>
          <w:jc w:val="center"/>
        </w:trPr>
        <w:tc>
          <w:tcPr>
            <w:tcW w:w="0" w:type="auto"/>
            <w:gridSpan w:val="3"/>
            <w:shd w:val="clear" w:color="auto" w:fill="FFFFFF"/>
            <w:tcMar>
              <w:top w:w="30" w:type="dxa"/>
              <w:left w:w="20" w:type="dxa"/>
              <w:bottom w:w="30" w:type="dxa"/>
              <w:right w:w="20" w:type="dxa"/>
            </w:tcMar>
            <w:hideMark/>
          </w:tcPr>
          <w:p w14:paraId="0CF6FD9E" w14:textId="77777777" w:rsidR="00000000" w:rsidRDefault="00E614A4">
            <w:pPr>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7A6C5FFA"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AAE1E6" w14:textId="77777777" w:rsidR="00000000" w:rsidRDefault="00E614A4">
            <w:pPr>
              <w:jc w:val="right"/>
              <w:rPr>
                <w:rFonts w:eastAsia="Times New Roman"/>
              </w:rPr>
            </w:pPr>
            <w:r>
              <w:rPr>
                <w:rFonts w:eastAsia="Times New Roman"/>
                <w:color w:val="000000"/>
                <w:sz w:val="18"/>
                <w:szCs w:val="18"/>
              </w:rPr>
              <w:t>(47,016)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A8F39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4F8AA"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145651" w14:textId="77777777" w:rsidR="00000000" w:rsidRDefault="00E614A4">
            <w:pPr>
              <w:jc w:val="right"/>
              <w:rPr>
                <w:rFonts w:eastAsia="Times New Roman"/>
              </w:rPr>
            </w:pPr>
            <w:r>
              <w:rPr>
                <w:rFonts w:eastAsia="Times New Roman"/>
                <w:color w:val="000000"/>
                <w:sz w:val="18"/>
                <w:szCs w:val="18"/>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4042F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956840E" w14:textId="77777777" w:rsidR="00000000" w:rsidRDefault="00E614A4">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14E400" w14:textId="77777777" w:rsidR="00000000" w:rsidRDefault="00E614A4">
            <w:pPr>
              <w:jc w:val="right"/>
              <w:rPr>
                <w:rFonts w:eastAsia="Times New Roman"/>
              </w:rPr>
            </w:pPr>
            <w:r>
              <w:rPr>
                <w:rFonts w:eastAsia="Times New Roman"/>
                <w:color w:val="000000"/>
                <w:sz w:val="18"/>
                <w:szCs w:val="18"/>
              </w:rPr>
              <w:t>(340,003)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7BC8D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3B43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B5AE53" w14:textId="77777777" w:rsidR="00000000" w:rsidRDefault="00E614A4">
            <w:pPr>
              <w:jc w:val="right"/>
              <w:rPr>
                <w:rFonts w:eastAsia="Times New Roman"/>
              </w:rPr>
            </w:pPr>
            <w:r>
              <w:rPr>
                <w:rFonts w:eastAsia="Times New Roman"/>
                <w:color w:val="000000"/>
                <w:sz w:val="18"/>
                <w:szCs w:val="18"/>
              </w:rPr>
              <w:t>(87.5)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ED61C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FCD9910" w14:textId="77777777" w:rsidR="00000000" w:rsidRDefault="00E614A4">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75DF5E" w14:textId="77777777" w:rsidR="00000000" w:rsidRDefault="00E614A4">
            <w:pPr>
              <w:jc w:val="right"/>
              <w:rPr>
                <w:rFonts w:eastAsia="Times New Roman"/>
              </w:rPr>
            </w:pPr>
            <w:r>
              <w:rPr>
                <w:rFonts w:eastAsia="Times New Roman"/>
                <w:color w:val="000000"/>
                <w:sz w:val="18"/>
                <w:szCs w:val="18"/>
              </w:rPr>
              <w:t>(155,562)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06E9D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5F55D"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E2A7DB" w14:textId="77777777" w:rsidR="00000000" w:rsidRDefault="00E614A4">
            <w:pPr>
              <w:jc w:val="right"/>
              <w:rPr>
                <w:rFonts w:eastAsia="Times New Roman"/>
              </w:rPr>
            </w:pPr>
            <w:r>
              <w:rPr>
                <w:rFonts w:eastAsia="Times New Roman"/>
                <w:color w:val="000000"/>
                <w:sz w:val="18"/>
                <w:szCs w:val="18"/>
              </w:rPr>
              <w:t>(37.1)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4E69CF" w14:textId="77777777" w:rsidR="00000000" w:rsidRDefault="00E614A4">
            <w:pPr>
              <w:jc w:val="right"/>
              <w:rPr>
                <w:rFonts w:eastAsia="Times New Roman"/>
              </w:rPr>
            </w:pPr>
            <w:r>
              <w:rPr>
                <w:rFonts w:eastAsia="Times New Roman"/>
                <w:color w:val="000000"/>
                <w:sz w:val="18"/>
                <w:szCs w:val="18"/>
              </w:rPr>
              <w:t>%</w:t>
            </w:r>
          </w:p>
        </w:tc>
      </w:tr>
      <w:tr w:rsidR="00000000" w14:paraId="013705DD" w14:textId="77777777">
        <w:trPr>
          <w:divId w:val="1631276246"/>
          <w:jc w:val="center"/>
        </w:trPr>
        <w:tc>
          <w:tcPr>
            <w:tcW w:w="0" w:type="auto"/>
            <w:gridSpan w:val="3"/>
            <w:shd w:val="clear" w:color="auto" w:fill="CCEEFF"/>
            <w:tcMar>
              <w:top w:w="30" w:type="dxa"/>
              <w:left w:w="20" w:type="dxa"/>
              <w:bottom w:w="30" w:type="dxa"/>
              <w:right w:w="20" w:type="dxa"/>
            </w:tcMar>
            <w:hideMark/>
          </w:tcPr>
          <w:p w14:paraId="4876D2A4" w14:textId="77777777" w:rsidR="00000000" w:rsidRDefault="00E614A4">
            <w:pPr>
              <w:rPr>
                <w:rFonts w:eastAsia="Times New Roman"/>
              </w:rPr>
            </w:pPr>
            <w:r>
              <w:rPr>
                <w:rFonts w:eastAsia="Times New Roman"/>
                <w:color w:val="000000"/>
                <w:sz w:val="18"/>
                <w:szCs w:val="18"/>
              </w:rPr>
              <w:t xml:space="preserve">Income tax (provision) benefit </w:t>
            </w:r>
          </w:p>
        </w:tc>
        <w:tc>
          <w:tcPr>
            <w:tcW w:w="0" w:type="auto"/>
            <w:gridSpan w:val="3"/>
            <w:shd w:val="clear" w:color="auto" w:fill="CCEEFF"/>
            <w:tcMar>
              <w:top w:w="0" w:type="dxa"/>
              <w:left w:w="20" w:type="dxa"/>
              <w:bottom w:w="0" w:type="dxa"/>
              <w:right w:w="20" w:type="dxa"/>
            </w:tcMar>
            <w:vAlign w:val="center"/>
            <w:hideMark/>
          </w:tcPr>
          <w:p w14:paraId="117BC01D"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85C68A" w14:textId="77777777" w:rsidR="00000000" w:rsidRDefault="00E614A4">
            <w:pPr>
              <w:jc w:val="right"/>
              <w:rPr>
                <w:rFonts w:eastAsia="Times New Roman"/>
              </w:rPr>
            </w:pPr>
            <w:r>
              <w:rPr>
                <w:rFonts w:eastAsia="Times New Roman"/>
                <w:color w:val="000000"/>
                <w:sz w:val="18"/>
                <w:szCs w:val="18"/>
              </w:rPr>
              <w:t>(902)</w:t>
            </w:r>
          </w:p>
        </w:tc>
        <w:tc>
          <w:tcPr>
            <w:tcW w:w="0" w:type="auto"/>
            <w:shd w:val="clear" w:color="auto" w:fill="CCEEFF"/>
            <w:tcMar>
              <w:top w:w="30" w:type="dxa"/>
              <w:left w:w="0" w:type="dxa"/>
              <w:bottom w:w="30" w:type="dxa"/>
              <w:right w:w="20" w:type="dxa"/>
            </w:tcMar>
            <w:vAlign w:val="bottom"/>
            <w:hideMark/>
          </w:tcPr>
          <w:p w14:paraId="4E1E8A3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8C03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E2B0DB" w14:textId="77777777" w:rsidR="00000000" w:rsidRDefault="00E614A4">
            <w:pPr>
              <w:jc w:val="right"/>
              <w:rPr>
                <w:rFonts w:eastAsia="Times New Roman"/>
              </w:rPr>
            </w:pPr>
            <w:r>
              <w:rPr>
                <w:rFonts w:eastAsia="Times New Roman"/>
                <w:color w:val="000000"/>
                <w:sz w:val="18"/>
                <w:szCs w:val="18"/>
              </w:rPr>
              <w:t>(0.3)</w:t>
            </w:r>
          </w:p>
        </w:tc>
        <w:tc>
          <w:tcPr>
            <w:tcW w:w="0" w:type="auto"/>
            <w:shd w:val="clear" w:color="auto" w:fill="CCEEFF"/>
            <w:tcMar>
              <w:top w:w="30" w:type="dxa"/>
              <w:left w:w="0" w:type="dxa"/>
              <w:bottom w:w="30" w:type="dxa"/>
              <w:right w:w="20" w:type="dxa"/>
            </w:tcMar>
            <w:vAlign w:val="bottom"/>
            <w:hideMark/>
          </w:tcPr>
          <w:p w14:paraId="0BA7A83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9ECF39D"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4A9943" w14:textId="77777777" w:rsidR="00000000" w:rsidRDefault="00E614A4">
            <w:pPr>
              <w:jc w:val="right"/>
              <w:rPr>
                <w:rFonts w:eastAsia="Times New Roman"/>
              </w:rPr>
            </w:pPr>
            <w:r>
              <w:rPr>
                <w:rFonts w:eastAsia="Times New Roman"/>
                <w:color w:val="000000"/>
                <w:sz w:val="18"/>
                <w:szCs w:val="18"/>
              </w:rPr>
              <w:t>1,007 </w:t>
            </w:r>
          </w:p>
        </w:tc>
        <w:tc>
          <w:tcPr>
            <w:tcW w:w="0" w:type="auto"/>
            <w:shd w:val="clear" w:color="auto" w:fill="CCEEFF"/>
            <w:tcMar>
              <w:top w:w="30" w:type="dxa"/>
              <w:left w:w="0" w:type="dxa"/>
              <w:bottom w:w="30" w:type="dxa"/>
              <w:right w:w="20" w:type="dxa"/>
            </w:tcMar>
            <w:vAlign w:val="bottom"/>
            <w:hideMark/>
          </w:tcPr>
          <w:p w14:paraId="12E6874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0131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486B70" w14:textId="77777777" w:rsidR="00000000" w:rsidRDefault="00E614A4">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14:paraId="384E6F9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41CE8A0"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150F00" w14:textId="77777777" w:rsidR="00000000" w:rsidRDefault="00E614A4">
            <w:pPr>
              <w:jc w:val="right"/>
              <w:rPr>
                <w:rFonts w:eastAsia="Times New Roman"/>
              </w:rPr>
            </w:pPr>
            <w:r>
              <w:rPr>
                <w:rFonts w:eastAsia="Times New Roman"/>
                <w:color w:val="000000"/>
                <w:sz w:val="18"/>
                <w:szCs w:val="18"/>
              </w:rPr>
              <w:t>(3,706)</w:t>
            </w:r>
          </w:p>
        </w:tc>
        <w:tc>
          <w:tcPr>
            <w:tcW w:w="0" w:type="auto"/>
            <w:shd w:val="clear" w:color="auto" w:fill="CCEEFF"/>
            <w:tcMar>
              <w:top w:w="30" w:type="dxa"/>
              <w:left w:w="0" w:type="dxa"/>
              <w:bottom w:w="30" w:type="dxa"/>
              <w:right w:w="20" w:type="dxa"/>
            </w:tcMar>
            <w:vAlign w:val="bottom"/>
            <w:hideMark/>
          </w:tcPr>
          <w:p w14:paraId="46ED5AC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04DB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728C58" w14:textId="77777777" w:rsidR="00000000" w:rsidRDefault="00E614A4">
            <w:pPr>
              <w:jc w:val="right"/>
              <w:rPr>
                <w:rFonts w:eastAsia="Times New Roman"/>
              </w:rPr>
            </w:pPr>
            <w:r>
              <w:rPr>
                <w:rFonts w:eastAsia="Times New Roman"/>
                <w:color w:val="000000"/>
                <w:sz w:val="18"/>
                <w:szCs w:val="18"/>
              </w:rPr>
              <w:t>(0.9)</w:t>
            </w:r>
          </w:p>
        </w:tc>
        <w:tc>
          <w:tcPr>
            <w:tcW w:w="0" w:type="auto"/>
            <w:shd w:val="clear" w:color="auto" w:fill="CCEEFF"/>
            <w:tcMar>
              <w:top w:w="30" w:type="dxa"/>
              <w:left w:w="0" w:type="dxa"/>
              <w:bottom w:w="30" w:type="dxa"/>
              <w:right w:w="20" w:type="dxa"/>
            </w:tcMar>
            <w:vAlign w:val="bottom"/>
            <w:hideMark/>
          </w:tcPr>
          <w:p w14:paraId="6B7EF983" w14:textId="77777777" w:rsidR="00000000" w:rsidRDefault="00E614A4">
            <w:pPr>
              <w:jc w:val="right"/>
              <w:rPr>
                <w:rFonts w:eastAsia="Times New Roman"/>
              </w:rPr>
            </w:pPr>
            <w:r>
              <w:rPr>
                <w:rFonts w:eastAsia="Times New Roman"/>
                <w:color w:val="000000"/>
                <w:sz w:val="18"/>
                <w:szCs w:val="18"/>
              </w:rPr>
              <w:t>%</w:t>
            </w:r>
          </w:p>
        </w:tc>
      </w:tr>
      <w:tr w:rsidR="00000000" w14:paraId="3FA7317B" w14:textId="77777777">
        <w:trPr>
          <w:divId w:val="1631276246"/>
          <w:jc w:val="center"/>
        </w:trPr>
        <w:tc>
          <w:tcPr>
            <w:tcW w:w="0" w:type="auto"/>
            <w:gridSpan w:val="3"/>
            <w:shd w:val="clear" w:color="auto" w:fill="FFFFFF"/>
            <w:tcMar>
              <w:top w:w="30" w:type="dxa"/>
              <w:left w:w="20" w:type="dxa"/>
              <w:bottom w:w="30" w:type="dxa"/>
              <w:right w:w="20" w:type="dxa"/>
            </w:tcMar>
            <w:hideMark/>
          </w:tcPr>
          <w:p w14:paraId="36E898B9" w14:textId="77777777" w:rsidR="00000000" w:rsidRDefault="00E614A4">
            <w:pPr>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1437B5D8"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47ED1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5F9274" w14:textId="77777777" w:rsidR="00000000" w:rsidRDefault="00E614A4">
            <w:pPr>
              <w:jc w:val="right"/>
              <w:rPr>
                <w:rFonts w:eastAsia="Times New Roman"/>
              </w:rPr>
            </w:pPr>
            <w:r>
              <w:rPr>
                <w:rFonts w:eastAsia="Times New Roman"/>
                <w:color w:val="000000"/>
                <w:sz w:val="18"/>
                <w:szCs w:val="18"/>
              </w:rPr>
              <w:t>(47,918)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8232B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0C118"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5C8020" w14:textId="77777777" w:rsidR="00000000" w:rsidRDefault="00E614A4">
            <w:pPr>
              <w:jc w:val="right"/>
              <w:rPr>
                <w:rFonts w:eastAsia="Times New Roman"/>
              </w:rPr>
            </w:pPr>
            <w:r>
              <w:rPr>
                <w:rFonts w:eastAsia="Times New Roman"/>
                <w:color w:val="000000"/>
                <w:sz w:val="18"/>
                <w:szCs w:val="18"/>
              </w:rPr>
              <w:t>(13.5)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AC0D4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F85A1AD"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9837A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9ABD6E" w14:textId="77777777" w:rsidR="00000000" w:rsidRDefault="00E614A4">
            <w:pPr>
              <w:jc w:val="right"/>
              <w:rPr>
                <w:rFonts w:eastAsia="Times New Roman"/>
              </w:rPr>
            </w:pPr>
            <w:r>
              <w:rPr>
                <w:rFonts w:eastAsia="Times New Roman"/>
                <w:color w:val="000000"/>
                <w:sz w:val="18"/>
                <w:szCs w:val="18"/>
              </w:rPr>
              <w:t>(338,996)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6209A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99D64"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B7EEF9" w14:textId="77777777" w:rsidR="00000000" w:rsidRDefault="00E614A4">
            <w:pPr>
              <w:jc w:val="right"/>
              <w:rPr>
                <w:rFonts w:eastAsia="Times New Roman"/>
              </w:rPr>
            </w:pPr>
            <w:r>
              <w:rPr>
                <w:rFonts w:eastAsia="Times New Roman"/>
                <w:color w:val="000000"/>
                <w:sz w:val="18"/>
                <w:szCs w:val="18"/>
              </w:rPr>
              <w:t>(87.2)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57CB02"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13CBA5"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782A1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F3BA8D" w14:textId="77777777" w:rsidR="00000000" w:rsidRDefault="00E614A4">
            <w:pPr>
              <w:jc w:val="right"/>
              <w:rPr>
                <w:rFonts w:eastAsia="Times New Roman"/>
              </w:rPr>
            </w:pPr>
            <w:r>
              <w:rPr>
                <w:rFonts w:eastAsia="Times New Roman"/>
                <w:color w:val="000000"/>
                <w:sz w:val="18"/>
                <w:szCs w:val="18"/>
              </w:rPr>
              <w:t>(159,268)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48995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FDB59"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FED460" w14:textId="77777777" w:rsidR="00000000" w:rsidRDefault="00E614A4">
            <w:pPr>
              <w:jc w:val="right"/>
              <w:rPr>
                <w:rFonts w:eastAsia="Times New Roman"/>
              </w:rPr>
            </w:pPr>
            <w:r>
              <w:rPr>
                <w:rFonts w:eastAsia="Times New Roman"/>
                <w:color w:val="000000"/>
                <w:sz w:val="18"/>
                <w:szCs w:val="18"/>
              </w:rPr>
              <w:t>(38.0)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264810" w14:textId="77777777" w:rsidR="00000000" w:rsidRDefault="00E614A4">
            <w:pPr>
              <w:jc w:val="right"/>
              <w:rPr>
                <w:rFonts w:eastAsia="Times New Roman"/>
              </w:rPr>
            </w:pPr>
            <w:r>
              <w:rPr>
                <w:rFonts w:eastAsia="Times New Roman"/>
                <w:color w:val="000000"/>
                <w:sz w:val="18"/>
                <w:szCs w:val="18"/>
              </w:rPr>
              <w:t>%</w:t>
            </w:r>
          </w:p>
        </w:tc>
      </w:tr>
    </w:tbl>
    <w:p w14:paraId="0C2200D9" w14:textId="77777777" w:rsidR="00000000" w:rsidRDefault="00E614A4">
      <w:pPr>
        <w:jc w:val="both"/>
        <w:divId w:val="1467770336"/>
        <w:rPr>
          <w:rFonts w:eastAsia="Times New Roman"/>
        </w:rPr>
      </w:pPr>
    </w:p>
    <w:p w14:paraId="0F872B0C" w14:textId="77777777" w:rsidR="00000000" w:rsidRDefault="00E614A4">
      <w:pPr>
        <w:jc w:val="center"/>
        <w:divId w:val="1528568650"/>
        <w:rPr>
          <w:rFonts w:eastAsia="Times New Roman"/>
        </w:rPr>
      </w:pPr>
      <w:r>
        <w:rPr>
          <w:rFonts w:eastAsia="Times New Roman"/>
          <w:color w:val="000000"/>
          <w:sz w:val="20"/>
          <w:szCs w:val="20"/>
        </w:rPr>
        <w:t>35</w:t>
      </w:r>
    </w:p>
    <w:p w14:paraId="4F8B3743" w14:textId="77777777" w:rsidR="00000000" w:rsidRDefault="00E614A4">
      <w:pPr>
        <w:rPr>
          <w:rFonts w:eastAsia="Times New Roman"/>
        </w:rPr>
      </w:pPr>
      <w:r>
        <w:rPr>
          <w:rFonts w:eastAsia="Times New Roman"/>
        </w:rPr>
        <w:pict w14:anchorId="3DAAD27B">
          <v:rect id="_x0000_i1063" style="width:0;height:1.5pt" o:hralign="center" o:hrstd="t" o:hr="t" fillcolor="#a0a0a0" stroked="f"/>
        </w:pict>
      </w:r>
    </w:p>
    <w:p w14:paraId="2AD3DF41" w14:textId="77777777" w:rsidR="00000000" w:rsidRDefault="00E614A4">
      <w:pPr>
        <w:divId w:val="129972045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D289942" w14:textId="77777777" w:rsidR="00000000" w:rsidRDefault="00E614A4">
      <w:pPr>
        <w:divId w:val="906114486"/>
        <w:rPr>
          <w:rFonts w:eastAsia="Times New Roman"/>
        </w:rPr>
      </w:pPr>
    </w:p>
    <w:p w14:paraId="398C27E2" w14:textId="77777777" w:rsidR="00000000" w:rsidRDefault="00E614A4">
      <w:pPr>
        <w:jc w:val="both"/>
        <w:divId w:val="1568763368"/>
        <w:rPr>
          <w:rFonts w:eastAsia="Times New Roman"/>
        </w:rPr>
      </w:pPr>
      <w:r>
        <w:rPr>
          <w:rFonts w:eastAsia="Times New Roman"/>
          <w:b/>
          <w:bCs/>
          <w:i/>
          <w:iCs/>
          <w:color w:val="000000"/>
          <w:sz w:val="20"/>
          <w:szCs w:val="20"/>
        </w:rPr>
        <w:t>Revenues</w:t>
      </w:r>
    </w:p>
    <w:p w14:paraId="50E2D7B3" w14:textId="77777777" w:rsidR="00000000" w:rsidRDefault="00E614A4">
      <w:pPr>
        <w:jc w:val="both"/>
        <w:divId w:val="348407583"/>
        <w:rPr>
          <w:rFonts w:eastAsia="Times New Roman"/>
        </w:rPr>
      </w:pPr>
      <w:r>
        <w:rPr>
          <w:rFonts w:eastAsia="Times New Roman"/>
          <w:color w:val="000000"/>
          <w:sz w:val="20"/>
          <w:szCs w:val="20"/>
        </w:rPr>
        <w:t>Our products and services are organized around solution groups that address customer needs. We evaluate revenues around three solution groups:</w:t>
      </w:r>
    </w:p>
    <w:p w14:paraId="2979DCA0" w14:textId="77777777" w:rsidR="00000000" w:rsidRDefault="00E614A4">
      <w:pPr>
        <w:ind w:hanging="360"/>
        <w:jc w:val="both"/>
        <w:divId w:val="234172626"/>
        <w:rPr>
          <w:rFonts w:eastAsia="Times New Roman"/>
        </w:rPr>
      </w:pPr>
      <w:r>
        <w:rPr>
          <w:rFonts w:eastAsia="Times New Roman"/>
          <w:color w:val="000000"/>
          <w:sz w:val="20"/>
          <w:szCs w:val="20"/>
        </w:rPr>
        <w:t>•Ratings and Planning provides measurement of the behavior and characteristics of audiences of content and advert</w:t>
      </w:r>
      <w:r>
        <w:rPr>
          <w:rFonts w:eastAsia="Times New Roman"/>
          <w:color w:val="000000"/>
          <w:sz w:val="20"/>
          <w:szCs w:val="20"/>
        </w:rPr>
        <w:t>ising, across television and digital platforms including connected (Smart) televisions, computers, tablets, mobile devices, and other connected devices. These products and services are designed to help customers find the most relevant viewing audience, whe</w:t>
      </w:r>
      <w:r>
        <w:rPr>
          <w:rFonts w:eastAsia="Times New Roman"/>
          <w:color w:val="000000"/>
          <w:sz w:val="20"/>
          <w:szCs w:val="20"/>
        </w:rPr>
        <w:t xml:space="preserve">ther that viewing is linear, non-linear, online or on-demand. </w:t>
      </w:r>
    </w:p>
    <w:p w14:paraId="43119D7F" w14:textId="77777777" w:rsidR="00000000" w:rsidRDefault="00E614A4">
      <w:pPr>
        <w:ind w:hanging="360"/>
        <w:jc w:val="both"/>
        <w:divId w:val="1907378819"/>
        <w:rPr>
          <w:rFonts w:eastAsia="Times New Roman"/>
        </w:rPr>
      </w:pPr>
      <w:r>
        <w:rPr>
          <w:rFonts w:eastAsia="Times New Roman"/>
          <w:color w:val="000000"/>
          <w:sz w:val="20"/>
          <w:szCs w:val="20"/>
        </w:rPr>
        <w:t>•</w:t>
      </w:r>
      <w:r>
        <w:rPr>
          <w:rFonts w:eastAsia="Times New Roman"/>
          <w:color w:val="000000"/>
          <w:sz w:val="20"/>
          <w:szCs w:val="20"/>
        </w:rPr>
        <w:t xml:space="preserve">Analytics and Optimization includes custom solutions, activation, lift and survey-based products that provide end-to-end solutions for planning, optimization and evaluation of advertising campaigns and brand protection. </w:t>
      </w:r>
    </w:p>
    <w:p w14:paraId="15D3F3E5" w14:textId="77777777" w:rsidR="00000000" w:rsidRDefault="00E614A4">
      <w:pPr>
        <w:ind w:hanging="360"/>
        <w:jc w:val="both"/>
        <w:divId w:val="686366462"/>
        <w:rPr>
          <w:rFonts w:eastAsia="Times New Roman"/>
        </w:rPr>
      </w:pPr>
      <w:r>
        <w:rPr>
          <w:rFonts w:eastAsia="Times New Roman"/>
          <w:color w:val="000000"/>
          <w:sz w:val="20"/>
          <w:szCs w:val="20"/>
        </w:rPr>
        <w:t>•Movies Reporting and Analytics mea</w:t>
      </w:r>
      <w:r>
        <w:rPr>
          <w:rFonts w:eastAsia="Times New Roman"/>
          <w:color w:val="000000"/>
          <w:sz w:val="20"/>
          <w:szCs w:val="20"/>
        </w:rPr>
        <w:t>sures movie viewership and box office results by capturing movie ticket sales in real time or near real time and includes box office analytics, trend analysis and insights for movie studios and movie theater operators worldwide.</w:t>
      </w:r>
    </w:p>
    <w:p w14:paraId="7F405B19" w14:textId="77777777" w:rsidR="00000000" w:rsidRDefault="00E614A4">
      <w:pPr>
        <w:jc w:val="both"/>
        <w:divId w:val="93092968"/>
        <w:rPr>
          <w:rFonts w:eastAsia="Times New Roman"/>
        </w:rPr>
      </w:pPr>
      <w:r>
        <w:rPr>
          <w:rFonts w:eastAsia="Times New Roman"/>
          <w:color w:val="000000"/>
          <w:sz w:val="20"/>
          <w:szCs w:val="20"/>
        </w:rPr>
        <w:t>We categorize our revenue a</w:t>
      </w:r>
      <w:r>
        <w:rPr>
          <w:rFonts w:eastAsia="Times New Roman"/>
          <w:color w:val="000000"/>
          <w:sz w:val="20"/>
          <w:szCs w:val="20"/>
        </w:rPr>
        <w:t>long these solution groups; however, our cost structure is tracked at the corporate level and not by our solution groups. These costs include, but are not limited to employee costs, purchased data, operational overhead, data storage and technology that sup</w:t>
      </w:r>
      <w:r>
        <w:rPr>
          <w:rFonts w:eastAsia="Times New Roman"/>
          <w:color w:val="000000"/>
          <w:sz w:val="20"/>
          <w:szCs w:val="20"/>
        </w:rPr>
        <w:t>ports multiple solution groups.</w:t>
      </w:r>
    </w:p>
    <w:p w14:paraId="62F3D626" w14:textId="77777777" w:rsidR="00000000" w:rsidRDefault="00E614A4">
      <w:pPr>
        <w:jc w:val="both"/>
        <w:divId w:val="1517111595"/>
        <w:rPr>
          <w:rFonts w:eastAsia="Times New Roman"/>
        </w:rPr>
      </w:pPr>
      <w:r>
        <w:rPr>
          <w:rFonts w:eastAsia="Times New Roman"/>
          <w:color w:val="000000"/>
          <w:sz w:val="20"/>
          <w:szCs w:val="20"/>
        </w:rPr>
        <w:t>Revenues for the years ended December 31, 2020 and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660"/>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27FD7C77" w14:textId="77777777">
        <w:trPr>
          <w:divId w:val="1231842976"/>
        </w:trPr>
        <w:tc>
          <w:tcPr>
            <w:tcW w:w="50" w:type="pct"/>
            <w:vAlign w:val="center"/>
            <w:hideMark/>
          </w:tcPr>
          <w:p w14:paraId="3F6B6A9D" w14:textId="77777777" w:rsidR="00000000" w:rsidRDefault="00E614A4">
            <w:pPr>
              <w:jc w:val="both"/>
              <w:rPr>
                <w:rFonts w:eastAsia="Times New Roman"/>
              </w:rPr>
            </w:pPr>
          </w:p>
        </w:tc>
        <w:tc>
          <w:tcPr>
            <w:tcW w:w="1681" w:type="pct"/>
            <w:vAlign w:val="center"/>
            <w:hideMark/>
          </w:tcPr>
          <w:p w14:paraId="16E5D7B6" w14:textId="77777777" w:rsidR="00000000" w:rsidRDefault="00E614A4">
            <w:pPr>
              <w:rPr>
                <w:rFonts w:eastAsia="Times New Roman"/>
                <w:sz w:val="20"/>
                <w:szCs w:val="20"/>
              </w:rPr>
            </w:pPr>
          </w:p>
        </w:tc>
        <w:tc>
          <w:tcPr>
            <w:tcW w:w="5" w:type="pct"/>
            <w:vAlign w:val="center"/>
            <w:hideMark/>
          </w:tcPr>
          <w:p w14:paraId="0A913052" w14:textId="77777777" w:rsidR="00000000" w:rsidRDefault="00E614A4">
            <w:pPr>
              <w:rPr>
                <w:rFonts w:eastAsia="Times New Roman"/>
                <w:sz w:val="20"/>
                <w:szCs w:val="20"/>
              </w:rPr>
            </w:pPr>
          </w:p>
        </w:tc>
        <w:tc>
          <w:tcPr>
            <w:tcW w:w="50" w:type="pct"/>
            <w:vAlign w:val="center"/>
            <w:hideMark/>
          </w:tcPr>
          <w:p w14:paraId="7EF76D09" w14:textId="77777777" w:rsidR="00000000" w:rsidRDefault="00E614A4">
            <w:pPr>
              <w:rPr>
                <w:rFonts w:eastAsia="Times New Roman"/>
                <w:sz w:val="20"/>
                <w:szCs w:val="20"/>
              </w:rPr>
            </w:pPr>
          </w:p>
        </w:tc>
        <w:tc>
          <w:tcPr>
            <w:tcW w:w="465" w:type="pct"/>
            <w:vAlign w:val="center"/>
            <w:hideMark/>
          </w:tcPr>
          <w:p w14:paraId="751EFBC3" w14:textId="77777777" w:rsidR="00000000" w:rsidRDefault="00E614A4">
            <w:pPr>
              <w:rPr>
                <w:rFonts w:eastAsia="Times New Roman"/>
                <w:sz w:val="20"/>
                <w:szCs w:val="20"/>
              </w:rPr>
            </w:pPr>
          </w:p>
        </w:tc>
        <w:tc>
          <w:tcPr>
            <w:tcW w:w="5" w:type="pct"/>
            <w:vAlign w:val="center"/>
            <w:hideMark/>
          </w:tcPr>
          <w:p w14:paraId="40AD4DAB" w14:textId="77777777" w:rsidR="00000000" w:rsidRDefault="00E614A4">
            <w:pPr>
              <w:rPr>
                <w:rFonts w:eastAsia="Times New Roman"/>
                <w:sz w:val="20"/>
                <w:szCs w:val="20"/>
              </w:rPr>
            </w:pPr>
          </w:p>
        </w:tc>
        <w:tc>
          <w:tcPr>
            <w:tcW w:w="5" w:type="pct"/>
            <w:vAlign w:val="center"/>
            <w:hideMark/>
          </w:tcPr>
          <w:p w14:paraId="53896D44" w14:textId="77777777" w:rsidR="00000000" w:rsidRDefault="00E614A4">
            <w:pPr>
              <w:rPr>
                <w:rFonts w:eastAsia="Times New Roman"/>
                <w:sz w:val="20"/>
                <w:szCs w:val="20"/>
              </w:rPr>
            </w:pPr>
          </w:p>
        </w:tc>
        <w:tc>
          <w:tcPr>
            <w:tcW w:w="17" w:type="pct"/>
            <w:vAlign w:val="center"/>
            <w:hideMark/>
          </w:tcPr>
          <w:p w14:paraId="5A31A2DE" w14:textId="77777777" w:rsidR="00000000" w:rsidRDefault="00E614A4">
            <w:pPr>
              <w:rPr>
                <w:rFonts w:eastAsia="Times New Roman"/>
                <w:sz w:val="20"/>
                <w:szCs w:val="20"/>
              </w:rPr>
            </w:pPr>
          </w:p>
        </w:tc>
        <w:tc>
          <w:tcPr>
            <w:tcW w:w="5" w:type="pct"/>
            <w:vAlign w:val="center"/>
            <w:hideMark/>
          </w:tcPr>
          <w:p w14:paraId="3D41FE55" w14:textId="77777777" w:rsidR="00000000" w:rsidRDefault="00E614A4">
            <w:pPr>
              <w:rPr>
                <w:rFonts w:eastAsia="Times New Roman"/>
                <w:sz w:val="20"/>
                <w:szCs w:val="20"/>
              </w:rPr>
            </w:pPr>
          </w:p>
        </w:tc>
        <w:tc>
          <w:tcPr>
            <w:tcW w:w="50" w:type="pct"/>
            <w:vAlign w:val="center"/>
            <w:hideMark/>
          </w:tcPr>
          <w:p w14:paraId="27C6DAFF" w14:textId="77777777" w:rsidR="00000000" w:rsidRDefault="00E614A4">
            <w:pPr>
              <w:rPr>
                <w:rFonts w:eastAsia="Times New Roman"/>
                <w:sz w:val="20"/>
                <w:szCs w:val="20"/>
              </w:rPr>
            </w:pPr>
          </w:p>
        </w:tc>
        <w:tc>
          <w:tcPr>
            <w:tcW w:w="465" w:type="pct"/>
            <w:vAlign w:val="center"/>
            <w:hideMark/>
          </w:tcPr>
          <w:p w14:paraId="12CC337E" w14:textId="77777777" w:rsidR="00000000" w:rsidRDefault="00E614A4">
            <w:pPr>
              <w:rPr>
                <w:rFonts w:eastAsia="Times New Roman"/>
                <w:sz w:val="20"/>
                <w:szCs w:val="20"/>
              </w:rPr>
            </w:pPr>
          </w:p>
        </w:tc>
        <w:tc>
          <w:tcPr>
            <w:tcW w:w="5" w:type="pct"/>
            <w:vAlign w:val="center"/>
            <w:hideMark/>
          </w:tcPr>
          <w:p w14:paraId="3EE02DDC" w14:textId="77777777" w:rsidR="00000000" w:rsidRDefault="00E614A4">
            <w:pPr>
              <w:rPr>
                <w:rFonts w:eastAsia="Times New Roman"/>
                <w:sz w:val="20"/>
                <w:szCs w:val="20"/>
              </w:rPr>
            </w:pPr>
          </w:p>
        </w:tc>
        <w:tc>
          <w:tcPr>
            <w:tcW w:w="5" w:type="pct"/>
            <w:vAlign w:val="center"/>
            <w:hideMark/>
          </w:tcPr>
          <w:p w14:paraId="394C1688" w14:textId="77777777" w:rsidR="00000000" w:rsidRDefault="00E614A4">
            <w:pPr>
              <w:rPr>
                <w:rFonts w:eastAsia="Times New Roman"/>
                <w:sz w:val="20"/>
                <w:szCs w:val="20"/>
              </w:rPr>
            </w:pPr>
          </w:p>
        </w:tc>
        <w:tc>
          <w:tcPr>
            <w:tcW w:w="17" w:type="pct"/>
            <w:vAlign w:val="center"/>
            <w:hideMark/>
          </w:tcPr>
          <w:p w14:paraId="37092F6E" w14:textId="77777777" w:rsidR="00000000" w:rsidRDefault="00E614A4">
            <w:pPr>
              <w:rPr>
                <w:rFonts w:eastAsia="Times New Roman"/>
                <w:sz w:val="20"/>
                <w:szCs w:val="20"/>
              </w:rPr>
            </w:pPr>
          </w:p>
        </w:tc>
        <w:tc>
          <w:tcPr>
            <w:tcW w:w="5" w:type="pct"/>
            <w:vAlign w:val="center"/>
            <w:hideMark/>
          </w:tcPr>
          <w:p w14:paraId="766D687F" w14:textId="77777777" w:rsidR="00000000" w:rsidRDefault="00E614A4">
            <w:pPr>
              <w:rPr>
                <w:rFonts w:eastAsia="Times New Roman"/>
                <w:sz w:val="20"/>
                <w:szCs w:val="20"/>
              </w:rPr>
            </w:pPr>
          </w:p>
        </w:tc>
        <w:tc>
          <w:tcPr>
            <w:tcW w:w="50" w:type="pct"/>
            <w:vAlign w:val="center"/>
            <w:hideMark/>
          </w:tcPr>
          <w:p w14:paraId="5E4ED2A9" w14:textId="77777777" w:rsidR="00000000" w:rsidRDefault="00E614A4">
            <w:pPr>
              <w:rPr>
                <w:rFonts w:eastAsia="Times New Roman"/>
                <w:sz w:val="20"/>
                <w:szCs w:val="20"/>
              </w:rPr>
            </w:pPr>
          </w:p>
        </w:tc>
        <w:tc>
          <w:tcPr>
            <w:tcW w:w="465" w:type="pct"/>
            <w:vAlign w:val="center"/>
            <w:hideMark/>
          </w:tcPr>
          <w:p w14:paraId="10F4876C" w14:textId="77777777" w:rsidR="00000000" w:rsidRDefault="00E614A4">
            <w:pPr>
              <w:rPr>
                <w:rFonts w:eastAsia="Times New Roman"/>
                <w:sz w:val="20"/>
                <w:szCs w:val="20"/>
              </w:rPr>
            </w:pPr>
          </w:p>
        </w:tc>
        <w:tc>
          <w:tcPr>
            <w:tcW w:w="5" w:type="pct"/>
            <w:vAlign w:val="center"/>
            <w:hideMark/>
          </w:tcPr>
          <w:p w14:paraId="0FFBEE8A" w14:textId="77777777" w:rsidR="00000000" w:rsidRDefault="00E614A4">
            <w:pPr>
              <w:rPr>
                <w:rFonts w:eastAsia="Times New Roman"/>
                <w:sz w:val="20"/>
                <w:szCs w:val="20"/>
              </w:rPr>
            </w:pPr>
          </w:p>
        </w:tc>
        <w:tc>
          <w:tcPr>
            <w:tcW w:w="5" w:type="pct"/>
            <w:vAlign w:val="center"/>
            <w:hideMark/>
          </w:tcPr>
          <w:p w14:paraId="4EFACF5E" w14:textId="77777777" w:rsidR="00000000" w:rsidRDefault="00E614A4">
            <w:pPr>
              <w:rPr>
                <w:rFonts w:eastAsia="Times New Roman"/>
                <w:sz w:val="20"/>
                <w:szCs w:val="20"/>
              </w:rPr>
            </w:pPr>
          </w:p>
        </w:tc>
        <w:tc>
          <w:tcPr>
            <w:tcW w:w="17" w:type="pct"/>
            <w:vAlign w:val="center"/>
            <w:hideMark/>
          </w:tcPr>
          <w:p w14:paraId="06F21B93" w14:textId="77777777" w:rsidR="00000000" w:rsidRDefault="00E614A4">
            <w:pPr>
              <w:rPr>
                <w:rFonts w:eastAsia="Times New Roman"/>
                <w:sz w:val="20"/>
                <w:szCs w:val="20"/>
              </w:rPr>
            </w:pPr>
          </w:p>
        </w:tc>
        <w:tc>
          <w:tcPr>
            <w:tcW w:w="5" w:type="pct"/>
            <w:vAlign w:val="center"/>
            <w:hideMark/>
          </w:tcPr>
          <w:p w14:paraId="11188263" w14:textId="77777777" w:rsidR="00000000" w:rsidRDefault="00E614A4">
            <w:pPr>
              <w:rPr>
                <w:rFonts w:eastAsia="Times New Roman"/>
                <w:sz w:val="20"/>
                <w:szCs w:val="20"/>
              </w:rPr>
            </w:pPr>
          </w:p>
        </w:tc>
        <w:tc>
          <w:tcPr>
            <w:tcW w:w="50" w:type="pct"/>
            <w:vAlign w:val="center"/>
            <w:hideMark/>
          </w:tcPr>
          <w:p w14:paraId="744EDB57" w14:textId="77777777" w:rsidR="00000000" w:rsidRDefault="00E614A4">
            <w:pPr>
              <w:rPr>
                <w:rFonts w:eastAsia="Times New Roman"/>
                <w:sz w:val="20"/>
                <w:szCs w:val="20"/>
              </w:rPr>
            </w:pPr>
          </w:p>
        </w:tc>
        <w:tc>
          <w:tcPr>
            <w:tcW w:w="465" w:type="pct"/>
            <w:vAlign w:val="center"/>
            <w:hideMark/>
          </w:tcPr>
          <w:p w14:paraId="10418E79" w14:textId="77777777" w:rsidR="00000000" w:rsidRDefault="00E614A4">
            <w:pPr>
              <w:rPr>
                <w:rFonts w:eastAsia="Times New Roman"/>
                <w:sz w:val="20"/>
                <w:szCs w:val="20"/>
              </w:rPr>
            </w:pPr>
          </w:p>
        </w:tc>
        <w:tc>
          <w:tcPr>
            <w:tcW w:w="5" w:type="pct"/>
            <w:vAlign w:val="center"/>
            <w:hideMark/>
          </w:tcPr>
          <w:p w14:paraId="3E0360CB" w14:textId="77777777" w:rsidR="00000000" w:rsidRDefault="00E614A4">
            <w:pPr>
              <w:rPr>
                <w:rFonts w:eastAsia="Times New Roman"/>
                <w:sz w:val="20"/>
                <w:szCs w:val="20"/>
              </w:rPr>
            </w:pPr>
          </w:p>
        </w:tc>
        <w:tc>
          <w:tcPr>
            <w:tcW w:w="5" w:type="pct"/>
            <w:vAlign w:val="center"/>
            <w:hideMark/>
          </w:tcPr>
          <w:p w14:paraId="22A5255D" w14:textId="77777777" w:rsidR="00000000" w:rsidRDefault="00E614A4">
            <w:pPr>
              <w:rPr>
                <w:rFonts w:eastAsia="Times New Roman"/>
                <w:sz w:val="20"/>
                <w:szCs w:val="20"/>
              </w:rPr>
            </w:pPr>
          </w:p>
        </w:tc>
        <w:tc>
          <w:tcPr>
            <w:tcW w:w="17" w:type="pct"/>
            <w:vAlign w:val="center"/>
            <w:hideMark/>
          </w:tcPr>
          <w:p w14:paraId="34971D8E" w14:textId="77777777" w:rsidR="00000000" w:rsidRDefault="00E614A4">
            <w:pPr>
              <w:rPr>
                <w:rFonts w:eastAsia="Times New Roman"/>
                <w:sz w:val="20"/>
                <w:szCs w:val="20"/>
              </w:rPr>
            </w:pPr>
          </w:p>
        </w:tc>
        <w:tc>
          <w:tcPr>
            <w:tcW w:w="5" w:type="pct"/>
            <w:vAlign w:val="center"/>
            <w:hideMark/>
          </w:tcPr>
          <w:p w14:paraId="24558FFA" w14:textId="77777777" w:rsidR="00000000" w:rsidRDefault="00E614A4">
            <w:pPr>
              <w:rPr>
                <w:rFonts w:eastAsia="Times New Roman"/>
                <w:sz w:val="20"/>
                <w:szCs w:val="20"/>
              </w:rPr>
            </w:pPr>
          </w:p>
        </w:tc>
        <w:tc>
          <w:tcPr>
            <w:tcW w:w="50" w:type="pct"/>
            <w:vAlign w:val="center"/>
            <w:hideMark/>
          </w:tcPr>
          <w:p w14:paraId="018136ED" w14:textId="77777777" w:rsidR="00000000" w:rsidRDefault="00E614A4">
            <w:pPr>
              <w:rPr>
                <w:rFonts w:eastAsia="Times New Roman"/>
                <w:sz w:val="20"/>
                <w:szCs w:val="20"/>
              </w:rPr>
            </w:pPr>
          </w:p>
        </w:tc>
        <w:tc>
          <w:tcPr>
            <w:tcW w:w="465" w:type="pct"/>
            <w:vAlign w:val="center"/>
            <w:hideMark/>
          </w:tcPr>
          <w:p w14:paraId="5524D20D" w14:textId="77777777" w:rsidR="00000000" w:rsidRDefault="00E614A4">
            <w:pPr>
              <w:rPr>
                <w:rFonts w:eastAsia="Times New Roman"/>
                <w:sz w:val="20"/>
                <w:szCs w:val="20"/>
              </w:rPr>
            </w:pPr>
          </w:p>
        </w:tc>
        <w:tc>
          <w:tcPr>
            <w:tcW w:w="5" w:type="pct"/>
            <w:vAlign w:val="center"/>
            <w:hideMark/>
          </w:tcPr>
          <w:p w14:paraId="009B2028" w14:textId="77777777" w:rsidR="00000000" w:rsidRDefault="00E614A4">
            <w:pPr>
              <w:rPr>
                <w:rFonts w:eastAsia="Times New Roman"/>
                <w:sz w:val="20"/>
                <w:szCs w:val="20"/>
              </w:rPr>
            </w:pPr>
          </w:p>
        </w:tc>
        <w:tc>
          <w:tcPr>
            <w:tcW w:w="5" w:type="pct"/>
            <w:vAlign w:val="center"/>
            <w:hideMark/>
          </w:tcPr>
          <w:p w14:paraId="5A2D5EE5" w14:textId="77777777" w:rsidR="00000000" w:rsidRDefault="00E614A4">
            <w:pPr>
              <w:rPr>
                <w:rFonts w:eastAsia="Times New Roman"/>
                <w:sz w:val="20"/>
                <w:szCs w:val="20"/>
              </w:rPr>
            </w:pPr>
          </w:p>
        </w:tc>
        <w:tc>
          <w:tcPr>
            <w:tcW w:w="17" w:type="pct"/>
            <w:vAlign w:val="center"/>
            <w:hideMark/>
          </w:tcPr>
          <w:p w14:paraId="199E5228" w14:textId="77777777" w:rsidR="00000000" w:rsidRDefault="00E614A4">
            <w:pPr>
              <w:rPr>
                <w:rFonts w:eastAsia="Times New Roman"/>
                <w:sz w:val="20"/>
                <w:szCs w:val="20"/>
              </w:rPr>
            </w:pPr>
          </w:p>
        </w:tc>
        <w:tc>
          <w:tcPr>
            <w:tcW w:w="5" w:type="pct"/>
            <w:vAlign w:val="center"/>
            <w:hideMark/>
          </w:tcPr>
          <w:p w14:paraId="69C29B1A" w14:textId="77777777" w:rsidR="00000000" w:rsidRDefault="00E614A4">
            <w:pPr>
              <w:rPr>
                <w:rFonts w:eastAsia="Times New Roman"/>
                <w:sz w:val="20"/>
                <w:szCs w:val="20"/>
              </w:rPr>
            </w:pPr>
          </w:p>
        </w:tc>
        <w:tc>
          <w:tcPr>
            <w:tcW w:w="50" w:type="pct"/>
            <w:vAlign w:val="center"/>
            <w:hideMark/>
          </w:tcPr>
          <w:p w14:paraId="69C514BA" w14:textId="77777777" w:rsidR="00000000" w:rsidRDefault="00E614A4">
            <w:pPr>
              <w:rPr>
                <w:rFonts w:eastAsia="Times New Roman"/>
                <w:sz w:val="20"/>
                <w:szCs w:val="20"/>
              </w:rPr>
            </w:pPr>
          </w:p>
        </w:tc>
        <w:tc>
          <w:tcPr>
            <w:tcW w:w="466" w:type="pct"/>
            <w:vAlign w:val="center"/>
            <w:hideMark/>
          </w:tcPr>
          <w:p w14:paraId="48B90D12" w14:textId="77777777" w:rsidR="00000000" w:rsidRDefault="00E614A4">
            <w:pPr>
              <w:rPr>
                <w:rFonts w:eastAsia="Times New Roman"/>
                <w:sz w:val="20"/>
                <w:szCs w:val="20"/>
              </w:rPr>
            </w:pPr>
          </w:p>
        </w:tc>
        <w:tc>
          <w:tcPr>
            <w:tcW w:w="5" w:type="pct"/>
            <w:vAlign w:val="center"/>
            <w:hideMark/>
          </w:tcPr>
          <w:p w14:paraId="7E373BC9" w14:textId="77777777" w:rsidR="00000000" w:rsidRDefault="00E614A4">
            <w:pPr>
              <w:rPr>
                <w:rFonts w:eastAsia="Times New Roman"/>
                <w:sz w:val="20"/>
                <w:szCs w:val="20"/>
              </w:rPr>
            </w:pPr>
          </w:p>
        </w:tc>
      </w:tr>
      <w:tr w:rsidR="00000000" w14:paraId="16C6D89E" w14:textId="77777777">
        <w:trPr>
          <w:divId w:val="1231842976"/>
        </w:trPr>
        <w:tc>
          <w:tcPr>
            <w:tcW w:w="0" w:type="auto"/>
            <w:gridSpan w:val="3"/>
            <w:tcMar>
              <w:top w:w="30" w:type="dxa"/>
              <w:left w:w="20" w:type="dxa"/>
              <w:bottom w:w="30" w:type="dxa"/>
              <w:right w:w="20" w:type="dxa"/>
            </w:tcMar>
            <w:vAlign w:val="bottom"/>
            <w:hideMark/>
          </w:tcPr>
          <w:p w14:paraId="429CB12E" w14:textId="77777777" w:rsidR="00000000" w:rsidRDefault="00E614A4">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14:paraId="10460449"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691F1E70"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69DF982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1DE39B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557DD06" w14:textId="77777777" w:rsidR="00000000" w:rsidRDefault="00E614A4">
            <w:pPr>
              <w:rPr>
                <w:rFonts w:eastAsia="Times New Roman"/>
                <w:sz w:val="20"/>
                <w:szCs w:val="20"/>
              </w:rPr>
            </w:pPr>
          </w:p>
        </w:tc>
      </w:tr>
      <w:tr w:rsidR="00000000" w14:paraId="72057423" w14:textId="77777777">
        <w:trPr>
          <w:divId w:val="1231842976"/>
        </w:trPr>
        <w:tc>
          <w:tcPr>
            <w:tcW w:w="0" w:type="auto"/>
            <w:gridSpan w:val="3"/>
            <w:tcMar>
              <w:top w:w="30" w:type="dxa"/>
              <w:left w:w="20" w:type="dxa"/>
              <w:bottom w:w="30" w:type="dxa"/>
              <w:right w:w="20" w:type="dxa"/>
            </w:tcMar>
            <w:vAlign w:val="bottom"/>
            <w:hideMark/>
          </w:tcPr>
          <w:p w14:paraId="6570EA08"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37CF1D6F"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FA8EDB7"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B43669"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52982512"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D315F5"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09FE197F"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24C72B"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41F9B901"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243B22EC"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0BB77D1F"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1947C962" w14:textId="77777777" w:rsidR="00000000" w:rsidRDefault="00E614A4">
            <w:pPr>
              <w:jc w:val="center"/>
              <w:rPr>
                <w:rFonts w:eastAsia="Times New Roman"/>
              </w:rPr>
            </w:pPr>
            <w:r>
              <w:rPr>
                <w:rFonts w:eastAsia="Times New Roman"/>
                <w:b/>
                <w:bCs/>
                <w:color w:val="000000"/>
                <w:sz w:val="16"/>
                <w:szCs w:val="16"/>
              </w:rPr>
              <w:t>% Variance</w:t>
            </w:r>
          </w:p>
        </w:tc>
      </w:tr>
      <w:tr w:rsidR="00000000" w14:paraId="5F704750" w14:textId="77777777">
        <w:trPr>
          <w:divId w:val="1231842976"/>
        </w:trPr>
        <w:tc>
          <w:tcPr>
            <w:tcW w:w="0" w:type="auto"/>
            <w:gridSpan w:val="3"/>
            <w:shd w:val="clear" w:color="auto" w:fill="CCEEFF"/>
            <w:tcMar>
              <w:top w:w="30" w:type="dxa"/>
              <w:left w:w="20" w:type="dxa"/>
              <w:bottom w:w="30" w:type="dxa"/>
              <w:right w:w="20" w:type="dxa"/>
            </w:tcMar>
            <w:vAlign w:val="bottom"/>
            <w:hideMark/>
          </w:tcPr>
          <w:p w14:paraId="5645641D" w14:textId="77777777" w:rsidR="00000000" w:rsidRDefault="00E614A4">
            <w:pPr>
              <w:divId w:val="128938922"/>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1EA10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153483" w14:textId="77777777" w:rsidR="00000000" w:rsidRDefault="00E614A4">
            <w:pPr>
              <w:jc w:val="right"/>
              <w:rPr>
                <w:rFonts w:eastAsia="Times New Roman"/>
              </w:rPr>
            </w:pPr>
            <w:r>
              <w:rPr>
                <w:rFonts w:eastAsia="Times New Roman"/>
                <w:color w:val="000000"/>
                <w:sz w:val="18"/>
                <w:szCs w:val="18"/>
              </w:rPr>
              <w:t>253,652 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8C2F5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063A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FC2270" w14:textId="77777777" w:rsidR="00000000" w:rsidRDefault="00E614A4">
            <w:pPr>
              <w:jc w:val="right"/>
              <w:rPr>
                <w:rFonts w:eastAsia="Times New Roman"/>
              </w:rPr>
            </w:pPr>
            <w:r>
              <w:rPr>
                <w:rFonts w:eastAsia="Times New Roman"/>
                <w:color w:val="000000"/>
                <w:sz w:val="18"/>
                <w:szCs w:val="18"/>
              </w:rPr>
              <w:t>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C1E69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BB75E9C"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B54BE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2DD6D4" w14:textId="77777777" w:rsidR="00000000" w:rsidRDefault="00E614A4">
            <w:pPr>
              <w:jc w:val="right"/>
              <w:rPr>
                <w:rFonts w:eastAsia="Times New Roman"/>
              </w:rPr>
            </w:pPr>
            <w:r>
              <w:rPr>
                <w:rFonts w:eastAsia="Times New Roman"/>
                <w:color w:val="000000"/>
                <w:sz w:val="18"/>
                <w:szCs w:val="18"/>
              </w:rPr>
              <w:t>271,623 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974AC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D4E66"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55743F" w14:textId="77777777" w:rsidR="00000000" w:rsidRDefault="00E614A4">
            <w:pPr>
              <w:jc w:val="right"/>
              <w:rPr>
                <w:rFonts w:eastAsia="Times New Roman"/>
              </w:rPr>
            </w:pPr>
            <w:r>
              <w:rPr>
                <w:rFonts w:eastAsia="Times New Roman"/>
                <w:color w:val="000000"/>
                <w:sz w:val="18"/>
                <w:szCs w:val="18"/>
              </w:rPr>
              <w:t>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5982E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EFEE475"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8F138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EBFBC8" w14:textId="77777777" w:rsidR="00000000" w:rsidRDefault="00E614A4">
            <w:pPr>
              <w:jc w:val="right"/>
              <w:rPr>
                <w:rFonts w:eastAsia="Times New Roman"/>
              </w:rPr>
            </w:pPr>
            <w:r>
              <w:rPr>
                <w:rFonts w:eastAsia="Times New Roman"/>
                <w:color w:val="000000"/>
                <w:sz w:val="18"/>
                <w:szCs w:val="18"/>
              </w:rPr>
              <w:t>(17,971)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26D8D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85D0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F5E1F7" w14:textId="77777777" w:rsidR="00000000" w:rsidRDefault="00E614A4">
            <w:pPr>
              <w:jc w:val="right"/>
              <w:rPr>
                <w:rFonts w:eastAsia="Times New Roman"/>
              </w:rPr>
            </w:pPr>
            <w:r>
              <w:rPr>
                <w:rFonts w:eastAsia="Times New Roman"/>
                <w:color w:val="000000"/>
                <w:sz w:val="18"/>
                <w:szCs w:val="18"/>
              </w:rPr>
              <w:t>(6.6)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EA73FC" w14:textId="77777777" w:rsidR="00000000" w:rsidRDefault="00E614A4">
            <w:pPr>
              <w:jc w:val="right"/>
              <w:rPr>
                <w:rFonts w:eastAsia="Times New Roman"/>
              </w:rPr>
            </w:pPr>
            <w:r>
              <w:rPr>
                <w:rFonts w:eastAsia="Times New Roman"/>
                <w:color w:val="000000"/>
                <w:sz w:val="18"/>
                <w:szCs w:val="18"/>
              </w:rPr>
              <w:t>%</w:t>
            </w:r>
          </w:p>
        </w:tc>
      </w:tr>
      <w:tr w:rsidR="00000000" w14:paraId="07CE782C" w14:textId="77777777">
        <w:trPr>
          <w:divId w:val="1231842976"/>
        </w:trPr>
        <w:tc>
          <w:tcPr>
            <w:tcW w:w="0" w:type="auto"/>
            <w:gridSpan w:val="3"/>
            <w:shd w:val="clear" w:color="auto" w:fill="FFFFFF"/>
            <w:tcMar>
              <w:top w:w="30" w:type="dxa"/>
              <w:left w:w="20" w:type="dxa"/>
              <w:bottom w:w="30" w:type="dxa"/>
              <w:right w:w="20" w:type="dxa"/>
            </w:tcMar>
            <w:vAlign w:val="bottom"/>
            <w:hideMark/>
          </w:tcPr>
          <w:p w14:paraId="716CADD0" w14:textId="77777777" w:rsidR="00000000" w:rsidRDefault="00E614A4">
            <w:pPr>
              <w:divId w:val="1673023755"/>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7154F806" w14:textId="77777777" w:rsidR="00000000" w:rsidRDefault="00E614A4">
            <w:pPr>
              <w:jc w:val="right"/>
              <w:rPr>
                <w:rFonts w:eastAsia="Times New Roman"/>
              </w:rPr>
            </w:pPr>
            <w:r>
              <w:rPr>
                <w:rFonts w:eastAsia="Times New Roman"/>
                <w:color w:val="000000"/>
                <w:sz w:val="18"/>
                <w:szCs w:val="18"/>
              </w:rPr>
              <w:t>69,080 </w:t>
            </w:r>
          </w:p>
        </w:tc>
        <w:tc>
          <w:tcPr>
            <w:tcW w:w="0" w:type="auto"/>
            <w:shd w:val="clear" w:color="auto" w:fill="FFFFFF"/>
            <w:tcMar>
              <w:top w:w="30" w:type="dxa"/>
              <w:left w:w="0" w:type="dxa"/>
              <w:bottom w:w="30" w:type="dxa"/>
              <w:right w:w="20" w:type="dxa"/>
            </w:tcMar>
            <w:vAlign w:val="bottom"/>
            <w:hideMark/>
          </w:tcPr>
          <w:p w14:paraId="63BBFAE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68D4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B77AB8" w14:textId="77777777" w:rsidR="00000000" w:rsidRDefault="00E614A4">
            <w:pPr>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bottom"/>
            <w:hideMark/>
          </w:tcPr>
          <w:p w14:paraId="40EBC41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FCE07F0"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133F68" w14:textId="77777777" w:rsidR="00000000" w:rsidRDefault="00E614A4">
            <w:pPr>
              <w:jc w:val="right"/>
              <w:rPr>
                <w:rFonts w:eastAsia="Times New Roman"/>
              </w:rPr>
            </w:pPr>
            <w:r>
              <w:rPr>
                <w:rFonts w:eastAsia="Times New Roman"/>
                <w:color w:val="000000"/>
                <w:sz w:val="18"/>
                <w:szCs w:val="18"/>
              </w:rPr>
              <w:t>74,725 </w:t>
            </w:r>
          </w:p>
        </w:tc>
        <w:tc>
          <w:tcPr>
            <w:tcW w:w="0" w:type="auto"/>
            <w:shd w:val="clear" w:color="auto" w:fill="FFFFFF"/>
            <w:tcMar>
              <w:top w:w="30" w:type="dxa"/>
              <w:left w:w="0" w:type="dxa"/>
              <w:bottom w:w="30" w:type="dxa"/>
              <w:right w:w="20" w:type="dxa"/>
            </w:tcMar>
            <w:vAlign w:val="bottom"/>
            <w:hideMark/>
          </w:tcPr>
          <w:p w14:paraId="13743B9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FF72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58D247" w14:textId="77777777" w:rsidR="00000000" w:rsidRDefault="00E614A4">
            <w:pPr>
              <w:jc w:val="right"/>
              <w:rPr>
                <w:rFonts w:eastAsia="Times New Roman"/>
              </w:rPr>
            </w:pPr>
            <w:r>
              <w:rPr>
                <w:rFonts w:eastAsia="Times New Roman"/>
                <w:color w:val="000000"/>
                <w:sz w:val="18"/>
                <w:szCs w:val="18"/>
              </w:rPr>
              <w:t>19.2 </w:t>
            </w:r>
          </w:p>
        </w:tc>
        <w:tc>
          <w:tcPr>
            <w:tcW w:w="0" w:type="auto"/>
            <w:shd w:val="clear" w:color="auto" w:fill="FFFFFF"/>
            <w:tcMar>
              <w:top w:w="30" w:type="dxa"/>
              <w:left w:w="0" w:type="dxa"/>
              <w:bottom w:w="30" w:type="dxa"/>
              <w:right w:w="20" w:type="dxa"/>
            </w:tcMar>
            <w:vAlign w:val="bottom"/>
            <w:hideMark/>
          </w:tcPr>
          <w:p w14:paraId="3087E29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80D350A"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B8AD94" w14:textId="77777777" w:rsidR="00000000" w:rsidRDefault="00E614A4">
            <w:pPr>
              <w:jc w:val="right"/>
              <w:rPr>
                <w:rFonts w:eastAsia="Times New Roman"/>
              </w:rPr>
            </w:pPr>
            <w:r>
              <w:rPr>
                <w:rFonts w:eastAsia="Times New Roman"/>
                <w:color w:val="000000"/>
                <w:sz w:val="18"/>
                <w:szCs w:val="18"/>
              </w:rPr>
              <w:t>(5,645)</w:t>
            </w:r>
          </w:p>
        </w:tc>
        <w:tc>
          <w:tcPr>
            <w:tcW w:w="0" w:type="auto"/>
            <w:shd w:val="clear" w:color="auto" w:fill="FFFFFF"/>
            <w:tcMar>
              <w:top w:w="30" w:type="dxa"/>
              <w:left w:w="0" w:type="dxa"/>
              <w:bottom w:w="30" w:type="dxa"/>
              <w:right w:w="20" w:type="dxa"/>
            </w:tcMar>
            <w:vAlign w:val="bottom"/>
            <w:hideMark/>
          </w:tcPr>
          <w:p w14:paraId="10E7E4A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BA50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35ABAC" w14:textId="77777777" w:rsidR="00000000" w:rsidRDefault="00E614A4">
            <w:pPr>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bottom"/>
            <w:hideMark/>
          </w:tcPr>
          <w:p w14:paraId="6807A193" w14:textId="77777777" w:rsidR="00000000" w:rsidRDefault="00E614A4">
            <w:pPr>
              <w:jc w:val="right"/>
              <w:rPr>
                <w:rFonts w:eastAsia="Times New Roman"/>
              </w:rPr>
            </w:pPr>
            <w:r>
              <w:rPr>
                <w:rFonts w:eastAsia="Times New Roman"/>
                <w:color w:val="000000"/>
                <w:sz w:val="18"/>
                <w:szCs w:val="18"/>
              </w:rPr>
              <w:t>%</w:t>
            </w:r>
          </w:p>
        </w:tc>
      </w:tr>
      <w:tr w:rsidR="00000000" w14:paraId="5BD15F7F" w14:textId="77777777">
        <w:trPr>
          <w:divId w:val="1231842976"/>
        </w:trPr>
        <w:tc>
          <w:tcPr>
            <w:tcW w:w="0" w:type="auto"/>
            <w:gridSpan w:val="3"/>
            <w:shd w:val="clear" w:color="auto" w:fill="CCEEFF"/>
            <w:tcMar>
              <w:top w:w="30" w:type="dxa"/>
              <w:left w:w="20" w:type="dxa"/>
              <w:bottom w:w="30" w:type="dxa"/>
              <w:right w:w="20" w:type="dxa"/>
            </w:tcMar>
            <w:vAlign w:val="bottom"/>
            <w:hideMark/>
          </w:tcPr>
          <w:p w14:paraId="16E4D574" w14:textId="77777777" w:rsidR="00000000" w:rsidRDefault="00E614A4">
            <w:pPr>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14:paraId="63DD6FB9" w14:textId="77777777" w:rsidR="00000000" w:rsidRDefault="00E614A4">
            <w:pPr>
              <w:jc w:val="right"/>
              <w:rPr>
                <w:rFonts w:eastAsia="Times New Roman"/>
              </w:rPr>
            </w:pPr>
            <w:r>
              <w:rPr>
                <w:rFonts w:eastAsia="Times New Roman"/>
                <w:color w:val="000000"/>
                <w:sz w:val="18"/>
                <w:szCs w:val="18"/>
              </w:rPr>
              <w:t>33,304 </w:t>
            </w:r>
          </w:p>
        </w:tc>
        <w:tc>
          <w:tcPr>
            <w:tcW w:w="0" w:type="auto"/>
            <w:shd w:val="clear" w:color="auto" w:fill="CCEEFF"/>
            <w:tcMar>
              <w:top w:w="30" w:type="dxa"/>
              <w:left w:w="0" w:type="dxa"/>
              <w:bottom w:w="30" w:type="dxa"/>
              <w:right w:w="20" w:type="dxa"/>
            </w:tcMar>
            <w:vAlign w:val="bottom"/>
            <w:hideMark/>
          </w:tcPr>
          <w:p w14:paraId="4113E8F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D46F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92A08" w14:textId="77777777" w:rsidR="00000000" w:rsidRDefault="00E614A4">
            <w:pPr>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14:paraId="53CE51B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D22C1E3"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74EF78" w14:textId="77777777" w:rsidR="00000000" w:rsidRDefault="00E614A4">
            <w:pPr>
              <w:jc w:val="right"/>
              <w:rPr>
                <w:rFonts w:eastAsia="Times New Roman"/>
              </w:rPr>
            </w:pPr>
            <w:r>
              <w:rPr>
                <w:rFonts w:eastAsia="Times New Roman"/>
                <w:color w:val="000000"/>
                <w:sz w:val="18"/>
                <w:szCs w:val="18"/>
              </w:rPr>
              <w:t>42,297 </w:t>
            </w:r>
          </w:p>
        </w:tc>
        <w:tc>
          <w:tcPr>
            <w:tcW w:w="0" w:type="auto"/>
            <w:shd w:val="clear" w:color="auto" w:fill="CCEEFF"/>
            <w:tcMar>
              <w:top w:w="30" w:type="dxa"/>
              <w:left w:w="0" w:type="dxa"/>
              <w:bottom w:w="30" w:type="dxa"/>
              <w:right w:w="20" w:type="dxa"/>
            </w:tcMar>
            <w:vAlign w:val="bottom"/>
            <w:hideMark/>
          </w:tcPr>
          <w:p w14:paraId="0613857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3186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FB9416" w14:textId="77777777" w:rsidR="00000000" w:rsidRDefault="00E614A4">
            <w:pPr>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bottom"/>
            <w:hideMark/>
          </w:tcPr>
          <w:p w14:paraId="536CEF1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51C9900"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265A76" w14:textId="77777777" w:rsidR="00000000" w:rsidRDefault="00E614A4">
            <w:pPr>
              <w:jc w:val="right"/>
              <w:rPr>
                <w:rFonts w:eastAsia="Times New Roman"/>
              </w:rPr>
            </w:pPr>
            <w:r>
              <w:rPr>
                <w:rFonts w:eastAsia="Times New Roman"/>
                <w:color w:val="000000"/>
                <w:sz w:val="18"/>
                <w:szCs w:val="18"/>
              </w:rPr>
              <w:t>(8,993)</w:t>
            </w:r>
          </w:p>
        </w:tc>
        <w:tc>
          <w:tcPr>
            <w:tcW w:w="0" w:type="auto"/>
            <w:shd w:val="clear" w:color="auto" w:fill="CCEEFF"/>
            <w:tcMar>
              <w:top w:w="30" w:type="dxa"/>
              <w:left w:w="0" w:type="dxa"/>
              <w:bottom w:w="30" w:type="dxa"/>
              <w:right w:w="20" w:type="dxa"/>
            </w:tcMar>
            <w:vAlign w:val="bottom"/>
            <w:hideMark/>
          </w:tcPr>
          <w:p w14:paraId="2B6922F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ECC6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A526A5" w14:textId="77777777" w:rsidR="00000000" w:rsidRDefault="00E614A4">
            <w:pPr>
              <w:jc w:val="right"/>
              <w:rPr>
                <w:rFonts w:eastAsia="Times New Roman"/>
              </w:rPr>
            </w:pPr>
            <w:r>
              <w:rPr>
                <w:rFonts w:eastAsia="Times New Roman"/>
                <w:color w:val="000000"/>
                <w:sz w:val="18"/>
                <w:szCs w:val="18"/>
              </w:rPr>
              <w:t>(21.3)</w:t>
            </w:r>
          </w:p>
        </w:tc>
        <w:tc>
          <w:tcPr>
            <w:tcW w:w="0" w:type="auto"/>
            <w:shd w:val="clear" w:color="auto" w:fill="CCEEFF"/>
            <w:tcMar>
              <w:top w:w="30" w:type="dxa"/>
              <w:left w:w="0" w:type="dxa"/>
              <w:bottom w:w="30" w:type="dxa"/>
              <w:right w:w="20" w:type="dxa"/>
            </w:tcMar>
            <w:vAlign w:val="bottom"/>
            <w:hideMark/>
          </w:tcPr>
          <w:p w14:paraId="2EC878DC" w14:textId="77777777" w:rsidR="00000000" w:rsidRDefault="00E614A4">
            <w:pPr>
              <w:jc w:val="right"/>
              <w:rPr>
                <w:rFonts w:eastAsia="Times New Roman"/>
              </w:rPr>
            </w:pPr>
            <w:r>
              <w:rPr>
                <w:rFonts w:eastAsia="Times New Roman"/>
                <w:color w:val="000000"/>
                <w:sz w:val="18"/>
                <w:szCs w:val="18"/>
              </w:rPr>
              <w:t>%</w:t>
            </w:r>
          </w:p>
        </w:tc>
      </w:tr>
      <w:tr w:rsidR="00000000" w14:paraId="536096B8" w14:textId="77777777">
        <w:trPr>
          <w:divId w:val="1231842976"/>
        </w:trPr>
        <w:tc>
          <w:tcPr>
            <w:tcW w:w="0" w:type="auto"/>
            <w:gridSpan w:val="3"/>
            <w:shd w:val="clear" w:color="auto" w:fill="FFFFFF"/>
            <w:tcMar>
              <w:top w:w="30" w:type="dxa"/>
              <w:left w:w="20" w:type="dxa"/>
              <w:bottom w:w="30" w:type="dxa"/>
              <w:right w:w="20" w:type="dxa"/>
            </w:tcMar>
            <w:vAlign w:val="bottom"/>
            <w:hideMark/>
          </w:tcPr>
          <w:p w14:paraId="0A49613C" w14:textId="77777777" w:rsidR="00000000" w:rsidRDefault="00E614A4">
            <w:pPr>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23E2F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C6B8A1" w14:textId="77777777" w:rsidR="00000000" w:rsidRDefault="00E614A4">
            <w:pPr>
              <w:jc w:val="right"/>
              <w:rPr>
                <w:rFonts w:eastAsia="Times New Roman"/>
              </w:rPr>
            </w:pPr>
            <w:r>
              <w:rPr>
                <w:rFonts w:eastAsia="Times New Roman"/>
                <w:color w:val="000000"/>
                <w:sz w:val="18"/>
                <w:szCs w:val="18"/>
              </w:rPr>
              <w:t>356,036 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A5DA5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64459"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68F721" w14:textId="77777777" w:rsidR="00000000" w:rsidRDefault="00E614A4">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DD7CE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60ED5C2"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2B53E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3EE2B9" w14:textId="77777777" w:rsidR="00000000" w:rsidRDefault="00E614A4">
            <w:pPr>
              <w:jc w:val="right"/>
              <w:rPr>
                <w:rFonts w:eastAsia="Times New Roman"/>
              </w:rPr>
            </w:pPr>
            <w:r>
              <w:rPr>
                <w:rFonts w:eastAsia="Times New Roman"/>
                <w:color w:val="000000"/>
                <w:sz w:val="18"/>
                <w:szCs w:val="18"/>
              </w:rPr>
              <w:t>388,645 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8C750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157C6"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40F815" w14:textId="77777777" w:rsidR="00000000" w:rsidRDefault="00E614A4">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7A1D7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2C91DEB"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8DA95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A6812A" w14:textId="77777777" w:rsidR="00000000" w:rsidRDefault="00E614A4">
            <w:pPr>
              <w:jc w:val="right"/>
              <w:rPr>
                <w:rFonts w:eastAsia="Times New Roman"/>
              </w:rPr>
            </w:pPr>
            <w:r>
              <w:rPr>
                <w:rFonts w:eastAsia="Times New Roman"/>
                <w:color w:val="000000"/>
                <w:sz w:val="18"/>
                <w:szCs w:val="18"/>
              </w:rPr>
              <w:t>(32,609)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B60D3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4B79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A4DF52" w14:textId="77777777" w:rsidR="00000000" w:rsidRDefault="00E614A4">
            <w:pPr>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14:paraId="6D182C18" w14:textId="77777777" w:rsidR="00000000" w:rsidRDefault="00E614A4">
            <w:pPr>
              <w:jc w:val="right"/>
              <w:rPr>
                <w:rFonts w:eastAsia="Times New Roman"/>
              </w:rPr>
            </w:pPr>
            <w:r>
              <w:rPr>
                <w:rFonts w:eastAsia="Times New Roman"/>
                <w:color w:val="000000"/>
                <w:sz w:val="18"/>
                <w:szCs w:val="18"/>
              </w:rPr>
              <w:t>%</w:t>
            </w:r>
          </w:p>
        </w:tc>
      </w:tr>
    </w:tbl>
    <w:p w14:paraId="3B82F061" w14:textId="77777777" w:rsidR="00000000" w:rsidRDefault="00E614A4">
      <w:pPr>
        <w:jc w:val="both"/>
        <w:divId w:val="381296946"/>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In the second quarter of 2020, we began classifying revenue from certain new and extended custom agreements for services that utilize its syndicated data set, previously classified under Analytics and Optimizati</w:t>
      </w:r>
      <w:r>
        <w:rPr>
          <w:rFonts w:eastAsia="Times New Roman"/>
          <w:i/>
          <w:iCs/>
          <w:color w:val="000000"/>
          <w:sz w:val="16"/>
          <w:szCs w:val="16"/>
        </w:rPr>
        <w:t>on, as Ratings and Planning. The impact was not material to either solution group.</w:t>
      </w:r>
    </w:p>
    <w:p w14:paraId="294C836B" w14:textId="77777777" w:rsidR="00000000" w:rsidRDefault="00E614A4">
      <w:pPr>
        <w:jc w:val="both"/>
        <w:divId w:val="224412735"/>
        <w:rPr>
          <w:rFonts w:eastAsia="Times New Roman"/>
        </w:rPr>
      </w:pPr>
      <w:r>
        <w:rPr>
          <w:rFonts w:eastAsia="Times New Roman"/>
          <w:color w:val="000000"/>
          <w:sz w:val="20"/>
          <w:szCs w:val="20"/>
        </w:rPr>
        <w:t>Total revenues decreased by $32.6 million, or 8.4%, for the year ended December 31, 2020 as compared to the year ended December 31, 2019.</w:t>
      </w:r>
    </w:p>
    <w:p w14:paraId="775A72F7" w14:textId="77777777" w:rsidR="00000000" w:rsidRDefault="00E614A4">
      <w:pPr>
        <w:jc w:val="both"/>
        <w:divId w:val="954217927"/>
        <w:rPr>
          <w:rFonts w:eastAsia="Times New Roman"/>
        </w:rPr>
      </w:pPr>
      <w:r>
        <w:rPr>
          <w:rFonts w:eastAsia="Times New Roman"/>
          <w:color w:val="000000"/>
          <w:sz w:val="20"/>
          <w:szCs w:val="20"/>
        </w:rPr>
        <w:t>Ratings and Planning revenue is com</w:t>
      </w:r>
      <w:r>
        <w:rPr>
          <w:rFonts w:eastAsia="Times New Roman"/>
          <w:color w:val="000000"/>
          <w:sz w:val="20"/>
          <w:szCs w:val="20"/>
        </w:rPr>
        <w:t>prised of revenue from our digital, television and cross-platform products. Ratings and Planning decreased by $18.0 million for the year ended December 31, 2020 as compared to the year ended December 31, 2019. The decrease was largely driven by lower reven</w:t>
      </w:r>
      <w:r>
        <w:rPr>
          <w:rFonts w:eastAsia="Times New Roman"/>
          <w:color w:val="000000"/>
          <w:sz w:val="20"/>
          <w:szCs w:val="20"/>
        </w:rPr>
        <w:t xml:space="preserve">ue from our syndicated digital products due in part to the COVID-19 pandemic. Additionally, revenue from our smaller and international syndicated digital customers continued to be impacted by ongoing industry changes in ad buying and consolidations. While </w:t>
      </w:r>
      <w:r>
        <w:rPr>
          <w:rFonts w:eastAsia="Times New Roman"/>
          <w:color w:val="000000"/>
          <w:sz w:val="20"/>
          <w:szCs w:val="20"/>
        </w:rPr>
        <w:t>retention of syndicated digital enterprise customers remained high, revenue from our syndicated digital products represented 48% and 51% of our Ratings and Planning revenue for the years ended December 31, 2020 and 2019, respectively. Cross-platform revenu</w:t>
      </w:r>
      <w:r>
        <w:rPr>
          <w:rFonts w:eastAsia="Times New Roman"/>
          <w:color w:val="000000"/>
          <w:sz w:val="20"/>
          <w:szCs w:val="20"/>
        </w:rPr>
        <w:t>e decreased due to fewer deliveries of data in 2020 versus 2019. TV revenue was higher due to our partnership with LiveRamp, additional deliveries of local and addressable TV solutions, and increased deliveries on contracts with political customers. TV rev</w:t>
      </w:r>
      <w:r>
        <w:rPr>
          <w:rFonts w:eastAsia="Times New Roman"/>
          <w:color w:val="000000"/>
          <w:sz w:val="20"/>
          <w:szCs w:val="20"/>
        </w:rPr>
        <w:t>enue increased to 40% of Ratings and Planning revenue in 2020 as compared to 36% in 2019.</w:t>
      </w:r>
    </w:p>
    <w:p w14:paraId="63F9586D" w14:textId="77777777" w:rsidR="00000000" w:rsidRDefault="00E614A4">
      <w:pPr>
        <w:jc w:val="both"/>
        <w:divId w:val="531039071"/>
        <w:rPr>
          <w:rFonts w:eastAsia="Times New Roman"/>
        </w:rPr>
      </w:pPr>
      <w:r>
        <w:rPr>
          <w:rFonts w:eastAsia="Times New Roman"/>
          <w:color w:val="000000"/>
          <w:sz w:val="20"/>
          <w:szCs w:val="20"/>
        </w:rPr>
        <w:t>Analytics and Optimization revenue decreased by $5.6 million for the year ended December 31, 2020 as compared to the year ended December 31, 2019. The decrease was pr</w:t>
      </w:r>
      <w:r>
        <w:rPr>
          <w:rFonts w:eastAsia="Times New Roman"/>
          <w:color w:val="000000"/>
          <w:sz w:val="20"/>
          <w:szCs w:val="20"/>
        </w:rPr>
        <w:t>imarily due to fewer deliveries of custom solutions, lift and survey deliverables, and branded content, due in part to the COVID-19 pandemic. These decreases were partially offset by higher activation usage during the year.</w:t>
      </w:r>
    </w:p>
    <w:p w14:paraId="6FC2409C" w14:textId="77777777" w:rsidR="00000000" w:rsidRDefault="00E614A4">
      <w:pPr>
        <w:jc w:val="both"/>
        <w:divId w:val="1261061317"/>
        <w:rPr>
          <w:rFonts w:eastAsia="Times New Roman"/>
        </w:rPr>
      </w:pPr>
      <w:r>
        <w:rPr>
          <w:rFonts w:eastAsia="Times New Roman"/>
          <w:color w:val="000000"/>
          <w:sz w:val="20"/>
          <w:szCs w:val="20"/>
        </w:rPr>
        <w:t>Movies Reporting and Analytics r</w:t>
      </w:r>
      <w:r>
        <w:rPr>
          <w:rFonts w:eastAsia="Times New Roman"/>
          <w:color w:val="000000"/>
          <w:sz w:val="20"/>
          <w:szCs w:val="20"/>
        </w:rPr>
        <w:t>evenue decreased by $9.0 million for the year ended December 31, 2020 as compared to the year ended December 31, 2019. Revenue continues to be impacted by ongoing theater closures, delayed releases and shifts in consumer behavior as a result of the COVID-1</w:t>
      </w:r>
      <w:r>
        <w:rPr>
          <w:rFonts w:eastAsia="Times New Roman"/>
          <w:color w:val="000000"/>
          <w:sz w:val="20"/>
          <w:szCs w:val="20"/>
        </w:rPr>
        <w:t xml:space="preserve">9 pandemic. We expect these factors to continue affecting movies revenue for the foreseeable future. </w:t>
      </w:r>
    </w:p>
    <w:p w14:paraId="0A3599E9" w14:textId="77777777" w:rsidR="00000000" w:rsidRDefault="00E614A4">
      <w:pPr>
        <w:jc w:val="both"/>
        <w:divId w:val="1607497566"/>
        <w:rPr>
          <w:rFonts w:eastAsia="Times New Roman"/>
        </w:rPr>
      </w:pPr>
      <w:r>
        <w:rPr>
          <w:rFonts w:eastAsia="Times New Roman"/>
          <w:color w:val="000000"/>
          <w:sz w:val="20"/>
          <w:szCs w:val="20"/>
        </w:rPr>
        <w:t>Revenues for the years ended December 31, 2019 and 2018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660"/>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5FEB2A63" w14:textId="77777777">
        <w:trPr>
          <w:divId w:val="1326515842"/>
        </w:trPr>
        <w:tc>
          <w:tcPr>
            <w:tcW w:w="50" w:type="pct"/>
            <w:vAlign w:val="center"/>
            <w:hideMark/>
          </w:tcPr>
          <w:p w14:paraId="455E2F39" w14:textId="77777777" w:rsidR="00000000" w:rsidRDefault="00E614A4">
            <w:pPr>
              <w:jc w:val="both"/>
              <w:rPr>
                <w:rFonts w:eastAsia="Times New Roman"/>
              </w:rPr>
            </w:pPr>
          </w:p>
        </w:tc>
        <w:tc>
          <w:tcPr>
            <w:tcW w:w="1681" w:type="pct"/>
            <w:vAlign w:val="center"/>
            <w:hideMark/>
          </w:tcPr>
          <w:p w14:paraId="494684A9" w14:textId="77777777" w:rsidR="00000000" w:rsidRDefault="00E614A4">
            <w:pPr>
              <w:rPr>
                <w:rFonts w:eastAsia="Times New Roman"/>
                <w:sz w:val="20"/>
                <w:szCs w:val="20"/>
              </w:rPr>
            </w:pPr>
          </w:p>
        </w:tc>
        <w:tc>
          <w:tcPr>
            <w:tcW w:w="5" w:type="pct"/>
            <w:vAlign w:val="center"/>
            <w:hideMark/>
          </w:tcPr>
          <w:p w14:paraId="315C10E7" w14:textId="77777777" w:rsidR="00000000" w:rsidRDefault="00E614A4">
            <w:pPr>
              <w:rPr>
                <w:rFonts w:eastAsia="Times New Roman"/>
                <w:sz w:val="20"/>
                <w:szCs w:val="20"/>
              </w:rPr>
            </w:pPr>
          </w:p>
        </w:tc>
        <w:tc>
          <w:tcPr>
            <w:tcW w:w="50" w:type="pct"/>
            <w:vAlign w:val="center"/>
            <w:hideMark/>
          </w:tcPr>
          <w:p w14:paraId="340128AA" w14:textId="77777777" w:rsidR="00000000" w:rsidRDefault="00E614A4">
            <w:pPr>
              <w:rPr>
                <w:rFonts w:eastAsia="Times New Roman"/>
                <w:sz w:val="20"/>
                <w:szCs w:val="20"/>
              </w:rPr>
            </w:pPr>
          </w:p>
        </w:tc>
        <w:tc>
          <w:tcPr>
            <w:tcW w:w="465" w:type="pct"/>
            <w:vAlign w:val="center"/>
            <w:hideMark/>
          </w:tcPr>
          <w:p w14:paraId="2B81C4D2" w14:textId="77777777" w:rsidR="00000000" w:rsidRDefault="00E614A4">
            <w:pPr>
              <w:rPr>
                <w:rFonts w:eastAsia="Times New Roman"/>
                <w:sz w:val="20"/>
                <w:szCs w:val="20"/>
              </w:rPr>
            </w:pPr>
          </w:p>
        </w:tc>
        <w:tc>
          <w:tcPr>
            <w:tcW w:w="5" w:type="pct"/>
            <w:vAlign w:val="center"/>
            <w:hideMark/>
          </w:tcPr>
          <w:p w14:paraId="2C687592" w14:textId="77777777" w:rsidR="00000000" w:rsidRDefault="00E614A4">
            <w:pPr>
              <w:rPr>
                <w:rFonts w:eastAsia="Times New Roman"/>
                <w:sz w:val="20"/>
                <w:szCs w:val="20"/>
              </w:rPr>
            </w:pPr>
          </w:p>
        </w:tc>
        <w:tc>
          <w:tcPr>
            <w:tcW w:w="5" w:type="pct"/>
            <w:vAlign w:val="center"/>
            <w:hideMark/>
          </w:tcPr>
          <w:p w14:paraId="3E732E3E" w14:textId="77777777" w:rsidR="00000000" w:rsidRDefault="00E614A4">
            <w:pPr>
              <w:rPr>
                <w:rFonts w:eastAsia="Times New Roman"/>
                <w:sz w:val="20"/>
                <w:szCs w:val="20"/>
              </w:rPr>
            </w:pPr>
          </w:p>
        </w:tc>
        <w:tc>
          <w:tcPr>
            <w:tcW w:w="17" w:type="pct"/>
            <w:vAlign w:val="center"/>
            <w:hideMark/>
          </w:tcPr>
          <w:p w14:paraId="63C1CFF2" w14:textId="77777777" w:rsidR="00000000" w:rsidRDefault="00E614A4">
            <w:pPr>
              <w:rPr>
                <w:rFonts w:eastAsia="Times New Roman"/>
                <w:sz w:val="20"/>
                <w:szCs w:val="20"/>
              </w:rPr>
            </w:pPr>
          </w:p>
        </w:tc>
        <w:tc>
          <w:tcPr>
            <w:tcW w:w="5" w:type="pct"/>
            <w:vAlign w:val="center"/>
            <w:hideMark/>
          </w:tcPr>
          <w:p w14:paraId="1D536570" w14:textId="77777777" w:rsidR="00000000" w:rsidRDefault="00E614A4">
            <w:pPr>
              <w:rPr>
                <w:rFonts w:eastAsia="Times New Roman"/>
                <w:sz w:val="20"/>
                <w:szCs w:val="20"/>
              </w:rPr>
            </w:pPr>
          </w:p>
        </w:tc>
        <w:tc>
          <w:tcPr>
            <w:tcW w:w="50" w:type="pct"/>
            <w:vAlign w:val="center"/>
            <w:hideMark/>
          </w:tcPr>
          <w:p w14:paraId="23672A18" w14:textId="77777777" w:rsidR="00000000" w:rsidRDefault="00E614A4">
            <w:pPr>
              <w:rPr>
                <w:rFonts w:eastAsia="Times New Roman"/>
                <w:sz w:val="20"/>
                <w:szCs w:val="20"/>
              </w:rPr>
            </w:pPr>
          </w:p>
        </w:tc>
        <w:tc>
          <w:tcPr>
            <w:tcW w:w="465" w:type="pct"/>
            <w:vAlign w:val="center"/>
            <w:hideMark/>
          </w:tcPr>
          <w:p w14:paraId="47C69B3B" w14:textId="77777777" w:rsidR="00000000" w:rsidRDefault="00E614A4">
            <w:pPr>
              <w:rPr>
                <w:rFonts w:eastAsia="Times New Roman"/>
                <w:sz w:val="20"/>
                <w:szCs w:val="20"/>
              </w:rPr>
            </w:pPr>
          </w:p>
        </w:tc>
        <w:tc>
          <w:tcPr>
            <w:tcW w:w="5" w:type="pct"/>
            <w:vAlign w:val="center"/>
            <w:hideMark/>
          </w:tcPr>
          <w:p w14:paraId="293E0F56" w14:textId="77777777" w:rsidR="00000000" w:rsidRDefault="00E614A4">
            <w:pPr>
              <w:rPr>
                <w:rFonts w:eastAsia="Times New Roman"/>
                <w:sz w:val="20"/>
                <w:szCs w:val="20"/>
              </w:rPr>
            </w:pPr>
          </w:p>
        </w:tc>
        <w:tc>
          <w:tcPr>
            <w:tcW w:w="5" w:type="pct"/>
            <w:vAlign w:val="center"/>
            <w:hideMark/>
          </w:tcPr>
          <w:p w14:paraId="4CDF151B" w14:textId="77777777" w:rsidR="00000000" w:rsidRDefault="00E614A4">
            <w:pPr>
              <w:rPr>
                <w:rFonts w:eastAsia="Times New Roman"/>
                <w:sz w:val="20"/>
                <w:szCs w:val="20"/>
              </w:rPr>
            </w:pPr>
          </w:p>
        </w:tc>
        <w:tc>
          <w:tcPr>
            <w:tcW w:w="17" w:type="pct"/>
            <w:vAlign w:val="center"/>
            <w:hideMark/>
          </w:tcPr>
          <w:p w14:paraId="253995DC" w14:textId="77777777" w:rsidR="00000000" w:rsidRDefault="00E614A4">
            <w:pPr>
              <w:rPr>
                <w:rFonts w:eastAsia="Times New Roman"/>
                <w:sz w:val="20"/>
                <w:szCs w:val="20"/>
              </w:rPr>
            </w:pPr>
          </w:p>
        </w:tc>
        <w:tc>
          <w:tcPr>
            <w:tcW w:w="5" w:type="pct"/>
            <w:vAlign w:val="center"/>
            <w:hideMark/>
          </w:tcPr>
          <w:p w14:paraId="2D36E5BA" w14:textId="77777777" w:rsidR="00000000" w:rsidRDefault="00E614A4">
            <w:pPr>
              <w:rPr>
                <w:rFonts w:eastAsia="Times New Roman"/>
                <w:sz w:val="20"/>
                <w:szCs w:val="20"/>
              </w:rPr>
            </w:pPr>
          </w:p>
        </w:tc>
        <w:tc>
          <w:tcPr>
            <w:tcW w:w="50" w:type="pct"/>
            <w:vAlign w:val="center"/>
            <w:hideMark/>
          </w:tcPr>
          <w:p w14:paraId="2E17CB04" w14:textId="77777777" w:rsidR="00000000" w:rsidRDefault="00E614A4">
            <w:pPr>
              <w:rPr>
                <w:rFonts w:eastAsia="Times New Roman"/>
                <w:sz w:val="20"/>
                <w:szCs w:val="20"/>
              </w:rPr>
            </w:pPr>
          </w:p>
        </w:tc>
        <w:tc>
          <w:tcPr>
            <w:tcW w:w="465" w:type="pct"/>
            <w:vAlign w:val="center"/>
            <w:hideMark/>
          </w:tcPr>
          <w:p w14:paraId="61D42601" w14:textId="77777777" w:rsidR="00000000" w:rsidRDefault="00E614A4">
            <w:pPr>
              <w:rPr>
                <w:rFonts w:eastAsia="Times New Roman"/>
                <w:sz w:val="20"/>
                <w:szCs w:val="20"/>
              </w:rPr>
            </w:pPr>
          </w:p>
        </w:tc>
        <w:tc>
          <w:tcPr>
            <w:tcW w:w="5" w:type="pct"/>
            <w:vAlign w:val="center"/>
            <w:hideMark/>
          </w:tcPr>
          <w:p w14:paraId="22C2CE21" w14:textId="77777777" w:rsidR="00000000" w:rsidRDefault="00E614A4">
            <w:pPr>
              <w:rPr>
                <w:rFonts w:eastAsia="Times New Roman"/>
                <w:sz w:val="20"/>
                <w:szCs w:val="20"/>
              </w:rPr>
            </w:pPr>
          </w:p>
        </w:tc>
        <w:tc>
          <w:tcPr>
            <w:tcW w:w="5" w:type="pct"/>
            <w:vAlign w:val="center"/>
            <w:hideMark/>
          </w:tcPr>
          <w:p w14:paraId="266A92B2" w14:textId="77777777" w:rsidR="00000000" w:rsidRDefault="00E614A4">
            <w:pPr>
              <w:rPr>
                <w:rFonts w:eastAsia="Times New Roman"/>
                <w:sz w:val="20"/>
                <w:szCs w:val="20"/>
              </w:rPr>
            </w:pPr>
          </w:p>
        </w:tc>
        <w:tc>
          <w:tcPr>
            <w:tcW w:w="17" w:type="pct"/>
            <w:vAlign w:val="center"/>
            <w:hideMark/>
          </w:tcPr>
          <w:p w14:paraId="618A6DCF" w14:textId="77777777" w:rsidR="00000000" w:rsidRDefault="00E614A4">
            <w:pPr>
              <w:rPr>
                <w:rFonts w:eastAsia="Times New Roman"/>
                <w:sz w:val="20"/>
                <w:szCs w:val="20"/>
              </w:rPr>
            </w:pPr>
          </w:p>
        </w:tc>
        <w:tc>
          <w:tcPr>
            <w:tcW w:w="5" w:type="pct"/>
            <w:vAlign w:val="center"/>
            <w:hideMark/>
          </w:tcPr>
          <w:p w14:paraId="16A3926A" w14:textId="77777777" w:rsidR="00000000" w:rsidRDefault="00E614A4">
            <w:pPr>
              <w:rPr>
                <w:rFonts w:eastAsia="Times New Roman"/>
                <w:sz w:val="20"/>
                <w:szCs w:val="20"/>
              </w:rPr>
            </w:pPr>
          </w:p>
        </w:tc>
        <w:tc>
          <w:tcPr>
            <w:tcW w:w="50" w:type="pct"/>
            <w:vAlign w:val="center"/>
            <w:hideMark/>
          </w:tcPr>
          <w:p w14:paraId="1C34BBC9" w14:textId="77777777" w:rsidR="00000000" w:rsidRDefault="00E614A4">
            <w:pPr>
              <w:rPr>
                <w:rFonts w:eastAsia="Times New Roman"/>
                <w:sz w:val="20"/>
                <w:szCs w:val="20"/>
              </w:rPr>
            </w:pPr>
          </w:p>
        </w:tc>
        <w:tc>
          <w:tcPr>
            <w:tcW w:w="465" w:type="pct"/>
            <w:vAlign w:val="center"/>
            <w:hideMark/>
          </w:tcPr>
          <w:p w14:paraId="2E14C83E" w14:textId="77777777" w:rsidR="00000000" w:rsidRDefault="00E614A4">
            <w:pPr>
              <w:rPr>
                <w:rFonts w:eastAsia="Times New Roman"/>
                <w:sz w:val="20"/>
                <w:szCs w:val="20"/>
              </w:rPr>
            </w:pPr>
          </w:p>
        </w:tc>
        <w:tc>
          <w:tcPr>
            <w:tcW w:w="5" w:type="pct"/>
            <w:vAlign w:val="center"/>
            <w:hideMark/>
          </w:tcPr>
          <w:p w14:paraId="6E52AB2B" w14:textId="77777777" w:rsidR="00000000" w:rsidRDefault="00E614A4">
            <w:pPr>
              <w:rPr>
                <w:rFonts w:eastAsia="Times New Roman"/>
                <w:sz w:val="20"/>
                <w:szCs w:val="20"/>
              </w:rPr>
            </w:pPr>
          </w:p>
        </w:tc>
        <w:tc>
          <w:tcPr>
            <w:tcW w:w="5" w:type="pct"/>
            <w:vAlign w:val="center"/>
            <w:hideMark/>
          </w:tcPr>
          <w:p w14:paraId="747D76BF" w14:textId="77777777" w:rsidR="00000000" w:rsidRDefault="00E614A4">
            <w:pPr>
              <w:rPr>
                <w:rFonts w:eastAsia="Times New Roman"/>
                <w:sz w:val="20"/>
                <w:szCs w:val="20"/>
              </w:rPr>
            </w:pPr>
          </w:p>
        </w:tc>
        <w:tc>
          <w:tcPr>
            <w:tcW w:w="17" w:type="pct"/>
            <w:vAlign w:val="center"/>
            <w:hideMark/>
          </w:tcPr>
          <w:p w14:paraId="0C416D68" w14:textId="77777777" w:rsidR="00000000" w:rsidRDefault="00E614A4">
            <w:pPr>
              <w:rPr>
                <w:rFonts w:eastAsia="Times New Roman"/>
                <w:sz w:val="20"/>
                <w:szCs w:val="20"/>
              </w:rPr>
            </w:pPr>
          </w:p>
        </w:tc>
        <w:tc>
          <w:tcPr>
            <w:tcW w:w="5" w:type="pct"/>
            <w:vAlign w:val="center"/>
            <w:hideMark/>
          </w:tcPr>
          <w:p w14:paraId="450EF789" w14:textId="77777777" w:rsidR="00000000" w:rsidRDefault="00E614A4">
            <w:pPr>
              <w:rPr>
                <w:rFonts w:eastAsia="Times New Roman"/>
                <w:sz w:val="20"/>
                <w:szCs w:val="20"/>
              </w:rPr>
            </w:pPr>
          </w:p>
        </w:tc>
        <w:tc>
          <w:tcPr>
            <w:tcW w:w="50" w:type="pct"/>
            <w:vAlign w:val="center"/>
            <w:hideMark/>
          </w:tcPr>
          <w:p w14:paraId="6A3B2AEB" w14:textId="77777777" w:rsidR="00000000" w:rsidRDefault="00E614A4">
            <w:pPr>
              <w:rPr>
                <w:rFonts w:eastAsia="Times New Roman"/>
                <w:sz w:val="20"/>
                <w:szCs w:val="20"/>
              </w:rPr>
            </w:pPr>
          </w:p>
        </w:tc>
        <w:tc>
          <w:tcPr>
            <w:tcW w:w="465" w:type="pct"/>
            <w:vAlign w:val="center"/>
            <w:hideMark/>
          </w:tcPr>
          <w:p w14:paraId="7AEA65A4" w14:textId="77777777" w:rsidR="00000000" w:rsidRDefault="00E614A4">
            <w:pPr>
              <w:rPr>
                <w:rFonts w:eastAsia="Times New Roman"/>
                <w:sz w:val="20"/>
                <w:szCs w:val="20"/>
              </w:rPr>
            </w:pPr>
          </w:p>
        </w:tc>
        <w:tc>
          <w:tcPr>
            <w:tcW w:w="5" w:type="pct"/>
            <w:vAlign w:val="center"/>
            <w:hideMark/>
          </w:tcPr>
          <w:p w14:paraId="0D4A307A" w14:textId="77777777" w:rsidR="00000000" w:rsidRDefault="00E614A4">
            <w:pPr>
              <w:rPr>
                <w:rFonts w:eastAsia="Times New Roman"/>
                <w:sz w:val="20"/>
                <w:szCs w:val="20"/>
              </w:rPr>
            </w:pPr>
          </w:p>
        </w:tc>
        <w:tc>
          <w:tcPr>
            <w:tcW w:w="5" w:type="pct"/>
            <w:vAlign w:val="center"/>
            <w:hideMark/>
          </w:tcPr>
          <w:p w14:paraId="7232815F" w14:textId="77777777" w:rsidR="00000000" w:rsidRDefault="00E614A4">
            <w:pPr>
              <w:rPr>
                <w:rFonts w:eastAsia="Times New Roman"/>
                <w:sz w:val="20"/>
                <w:szCs w:val="20"/>
              </w:rPr>
            </w:pPr>
          </w:p>
        </w:tc>
        <w:tc>
          <w:tcPr>
            <w:tcW w:w="17" w:type="pct"/>
            <w:vAlign w:val="center"/>
            <w:hideMark/>
          </w:tcPr>
          <w:p w14:paraId="169A1D8A" w14:textId="77777777" w:rsidR="00000000" w:rsidRDefault="00E614A4">
            <w:pPr>
              <w:rPr>
                <w:rFonts w:eastAsia="Times New Roman"/>
                <w:sz w:val="20"/>
                <w:szCs w:val="20"/>
              </w:rPr>
            </w:pPr>
          </w:p>
        </w:tc>
        <w:tc>
          <w:tcPr>
            <w:tcW w:w="5" w:type="pct"/>
            <w:vAlign w:val="center"/>
            <w:hideMark/>
          </w:tcPr>
          <w:p w14:paraId="316BECB5" w14:textId="77777777" w:rsidR="00000000" w:rsidRDefault="00E614A4">
            <w:pPr>
              <w:rPr>
                <w:rFonts w:eastAsia="Times New Roman"/>
                <w:sz w:val="20"/>
                <w:szCs w:val="20"/>
              </w:rPr>
            </w:pPr>
          </w:p>
        </w:tc>
        <w:tc>
          <w:tcPr>
            <w:tcW w:w="50" w:type="pct"/>
            <w:vAlign w:val="center"/>
            <w:hideMark/>
          </w:tcPr>
          <w:p w14:paraId="1464B0BA" w14:textId="77777777" w:rsidR="00000000" w:rsidRDefault="00E614A4">
            <w:pPr>
              <w:rPr>
                <w:rFonts w:eastAsia="Times New Roman"/>
                <w:sz w:val="20"/>
                <w:szCs w:val="20"/>
              </w:rPr>
            </w:pPr>
          </w:p>
        </w:tc>
        <w:tc>
          <w:tcPr>
            <w:tcW w:w="466" w:type="pct"/>
            <w:vAlign w:val="center"/>
            <w:hideMark/>
          </w:tcPr>
          <w:p w14:paraId="75DC824B" w14:textId="77777777" w:rsidR="00000000" w:rsidRDefault="00E614A4">
            <w:pPr>
              <w:rPr>
                <w:rFonts w:eastAsia="Times New Roman"/>
                <w:sz w:val="20"/>
                <w:szCs w:val="20"/>
              </w:rPr>
            </w:pPr>
          </w:p>
        </w:tc>
        <w:tc>
          <w:tcPr>
            <w:tcW w:w="5" w:type="pct"/>
            <w:vAlign w:val="center"/>
            <w:hideMark/>
          </w:tcPr>
          <w:p w14:paraId="277F7654" w14:textId="77777777" w:rsidR="00000000" w:rsidRDefault="00E614A4">
            <w:pPr>
              <w:rPr>
                <w:rFonts w:eastAsia="Times New Roman"/>
                <w:sz w:val="20"/>
                <w:szCs w:val="20"/>
              </w:rPr>
            </w:pPr>
          </w:p>
        </w:tc>
      </w:tr>
      <w:tr w:rsidR="00000000" w14:paraId="588774C8" w14:textId="77777777">
        <w:trPr>
          <w:divId w:val="1326515842"/>
        </w:trPr>
        <w:tc>
          <w:tcPr>
            <w:tcW w:w="0" w:type="auto"/>
            <w:gridSpan w:val="3"/>
            <w:tcMar>
              <w:top w:w="30" w:type="dxa"/>
              <w:left w:w="20" w:type="dxa"/>
              <w:bottom w:w="30" w:type="dxa"/>
              <w:right w:w="20" w:type="dxa"/>
            </w:tcMar>
            <w:vAlign w:val="bottom"/>
            <w:hideMark/>
          </w:tcPr>
          <w:p w14:paraId="5BC608CE" w14:textId="77777777" w:rsidR="00000000" w:rsidRDefault="00E614A4">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14:paraId="574CB5CE"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34E77A0D"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2F4212E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4DAE02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BD654FF" w14:textId="77777777" w:rsidR="00000000" w:rsidRDefault="00E614A4">
            <w:pPr>
              <w:rPr>
                <w:rFonts w:eastAsia="Times New Roman"/>
                <w:sz w:val="20"/>
                <w:szCs w:val="20"/>
              </w:rPr>
            </w:pPr>
          </w:p>
        </w:tc>
      </w:tr>
      <w:tr w:rsidR="00000000" w14:paraId="4AE30E62" w14:textId="77777777">
        <w:trPr>
          <w:divId w:val="1326515842"/>
        </w:trPr>
        <w:tc>
          <w:tcPr>
            <w:tcW w:w="0" w:type="auto"/>
            <w:gridSpan w:val="3"/>
            <w:tcMar>
              <w:top w:w="30" w:type="dxa"/>
              <w:left w:w="20" w:type="dxa"/>
              <w:bottom w:w="30" w:type="dxa"/>
              <w:right w:w="20" w:type="dxa"/>
            </w:tcMar>
            <w:vAlign w:val="bottom"/>
            <w:hideMark/>
          </w:tcPr>
          <w:p w14:paraId="5F97F4B2"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3933AE9"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2247EC37"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3DBF37"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27DD7487"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CC26D2" w14:textId="77777777" w:rsidR="00000000" w:rsidRDefault="00E614A4">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14:paraId="33FA46F1"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8060BF"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0F0C4705"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650D572B"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4BD5E9FB"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687E2875" w14:textId="77777777" w:rsidR="00000000" w:rsidRDefault="00E614A4">
            <w:pPr>
              <w:jc w:val="center"/>
              <w:rPr>
                <w:rFonts w:eastAsia="Times New Roman"/>
              </w:rPr>
            </w:pPr>
            <w:r>
              <w:rPr>
                <w:rFonts w:eastAsia="Times New Roman"/>
                <w:b/>
                <w:bCs/>
                <w:color w:val="000000"/>
                <w:sz w:val="16"/>
                <w:szCs w:val="16"/>
              </w:rPr>
              <w:t>% Variance</w:t>
            </w:r>
          </w:p>
        </w:tc>
      </w:tr>
      <w:tr w:rsidR="00000000" w14:paraId="2117BFD7" w14:textId="77777777">
        <w:trPr>
          <w:divId w:val="1326515842"/>
        </w:trPr>
        <w:tc>
          <w:tcPr>
            <w:tcW w:w="0" w:type="auto"/>
            <w:gridSpan w:val="3"/>
            <w:shd w:val="clear" w:color="auto" w:fill="CCEEFF"/>
            <w:tcMar>
              <w:top w:w="30" w:type="dxa"/>
              <w:left w:w="20" w:type="dxa"/>
              <w:bottom w:w="30" w:type="dxa"/>
              <w:right w:w="20" w:type="dxa"/>
            </w:tcMar>
            <w:vAlign w:val="bottom"/>
            <w:hideMark/>
          </w:tcPr>
          <w:p w14:paraId="03ABA570" w14:textId="77777777" w:rsidR="00000000" w:rsidRDefault="00E614A4">
            <w:pPr>
              <w:rPr>
                <w:rFonts w:eastAsia="Times New Roman"/>
              </w:rPr>
            </w:pPr>
            <w:r>
              <w:rPr>
                <w:rFonts w:eastAsia="Times New Roman"/>
                <w:color w:val="000000"/>
                <w:sz w:val="18"/>
                <w:szCs w:val="18"/>
              </w:rPr>
              <w:t xml:space="preserve">Ratings and Planning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F6796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9B40DA" w14:textId="77777777" w:rsidR="00000000" w:rsidRDefault="00E614A4">
            <w:pPr>
              <w:jc w:val="right"/>
              <w:rPr>
                <w:rFonts w:eastAsia="Times New Roman"/>
              </w:rPr>
            </w:pPr>
            <w:r>
              <w:rPr>
                <w:rFonts w:eastAsia="Times New Roman"/>
                <w:color w:val="000000"/>
                <w:sz w:val="18"/>
                <w:szCs w:val="18"/>
              </w:rPr>
              <w:t>271,623 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13B11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E1E57"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5EDF06" w14:textId="77777777" w:rsidR="00000000" w:rsidRDefault="00E614A4">
            <w:pPr>
              <w:jc w:val="right"/>
              <w:rPr>
                <w:rFonts w:eastAsia="Times New Roman"/>
              </w:rPr>
            </w:pPr>
            <w:r>
              <w:rPr>
                <w:rFonts w:eastAsia="Times New Roman"/>
                <w:color w:val="000000"/>
                <w:sz w:val="18"/>
                <w:szCs w:val="18"/>
              </w:rPr>
              <w:t>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9EC6EA"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A41E1C3"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7EDF1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423D3E" w14:textId="77777777" w:rsidR="00000000" w:rsidRDefault="00E614A4">
            <w:pPr>
              <w:jc w:val="right"/>
              <w:rPr>
                <w:rFonts w:eastAsia="Times New Roman"/>
              </w:rPr>
            </w:pPr>
            <w:r>
              <w:rPr>
                <w:rFonts w:eastAsia="Times New Roman"/>
                <w:color w:val="000000"/>
                <w:sz w:val="18"/>
                <w:szCs w:val="18"/>
              </w:rPr>
              <w:t>285,355 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3447F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9C3C5"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982BC4" w14:textId="77777777" w:rsidR="00000000" w:rsidRDefault="00E614A4">
            <w:pPr>
              <w:jc w:val="right"/>
              <w:rPr>
                <w:rFonts w:eastAsia="Times New Roman"/>
              </w:rPr>
            </w:pPr>
            <w:r>
              <w:rPr>
                <w:rFonts w:eastAsia="Times New Roman"/>
                <w:color w:val="000000"/>
                <w:sz w:val="18"/>
                <w:szCs w:val="18"/>
              </w:rPr>
              <w:t>68.0 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D3D7D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50B500E"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0B0ED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451B5C" w14:textId="77777777" w:rsidR="00000000" w:rsidRDefault="00E614A4">
            <w:pPr>
              <w:jc w:val="right"/>
              <w:rPr>
                <w:rFonts w:eastAsia="Times New Roman"/>
              </w:rPr>
            </w:pPr>
            <w:r>
              <w:rPr>
                <w:rFonts w:eastAsia="Times New Roman"/>
                <w:color w:val="000000"/>
                <w:sz w:val="18"/>
                <w:szCs w:val="18"/>
              </w:rPr>
              <w:t>(13,732)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37565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7164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1D7142" w14:textId="77777777" w:rsidR="00000000" w:rsidRDefault="00E614A4">
            <w:pPr>
              <w:jc w:val="right"/>
              <w:rPr>
                <w:rFonts w:eastAsia="Times New Roman"/>
              </w:rPr>
            </w:pPr>
            <w:r>
              <w:rPr>
                <w:rFonts w:eastAsia="Times New Roman"/>
                <w:color w:val="000000"/>
                <w:sz w:val="18"/>
                <w:szCs w:val="18"/>
              </w:rPr>
              <w:t>(4.8)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8EF346" w14:textId="77777777" w:rsidR="00000000" w:rsidRDefault="00E614A4">
            <w:pPr>
              <w:jc w:val="right"/>
              <w:rPr>
                <w:rFonts w:eastAsia="Times New Roman"/>
              </w:rPr>
            </w:pPr>
            <w:r>
              <w:rPr>
                <w:rFonts w:eastAsia="Times New Roman"/>
                <w:color w:val="000000"/>
                <w:sz w:val="18"/>
                <w:szCs w:val="18"/>
              </w:rPr>
              <w:t>%</w:t>
            </w:r>
          </w:p>
        </w:tc>
      </w:tr>
      <w:tr w:rsidR="00000000" w14:paraId="77525EE4" w14:textId="77777777">
        <w:trPr>
          <w:divId w:val="1326515842"/>
        </w:trPr>
        <w:tc>
          <w:tcPr>
            <w:tcW w:w="0" w:type="auto"/>
            <w:gridSpan w:val="3"/>
            <w:shd w:val="clear" w:color="auto" w:fill="FFFFFF"/>
            <w:tcMar>
              <w:top w:w="30" w:type="dxa"/>
              <w:left w:w="20" w:type="dxa"/>
              <w:bottom w:w="30" w:type="dxa"/>
              <w:right w:w="20" w:type="dxa"/>
            </w:tcMar>
            <w:vAlign w:val="bottom"/>
            <w:hideMark/>
          </w:tcPr>
          <w:p w14:paraId="272754CD" w14:textId="77777777" w:rsidR="00000000" w:rsidRDefault="00E614A4">
            <w:pPr>
              <w:rPr>
                <w:rFonts w:eastAsia="Times New Roman"/>
              </w:rPr>
            </w:pPr>
            <w:r>
              <w:rPr>
                <w:rFonts w:eastAsia="Times New Roman"/>
                <w:color w:val="000000"/>
                <w:sz w:val="18"/>
                <w:szCs w:val="18"/>
              </w:rPr>
              <w:t xml:space="preserve">Analytics and Optimization </w:t>
            </w:r>
          </w:p>
        </w:tc>
        <w:tc>
          <w:tcPr>
            <w:tcW w:w="0" w:type="auto"/>
            <w:gridSpan w:val="2"/>
            <w:shd w:val="clear" w:color="auto" w:fill="FFFFFF"/>
            <w:tcMar>
              <w:top w:w="30" w:type="dxa"/>
              <w:left w:w="20" w:type="dxa"/>
              <w:bottom w:w="30" w:type="dxa"/>
              <w:right w:w="0" w:type="dxa"/>
            </w:tcMar>
            <w:vAlign w:val="bottom"/>
            <w:hideMark/>
          </w:tcPr>
          <w:p w14:paraId="2AED1111" w14:textId="77777777" w:rsidR="00000000" w:rsidRDefault="00E614A4">
            <w:pPr>
              <w:jc w:val="right"/>
              <w:rPr>
                <w:rFonts w:eastAsia="Times New Roman"/>
              </w:rPr>
            </w:pPr>
            <w:r>
              <w:rPr>
                <w:rFonts w:eastAsia="Times New Roman"/>
                <w:color w:val="000000"/>
                <w:sz w:val="18"/>
                <w:szCs w:val="18"/>
              </w:rPr>
              <w:t>74,725 </w:t>
            </w:r>
          </w:p>
        </w:tc>
        <w:tc>
          <w:tcPr>
            <w:tcW w:w="0" w:type="auto"/>
            <w:shd w:val="clear" w:color="auto" w:fill="FFFFFF"/>
            <w:tcMar>
              <w:top w:w="30" w:type="dxa"/>
              <w:left w:w="0" w:type="dxa"/>
              <w:bottom w:w="30" w:type="dxa"/>
              <w:right w:w="20" w:type="dxa"/>
            </w:tcMar>
            <w:vAlign w:val="bottom"/>
            <w:hideMark/>
          </w:tcPr>
          <w:p w14:paraId="63B495C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32D5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4F3CF9" w14:textId="77777777" w:rsidR="00000000" w:rsidRDefault="00E614A4">
            <w:pPr>
              <w:jc w:val="right"/>
              <w:rPr>
                <w:rFonts w:eastAsia="Times New Roman"/>
              </w:rPr>
            </w:pPr>
            <w:r>
              <w:rPr>
                <w:rFonts w:eastAsia="Times New Roman"/>
                <w:color w:val="000000"/>
                <w:sz w:val="18"/>
                <w:szCs w:val="18"/>
              </w:rPr>
              <w:t>19.2 </w:t>
            </w:r>
          </w:p>
        </w:tc>
        <w:tc>
          <w:tcPr>
            <w:tcW w:w="0" w:type="auto"/>
            <w:shd w:val="clear" w:color="auto" w:fill="FFFFFF"/>
            <w:tcMar>
              <w:top w:w="30" w:type="dxa"/>
              <w:left w:w="0" w:type="dxa"/>
              <w:bottom w:w="30" w:type="dxa"/>
              <w:right w:w="20" w:type="dxa"/>
            </w:tcMar>
            <w:vAlign w:val="bottom"/>
            <w:hideMark/>
          </w:tcPr>
          <w:p w14:paraId="31E2D22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A6119D"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FEAB3F" w14:textId="77777777" w:rsidR="00000000" w:rsidRDefault="00E614A4">
            <w:pPr>
              <w:jc w:val="right"/>
              <w:rPr>
                <w:rFonts w:eastAsia="Times New Roman"/>
              </w:rPr>
            </w:pPr>
            <w:r>
              <w:rPr>
                <w:rFonts w:eastAsia="Times New Roman"/>
                <w:color w:val="000000"/>
                <w:sz w:val="18"/>
                <w:szCs w:val="18"/>
              </w:rPr>
              <w:t>92,380 </w:t>
            </w:r>
          </w:p>
        </w:tc>
        <w:tc>
          <w:tcPr>
            <w:tcW w:w="0" w:type="auto"/>
            <w:shd w:val="clear" w:color="auto" w:fill="FFFFFF"/>
            <w:tcMar>
              <w:top w:w="30" w:type="dxa"/>
              <w:left w:w="0" w:type="dxa"/>
              <w:bottom w:w="30" w:type="dxa"/>
              <w:right w:w="20" w:type="dxa"/>
            </w:tcMar>
            <w:vAlign w:val="bottom"/>
            <w:hideMark/>
          </w:tcPr>
          <w:p w14:paraId="7AFC695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276E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7D089" w14:textId="77777777" w:rsidR="00000000" w:rsidRDefault="00E614A4">
            <w:pPr>
              <w:jc w:val="right"/>
              <w:rPr>
                <w:rFonts w:eastAsia="Times New Roman"/>
              </w:rPr>
            </w:pPr>
            <w:r>
              <w:rPr>
                <w:rFonts w:eastAsia="Times New Roman"/>
                <w:color w:val="000000"/>
                <w:sz w:val="18"/>
                <w:szCs w:val="18"/>
              </w:rPr>
              <w:t>22.0 </w:t>
            </w:r>
          </w:p>
        </w:tc>
        <w:tc>
          <w:tcPr>
            <w:tcW w:w="0" w:type="auto"/>
            <w:shd w:val="clear" w:color="auto" w:fill="FFFFFF"/>
            <w:tcMar>
              <w:top w:w="30" w:type="dxa"/>
              <w:left w:w="0" w:type="dxa"/>
              <w:bottom w:w="30" w:type="dxa"/>
              <w:right w:w="20" w:type="dxa"/>
            </w:tcMar>
            <w:vAlign w:val="bottom"/>
            <w:hideMark/>
          </w:tcPr>
          <w:p w14:paraId="3B87EB1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852AA98"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676FDF" w14:textId="77777777" w:rsidR="00000000" w:rsidRDefault="00E614A4">
            <w:pPr>
              <w:jc w:val="right"/>
              <w:rPr>
                <w:rFonts w:eastAsia="Times New Roman"/>
              </w:rPr>
            </w:pPr>
            <w:r>
              <w:rPr>
                <w:rFonts w:eastAsia="Times New Roman"/>
                <w:color w:val="000000"/>
                <w:sz w:val="18"/>
                <w:szCs w:val="18"/>
              </w:rPr>
              <w:t>(17,655)</w:t>
            </w:r>
          </w:p>
        </w:tc>
        <w:tc>
          <w:tcPr>
            <w:tcW w:w="0" w:type="auto"/>
            <w:shd w:val="clear" w:color="auto" w:fill="FFFFFF"/>
            <w:tcMar>
              <w:top w:w="30" w:type="dxa"/>
              <w:left w:w="0" w:type="dxa"/>
              <w:bottom w:w="30" w:type="dxa"/>
              <w:right w:w="20" w:type="dxa"/>
            </w:tcMar>
            <w:vAlign w:val="bottom"/>
            <w:hideMark/>
          </w:tcPr>
          <w:p w14:paraId="093B920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D21F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C7592" w14:textId="77777777" w:rsidR="00000000" w:rsidRDefault="00E614A4">
            <w:pPr>
              <w:jc w:val="right"/>
              <w:rPr>
                <w:rFonts w:eastAsia="Times New Roman"/>
              </w:rPr>
            </w:pPr>
            <w:r>
              <w:rPr>
                <w:rFonts w:eastAsia="Times New Roman"/>
                <w:color w:val="000000"/>
                <w:sz w:val="18"/>
                <w:szCs w:val="18"/>
              </w:rPr>
              <w:t>(19.1)</w:t>
            </w:r>
          </w:p>
        </w:tc>
        <w:tc>
          <w:tcPr>
            <w:tcW w:w="0" w:type="auto"/>
            <w:shd w:val="clear" w:color="auto" w:fill="FFFFFF"/>
            <w:tcMar>
              <w:top w:w="30" w:type="dxa"/>
              <w:left w:w="0" w:type="dxa"/>
              <w:bottom w:w="30" w:type="dxa"/>
              <w:right w:w="20" w:type="dxa"/>
            </w:tcMar>
            <w:vAlign w:val="bottom"/>
            <w:hideMark/>
          </w:tcPr>
          <w:p w14:paraId="7267130A" w14:textId="77777777" w:rsidR="00000000" w:rsidRDefault="00E614A4">
            <w:pPr>
              <w:jc w:val="right"/>
              <w:rPr>
                <w:rFonts w:eastAsia="Times New Roman"/>
              </w:rPr>
            </w:pPr>
            <w:r>
              <w:rPr>
                <w:rFonts w:eastAsia="Times New Roman"/>
                <w:color w:val="000000"/>
                <w:sz w:val="18"/>
                <w:szCs w:val="18"/>
              </w:rPr>
              <w:t>%</w:t>
            </w:r>
          </w:p>
        </w:tc>
      </w:tr>
      <w:tr w:rsidR="00000000" w14:paraId="26234CF8" w14:textId="77777777">
        <w:trPr>
          <w:divId w:val="1326515842"/>
        </w:trPr>
        <w:tc>
          <w:tcPr>
            <w:tcW w:w="0" w:type="auto"/>
            <w:gridSpan w:val="3"/>
            <w:shd w:val="clear" w:color="auto" w:fill="CCEEFF"/>
            <w:tcMar>
              <w:top w:w="30" w:type="dxa"/>
              <w:left w:w="20" w:type="dxa"/>
              <w:bottom w:w="30" w:type="dxa"/>
              <w:right w:w="20" w:type="dxa"/>
            </w:tcMar>
            <w:vAlign w:val="bottom"/>
            <w:hideMark/>
          </w:tcPr>
          <w:p w14:paraId="2E0F3F33" w14:textId="77777777" w:rsidR="00000000" w:rsidRDefault="00E614A4">
            <w:pPr>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14:paraId="19F8506F" w14:textId="77777777" w:rsidR="00000000" w:rsidRDefault="00E614A4">
            <w:pPr>
              <w:jc w:val="right"/>
              <w:rPr>
                <w:rFonts w:eastAsia="Times New Roman"/>
              </w:rPr>
            </w:pPr>
            <w:r>
              <w:rPr>
                <w:rFonts w:eastAsia="Times New Roman"/>
                <w:color w:val="000000"/>
                <w:sz w:val="18"/>
                <w:szCs w:val="18"/>
              </w:rPr>
              <w:t>42,297 </w:t>
            </w:r>
          </w:p>
        </w:tc>
        <w:tc>
          <w:tcPr>
            <w:tcW w:w="0" w:type="auto"/>
            <w:shd w:val="clear" w:color="auto" w:fill="CCEEFF"/>
            <w:tcMar>
              <w:top w:w="30" w:type="dxa"/>
              <w:left w:w="0" w:type="dxa"/>
              <w:bottom w:w="30" w:type="dxa"/>
              <w:right w:w="20" w:type="dxa"/>
            </w:tcMar>
            <w:vAlign w:val="bottom"/>
            <w:hideMark/>
          </w:tcPr>
          <w:p w14:paraId="6632820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3EA6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33C49D" w14:textId="77777777" w:rsidR="00000000" w:rsidRDefault="00E614A4">
            <w:pPr>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bottom"/>
            <w:hideMark/>
          </w:tcPr>
          <w:p w14:paraId="140A7D0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16C102B"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B54784" w14:textId="77777777" w:rsidR="00000000" w:rsidRDefault="00E614A4">
            <w:pPr>
              <w:jc w:val="right"/>
              <w:rPr>
                <w:rFonts w:eastAsia="Times New Roman"/>
              </w:rPr>
            </w:pPr>
            <w:r>
              <w:rPr>
                <w:rFonts w:eastAsia="Times New Roman"/>
                <w:color w:val="000000"/>
                <w:sz w:val="18"/>
                <w:szCs w:val="18"/>
              </w:rPr>
              <w:t>41,747 </w:t>
            </w:r>
          </w:p>
        </w:tc>
        <w:tc>
          <w:tcPr>
            <w:tcW w:w="0" w:type="auto"/>
            <w:shd w:val="clear" w:color="auto" w:fill="CCEEFF"/>
            <w:tcMar>
              <w:top w:w="30" w:type="dxa"/>
              <w:left w:w="0" w:type="dxa"/>
              <w:bottom w:w="30" w:type="dxa"/>
              <w:right w:w="20" w:type="dxa"/>
            </w:tcMar>
            <w:vAlign w:val="bottom"/>
            <w:hideMark/>
          </w:tcPr>
          <w:p w14:paraId="1A85839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5521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FB9606" w14:textId="77777777" w:rsidR="00000000" w:rsidRDefault="00E614A4">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14:paraId="31B7313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E78D9A"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30347F" w14:textId="77777777" w:rsidR="00000000" w:rsidRDefault="00E614A4">
            <w:pPr>
              <w:jc w:val="right"/>
              <w:rPr>
                <w:rFonts w:eastAsia="Times New Roman"/>
              </w:rPr>
            </w:pPr>
            <w:r>
              <w:rPr>
                <w:rFonts w:eastAsia="Times New Roman"/>
                <w:color w:val="000000"/>
                <w:sz w:val="18"/>
                <w:szCs w:val="18"/>
              </w:rPr>
              <w:t>550 </w:t>
            </w:r>
          </w:p>
        </w:tc>
        <w:tc>
          <w:tcPr>
            <w:tcW w:w="0" w:type="auto"/>
            <w:shd w:val="clear" w:color="auto" w:fill="CCEEFF"/>
            <w:tcMar>
              <w:top w:w="30" w:type="dxa"/>
              <w:left w:w="0" w:type="dxa"/>
              <w:bottom w:w="30" w:type="dxa"/>
              <w:right w:w="20" w:type="dxa"/>
            </w:tcMar>
            <w:vAlign w:val="bottom"/>
            <w:hideMark/>
          </w:tcPr>
          <w:p w14:paraId="1D5AC70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217A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A35AA3" w14:textId="77777777" w:rsidR="00000000" w:rsidRDefault="00E614A4">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66D8CC52" w14:textId="77777777" w:rsidR="00000000" w:rsidRDefault="00E614A4">
            <w:pPr>
              <w:jc w:val="right"/>
              <w:rPr>
                <w:rFonts w:eastAsia="Times New Roman"/>
              </w:rPr>
            </w:pPr>
            <w:r>
              <w:rPr>
                <w:rFonts w:eastAsia="Times New Roman"/>
                <w:color w:val="000000"/>
                <w:sz w:val="18"/>
                <w:szCs w:val="18"/>
              </w:rPr>
              <w:t>%</w:t>
            </w:r>
          </w:p>
        </w:tc>
      </w:tr>
      <w:tr w:rsidR="00000000" w14:paraId="66A584A7" w14:textId="77777777">
        <w:trPr>
          <w:divId w:val="1326515842"/>
        </w:trPr>
        <w:tc>
          <w:tcPr>
            <w:tcW w:w="0" w:type="auto"/>
            <w:gridSpan w:val="3"/>
            <w:shd w:val="clear" w:color="auto" w:fill="FFFFFF"/>
            <w:tcMar>
              <w:top w:w="30" w:type="dxa"/>
              <w:left w:w="20" w:type="dxa"/>
              <w:bottom w:w="30" w:type="dxa"/>
              <w:right w:w="20" w:type="dxa"/>
            </w:tcMar>
            <w:vAlign w:val="bottom"/>
            <w:hideMark/>
          </w:tcPr>
          <w:p w14:paraId="334C7E24" w14:textId="77777777" w:rsidR="00000000" w:rsidRDefault="00E614A4">
            <w:pPr>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8FFFD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5605D6" w14:textId="77777777" w:rsidR="00000000" w:rsidRDefault="00E614A4">
            <w:pPr>
              <w:jc w:val="right"/>
              <w:rPr>
                <w:rFonts w:eastAsia="Times New Roman"/>
              </w:rPr>
            </w:pPr>
            <w:r>
              <w:rPr>
                <w:rFonts w:eastAsia="Times New Roman"/>
                <w:color w:val="000000"/>
                <w:sz w:val="18"/>
                <w:szCs w:val="18"/>
              </w:rPr>
              <w:t>388,645 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2AC7D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09E68"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09AA75" w14:textId="77777777" w:rsidR="00000000" w:rsidRDefault="00E614A4">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DD50E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67668D8"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A0EAA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56EDBE" w14:textId="77777777" w:rsidR="00000000" w:rsidRDefault="00E614A4">
            <w:pPr>
              <w:jc w:val="right"/>
              <w:rPr>
                <w:rFonts w:eastAsia="Times New Roman"/>
              </w:rPr>
            </w:pPr>
            <w:r>
              <w:rPr>
                <w:rFonts w:eastAsia="Times New Roman"/>
                <w:color w:val="000000"/>
                <w:sz w:val="18"/>
                <w:szCs w:val="18"/>
              </w:rPr>
              <w:t>419,482 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EB939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94A7E"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FB8051" w14:textId="77777777" w:rsidR="00000000" w:rsidRDefault="00E614A4">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76744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F577AE4"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12786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A13598" w14:textId="77777777" w:rsidR="00000000" w:rsidRDefault="00E614A4">
            <w:pPr>
              <w:jc w:val="right"/>
              <w:rPr>
                <w:rFonts w:eastAsia="Times New Roman"/>
              </w:rPr>
            </w:pPr>
            <w:r>
              <w:rPr>
                <w:rFonts w:eastAsia="Times New Roman"/>
                <w:color w:val="000000"/>
                <w:sz w:val="18"/>
                <w:szCs w:val="18"/>
              </w:rPr>
              <w:t>(30,837)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91FAE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4804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95139" w14:textId="77777777" w:rsidR="00000000" w:rsidRDefault="00E614A4">
            <w:pPr>
              <w:jc w:val="right"/>
              <w:rPr>
                <w:rFonts w:eastAsia="Times New Roman"/>
              </w:rPr>
            </w:pPr>
            <w:r>
              <w:rPr>
                <w:rFonts w:eastAsia="Times New Roman"/>
                <w:color w:val="000000"/>
                <w:sz w:val="18"/>
                <w:szCs w:val="18"/>
              </w:rPr>
              <w:t>(7.4)</w:t>
            </w:r>
          </w:p>
        </w:tc>
        <w:tc>
          <w:tcPr>
            <w:tcW w:w="0" w:type="auto"/>
            <w:shd w:val="clear" w:color="auto" w:fill="FFFFFF"/>
            <w:tcMar>
              <w:top w:w="30" w:type="dxa"/>
              <w:left w:w="0" w:type="dxa"/>
              <w:bottom w:w="30" w:type="dxa"/>
              <w:right w:w="20" w:type="dxa"/>
            </w:tcMar>
            <w:vAlign w:val="bottom"/>
            <w:hideMark/>
          </w:tcPr>
          <w:p w14:paraId="1D3DCB1B" w14:textId="77777777" w:rsidR="00000000" w:rsidRDefault="00E614A4">
            <w:pPr>
              <w:jc w:val="right"/>
              <w:rPr>
                <w:rFonts w:eastAsia="Times New Roman"/>
              </w:rPr>
            </w:pPr>
            <w:r>
              <w:rPr>
                <w:rFonts w:eastAsia="Times New Roman"/>
                <w:color w:val="000000"/>
                <w:sz w:val="18"/>
                <w:szCs w:val="18"/>
              </w:rPr>
              <w:t>%</w:t>
            </w:r>
          </w:p>
        </w:tc>
      </w:tr>
    </w:tbl>
    <w:p w14:paraId="76DEDD32" w14:textId="77777777" w:rsidR="00000000" w:rsidRDefault="00E614A4">
      <w:pPr>
        <w:jc w:val="both"/>
        <w:divId w:val="716004694"/>
        <w:rPr>
          <w:rFonts w:eastAsia="Times New Roman"/>
        </w:rPr>
      </w:pPr>
      <w:r>
        <w:rPr>
          <w:rFonts w:eastAsia="Times New Roman"/>
          <w:color w:val="000000"/>
          <w:sz w:val="20"/>
          <w:szCs w:val="20"/>
        </w:rPr>
        <w:t>Total revenues decreased by $30.8 million, or 7.4%, for the year ended December 31, 2019 as compared to the year ended December 31, 2018. The decrease was driven by the Ratings and Planning and Analytics and Optimiz</w:t>
      </w:r>
      <w:r>
        <w:rPr>
          <w:rFonts w:eastAsia="Times New Roman"/>
          <w:color w:val="000000"/>
          <w:sz w:val="20"/>
          <w:szCs w:val="20"/>
        </w:rPr>
        <w:t>ation solution groups.</w:t>
      </w:r>
    </w:p>
    <w:p w14:paraId="5ED8C1E5" w14:textId="77777777" w:rsidR="00000000" w:rsidRDefault="00E614A4">
      <w:pPr>
        <w:jc w:val="both"/>
        <w:divId w:val="1621839050"/>
        <w:rPr>
          <w:rFonts w:eastAsia="Times New Roman"/>
        </w:rPr>
      </w:pPr>
      <w:r>
        <w:rPr>
          <w:rFonts w:eastAsia="Times New Roman"/>
          <w:color w:val="000000"/>
          <w:sz w:val="20"/>
          <w:szCs w:val="20"/>
        </w:rPr>
        <w:t>Ratings and Planning revenue decreased by $13.7 million for the year ended December 31, 2019 as compared to the year ended December 31, 2018. The decrease was primarily driven by syndicated digital products, which declined 12% from 2</w:t>
      </w:r>
      <w:r>
        <w:rPr>
          <w:rFonts w:eastAsia="Times New Roman"/>
          <w:color w:val="000000"/>
          <w:sz w:val="20"/>
          <w:szCs w:val="20"/>
        </w:rPr>
        <w:t xml:space="preserve">019 to 2018. While </w:t>
      </w:r>
    </w:p>
    <w:p w14:paraId="3C935C69" w14:textId="77777777" w:rsidR="00000000" w:rsidRDefault="00E614A4">
      <w:pPr>
        <w:jc w:val="center"/>
        <w:divId w:val="1968509215"/>
        <w:rPr>
          <w:rFonts w:eastAsia="Times New Roman"/>
        </w:rPr>
      </w:pPr>
      <w:r>
        <w:rPr>
          <w:rFonts w:eastAsia="Times New Roman"/>
          <w:color w:val="000000"/>
          <w:sz w:val="20"/>
          <w:szCs w:val="20"/>
        </w:rPr>
        <w:t>36</w:t>
      </w:r>
    </w:p>
    <w:p w14:paraId="7C4D0966" w14:textId="77777777" w:rsidR="00000000" w:rsidRDefault="00E614A4">
      <w:pPr>
        <w:rPr>
          <w:rFonts w:eastAsia="Times New Roman"/>
        </w:rPr>
      </w:pPr>
      <w:r>
        <w:rPr>
          <w:rFonts w:eastAsia="Times New Roman"/>
        </w:rPr>
        <w:pict w14:anchorId="5D599538">
          <v:rect id="_x0000_i1064" style="width:0;height:1.5pt" o:hralign="center" o:hrstd="t" o:hr="t" fillcolor="#a0a0a0" stroked="f"/>
        </w:pict>
      </w:r>
    </w:p>
    <w:p w14:paraId="326E856B" w14:textId="77777777" w:rsidR="00000000" w:rsidRDefault="00E614A4">
      <w:pPr>
        <w:divId w:val="1852917176"/>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5011AFC" w14:textId="77777777" w:rsidR="00000000" w:rsidRDefault="00E614A4">
      <w:pPr>
        <w:divId w:val="1093628163"/>
        <w:rPr>
          <w:rFonts w:eastAsia="Times New Roman"/>
        </w:rPr>
      </w:pPr>
    </w:p>
    <w:p w14:paraId="26750978" w14:textId="77777777" w:rsidR="00000000" w:rsidRDefault="00E614A4">
      <w:pPr>
        <w:jc w:val="both"/>
        <w:divId w:val="1884561252"/>
        <w:rPr>
          <w:rFonts w:eastAsia="Times New Roman"/>
        </w:rPr>
      </w:pPr>
      <w:r>
        <w:rPr>
          <w:rFonts w:eastAsia="Times New Roman"/>
          <w:color w:val="000000"/>
          <w:sz w:val="20"/>
          <w:szCs w:val="20"/>
        </w:rPr>
        <w:t>retention of syndicated digital enterprise customers remaine</w:t>
      </w:r>
      <w:r>
        <w:rPr>
          <w:rFonts w:eastAsia="Times New Roman"/>
          <w:color w:val="000000"/>
          <w:sz w:val="20"/>
          <w:szCs w:val="20"/>
        </w:rPr>
        <w:t xml:space="preserve">d high in 2019, revenue from our smaller and international syndicated digital customers declined and continued to be impacted by ongoing industry changes in ad buying and consolidation. Syndicated digital revenue represented 51% and 55% of our Ratings and </w:t>
      </w:r>
      <w:r>
        <w:rPr>
          <w:rFonts w:eastAsia="Times New Roman"/>
          <w:color w:val="000000"/>
          <w:sz w:val="20"/>
          <w:szCs w:val="20"/>
        </w:rPr>
        <w:t>Planning revenue for 2019 and 2018, respectively. Revenue from vCE declined due to lower volumes of measured impressions as we transitioned to premium video content through our CCR product offering. Offsetting those decreases were increased revenue from ou</w:t>
      </w:r>
      <w:r>
        <w:rPr>
          <w:rFonts w:eastAsia="Times New Roman"/>
          <w:color w:val="000000"/>
          <w:sz w:val="20"/>
          <w:szCs w:val="20"/>
        </w:rPr>
        <w:t>r cross-platform and TV offerings. Cross-platform revenue increased from higher deliveries of data in 2019 versus 2018. TV revenue increased to 36% of Ratings and Planning revenue in 2019 as compared to 34% in 2018. TV revenue grew as a result of higher lo</w:t>
      </w:r>
      <w:r>
        <w:rPr>
          <w:rFonts w:eastAsia="Times New Roman"/>
          <w:color w:val="000000"/>
          <w:sz w:val="20"/>
          <w:szCs w:val="20"/>
        </w:rPr>
        <w:t>cal TV revenue due to new customers and expansion of existing relationships, offset in part by lower national TV revenue, due in part to political revenue recognized in 2018 that did not recur in 2019.</w:t>
      </w:r>
    </w:p>
    <w:p w14:paraId="72F904DA" w14:textId="77777777" w:rsidR="00000000" w:rsidRDefault="00E614A4">
      <w:pPr>
        <w:jc w:val="both"/>
        <w:divId w:val="1413967161"/>
        <w:rPr>
          <w:rFonts w:eastAsia="Times New Roman"/>
        </w:rPr>
      </w:pPr>
      <w:r>
        <w:rPr>
          <w:rFonts w:eastAsia="Times New Roman"/>
          <w:color w:val="000000"/>
          <w:sz w:val="20"/>
          <w:szCs w:val="20"/>
        </w:rPr>
        <w:t>Analytics and Optimization revenue decreased by $17.7 million for the year ended December 31, 2019 as compared to the year ended December 31, 2018. The decrease was primarily driven by lower sales and deliveries of digital custom solutions, survey and lift</w:t>
      </w:r>
      <w:r>
        <w:rPr>
          <w:rFonts w:eastAsia="Times New Roman"/>
          <w:color w:val="000000"/>
          <w:sz w:val="20"/>
          <w:szCs w:val="20"/>
        </w:rPr>
        <w:t xml:space="preserve"> products in 2019. The decrease was offset by increased revenue from Activation products, which continued to experience year-over-year growth. </w:t>
      </w:r>
    </w:p>
    <w:p w14:paraId="563C0B3E" w14:textId="77777777" w:rsidR="00000000" w:rsidRDefault="00E614A4">
      <w:pPr>
        <w:jc w:val="both"/>
        <w:divId w:val="1349480121"/>
        <w:rPr>
          <w:rFonts w:eastAsia="Times New Roman"/>
        </w:rPr>
      </w:pPr>
      <w:r>
        <w:rPr>
          <w:rFonts w:eastAsia="Times New Roman"/>
          <w:color w:val="000000"/>
          <w:sz w:val="20"/>
          <w:szCs w:val="20"/>
        </w:rPr>
        <w:t>Movies Reporting and Analytics revenue increased by $0.6 million for the year ended December 31, 2019 as compare</w:t>
      </w:r>
      <w:r>
        <w:rPr>
          <w:rFonts w:eastAsia="Times New Roman"/>
          <w:color w:val="000000"/>
          <w:sz w:val="20"/>
          <w:szCs w:val="20"/>
        </w:rPr>
        <w:t xml:space="preserve">d to the year ended December 31, 2018 due to growth in new product revenue. </w:t>
      </w:r>
    </w:p>
    <w:p w14:paraId="588820AA" w14:textId="77777777" w:rsidR="00000000" w:rsidRDefault="00E614A4">
      <w:pPr>
        <w:jc w:val="both"/>
        <w:divId w:val="1557275648"/>
        <w:rPr>
          <w:rFonts w:eastAsia="Times New Roman"/>
        </w:rPr>
      </w:pPr>
      <w:r>
        <w:rPr>
          <w:rFonts w:eastAsia="Times New Roman"/>
          <w:color w:val="000000"/>
          <w:sz w:val="20"/>
          <w:szCs w:val="20"/>
          <w:u w:val="single"/>
        </w:rPr>
        <w:t>Revenues by Geographic Location</w:t>
      </w:r>
    </w:p>
    <w:p w14:paraId="7959FD1C" w14:textId="77777777" w:rsidR="00000000" w:rsidRDefault="00E614A4">
      <w:pPr>
        <w:jc w:val="both"/>
        <w:divId w:val="570123418"/>
        <w:rPr>
          <w:rFonts w:eastAsia="Times New Roman"/>
        </w:rPr>
      </w:pPr>
      <w:r>
        <w:rPr>
          <w:rFonts w:eastAsia="Times New Roman"/>
          <w:color w:val="000000"/>
          <w:sz w:val="20"/>
          <w:szCs w:val="20"/>
        </w:rPr>
        <w:t>Revenue from outside of the United States was $45.3 million, $52.6 million and $60.1 million for the years ended December 31, 2020, 2019, and 2018,</w:t>
      </w:r>
      <w:r>
        <w:rPr>
          <w:rFonts w:eastAsia="Times New Roman"/>
          <w:color w:val="000000"/>
          <w:sz w:val="20"/>
          <w:szCs w:val="20"/>
        </w:rPr>
        <w:t xml:space="preserve"> respectively. Revenue declines were due in part to our exit from certain countries as part of our restructuring activities, as well as the impact of the COVID-19 pandemic in 2020. Please refer to </w:t>
      </w:r>
      <w:hyperlink w:anchor="ided6989bcc374020961c421c465250ee_190" w:history="1">
        <w:r>
          <w:rPr>
            <w:rStyle w:val="a3"/>
            <w:rFonts w:eastAsia="Times New Roman"/>
            <w:sz w:val="20"/>
            <w:szCs w:val="20"/>
          </w:rPr>
          <w:t>Footnote 14</w:t>
        </w:r>
      </w:hyperlink>
      <w:r>
        <w:rPr>
          <w:rFonts w:eastAsia="Times New Roman"/>
          <w:color w:val="000000"/>
          <w:sz w:val="20"/>
          <w:szCs w:val="20"/>
        </w:rPr>
        <w:t xml:space="preserve">, </w:t>
      </w:r>
      <w:r>
        <w:rPr>
          <w:rFonts w:eastAsia="Times New Roman"/>
          <w:i/>
          <w:iCs/>
          <w:color w:val="000000"/>
          <w:sz w:val="20"/>
          <w:szCs w:val="20"/>
        </w:rPr>
        <w:t>Organizational Restructuring</w:t>
      </w:r>
      <w:r>
        <w:rPr>
          <w:rFonts w:eastAsia="Times New Roman"/>
          <w:color w:val="000000"/>
          <w:sz w:val="20"/>
          <w:szCs w:val="20"/>
        </w:rPr>
        <w:t>, of the Notes to Consolidated Financial Statements.</w:t>
      </w:r>
    </w:p>
    <w:p w14:paraId="0C5015D5" w14:textId="77777777" w:rsidR="00000000" w:rsidRDefault="00E614A4">
      <w:pPr>
        <w:jc w:val="both"/>
        <w:divId w:val="2060669230"/>
        <w:rPr>
          <w:rFonts w:eastAsia="Times New Roman"/>
        </w:rPr>
      </w:pPr>
      <w:r>
        <w:rPr>
          <w:rFonts w:eastAsia="Times New Roman"/>
          <w:color w:val="000000"/>
          <w:sz w:val="20"/>
          <w:szCs w:val="20"/>
        </w:rPr>
        <w:t>We generate the majority of our revenues from the sale and delivery of our products within the United States. For information with respect to sales by geographic</w:t>
      </w:r>
      <w:r>
        <w:rPr>
          <w:rFonts w:eastAsia="Times New Roman"/>
          <w:color w:val="000000"/>
          <w:sz w:val="20"/>
          <w:szCs w:val="20"/>
        </w:rPr>
        <w:t xml:space="preserve"> markets, refer to </w:t>
      </w:r>
      <w:hyperlink w:anchor="ided6989bcc374020961c421c465250ee_115" w:history="1">
        <w:r>
          <w:rPr>
            <w:rStyle w:val="a3"/>
            <w:rFonts w:eastAsia="Times New Roman"/>
            <w:sz w:val="20"/>
            <w:szCs w:val="20"/>
          </w:rPr>
          <w:t>Footnote 3</w:t>
        </w:r>
      </w:hyperlink>
      <w:r>
        <w:rPr>
          <w:rFonts w:eastAsia="Times New Roman"/>
          <w:color w:val="000000"/>
          <w:sz w:val="20"/>
          <w:szCs w:val="20"/>
        </w:rPr>
        <w:t xml:space="preserve">, </w:t>
      </w:r>
      <w:r>
        <w:rPr>
          <w:rFonts w:eastAsia="Times New Roman"/>
          <w:i/>
          <w:iCs/>
          <w:color w:val="000000"/>
          <w:sz w:val="20"/>
          <w:szCs w:val="20"/>
        </w:rPr>
        <w:t>Revenue Recognition</w:t>
      </w:r>
      <w:r>
        <w:rPr>
          <w:rFonts w:eastAsia="Times New Roman"/>
          <w:color w:val="000000"/>
          <w:sz w:val="20"/>
          <w:szCs w:val="20"/>
        </w:rPr>
        <w:t>, of the Notes to Consolidated Financial Statements. Our chief operating decision maker (our Chief Executive Officer ("CEO")) does not evaluate th</w:t>
      </w:r>
      <w:r>
        <w:rPr>
          <w:rFonts w:eastAsia="Times New Roman"/>
          <w:color w:val="000000"/>
          <w:sz w:val="20"/>
          <w:szCs w:val="20"/>
        </w:rPr>
        <w:t>e profit or loss from any separate geography.</w:t>
      </w:r>
    </w:p>
    <w:p w14:paraId="77624D30" w14:textId="77777777" w:rsidR="00000000" w:rsidRDefault="00E614A4">
      <w:pPr>
        <w:jc w:val="both"/>
        <w:divId w:val="1917477229"/>
        <w:rPr>
          <w:rFonts w:eastAsia="Times New Roman"/>
        </w:rPr>
      </w:pPr>
      <w:r>
        <w:rPr>
          <w:rFonts w:eastAsia="Times New Roman"/>
          <w:color w:val="000000"/>
          <w:sz w:val="20"/>
          <w:szCs w:val="20"/>
        </w:rPr>
        <w:t>We anticipate that revenues from our U.S. sales will continue to constitute a substantial and increasing portion of our revenues in future periods. We expect our international revenues to continue to decline as</w:t>
      </w:r>
      <w:r>
        <w:rPr>
          <w:rFonts w:eastAsia="Times New Roman"/>
          <w:color w:val="000000"/>
          <w:sz w:val="20"/>
          <w:szCs w:val="20"/>
        </w:rPr>
        <w:t xml:space="preserve"> a percentage of our total revenues as a result of relative growth in our domestic product offerings.</w:t>
      </w:r>
    </w:p>
    <w:p w14:paraId="11382F37" w14:textId="77777777" w:rsidR="00000000" w:rsidRDefault="00E614A4">
      <w:pPr>
        <w:jc w:val="both"/>
        <w:divId w:val="1218202808"/>
        <w:rPr>
          <w:rFonts w:eastAsia="Times New Roman"/>
        </w:rPr>
      </w:pPr>
      <w:r>
        <w:rPr>
          <w:rFonts w:eastAsia="Times New Roman"/>
          <w:color w:val="000000"/>
          <w:sz w:val="20"/>
          <w:szCs w:val="20"/>
          <w:u w:val="single"/>
        </w:rPr>
        <w:t>WPP Related Party Revenue</w:t>
      </w:r>
    </w:p>
    <w:p w14:paraId="3377FF5D" w14:textId="77777777" w:rsidR="00000000" w:rsidRDefault="00E614A4">
      <w:pPr>
        <w:jc w:val="both"/>
        <w:divId w:val="1206718649"/>
        <w:rPr>
          <w:rFonts w:eastAsia="Times New Roman"/>
        </w:rPr>
      </w:pPr>
      <w:r>
        <w:rPr>
          <w:rFonts w:eastAsia="Times New Roman"/>
          <w:color w:val="000000"/>
          <w:sz w:val="20"/>
          <w:szCs w:val="20"/>
        </w:rPr>
        <w:t>We provide WPP and its affiliates, in the normal course of business, services relating to our different product lines and receiv</w:t>
      </w:r>
      <w:r>
        <w:rPr>
          <w:rFonts w:eastAsia="Times New Roman"/>
          <w:color w:val="000000"/>
          <w:sz w:val="20"/>
          <w:szCs w:val="20"/>
        </w:rPr>
        <w:t>e various services from WPP and its affiliates in supporting our data collection efforts. For the years ended 2020, 2019, and 2018, related party revenues with WPP and its affiliates were $13.3 million, $15.9 million and $11.6 million, respectively.</w:t>
      </w:r>
    </w:p>
    <w:p w14:paraId="1D8C56F9" w14:textId="77777777" w:rsidR="00000000" w:rsidRDefault="00E614A4">
      <w:pPr>
        <w:jc w:val="both"/>
        <w:divId w:val="305206208"/>
        <w:rPr>
          <w:rFonts w:eastAsia="Times New Roman"/>
        </w:rPr>
      </w:pPr>
      <w:r>
        <w:rPr>
          <w:rFonts w:eastAsia="Times New Roman"/>
          <w:b/>
          <w:bCs/>
          <w:i/>
          <w:iCs/>
          <w:color w:val="000000"/>
          <w:sz w:val="20"/>
          <w:szCs w:val="20"/>
        </w:rPr>
        <w:t>Cost o</w:t>
      </w:r>
      <w:r>
        <w:rPr>
          <w:rFonts w:eastAsia="Times New Roman"/>
          <w:b/>
          <w:bCs/>
          <w:i/>
          <w:iCs/>
          <w:color w:val="000000"/>
          <w:sz w:val="20"/>
          <w:szCs w:val="20"/>
        </w:rPr>
        <w:t>f Revenues</w:t>
      </w:r>
    </w:p>
    <w:p w14:paraId="2BF14D2C" w14:textId="77777777" w:rsidR="00000000" w:rsidRDefault="00E614A4">
      <w:pPr>
        <w:jc w:val="both"/>
        <w:divId w:val="1082918655"/>
        <w:rPr>
          <w:rFonts w:eastAsia="Times New Roman"/>
        </w:rPr>
      </w:pPr>
      <w:r>
        <w:rPr>
          <w:rFonts w:eastAsia="Times New Roman"/>
          <w:color w:val="000000"/>
          <w:sz w:val="20"/>
          <w:szCs w:val="20"/>
        </w:rPr>
        <w:t xml:space="preserve">Cost of revenues consists primarily of expenses related to producing our products, operating our network infrastructure, the recruitment, maintenance and support of our consumer panels and amortization of capitalized fulfillment costs. Expenses </w:t>
      </w:r>
      <w:r>
        <w:rPr>
          <w:rFonts w:eastAsia="Times New Roman"/>
          <w:color w:val="000000"/>
          <w:sz w:val="20"/>
          <w:szCs w:val="20"/>
        </w:rPr>
        <w:t xml:space="preserve">associated with these areas include employee costs including salaries, benefits, stock-based compensation and other related personnel costs of network operations, survey operations, custom analytics and technical support, all of which are expensed as they </w:t>
      </w:r>
      <w:r>
        <w:rPr>
          <w:rFonts w:eastAsia="Times New Roman"/>
          <w:color w:val="000000"/>
          <w:sz w:val="20"/>
          <w:szCs w:val="20"/>
        </w:rPr>
        <w:t>are incurred. Cost of revenues also includes costs to obtain MVPD data sets and panel, census based and other data sets used in our products as well as operational costs associated with our data centers, including depreciation expense associated with compu</w:t>
      </w:r>
      <w:r>
        <w:rPr>
          <w:rFonts w:eastAsia="Times New Roman"/>
          <w:color w:val="000000"/>
          <w:sz w:val="20"/>
          <w:szCs w:val="20"/>
        </w:rPr>
        <w:t>ter equipment and internally developed software that supports our panels and systems. Additionally, cost of revenues includes allocated overhead, lease expense and other facilities-related costs.</w:t>
      </w:r>
    </w:p>
    <w:p w14:paraId="632A6C18" w14:textId="77777777" w:rsidR="00000000" w:rsidRDefault="00E614A4">
      <w:pPr>
        <w:jc w:val="center"/>
        <w:divId w:val="2031301354"/>
        <w:rPr>
          <w:rFonts w:eastAsia="Times New Roman"/>
        </w:rPr>
      </w:pPr>
      <w:r>
        <w:rPr>
          <w:rFonts w:eastAsia="Times New Roman"/>
          <w:color w:val="000000"/>
          <w:sz w:val="20"/>
          <w:szCs w:val="20"/>
        </w:rPr>
        <w:t>37</w:t>
      </w:r>
    </w:p>
    <w:p w14:paraId="6D81D020" w14:textId="77777777" w:rsidR="00000000" w:rsidRDefault="00E614A4">
      <w:pPr>
        <w:rPr>
          <w:rFonts w:eastAsia="Times New Roman"/>
        </w:rPr>
      </w:pPr>
      <w:r>
        <w:rPr>
          <w:rFonts w:eastAsia="Times New Roman"/>
        </w:rPr>
        <w:pict w14:anchorId="50BE6BB2">
          <v:rect id="_x0000_i1065" style="width:0;height:1.5pt" o:hralign="center" o:hrstd="t" o:hr="t" fillcolor="#a0a0a0" stroked="f"/>
        </w:pict>
      </w:r>
    </w:p>
    <w:p w14:paraId="281A3BAF" w14:textId="77777777" w:rsidR="00000000" w:rsidRDefault="00E614A4">
      <w:pPr>
        <w:divId w:val="130858868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1707D52" w14:textId="77777777" w:rsidR="00000000" w:rsidRDefault="00E614A4">
      <w:pPr>
        <w:divId w:val="1871524136"/>
        <w:rPr>
          <w:rFonts w:eastAsia="Times New Roman"/>
        </w:rPr>
      </w:pPr>
    </w:p>
    <w:p w14:paraId="238476FA" w14:textId="77777777" w:rsidR="00000000" w:rsidRDefault="00E614A4">
      <w:pPr>
        <w:jc w:val="both"/>
        <w:divId w:val="423847299"/>
        <w:rPr>
          <w:rFonts w:eastAsia="Times New Roman"/>
        </w:rPr>
      </w:pPr>
      <w:r>
        <w:rPr>
          <w:rFonts w:eastAsia="Times New Roman"/>
          <w:color w:val="000000"/>
          <w:sz w:val="20"/>
          <w:szCs w:val="20"/>
        </w:rPr>
        <w:t>Cost of revenues for the years ended December 31, 2020 and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659"/>
        <w:gridCol w:w="38"/>
        <w:gridCol w:w="110"/>
        <w:gridCol w:w="683"/>
        <w:gridCol w:w="36"/>
        <w:gridCol w:w="36"/>
        <w:gridCol w:w="36"/>
        <w:gridCol w:w="36"/>
        <w:gridCol w:w="61"/>
        <w:gridCol w:w="614"/>
        <w:gridCol w:w="170"/>
        <w:gridCol w:w="36"/>
        <w:gridCol w:w="36"/>
        <w:gridCol w:w="36"/>
        <w:gridCol w:w="110"/>
        <w:gridCol w:w="683"/>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166C2EF7" w14:textId="77777777">
        <w:trPr>
          <w:divId w:val="1983389185"/>
        </w:trPr>
        <w:tc>
          <w:tcPr>
            <w:tcW w:w="50" w:type="pct"/>
            <w:vAlign w:val="center"/>
            <w:hideMark/>
          </w:tcPr>
          <w:p w14:paraId="2BD51389" w14:textId="77777777" w:rsidR="00000000" w:rsidRDefault="00E614A4">
            <w:pPr>
              <w:jc w:val="both"/>
              <w:rPr>
                <w:rFonts w:eastAsia="Times New Roman"/>
              </w:rPr>
            </w:pPr>
          </w:p>
        </w:tc>
        <w:tc>
          <w:tcPr>
            <w:tcW w:w="1681" w:type="pct"/>
            <w:vAlign w:val="center"/>
            <w:hideMark/>
          </w:tcPr>
          <w:p w14:paraId="285B49E2" w14:textId="77777777" w:rsidR="00000000" w:rsidRDefault="00E614A4">
            <w:pPr>
              <w:rPr>
                <w:rFonts w:eastAsia="Times New Roman"/>
                <w:sz w:val="20"/>
                <w:szCs w:val="20"/>
              </w:rPr>
            </w:pPr>
          </w:p>
        </w:tc>
        <w:tc>
          <w:tcPr>
            <w:tcW w:w="5" w:type="pct"/>
            <w:vAlign w:val="center"/>
            <w:hideMark/>
          </w:tcPr>
          <w:p w14:paraId="512E3825" w14:textId="77777777" w:rsidR="00000000" w:rsidRDefault="00E614A4">
            <w:pPr>
              <w:rPr>
                <w:rFonts w:eastAsia="Times New Roman"/>
                <w:sz w:val="20"/>
                <w:szCs w:val="20"/>
              </w:rPr>
            </w:pPr>
          </w:p>
        </w:tc>
        <w:tc>
          <w:tcPr>
            <w:tcW w:w="50" w:type="pct"/>
            <w:vAlign w:val="center"/>
            <w:hideMark/>
          </w:tcPr>
          <w:p w14:paraId="752CC37F" w14:textId="77777777" w:rsidR="00000000" w:rsidRDefault="00E614A4">
            <w:pPr>
              <w:rPr>
                <w:rFonts w:eastAsia="Times New Roman"/>
                <w:sz w:val="20"/>
                <w:szCs w:val="20"/>
              </w:rPr>
            </w:pPr>
          </w:p>
        </w:tc>
        <w:tc>
          <w:tcPr>
            <w:tcW w:w="465" w:type="pct"/>
            <w:vAlign w:val="center"/>
            <w:hideMark/>
          </w:tcPr>
          <w:p w14:paraId="5154DA18" w14:textId="77777777" w:rsidR="00000000" w:rsidRDefault="00E614A4">
            <w:pPr>
              <w:rPr>
                <w:rFonts w:eastAsia="Times New Roman"/>
                <w:sz w:val="20"/>
                <w:szCs w:val="20"/>
              </w:rPr>
            </w:pPr>
          </w:p>
        </w:tc>
        <w:tc>
          <w:tcPr>
            <w:tcW w:w="5" w:type="pct"/>
            <w:vAlign w:val="center"/>
            <w:hideMark/>
          </w:tcPr>
          <w:p w14:paraId="3F3FA768" w14:textId="77777777" w:rsidR="00000000" w:rsidRDefault="00E614A4">
            <w:pPr>
              <w:rPr>
                <w:rFonts w:eastAsia="Times New Roman"/>
                <w:sz w:val="20"/>
                <w:szCs w:val="20"/>
              </w:rPr>
            </w:pPr>
          </w:p>
        </w:tc>
        <w:tc>
          <w:tcPr>
            <w:tcW w:w="5" w:type="pct"/>
            <w:vAlign w:val="center"/>
            <w:hideMark/>
          </w:tcPr>
          <w:p w14:paraId="08060EB6" w14:textId="77777777" w:rsidR="00000000" w:rsidRDefault="00E614A4">
            <w:pPr>
              <w:rPr>
                <w:rFonts w:eastAsia="Times New Roman"/>
                <w:sz w:val="20"/>
                <w:szCs w:val="20"/>
              </w:rPr>
            </w:pPr>
          </w:p>
        </w:tc>
        <w:tc>
          <w:tcPr>
            <w:tcW w:w="17" w:type="pct"/>
            <w:vAlign w:val="center"/>
            <w:hideMark/>
          </w:tcPr>
          <w:p w14:paraId="6B6F0BFE" w14:textId="77777777" w:rsidR="00000000" w:rsidRDefault="00E614A4">
            <w:pPr>
              <w:rPr>
                <w:rFonts w:eastAsia="Times New Roman"/>
                <w:sz w:val="20"/>
                <w:szCs w:val="20"/>
              </w:rPr>
            </w:pPr>
          </w:p>
        </w:tc>
        <w:tc>
          <w:tcPr>
            <w:tcW w:w="5" w:type="pct"/>
            <w:vAlign w:val="center"/>
            <w:hideMark/>
          </w:tcPr>
          <w:p w14:paraId="1E2C121A" w14:textId="77777777" w:rsidR="00000000" w:rsidRDefault="00E614A4">
            <w:pPr>
              <w:rPr>
                <w:rFonts w:eastAsia="Times New Roman"/>
                <w:sz w:val="20"/>
                <w:szCs w:val="20"/>
              </w:rPr>
            </w:pPr>
          </w:p>
        </w:tc>
        <w:tc>
          <w:tcPr>
            <w:tcW w:w="50" w:type="pct"/>
            <w:vAlign w:val="center"/>
            <w:hideMark/>
          </w:tcPr>
          <w:p w14:paraId="1BBF289E" w14:textId="77777777" w:rsidR="00000000" w:rsidRDefault="00E614A4">
            <w:pPr>
              <w:rPr>
                <w:rFonts w:eastAsia="Times New Roman"/>
                <w:sz w:val="20"/>
                <w:szCs w:val="20"/>
              </w:rPr>
            </w:pPr>
          </w:p>
        </w:tc>
        <w:tc>
          <w:tcPr>
            <w:tcW w:w="465" w:type="pct"/>
            <w:vAlign w:val="center"/>
            <w:hideMark/>
          </w:tcPr>
          <w:p w14:paraId="0F85FF95" w14:textId="77777777" w:rsidR="00000000" w:rsidRDefault="00E614A4">
            <w:pPr>
              <w:rPr>
                <w:rFonts w:eastAsia="Times New Roman"/>
                <w:sz w:val="20"/>
                <w:szCs w:val="20"/>
              </w:rPr>
            </w:pPr>
          </w:p>
        </w:tc>
        <w:tc>
          <w:tcPr>
            <w:tcW w:w="5" w:type="pct"/>
            <w:vAlign w:val="center"/>
            <w:hideMark/>
          </w:tcPr>
          <w:p w14:paraId="22AAA3DD" w14:textId="77777777" w:rsidR="00000000" w:rsidRDefault="00E614A4">
            <w:pPr>
              <w:rPr>
                <w:rFonts w:eastAsia="Times New Roman"/>
                <w:sz w:val="20"/>
                <w:szCs w:val="20"/>
              </w:rPr>
            </w:pPr>
          </w:p>
        </w:tc>
        <w:tc>
          <w:tcPr>
            <w:tcW w:w="5" w:type="pct"/>
            <w:vAlign w:val="center"/>
            <w:hideMark/>
          </w:tcPr>
          <w:p w14:paraId="075D19A0" w14:textId="77777777" w:rsidR="00000000" w:rsidRDefault="00E614A4">
            <w:pPr>
              <w:rPr>
                <w:rFonts w:eastAsia="Times New Roman"/>
                <w:sz w:val="20"/>
                <w:szCs w:val="20"/>
              </w:rPr>
            </w:pPr>
          </w:p>
        </w:tc>
        <w:tc>
          <w:tcPr>
            <w:tcW w:w="17" w:type="pct"/>
            <w:vAlign w:val="center"/>
            <w:hideMark/>
          </w:tcPr>
          <w:p w14:paraId="19ACB56B" w14:textId="77777777" w:rsidR="00000000" w:rsidRDefault="00E614A4">
            <w:pPr>
              <w:rPr>
                <w:rFonts w:eastAsia="Times New Roman"/>
                <w:sz w:val="20"/>
                <w:szCs w:val="20"/>
              </w:rPr>
            </w:pPr>
          </w:p>
        </w:tc>
        <w:tc>
          <w:tcPr>
            <w:tcW w:w="5" w:type="pct"/>
            <w:vAlign w:val="center"/>
            <w:hideMark/>
          </w:tcPr>
          <w:p w14:paraId="11B87662" w14:textId="77777777" w:rsidR="00000000" w:rsidRDefault="00E614A4">
            <w:pPr>
              <w:rPr>
                <w:rFonts w:eastAsia="Times New Roman"/>
                <w:sz w:val="20"/>
                <w:szCs w:val="20"/>
              </w:rPr>
            </w:pPr>
          </w:p>
        </w:tc>
        <w:tc>
          <w:tcPr>
            <w:tcW w:w="50" w:type="pct"/>
            <w:vAlign w:val="center"/>
            <w:hideMark/>
          </w:tcPr>
          <w:p w14:paraId="6CA23D07" w14:textId="77777777" w:rsidR="00000000" w:rsidRDefault="00E614A4">
            <w:pPr>
              <w:rPr>
                <w:rFonts w:eastAsia="Times New Roman"/>
                <w:sz w:val="20"/>
                <w:szCs w:val="20"/>
              </w:rPr>
            </w:pPr>
          </w:p>
        </w:tc>
        <w:tc>
          <w:tcPr>
            <w:tcW w:w="465" w:type="pct"/>
            <w:vAlign w:val="center"/>
            <w:hideMark/>
          </w:tcPr>
          <w:p w14:paraId="270C34EC" w14:textId="77777777" w:rsidR="00000000" w:rsidRDefault="00E614A4">
            <w:pPr>
              <w:rPr>
                <w:rFonts w:eastAsia="Times New Roman"/>
                <w:sz w:val="20"/>
                <w:szCs w:val="20"/>
              </w:rPr>
            </w:pPr>
          </w:p>
        </w:tc>
        <w:tc>
          <w:tcPr>
            <w:tcW w:w="5" w:type="pct"/>
            <w:vAlign w:val="center"/>
            <w:hideMark/>
          </w:tcPr>
          <w:p w14:paraId="1A57137C" w14:textId="77777777" w:rsidR="00000000" w:rsidRDefault="00E614A4">
            <w:pPr>
              <w:rPr>
                <w:rFonts w:eastAsia="Times New Roman"/>
                <w:sz w:val="20"/>
                <w:szCs w:val="20"/>
              </w:rPr>
            </w:pPr>
          </w:p>
        </w:tc>
        <w:tc>
          <w:tcPr>
            <w:tcW w:w="5" w:type="pct"/>
            <w:vAlign w:val="center"/>
            <w:hideMark/>
          </w:tcPr>
          <w:p w14:paraId="1993360B" w14:textId="77777777" w:rsidR="00000000" w:rsidRDefault="00E614A4">
            <w:pPr>
              <w:rPr>
                <w:rFonts w:eastAsia="Times New Roman"/>
                <w:sz w:val="20"/>
                <w:szCs w:val="20"/>
              </w:rPr>
            </w:pPr>
          </w:p>
        </w:tc>
        <w:tc>
          <w:tcPr>
            <w:tcW w:w="17" w:type="pct"/>
            <w:vAlign w:val="center"/>
            <w:hideMark/>
          </w:tcPr>
          <w:p w14:paraId="3F8D0E1A" w14:textId="77777777" w:rsidR="00000000" w:rsidRDefault="00E614A4">
            <w:pPr>
              <w:rPr>
                <w:rFonts w:eastAsia="Times New Roman"/>
                <w:sz w:val="20"/>
                <w:szCs w:val="20"/>
              </w:rPr>
            </w:pPr>
          </w:p>
        </w:tc>
        <w:tc>
          <w:tcPr>
            <w:tcW w:w="5" w:type="pct"/>
            <w:vAlign w:val="center"/>
            <w:hideMark/>
          </w:tcPr>
          <w:p w14:paraId="2162C793" w14:textId="77777777" w:rsidR="00000000" w:rsidRDefault="00E614A4">
            <w:pPr>
              <w:rPr>
                <w:rFonts w:eastAsia="Times New Roman"/>
                <w:sz w:val="20"/>
                <w:szCs w:val="20"/>
              </w:rPr>
            </w:pPr>
          </w:p>
        </w:tc>
        <w:tc>
          <w:tcPr>
            <w:tcW w:w="50" w:type="pct"/>
            <w:vAlign w:val="center"/>
            <w:hideMark/>
          </w:tcPr>
          <w:p w14:paraId="658F1ADB" w14:textId="77777777" w:rsidR="00000000" w:rsidRDefault="00E614A4">
            <w:pPr>
              <w:rPr>
                <w:rFonts w:eastAsia="Times New Roman"/>
                <w:sz w:val="20"/>
                <w:szCs w:val="20"/>
              </w:rPr>
            </w:pPr>
          </w:p>
        </w:tc>
        <w:tc>
          <w:tcPr>
            <w:tcW w:w="465" w:type="pct"/>
            <w:vAlign w:val="center"/>
            <w:hideMark/>
          </w:tcPr>
          <w:p w14:paraId="3E063633" w14:textId="77777777" w:rsidR="00000000" w:rsidRDefault="00E614A4">
            <w:pPr>
              <w:rPr>
                <w:rFonts w:eastAsia="Times New Roman"/>
                <w:sz w:val="20"/>
                <w:szCs w:val="20"/>
              </w:rPr>
            </w:pPr>
          </w:p>
        </w:tc>
        <w:tc>
          <w:tcPr>
            <w:tcW w:w="5" w:type="pct"/>
            <w:vAlign w:val="center"/>
            <w:hideMark/>
          </w:tcPr>
          <w:p w14:paraId="0F5A18EC" w14:textId="77777777" w:rsidR="00000000" w:rsidRDefault="00E614A4">
            <w:pPr>
              <w:rPr>
                <w:rFonts w:eastAsia="Times New Roman"/>
                <w:sz w:val="20"/>
                <w:szCs w:val="20"/>
              </w:rPr>
            </w:pPr>
          </w:p>
        </w:tc>
        <w:tc>
          <w:tcPr>
            <w:tcW w:w="5" w:type="pct"/>
            <w:vAlign w:val="center"/>
            <w:hideMark/>
          </w:tcPr>
          <w:p w14:paraId="0E7AD9C6" w14:textId="77777777" w:rsidR="00000000" w:rsidRDefault="00E614A4">
            <w:pPr>
              <w:rPr>
                <w:rFonts w:eastAsia="Times New Roman"/>
                <w:sz w:val="20"/>
                <w:szCs w:val="20"/>
              </w:rPr>
            </w:pPr>
          </w:p>
        </w:tc>
        <w:tc>
          <w:tcPr>
            <w:tcW w:w="17" w:type="pct"/>
            <w:vAlign w:val="center"/>
            <w:hideMark/>
          </w:tcPr>
          <w:p w14:paraId="1A0131B6" w14:textId="77777777" w:rsidR="00000000" w:rsidRDefault="00E614A4">
            <w:pPr>
              <w:rPr>
                <w:rFonts w:eastAsia="Times New Roman"/>
                <w:sz w:val="20"/>
                <w:szCs w:val="20"/>
              </w:rPr>
            </w:pPr>
          </w:p>
        </w:tc>
        <w:tc>
          <w:tcPr>
            <w:tcW w:w="5" w:type="pct"/>
            <w:vAlign w:val="center"/>
            <w:hideMark/>
          </w:tcPr>
          <w:p w14:paraId="3ADCD01C" w14:textId="77777777" w:rsidR="00000000" w:rsidRDefault="00E614A4">
            <w:pPr>
              <w:rPr>
                <w:rFonts w:eastAsia="Times New Roman"/>
                <w:sz w:val="20"/>
                <w:szCs w:val="20"/>
              </w:rPr>
            </w:pPr>
          </w:p>
        </w:tc>
        <w:tc>
          <w:tcPr>
            <w:tcW w:w="50" w:type="pct"/>
            <w:vAlign w:val="center"/>
            <w:hideMark/>
          </w:tcPr>
          <w:p w14:paraId="44289677" w14:textId="77777777" w:rsidR="00000000" w:rsidRDefault="00E614A4">
            <w:pPr>
              <w:rPr>
                <w:rFonts w:eastAsia="Times New Roman"/>
                <w:sz w:val="20"/>
                <w:szCs w:val="20"/>
              </w:rPr>
            </w:pPr>
          </w:p>
        </w:tc>
        <w:tc>
          <w:tcPr>
            <w:tcW w:w="465" w:type="pct"/>
            <w:vAlign w:val="center"/>
            <w:hideMark/>
          </w:tcPr>
          <w:p w14:paraId="64213A54" w14:textId="77777777" w:rsidR="00000000" w:rsidRDefault="00E614A4">
            <w:pPr>
              <w:rPr>
                <w:rFonts w:eastAsia="Times New Roman"/>
                <w:sz w:val="20"/>
                <w:szCs w:val="20"/>
              </w:rPr>
            </w:pPr>
          </w:p>
        </w:tc>
        <w:tc>
          <w:tcPr>
            <w:tcW w:w="5" w:type="pct"/>
            <w:vAlign w:val="center"/>
            <w:hideMark/>
          </w:tcPr>
          <w:p w14:paraId="69C7A651" w14:textId="77777777" w:rsidR="00000000" w:rsidRDefault="00E614A4">
            <w:pPr>
              <w:rPr>
                <w:rFonts w:eastAsia="Times New Roman"/>
                <w:sz w:val="20"/>
                <w:szCs w:val="20"/>
              </w:rPr>
            </w:pPr>
          </w:p>
        </w:tc>
        <w:tc>
          <w:tcPr>
            <w:tcW w:w="5" w:type="pct"/>
            <w:vAlign w:val="center"/>
            <w:hideMark/>
          </w:tcPr>
          <w:p w14:paraId="2B4470A8" w14:textId="77777777" w:rsidR="00000000" w:rsidRDefault="00E614A4">
            <w:pPr>
              <w:rPr>
                <w:rFonts w:eastAsia="Times New Roman"/>
                <w:sz w:val="20"/>
                <w:szCs w:val="20"/>
              </w:rPr>
            </w:pPr>
          </w:p>
        </w:tc>
        <w:tc>
          <w:tcPr>
            <w:tcW w:w="17" w:type="pct"/>
            <w:vAlign w:val="center"/>
            <w:hideMark/>
          </w:tcPr>
          <w:p w14:paraId="7BA2A0D7" w14:textId="77777777" w:rsidR="00000000" w:rsidRDefault="00E614A4">
            <w:pPr>
              <w:rPr>
                <w:rFonts w:eastAsia="Times New Roman"/>
                <w:sz w:val="20"/>
                <w:szCs w:val="20"/>
              </w:rPr>
            </w:pPr>
          </w:p>
        </w:tc>
        <w:tc>
          <w:tcPr>
            <w:tcW w:w="5" w:type="pct"/>
            <w:vAlign w:val="center"/>
            <w:hideMark/>
          </w:tcPr>
          <w:p w14:paraId="290140B5" w14:textId="77777777" w:rsidR="00000000" w:rsidRDefault="00E614A4">
            <w:pPr>
              <w:rPr>
                <w:rFonts w:eastAsia="Times New Roman"/>
                <w:sz w:val="20"/>
                <w:szCs w:val="20"/>
              </w:rPr>
            </w:pPr>
          </w:p>
        </w:tc>
        <w:tc>
          <w:tcPr>
            <w:tcW w:w="50" w:type="pct"/>
            <w:vAlign w:val="center"/>
            <w:hideMark/>
          </w:tcPr>
          <w:p w14:paraId="301C291C" w14:textId="77777777" w:rsidR="00000000" w:rsidRDefault="00E614A4">
            <w:pPr>
              <w:rPr>
                <w:rFonts w:eastAsia="Times New Roman"/>
                <w:sz w:val="20"/>
                <w:szCs w:val="20"/>
              </w:rPr>
            </w:pPr>
          </w:p>
        </w:tc>
        <w:tc>
          <w:tcPr>
            <w:tcW w:w="466" w:type="pct"/>
            <w:vAlign w:val="center"/>
            <w:hideMark/>
          </w:tcPr>
          <w:p w14:paraId="4361EA58" w14:textId="77777777" w:rsidR="00000000" w:rsidRDefault="00E614A4">
            <w:pPr>
              <w:rPr>
                <w:rFonts w:eastAsia="Times New Roman"/>
                <w:sz w:val="20"/>
                <w:szCs w:val="20"/>
              </w:rPr>
            </w:pPr>
          </w:p>
        </w:tc>
        <w:tc>
          <w:tcPr>
            <w:tcW w:w="5" w:type="pct"/>
            <w:vAlign w:val="center"/>
            <w:hideMark/>
          </w:tcPr>
          <w:p w14:paraId="1E67FD46" w14:textId="77777777" w:rsidR="00000000" w:rsidRDefault="00E614A4">
            <w:pPr>
              <w:rPr>
                <w:rFonts w:eastAsia="Times New Roman"/>
                <w:sz w:val="20"/>
                <w:szCs w:val="20"/>
              </w:rPr>
            </w:pPr>
          </w:p>
        </w:tc>
      </w:tr>
      <w:tr w:rsidR="00000000" w14:paraId="7B4C84EF" w14:textId="77777777">
        <w:trPr>
          <w:divId w:val="1983389185"/>
        </w:trPr>
        <w:tc>
          <w:tcPr>
            <w:tcW w:w="0" w:type="auto"/>
            <w:gridSpan w:val="3"/>
            <w:vAlign w:val="center"/>
            <w:hideMark/>
          </w:tcPr>
          <w:p w14:paraId="4F52669D" w14:textId="77777777" w:rsidR="00000000" w:rsidRDefault="00E614A4">
            <w:pPr>
              <w:rPr>
                <w:rFonts w:eastAsia="Times New Roman"/>
                <w:sz w:val="20"/>
                <w:szCs w:val="20"/>
              </w:rPr>
            </w:pPr>
          </w:p>
        </w:tc>
        <w:tc>
          <w:tcPr>
            <w:tcW w:w="0" w:type="auto"/>
            <w:gridSpan w:val="3"/>
            <w:vAlign w:val="center"/>
            <w:hideMark/>
          </w:tcPr>
          <w:p w14:paraId="2737674F" w14:textId="77777777" w:rsidR="00000000" w:rsidRDefault="00E614A4">
            <w:pPr>
              <w:rPr>
                <w:rFonts w:eastAsia="Times New Roman"/>
                <w:sz w:val="20"/>
                <w:szCs w:val="20"/>
              </w:rPr>
            </w:pPr>
          </w:p>
        </w:tc>
        <w:tc>
          <w:tcPr>
            <w:tcW w:w="0" w:type="auto"/>
            <w:gridSpan w:val="3"/>
            <w:vAlign w:val="center"/>
            <w:hideMark/>
          </w:tcPr>
          <w:p w14:paraId="1383061D" w14:textId="77777777" w:rsidR="00000000" w:rsidRDefault="00E614A4">
            <w:pPr>
              <w:rPr>
                <w:rFonts w:eastAsia="Times New Roman"/>
                <w:sz w:val="20"/>
                <w:szCs w:val="20"/>
              </w:rPr>
            </w:pPr>
          </w:p>
        </w:tc>
        <w:tc>
          <w:tcPr>
            <w:tcW w:w="0" w:type="auto"/>
            <w:gridSpan w:val="3"/>
            <w:vAlign w:val="center"/>
            <w:hideMark/>
          </w:tcPr>
          <w:p w14:paraId="248E33CB" w14:textId="77777777" w:rsidR="00000000" w:rsidRDefault="00E614A4">
            <w:pPr>
              <w:rPr>
                <w:rFonts w:eastAsia="Times New Roman"/>
                <w:sz w:val="20"/>
                <w:szCs w:val="20"/>
              </w:rPr>
            </w:pPr>
          </w:p>
        </w:tc>
        <w:tc>
          <w:tcPr>
            <w:tcW w:w="0" w:type="auto"/>
            <w:gridSpan w:val="3"/>
            <w:vAlign w:val="center"/>
            <w:hideMark/>
          </w:tcPr>
          <w:p w14:paraId="7E65C17E" w14:textId="77777777" w:rsidR="00000000" w:rsidRDefault="00E614A4">
            <w:pPr>
              <w:rPr>
                <w:rFonts w:eastAsia="Times New Roman"/>
                <w:sz w:val="20"/>
                <w:szCs w:val="20"/>
              </w:rPr>
            </w:pPr>
          </w:p>
        </w:tc>
        <w:tc>
          <w:tcPr>
            <w:tcW w:w="0" w:type="auto"/>
            <w:gridSpan w:val="3"/>
            <w:vAlign w:val="center"/>
            <w:hideMark/>
          </w:tcPr>
          <w:p w14:paraId="20BCFB4E" w14:textId="77777777" w:rsidR="00000000" w:rsidRDefault="00E614A4">
            <w:pPr>
              <w:rPr>
                <w:rFonts w:eastAsia="Times New Roman"/>
                <w:sz w:val="20"/>
                <w:szCs w:val="20"/>
              </w:rPr>
            </w:pPr>
          </w:p>
        </w:tc>
        <w:tc>
          <w:tcPr>
            <w:tcW w:w="0" w:type="auto"/>
            <w:gridSpan w:val="3"/>
            <w:vAlign w:val="center"/>
            <w:hideMark/>
          </w:tcPr>
          <w:p w14:paraId="0D01B4FB" w14:textId="77777777" w:rsidR="00000000" w:rsidRDefault="00E614A4">
            <w:pPr>
              <w:rPr>
                <w:rFonts w:eastAsia="Times New Roman"/>
                <w:sz w:val="20"/>
                <w:szCs w:val="20"/>
              </w:rPr>
            </w:pPr>
          </w:p>
        </w:tc>
        <w:tc>
          <w:tcPr>
            <w:tcW w:w="0" w:type="auto"/>
            <w:gridSpan w:val="3"/>
            <w:vAlign w:val="center"/>
            <w:hideMark/>
          </w:tcPr>
          <w:p w14:paraId="1588CC44" w14:textId="77777777" w:rsidR="00000000" w:rsidRDefault="00E614A4">
            <w:pPr>
              <w:rPr>
                <w:rFonts w:eastAsia="Times New Roman"/>
                <w:sz w:val="20"/>
                <w:szCs w:val="20"/>
              </w:rPr>
            </w:pPr>
          </w:p>
        </w:tc>
        <w:tc>
          <w:tcPr>
            <w:tcW w:w="0" w:type="auto"/>
            <w:gridSpan w:val="3"/>
            <w:vAlign w:val="center"/>
            <w:hideMark/>
          </w:tcPr>
          <w:p w14:paraId="3C110054" w14:textId="77777777" w:rsidR="00000000" w:rsidRDefault="00E614A4">
            <w:pPr>
              <w:rPr>
                <w:rFonts w:eastAsia="Times New Roman"/>
                <w:sz w:val="20"/>
                <w:szCs w:val="20"/>
              </w:rPr>
            </w:pPr>
          </w:p>
        </w:tc>
        <w:tc>
          <w:tcPr>
            <w:tcW w:w="0" w:type="auto"/>
            <w:gridSpan w:val="3"/>
            <w:vAlign w:val="center"/>
            <w:hideMark/>
          </w:tcPr>
          <w:p w14:paraId="7346761F" w14:textId="77777777" w:rsidR="00000000" w:rsidRDefault="00E614A4">
            <w:pPr>
              <w:rPr>
                <w:rFonts w:eastAsia="Times New Roman"/>
                <w:sz w:val="20"/>
                <w:szCs w:val="20"/>
              </w:rPr>
            </w:pPr>
          </w:p>
        </w:tc>
        <w:tc>
          <w:tcPr>
            <w:tcW w:w="0" w:type="auto"/>
            <w:gridSpan w:val="3"/>
            <w:vAlign w:val="center"/>
            <w:hideMark/>
          </w:tcPr>
          <w:p w14:paraId="712E7AC5" w14:textId="77777777" w:rsidR="00000000" w:rsidRDefault="00E614A4">
            <w:pPr>
              <w:rPr>
                <w:rFonts w:eastAsia="Times New Roman"/>
                <w:sz w:val="20"/>
                <w:szCs w:val="20"/>
              </w:rPr>
            </w:pPr>
          </w:p>
        </w:tc>
        <w:tc>
          <w:tcPr>
            <w:tcW w:w="0" w:type="auto"/>
            <w:gridSpan w:val="3"/>
            <w:vAlign w:val="center"/>
            <w:hideMark/>
          </w:tcPr>
          <w:p w14:paraId="1F28CCFB" w14:textId="77777777" w:rsidR="00000000" w:rsidRDefault="00E614A4">
            <w:pPr>
              <w:rPr>
                <w:rFonts w:eastAsia="Times New Roman"/>
                <w:sz w:val="20"/>
                <w:szCs w:val="20"/>
              </w:rPr>
            </w:pPr>
          </w:p>
        </w:tc>
      </w:tr>
      <w:tr w:rsidR="00000000" w14:paraId="0ECC030F" w14:textId="77777777">
        <w:trPr>
          <w:divId w:val="1983389185"/>
        </w:trPr>
        <w:tc>
          <w:tcPr>
            <w:tcW w:w="0" w:type="auto"/>
            <w:gridSpan w:val="3"/>
            <w:tcMar>
              <w:top w:w="0" w:type="dxa"/>
              <w:left w:w="20" w:type="dxa"/>
              <w:bottom w:w="0" w:type="dxa"/>
              <w:right w:w="20" w:type="dxa"/>
            </w:tcMar>
            <w:vAlign w:val="center"/>
            <w:hideMark/>
          </w:tcPr>
          <w:p w14:paraId="4194B72A"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0143A74B"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1B75A457" w14:textId="77777777" w:rsidR="00000000" w:rsidRDefault="00E614A4">
            <w:pPr>
              <w:jc w:val="center"/>
              <w:rPr>
                <w:rFonts w:eastAsia="Times New Roman"/>
              </w:rPr>
            </w:pPr>
          </w:p>
        </w:tc>
        <w:tc>
          <w:tcPr>
            <w:tcW w:w="0" w:type="auto"/>
            <w:gridSpan w:val="9"/>
            <w:tcMar>
              <w:top w:w="0" w:type="dxa"/>
              <w:left w:w="20" w:type="dxa"/>
              <w:bottom w:w="0" w:type="dxa"/>
              <w:right w:w="20" w:type="dxa"/>
            </w:tcMar>
            <w:vAlign w:val="center"/>
            <w:hideMark/>
          </w:tcPr>
          <w:p w14:paraId="0B2E6B03" w14:textId="77777777" w:rsidR="00000000" w:rsidRDefault="00E614A4">
            <w:pPr>
              <w:rPr>
                <w:rFonts w:eastAsia="Times New Roman"/>
                <w:sz w:val="20"/>
                <w:szCs w:val="20"/>
              </w:rPr>
            </w:pPr>
          </w:p>
        </w:tc>
      </w:tr>
      <w:tr w:rsidR="00000000" w14:paraId="01ED6B3F" w14:textId="77777777">
        <w:trPr>
          <w:divId w:val="1983389185"/>
        </w:trPr>
        <w:tc>
          <w:tcPr>
            <w:tcW w:w="0" w:type="auto"/>
            <w:gridSpan w:val="3"/>
            <w:shd w:val="clear" w:color="auto" w:fill="FFFFFF"/>
            <w:tcMar>
              <w:top w:w="30" w:type="dxa"/>
              <w:left w:w="20" w:type="dxa"/>
              <w:bottom w:w="30" w:type="dxa"/>
              <w:right w:w="20" w:type="dxa"/>
            </w:tcMar>
            <w:vAlign w:val="bottom"/>
            <w:hideMark/>
          </w:tcPr>
          <w:p w14:paraId="439E11AE"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191D63"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89209A"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FB49247"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5CA1EE"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5BD1647"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0C946E"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7A73CDD" w14:textId="77777777" w:rsidR="00000000" w:rsidRDefault="00E614A4">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15D6E2B3"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FC39C87"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14:paraId="3E58ED64"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97E307" w14:textId="77777777" w:rsidR="00000000" w:rsidRDefault="00E614A4">
            <w:pPr>
              <w:jc w:val="center"/>
              <w:rPr>
                <w:rFonts w:eastAsia="Times New Roman"/>
              </w:rPr>
            </w:pPr>
            <w:r>
              <w:rPr>
                <w:rFonts w:eastAsia="Times New Roman"/>
                <w:b/>
                <w:bCs/>
                <w:color w:val="000000"/>
                <w:sz w:val="16"/>
                <w:szCs w:val="16"/>
              </w:rPr>
              <w:t>% Variance</w:t>
            </w:r>
          </w:p>
        </w:tc>
      </w:tr>
      <w:tr w:rsidR="00000000" w14:paraId="710F4D8E" w14:textId="77777777">
        <w:trPr>
          <w:divId w:val="1983389185"/>
        </w:trPr>
        <w:tc>
          <w:tcPr>
            <w:tcW w:w="0" w:type="auto"/>
            <w:gridSpan w:val="3"/>
            <w:shd w:val="clear" w:color="auto" w:fill="CCEEFF"/>
            <w:tcMar>
              <w:top w:w="30" w:type="dxa"/>
              <w:left w:w="245" w:type="dxa"/>
              <w:bottom w:w="30" w:type="dxa"/>
              <w:right w:w="20" w:type="dxa"/>
            </w:tcMar>
            <w:vAlign w:val="bottom"/>
            <w:hideMark/>
          </w:tcPr>
          <w:p w14:paraId="0C38125A" w14:textId="77777777" w:rsidR="00000000" w:rsidRDefault="00E614A4">
            <w:pPr>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24BE9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B0AB05" w14:textId="77777777" w:rsidR="00000000" w:rsidRDefault="00E614A4">
            <w:pPr>
              <w:jc w:val="right"/>
              <w:rPr>
                <w:rFonts w:eastAsia="Times New Roman"/>
              </w:rPr>
            </w:pPr>
            <w:r>
              <w:rPr>
                <w:rFonts w:eastAsia="Times New Roman"/>
                <w:color w:val="000000"/>
                <w:sz w:val="18"/>
                <w:szCs w:val="18"/>
              </w:rPr>
              <w:t>63,598 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9DB94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8D5AB"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89DFE8" w14:textId="77777777" w:rsidR="00000000" w:rsidRDefault="00E614A4">
            <w:pPr>
              <w:jc w:val="right"/>
              <w:rPr>
                <w:rFonts w:eastAsia="Times New Roman"/>
              </w:rPr>
            </w:pPr>
            <w:r>
              <w:rPr>
                <w:rFonts w:eastAsia="Times New Roman"/>
                <w:color w:val="000000"/>
                <w:sz w:val="18"/>
                <w:szCs w:val="18"/>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5F9882"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26A62CE"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5D5FC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3091E3" w14:textId="77777777" w:rsidR="00000000" w:rsidRDefault="00E614A4">
            <w:pPr>
              <w:jc w:val="right"/>
              <w:rPr>
                <w:rFonts w:eastAsia="Times New Roman"/>
              </w:rPr>
            </w:pPr>
            <w:r>
              <w:rPr>
                <w:rFonts w:eastAsia="Times New Roman"/>
                <w:color w:val="000000"/>
                <w:sz w:val="18"/>
                <w:szCs w:val="18"/>
              </w:rPr>
              <w:t>60,165 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59929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58D47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DBA282" w14:textId="77777777" w:rsidR="00000000" w:rsidRDefault="00E614A4">
            <w:pPr>
              <w:jc w:val="right"/>
              <w:rPr>
                <w:rFonts w:eastAsia="Times New Roman"/>
              </w:rPr>
            </w:pPr>
            <w:r>
              <w:rPr>
                <w:rFonts w:eastAsia="Times New Roman"/>
                <w:color w:val="000000"/>
                <w:sz w:val="18"/>
                <w:szCs w:val="18"/>
              </w:rPr>
              <w:t>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F647C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12D14A2"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7D552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39A6BE" w14:textId="77777777" w:rsidR="00000000" w:rsidRDefault="00E614A4">
            <w:pPr>
              <w:jc w:val="right"/>
              <w:rPr>
                <w:rFonts w:eastAsia="Times New Roman"/>
              </w:rPr>
            </w:pPr>
            <w:r>
              <w:rPr>
                <w:rFonts w:eastAsia="Times New Roman"/>
                <w:color w:val="000000"/>
                <w:sz w:val="18"/>
                <w:szCs w:val="18"/>
              </w:rPr>
              <w:t>3,433 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BEA97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8A116"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C894D2" w14:textId="77777777" w:rsidR="00000000" w:rsidRDefault="00E614A4">
            <w:pPr>
              <w:jc w:val="right"/>
              <w:rPr>
                <w:rFonts w:eastAsia="Times New Roman"/>
              </w:rPr>
            </w:pPr>
            <w:r>
              <w:rPr>
                <w:rFonts w:eastAsia="Times New Roman"/>
                <w:color w:val="000000"/>
                <w:sz w:val="18"/>
                <w:szCs w:val="18"/>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020F3C" w14:textId="77777777" w:rsidR="00000000" w:rsidRDefault="00E614A4">
            <w:pPr>
              <w:jc w:val="right"/>
              <w:rPr>
                <w:rFonts w:eastAsia="Times New Roman"/>
              </w:rPr>
            </w:pPr>
            <w:r>
              <w:rPr>
                <w:rFonts w:eastAsia="Times New Roman"/>
                <w:color w:val="000000"/>
                <w:sz w:val="18"/>
                <w:szCs w:val="18"/>
              </w:rPr>
              <w:t>%</w:t>
            </w:r>
          </w:p>
        </w:tc>
      </w:tr>
      <w:tr w:rsidR="00000000" w14:paraId="31B058CF" w14:textId="77777777">
        <w:trPr>
          <w:divId w:val="1983389185"/>
        </w:trPr>
        <w:tc>
          <w:tcPr>
            <w:tcW w:w="0" w:type="auto"/>
            <w:gridSpan w:val="3"/>
            <w:shd w:val="clear" w:color="auto" w:fill="FFFFFF"/>
            <w:tcMar>
              <w:top w:w="30" w:type="dxa"/>
              <w:left w:w="245" w:type="dxa"/>
              <w:bottom w:w="30" w:type="dxa"/>
              <w:right w:w="20" w:type="dxa"/>
            </w:tcMar>
            <w:vAlign w:val="bottom"/>
            <w:hideMark/>
          </w:tcPr>
          <w:p w14:paraId="731F3BD7" w14:textId="77777777" w:rsidR="00000000" w:rsidRDefault="00E614A4">
            <w:pPr>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10479FAB" w14:textId="77777777" w:rsidR="00000000" w:rsidRDefault="00E614A4">
            <w:pPr>
              <w:jc w:val="right"/>
              <w:rPr>
                <w:rFonts w:eastAsia="Times New Roman"/>
              </w:rPr>
            </w:pPr>
            <w:r>
              <w:rPr>
                <w:rFonts w:eastAsia="Times New Roman"/>
                <w:color w:val="000000"/>
                <w:sz w:val="18"/>
                <w:szCs w:val="18"/>
              </w:rPr>
              <w:t>38,920 </w:t>
            </w:r>
          </w:p>
        </w:tc>
        <w:tc>
          <w:tcPr>
            <w:tcW w:w="0" w:type="auto"/>
            <w:shd w:val="clear" w:color="auto" w:fill="FFFFFF"/>
            <w:tcMar>
              <w:top w:w="30" w:type="dxa"/>
              <w:left w:w="0" w:type="dxa"/>
              <w:bottom w:w="30" w:type="dxa"/>
              <w:right w:w="20" w:type="dxa"/>
            </w:tcMar>
            <w:vAlign w:val="bottom"/>
            <w:hideMark/>
          </w:tcPr>
          <w:p w14:paraId="26C520A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1EBE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44AD5A" w14:textId="77777777" w:rsidR="00000000" w:rsidRDefault="00E614A4">
            <w:pPr>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14:paraId="17BB2FD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326EBEE"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35AC02" w14:textId="77777777" w:rsidR="00000000" w:rsidRDefault="00E614A4">
            <w:pPr>
              <w:jc w:val="right"/>
              <w:rPr>
                <w:rFonts w:eastAsia="Times New Roman"/>
              </w:rPr>
            </w:pPr>
            <w:r>
              <w:rPr>
                <w:rFonts w:eastAsia="Times New Roman"/>
                <w:color w:val="000000"/>
                <w:sz w:val="18"/>
                <w:szCs w:val="18"/>
              </w:rPr>
              <w:t>50,996 </w:t>
            </w:r>
          </w:p>
        </w:tc>
        <w:tc>
          <w:tcPr>
            <w:tcW w:w="0" w:type="auto"/>
            <w:shd w:val="clear" w:color="auto" w:fill="FFFFFF"/>
            <w:tcMar>
              <w:top w:w="30" w:type="dxa"/>
              <w:left w:w="0" w:type="dxa"/>
              <w:bottom w:w="30" w:type="dxa"/>
              <w:right w:w="20" w:type="dxa"/>
            </w:tcMar>
            <w:vAlign w:val="bottom"/>
            <w:hideMark/>
          </w:tcPr>
          <w:p w14:paraId="3114721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9B10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B8BACA" w14:textId="77777777" w:rsidR="00000000" w:rsidRDefault="00E614A4">
            <w:pPr>
              <w:jc w:val="right"/>
              <w:rPr>
                <w:rFonts w:eastAsia="Times New Roman"/>
              </w:rPr>
            </w:pPr>
            <w:r>
              <w:rPr>
                <w:rFonts w:eastAsia="Times New Roman"/>
                <w:color w:val="000000"/>
                <w:sz w:val="18"/>
                <w:szCs w:val="18"/>
              </w:rPr>
              <w:t>13.1 </w:t>
            </w:r>
          </w:p>
        </w:tc>
        <w:tc>
          <w:tcPr>
            <w:tcW w:w="0" w:type="auto"/>
            <w:shd w:val="clear" w:color="auto" w:fill="FFFFFF"/>
            <w:tcMar>
              <w:top w:w="30" w:type="dxa"/>
              <w:left w:w="0" w:type="dxa"/>
              <w:bottom w:w="30" w:type="dxa"/>
              <w:right w:w="20" w:type="dxa"/>
            </w:tcMar>
            <w:vAlign w:val="bottom"/>
            <w:hideMark/>
          </w:tcPr>
          <w:p w14:paraId="0EE2887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399EFBC"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8EC31B" w14:textId="77777777" w:rsidR="00000000" w:rsidRDefault="00E614A4">
            <w:pPr>
              <w:jc w:val="right"/>
              <w:rPr>
                <w:rFonts w:eastAsia="Times New Roman"/>
              </w:rPr>
            </w:pPr>
            <w:r>
              <w:rPr>
                <w:rFonts w:eastAsia="Times New Roman"/>
                <w:color w:val="000000"/>
                <w:sz w:val="18"/>
                <w:szCs w:val="18"/>
              </w:rPr>
              <w:t>(12,076)</w:t>
            </w:r>
          </w:p>
        </w:tc>
        <w:tc>
          <w:tcPr>
            <w:tcW w:w="0" w:type="auto"/>
            <w:shd w:val="clear" w:color="auto" w:fill="FFFFFF"/>
            <w:tcMar>
              <w:top w:w="30" w:type="dxa"/>
              <w:left w:w="0" w:type="dxa"/>
              <w:bottom w:w="30" w:type="dxa"/>
              <w:right w:w="20" w:type="dxa"/>
            </w:tcMar>
            <w:vAlign w:val="bottom"/>
            <w:hideMark/>
          </w:tcPr>
          <w:p w14:paraId="76DFCB6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B448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FB5BF" w14:textId="77777777" w:rsidR="00000000" w:rsidRDefault="00E614A4">
            <w:pPr>
              <w:jc w:val="right"/>
              <w:rPr>
                <w:rFonts w:eastAsia="Times New Roman"/>
              </w:rPr>
            </w:pPr>
            <w:r>
              <w:rPr>
                <w:rFonts w:eastAsia="Times New Roman"/>
                <w:color w:val="000000"/>
                <w:sz w:val="18"/>
                <w:szCs w:val="18"/>
              </w:rPr>
              <w:t>(23.7)</w:t>
            </w:r>
          </w:p>
        </w:tc>
        <w:tc>
          <w:tcPr>
            <w:tcW w:w="0" w:type="auto"/>
            <w:shd w:val="clear" w:color="auto" w:fill="FFFFFF"/>
            <w:tcMar>
              <w:top w:w="30" w:type="dxa"/>
              <w:left w:w="0" w:type="dxa"/>
              <w:bottom w:w="30" w:type="dxa"/>
              <w:right w:w="20" w:type="dxa"/>
            </w:tcMar>
            <w:vAlign w:val="bottom"/>
            <w:hideMark/>
          </w:tcPr>
          <w:p w14:paraId="427C32A9" w14:textId="77777777" w:rsidR="00000000" w:rsidRDefault="00E614A4">
            <w:pPr>
              <w:jc w:val="right"/>
              <w:rPr>
                <w:rFonts w:eastAsia="Times New Roman"/>
              </w:rPr>
            </w:pPr>
            <w:r>
              <w:rPr>
                <w:rFonts w:eastAsia="Times New Roman"/>
                <w:color w:val="000000"/>
                <w:sz w:val="18"/>
                <w:szCs w:val="18"/>
              </w:rPr>
              <w:t>%</w:t>
            </w:r>
          </w:p>
        </w:tc>
      </w:tr>
      <w:tr w:rsidR="00000000" w14:paraId="2DE9762E" w14:textId="77777777">
        <w:trPr>
          <w:divId w:val="1983389185"/>
        </w:trPr>
        <w:tc>
          <w:tcPr>
            <w:tcW w:w="0" w:type="auto"/>
            <w:gridSpan w:val="3"/>
            <w:shd w:val="clear" w:color="auto" w:fill="CCEEFF"/>
            <w:tcMar>
              <w:top w:w="30" w:type="dxa"/>
              <w:left w:w="245" w:type="dxa"/>
              <w:bottom w:w="30" w:type="dxa"/>
              <w:right w:w="20" w:type="dxa"/>
            </w:tcMar>
            <w:vAlign w:val="bottom"/>
            <w:hideMark/>
          </w:tcPr>
          <w:p w14:paraId="554BC7C0" w14:textId="77777777" w:rsidR="00000000" w:rsidRDefault="00E614A4">
            <w:pPr>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573B06B0" w14:textId="77777777" w:rsidR="00000000" w:rsidRDefault="00E614A4">
            <w:pPr>
              <w:jc w:val="right"/>
              <w:rPr>
                <w:rFonts w:eastAsia="Times New Roman"/>
              </w:rPr>
            </w:pPr>
            <w:r>
              <w:rPr>
                <w:rFonts w:eastAsia="Times New Roman"/>
                <w:color w:val="000000"/>
                <w:sz w:val="18"/>
                <w:szCs w:val="18"/>
              </w:rPr>
              <w:t>24,349 </w:t>
            </w:r>
          </w:p>
        </w:tc>
        <w:tc>
          <w:tcPr>
            <w:tcW w:w="0" w:type="auto"/>
            <w:shd w:val="clear" w:color="auto" w:fill="CCEEFF"/>
            <w:tcMar>
              <w:top w:w="30" w:type="dxa"/>
              <w:left w:w="0" w:type="dxa"/>
              <w:bottom w:w="30" w:type="dxa"/>
              <w:right w:w="20" w:type="dxa"/>
            </w:tcMar>
            <w:vAlign w:val="bottom"/>
            <w:hideMark/>
          </w:tcPr>
          <w:p w14:paraId="0E7C640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6556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D84496" w14:textId="77777777" w:rsidR="00000000" w:rsidRDefault="00E614A4">
            <w:pPr>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14:paraId="07CC105A"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9C08B7"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071AEB" w14:textId="77777777" w:rsidR="00000000" w:rsidRDefault="00E614A4">
            <w:pPr>
              <w:jc w:val="right"/>
              <w:rPr>
                <w:rFonts w:eastAsia="Times New Roman"/>
              </w:rPr>
            </w:pPr>
            <w:r>
              <w:rPr>
                <w:rFonts w:eastAsia="Times New Roman"/>
                <w:color w:val="000000"/>
                <w:sz w:val="18"/>
                <w:szCs w:val="18"/>
              </w:rPr>
              <w:t>25,023 </w:t>
            </w:r>
          </w:p>
        </w:tc>
        <w:tc>
          <w:tcPr>
            <w:tcW w:w="0" w:type="auto"/>
            <w:shd w:val="clear" w:color="auto" w:fill="CCEEFF"/>
            <w:tcMar>
              <w:top w:w="30" w:type="dxa"/>
              <w:left w:w="0" w:type="dxa"/>
              <w:bottom w:w="30" w:type="dxa"/>
              <w:right w:w="20" w:type="dxa"/>
            </w:tcMar>
            <w:vAlign w:val="bottom"/>
            <w:hideMark/>
          </w:tcPr>
          <w:p w14:paraId="1EA052F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B539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E20EAF" w14:textId="77777777" w:rsidR="00000000" w:rsidRDefault="00E614A4">
            <w:pPr>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14:paraId="375A391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B4C5E27"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C4C63F" w14:textId="77777777" w:rsidR="00000000" w:rsidRDefault="00E614A4">
            <w:pPr>
              <w:jc w:val="right"/>
              <w:rPr>
                <w:rFonts w:eastAsia="Times New Roman"/>
              </w:rPr>
            </w:pPr>
            <w:r>
              <w:rPr>
                <w:rFonts w:eastAsia="Times New Roman"/>
                <w:color w:val="000000"/>
                <w:sz w:val="18"/>
                <w:szCs w:val="18"/>
              </w:rPr>
              <w:t>(674)</w:t>
            </w:r>
          </w:p>
        </w:tc>
        <w:tc>
          <w:tcPr>
            <w:tcW w:w="0" w:type="auto"/>
            <w:shd w:val="clear" w:color="auto" w:fill="CCEEFF"/>
            <w:tcMar>
              <w:top w:w="30" w:type="dxa"/>
              <w:left w:w="0" w:type="dxa"/>
              <w:bottom w:w="30" w:type="dxa"/>
              <w:right w:w="20" w:type="dxa"/>
            </w:tcMar>
            <w:vAlign w:val="bottom"/>
            <w:hideMark/>
          </w:tcPr>
          <w:p w14:paraId="26F6550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9985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C6C395" w14:textId="77777777" w:rsidR="00000000" w:rsidRDefault="00E614A4">
            <w:pPr>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bottom"/>
            <w:hideMark/>
          </w:tcPr>
          <w:p w14:paraId="4D4A13E1" w14:textId="77777777" w:rsidR="00000000" w:rsidRDefault="00E614A4">
            <w:pPr>
              <w:jc w:val="right"/>
              <w:rPr>
                <w:rFonts w:eastAsia="Times New Roman"/>
              </w:rPr>
            </w:pPr>
            <w:r>
              <w:rPr>
                <w:rFonts w:eastAsia="Times New Roman"/>
                <w:color w:val="000000"/>
                <w:sz w:val="18"/>
                <w:szCs w:val="18"/>
              </w:rPr>
              <w:t>%</w:t>
            </w:r>
          </w:p>
        </w:tc>
      </w:tr>
      <w:tr w:rsidR="00000000" w14:paraId="171ED137" w14:textId="77777777">
        <w:trPr>
          <w:divId w:val="1983389185"/>
        </w:trPr>
        <w:tc>
          <w:tcPr>
            <w:tcW w:w="0" w:type="auto"/>
            <w:gridSpan w:val="3"/>
            <w:shd w:val="clear" w:color="auto" w:fill="FFFFFF"/>
            <w:tcMar>
              <w:top w:w="30" w:type="dxa"/>
              <w:left w:w="245" w:type="dxa"/>
              <w:bottom w:w="30" w:type="dxa"/>
              <w:right w:w="20" w:type="dxa"/>
            </w:tcMar>
            <w:vAlign w:val="bottom"/>
            <w:hideMark/>
          </w:tcPr>
          <w:p w14:paraId="70679B93" w14:textId="77777777" w:rsidR="00000000" w:rsidRDefault="00E614A4">
            <w:pPr>
              <w:rPr>
                <w:rFonts w:eastAsia="Times New Roman"/>
              </w:rPr>
            </w:pPr>
            <w:r>
              <w:rPr>
                <w:rFonts w:eastAsia="Times New Roman"/>
                <w:color w:val="000000"/>
                <w:sz w:val="18"/>
                <w:szCs w:val="18"/>
              </w:rPr>
              <w:t>Panel costs</w:t>
            </w:r>
          </w:p>
        </w:tc>
        <w:tc>
          <w:tcPr>
            <w:tcW w:w="0" w:type="auto"/>
            <w:gridSpan w:val="2"/>
            <w:shd w:val="clear" w:color="auto" w:fill="FFFFFF"/>
            <w:tcMar>
              <w:top w:w="30" w:type="dxa"/>
              <w:left w:w="20" w:type="dxa"/>
              <w:bottom w:w="30" w:type="dxa"/>
              <w:right w:w="0" w:type="dxa"/>
            </w:tcMar>
            <w:vAlign w:val="bottom"/>
            <w:hideMark/>
          </w:tcPr>
          <w:p w14:paraId="51C84093" w14:textId="77777777" w:rsidR="00000000" w:rsidRDefault="00E614A4">
            <w:pPr>
              <w:jc w:val="right"/>
              <w:rPr>
                <w:rFonts w:eastAsia="Times New Roman"/>
              </w:rPr>
            </w:pPr>
            <w:r>
              <w:rPr>
                <w:rFonts w:eastAsia="Times New Roman"/>
                <w:color w:val="000000"/>
                <w:sz w:val="18"/>
                <w:szCs w:val="18"/>
              </w:rPr>
              <w:t>19,075 </w:t>
            </w:r>
          </w:p>
        </w:tc>
        <w:tc>
          <w:tcPr>
            <w:tcW w:w="0" w:type="auto"/>
            <w:shd w:val="clear" w:color="auto" w:fill="FFFFFF"/>
            <w:tcMar>
              <w:top w:w="30" w:type="dxa"/>
              <w:left w:w="0" w:type="dxa"/>
              <w:bottom w:w="30" w:type="dxa"/>
              <w:right w:w="20" w:type="dxa"/>
            </w:tcMar>
            <w:vAlign w:val="bottom"/>
            <w:hideMark/>
          </w:tcPr>
          <w:p w14:paraId="0A62301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B3F9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2352E8" w14:textId="77777777" w:rsidR="00000000" w:rsidRDefault="00E614A4">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0F305A09"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CFAD73F"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206CC5" w14:textId="77777777" w:rsidR="00000000" w:rsidRDefault="00E614A4">
            <w:pPr>
              <w:jc w:val="right"/>
              <w:rPr>
                <w:rFonts w:eastAsia="Times New Roman"/>
              </w:rPr>
            </w:pPr>
            <w:r>
              <w:rPr>
                <w:rFonts w:eastAsia="Times New Roman"/>
                <w:color w:val="000000"/>
                <w:sz w:val="18"/>
                <w:szCs w:val="18"/>
              </w:rPr>
              <w:t>20,901 </w:t>
            </w:r>
          </w:p>
        </w:tc>
        <w:tc>
          <w:tcPr>
            <w:tcW w:w="0" w:type="auto"/>
            <w:shd w:val="clear" w:color="auto" w:fill="FFFFFF"/>
            <w:tcMar>
              <w:top w:w="30" w:type="dxa"/>
              <w:left w:w="0" w:type="dxa"/>
              <w:bottom w:w="30" w:type="dxa"/>
              <w:right w:w="20" w:type="dxa"/>
            </w:tcMar>
            <w:vAlign w:val="bottom"/>
            <w:hideMark/>
          </w:tcPr>
          <w:p w14:paraId="4CF9961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FF9FA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9BFB4A" w14:textId="77777777" w:rsidR="00000000" w:rsidRDefault="00E614A4">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6504463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0074B7A"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E785CC" w14:textId="77777777" w:rsidR="00000000" w:rsidRDefault="00E614A4">
            <w:pPr>
              <w:jc w:val="right"/>
              <w:rPr>
                <w:rFonts w:eastAsia="Times New Roman"/>
              </w:rPr>
            </w:pPr>
            <w:r>
              <w:rPr>
                <w:rFonts w:eastAsia="Times New Roman"/>
                <w:color w:val="000000"/>
                <w:sz w:val="18"/>
                <w:szCs w:val="18"/>
              </w:rPr>
              <w:t>(1,826)</w:t>
            </w:r>
          </w:p>
        </w:tc>
        <w:tc>
          <w:tcPr>
            <w:tcW w:w="0" w:type="auto"/>
            <w:shd w:val="clear" w:color="auto" w:fill="FFFFFF"/>
            <w:tcMar>
              <w:top w:w="30" w:type="dxa"/>
              <w:left w:w="0" w:type="dxa"/>
              <w:bottom w:w="30" w:type="dxa"/>
              <w:right w:w="20" w:type="dxa"/>
            </w:tcMar>
            <w:vAlign w:val="bottom"/>
            <w:hideMark/>
          </w:tcPr>
          <w:p w14:paraId="6704D45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25F9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A5C8D" w14:textId="77777777" w:rsidR="00000000" w:rsidRDefault="00E614A4">
            <w:pPr>
              <w:jc w:val="right"/>
              <w:rPr>
                <w:rFonts w:eastAsia="Times New Roman"/>
              </w:rPr>
            </w:pPr>
            <w:r>
              <w:rPr>
                <w:rFonts w:eastAsia="Times New Roman"/>
                <w:color w:val="000000"/>
                <w:sz w:val="18"/>
                <w:szCs w:val="18"/>
              </w:rPr>
              <w:t>(8.7)</w:t>
            </w:r>
          </w:p>
        </w:tc>
        <w:tc>
          <w:tcPr>
            <w:tcW w:w="0" w:type="auto"/>
            <w:shd w:val="clear" w:color="auto" w:fill="FFFFFF"/>
            <w:tcMar>
              <w:top w:w="30" w:type="dxa"/>
              <w:left w:w="0" w:type="dxa"/>
              <w:bottom w:w="30" w:type="dxa"/>
              <w:right w:w="20" w:type="dxa"/>
            </w:tcMar>
            <w:vAlign w:val="bottom"/>
            <w:hideMark/>
          </w:tcPr>
          <w:p w14:paraId="322D839C" w14:textId="77777777" w:rsidR="00000000" w:rsidRDefault="00E614A4">
            <w:pPr>
              <w:jc w:val="right"/>
              <w:rPr>
                <w:rFonts w:eastAsia="Times New Roman"/>
              </w:rPr>
            </w:pPr>
            <w:r>
              <w:rPr>
                <w:rFonts w:eastAsia="Times New Roman"/>
                <w:color w:val="000000"/>
                <w:sz w:val="18"/>
                <w:szCs w:val="18"/>
              </w:rPr>
              <w:t>%</w:t>
            </w:r>
          </w:p>
        </w:tc>
      </w:tr>
      <w:tr w:rsidR="00000000" w14:paraId="26C1575B" w14:textId="77777777">
        <w:trPr>
          <w:divId w:val="1983389185"/>
        </w:trPr>
        <w:tc>
          <w:tcPr>
            <w:tcW w:w="0" w:type="auto"/>
            <w:gridSpan w:val="3"/>
            <w:shd w:val="clear" w:color="auto" w:fill="CCEEFF"/>
            <w:tcMar>
              <w:top w:w="30" w:type="dxa"/>
              <w:left w:w="245" w:type="dxa"/>
              <w:bottom w:w="30" w:type="dxa"/>
              <w:right w:w="20" w:type="dxa"/>
            </w:tcMar>
            <w:vAlign w:val="bottom"/>
            <w:hideMark/>
          </w:tcPr>
          <w:p w14:paraId="144CE0C8" w14:textId="77777777" w:rsidR="00000000" w:rsidRDefault="00E614A4">
            <w:pPr>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14:paraId="64581C2A" w14:textId="77777777" w:rsidR="00000000" w:rsidRDefault="00E614A4">
            <w:pPr>
              <w:jc w:val="right"/>
              <w:rPr>
                <w:rFonts w:eastAsia="Times New Roman"/>
              </w:rPr>
            </w:pPr>
            <w:r>
              <w:rPr>
                <w:rFonts w:eastAsia="Times New Roman"/>
                <w:color w:val="000000"/>
                <w:sz w:val="18"/>
                <w:szCs w:val="18"/>
              </w:rPr>
              <w:t>16,970 </w:t>
            </w:r>
          </w:p>
        </w:tc>
        <w:tc>
          <w:tcPr>
            <w:tcW w:w="0" w:type="auto"/>
            <w:shd w:val="clear" w:color="auto" w:fill="CCEEFF"/>
            <w:tcMar>
              <w:top w:w="30" w:type="dxa"/>
              <w:left w:w="0" w:type="dxa"/>
              <w:bottom w:w="30" w:type="dxa"/>
              <w:right w:w="20" w:type="dxa"/>
            </w:tcMar>
            <w:vAlign w:val="bottom"/>
            <w:hideMark/>
          </w:tcPr>
          <w:p w14:paraId="233D6A5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5B22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3113A7" w14:textId="77777777" w:rsidR="00000000" w:rsidRDefault="00E614A4">
            <w:pPr>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14:paraId="48CBED6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2601689"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4D587D" w14:textId="77777777" w:rsidR="00000000" w:rsidRDefault="00E614A4">
            <w:pPr>
              <w:jc w:val="right"/>
              <w:rPr>
                <w:rFonts w:eastAsia="Times New Roman"/>
              </w:rPr>
            </w:pPr>
            <w:r>
              <w:rPr>
                <w:rFonts w:eastAsia="Times New Roman"/>
                <w:color w:val="000000"/>
                <w:sz w:val="18"/>
                <w:szCs w:val="18"/>
              </w:rPr>
              <w:t>15,052 </w:t>
            </w:r>
          </w:p>
        </w:tc>
        <w:tc>
          <w:tcPr>
            <w:tcW w:w="0" w:type="auto"/>
            <w:shd w:val="clear" w:color="auto" w:fill="CCEEFF"/>
            <w:tcMar>
              <w:top w:w="30" w:type="dxa"/>
              <w:left w:w="0" w:type="dxa"/>
              <w:bottom w:w="30" w:type="dxa"/>
              <w:right w:w="20" w:type="dxa"/>
            </w:tcMar>
            <w:vAlign w:val="bottom"/>
            <w:hideMark/>
          </w:tcPr>
          <w:p w14:paraId="7148A1A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6D7EC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A43689" w14:textId="77777777" w:rsidR="00000000" w:rsidRDefault="00E614A4">
            <w:pPr>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14:paraId="27CCF4B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D60818"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017036" w14:textId="77777777" w:rsidR="00000000" w:rsidRDefault="00E614A4">
            <w:pPr>
              <w:jc w:val="right"/>
              <w:rPr>
                <w:rFonts w:eastAsia="Times New Roman"/>
              </w:rPr>
            </w:pPr>
            <w:r>
              <w:rPr>
                <w:rFonts w:eastAsia="Times New Roman"/>
                <w:color w:val="000000"/>
                <w:sz w:val="18"/>
                <w:szCs w:val="18"/>
              </w:rPr>
              <w:t>1,918 </w:t>
            </w:r>
          </w:p>
        </w:tc>
        <w:tc>
          <w:tcPr>
            <w:tcW w:w="0" w:type="auto"/>
            <w:shd w:val="clear" w:color="auto" w:fill="CCEEFF"/>
            <w:tcMar>
              <w:top w:w="30" w:type="dxa"/>
              <w:left w:w="0" w:type="dxa"/>
              <w:bottom w:w="30" w:type="dxa"/>
              <w:right w:w="20" w:type="dxa"/>
            </w:tcMar>
            <w:vAlign w:val="bottom"/>
            <w:hideMark/>
          </w:tcPr>
          <w:p w14:paraId="643AAC3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EC48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F742FF" w14:textId="77777777" w:rsidR="00000000" w:rsidRDefault="00E614A4">
            <w:pPr>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bottom"/>
            <w:hideMark/>
          </w:tcPr>
          <w:p w14:paraId="03D1E816" w14:textId="77777777" w:rsidR="00000000" w:rsidRDefault="00E614A4">
            <w:pPr>
              <w:jc w:val="right"/>
              <w:rPr>
                <w:rFonts w:eastAsia="Times New Roman"/>
              </w:rPr>
            </w:pPr>
            <w:r>
              <w:rPr>
                <w:rFonts w:eastAsia="Times New Roman"/>
                <w:color w:val="000000"/>
                <w:sz w:val="18"/>
                <w:szCs w:val="18"/>
              </w:rPr>
              <w:t>%</w:t>
            </w:r>
          </w:p>
        </w:tc>
      </w:tr>
      <w:tr w:rsidR="00000000" w14:paraId="149D0F0A" w14:textId="77777777">
        <w:trPr>
          <w:divId w:val="1983389185"/>
        </w:trPr>
        <w:tc>
          <w:tcPr>
            <w:tcW w:w="0" w:type="auto"/>
            <w:gridSpan w:val="3"/>
            <w:shd w:val="clear" w:color="auto" w:fill="FFFFFF"/>
            <w:tcMar>
              <w:top w:w="30" w:type="dxa"/>
              <w:left w:w="245" w:type="dxa"/>
              <w:bottom w:w="30" w:type="dxa"/>
              <w:right w:w="20" w:type="dxa"/>
            </w:tcMar>
            <w:vAlign w:val="bottom"/>
            <w:hideMark/>
          </w:tcPr>
          <w:p w14:paraId="6240FCD9" w14:textId="77777777" w:rsidR="00000000" w:rsidRDefault="00E614A4">
            <w:pPr>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7230F2E9" w14:textId="77777777" w:rsidR="00000000" w:rsidRDefault="00E614A4">
            <w:pPr>
              <w:jc w:val="right"/>
              <w:rPr>
                <w:rFonts w:eastAsia="Times New Roman"/>
              </w:rPr>
            </w:pPr>
            <w:r>
              <w:rPr>
                <w:rFonts w:eastAsia="Times New Roman"/>
                <w:color w:val="000000"/>
                <w:sz w:val="18"/>
                <w:szCs w:val="18"/>
              </w:rPr>
              <w:t>5,710 </w:t>
            </w:r>
          </w:p>
        </w:tc>
        <w:tc>
          <w:tcPr>
            <w:tcW w:w="0" w:type="auto"/>
            <w:shd w:val="clear" w:color="auto" w:fill="FFFFFF"/>
            <w:tcMar>
              <w:top w:w="30" w:type="dxa"/>
              <w:left w:w="0" w:type="dxa"/>
              <w:bottom w:w="30" w:type="dxa"/>
              <w:right w:w="20" w:type="dxa"/>
            </w:tcMar>
            <w:vAlign w:val="bottom"/>
            <w:hideMark/>
          </w:tcPr>
          <w:p w14:paraId="5AE3CBE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349E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06A744" w14:textId="77777777" w:rsidR="00000000" w:rsidRDefault="00E614A4">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2D4BA3D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DA05B0"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1917D0" w14:textId="77777777" w:rsidR="00000000" w:rsidRDefault="00E614A4">
            <w:pPr>
              <w:jc w:val="right"/>
              <w:rPr>
                <w:rFonts w:eastAsia="Times New Roman"/>
              </w:rPr>
            </w:pPr>
            <w:r>
              <w:rPr>
                <w:rFonts w:eastAsia="Times New Roman"/>
                <w:color w:val="000000"/>
                <w:sz w:val="18"/>
                <w:szCs w:val="18"/>
              </w:rPr>
              <w:t>5,887 </w:t>
            </w:r>
          </w:p>
        </w:tc>
        <w:tc>
          <w:tcPr>
            <w:tcW w:w="0" w:type="auto"/>
            <w:shd w:val="clear" w:color="auto" w:fill="FFFFFF"/>
            <w:tcMar>
              <w:top w:w="30" w:type="dxa"/>
              <w:left w:w="0" w:type="dxa"/>
              <w:bottom w:w="30" w:type="dxa"/>
              <w:right w:w="20" w:type="dxa"/>
            </w:tcMar>
            <w:vAlign w:val="bottom"/>
            <w:hideMark/>
          </w:tcPr>
          <w:p w14:paraId="79B36F7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7E71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F96CD8" w14:textId="77777777" w:rsidR="00000000" w:rsidRDefault="00E614A4">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39D16E5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81D6B8"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171AA6" w14:textId="77777777" w:rsidR="00000000" w:rsidRDefault="00E614A4">
            <w:pPr>
              <w:jc w:val="right"/>
              <w:rPr>
                <w:rFonts w:eastAsia="Times New Roman"/>
              </w:rPr>
            </w:pPr>
            <w:r>
              <w:rPr>
                <w:rFonts w:eastAsia="Times New Roman"/>
                <w:color w:val="000000"/>
                <w:sz w:val="18"/>
                <w:szCs w:val="18"/>
              </w:rPr>
              <w:t>(177)</w:t>
            </w:r>
          </w:p>
        </w:tc>
        <w:tc>
          <w:tcPr>
            <w:tcW w:w="0" w:type="auto"/>
            <w:shd w:val="clear" w:color="auto" w:fill="FFFFFF"/>
            <w:tcMar>
              <w:top w:w="30" w:type="dxa"/>
              <w:left w:w="0" w:type="dxa"/>
              <w:bottom w:w="30" w:type="dxa"/>
              <w:right w:w="20" w:type="dxa"/>
            </w:tcMar>
            <w:vAlign w:val="bottom"/>
            <w:hideMark/>
          </w:tcPr>
          <w:p w14:paraId="236628E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CBEA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6BBDA1" w14:textId="77777777" w:rsidR="00000000" w:rsidRDefault="00E614A4">
            <w:pPr>
              <w:jc w:val="right"/>
              <w:rPr>
                <w:rFonts w:eastAsia="Times New Roman"/>
              </w:rPr>
            </w:pPr>
            <w:r>
              <w:rPr>
                <w:rFonts w:eastAsia="Times New Roman"/>
                <w:color w:val="000000"/>
                <w:sz w:val="18"/>
                <w:szCs w:val="18"/>
              </w:rPr>
              <w:t>(3.0)</w:t>
            </w:r>
          </w:p>
        </w:tc>
        <w:tc>
          <w:tcPr>
            <w:tcW w:w="0" w:type="auto"/>
            <w:shd w:val="clear" w:color="auto" w:fill="FFFFFF"/>
            <w:tcMar>
              <w:top w:w="30" w:type="dxa"/>
              <w:left w:w="0" w:type="dxa"/>
              <w:bottom w:w="30" w:type="dxa"/>
              <w:right w:w="20" w:type="dxa"/>
            </w:tcMar>
            <w:vAlign w:val="bottom"/>
            <w:hideMark/>
          </w:tcPr>
          <w:p w14:paraId="6A56879A" w14:textId="77777777" w:rsidR="00000000" w:rsidRDefault="00E614A4">
            <w:pPr>
              <w:jc w:val="right"/>
              <w:rPr>
                <w:rFonts w:eastAsia="Times New Roman"/>
              </w:rPr>
            </w:pPr>
            <w:r>
              <w:rPr>
                <w:rFonts w:eastAsia="Times New Roman"/>
                <w:color w:val="000000"/>
                <w:sz w:val="18"/>
                <w:szCs w:val="18"/>
              </w:rPr>
              <w:t>%</w:t>
            </w:r>
          </w:p>
        </w:tc>
      </w:tr>
      <w:tr w:rsidR="00000000" w14:paraId="159A794C" w14:textId="77777777">
        <w:trPr>
          <w:divId w:val="1983389185"/>
        </w:trPr>
        <w:tc>
          <w:tcPr>
            <w:tcW w:w="0" w:type="auto"/>
            <w:gridSpan w:val="3"/>
            <w:shd w:val="clear" w:color="auto" w:fill="CCEEFF"/>
            <w:tcMar>
              <w:top w:w="30" w:type="dxa"/>
              <w:left w:w="245" w:type="dxa"/>
              <w:bottom w:w="30" w:type="dxa"/>
              <w:right w:w="20" w:type="dxa"/>
            </w:tcMar>
            <w:vAlign w:val="bottom"/>
            <w:hideMark/>
          </w:tcPr>
          <w:p w14:paraId="6856C248" w14:textId="77777777" w:rsidR="00000000" w:rsidRDefault="00E614A4">
            <w:pPr>
              <w:rPr>
                <w:rFonts w:eastAsia="Times New Roman"/>
              </w:rPr>
            </w:pPr>
            <w:r>
              <w:rPr>
                <w:rFonts w:eastAsia="Times New Roman"/>
                <w:color w:val="000000"/>
                <w:sz w:val="18"/>
                <w:szCs w:val="18"/>
              </w:rPr>
              <w:t>Sample and survey costs</w:t>
            </w:r>
          </w:p>
        </w:tc>
        <w:tc>
          <w:tcPr>
            <w:tcW w:w="0" w:type="auto"/>
            <w:gridSpan w:val="2"/>
            <w:shd w:val="clear" w:color="auto" w:fill="CCEEFF"/>
            <w:tcMar>
              <w:top w:w="30" w:type="dxa"/>
              <w:left w:w="20" w:type="dxa"/>
              <w:bottom w:w="30" w:type="dxa"/>
              <w:right w:w="0" w:type="dxa"/>
            </w:tcMar>
            <w:vAlign w:val="bottom"/>
            <w:hideMark/>
          </w:tcPr>
          <w:p w14:paraId="63682137" w14:textId="77777777" w:rsidR="00000000" w:rsidRDefault="00E614A4">
            <w:pPr>
              <w:jc w:val="right"/>
              <w:rPr>
                <w:rFonts w:eastAsia="Times New Roman"/>
              </w:rPr>
            </w:pPr>
            <w:r>
              <w:rPr>
                <w:rFonts w:eastAsia="Times New Roman"/>
                <w:color w:val="000000"/>
                <w:sz w:val="18"/>
                <w:szCs w:val="18"/>
              </w:rPr>
              <w:t>5,133 </w:t>
            </w:r>
          </w:p>
        </w:tc>
        <w:tc>
          <w:tcPr>
            <w:tcW w:w="0" w:type="auto"/>
            <w:shd w:val="clear" w:color="auto" w:fill="CCEEFF"/>
            <w:tcMar>
              <w:top w:w="30" w:type="dxa"/>
              <w:left w:w="0" w:type="dxa"/>
              <w:bottom w:w="30" w:type="dxa"/>
              <w:right w:w="20" w:type="dxa"/>
            </w:tcMar>
            <w:vAlign w:val="bottom"/>
            <w:hideMark/>
          </w:tcPr>
          <w:p w14:paraId="2CCF2BC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CE266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3824C" w14:textId="77777777" w:rsidR="00000000" w:rsidRDefault="00E614A4">
            <w:pPr>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14:paraId="70CA91B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6463B0F"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546CDD" w14:textId="77777777" w:rsidR="00000000" w:rsidRDefault="00E614A4">
            <w:pPr>
              <w:jc w:val="right"/>
              <w:rPr>
                <w:rFonts w:eastAsia="Times New Roman"/>
              </w:rPr>
            </w:pPr>
            <w:r>
              <w:rPr>
                <w:rFonts w:eastAsia="Times New Roman"/>
                <w:color w:val="000000"/>
                <w:sz w:val="18"/>
                <w:szCs w:val="18"/>
              </w:rPr>
              <w:t>7,225 </w:t>
            </w:r>
          </w:p>
        </w:tc>
        <w:tc>
          <w:tcPr>
            <w:tcW w:w="0" w:type="auto"/>
            <w:shd w:val="clear" w:color="auto" w:fill="CCEEFF"/>
            <w:tcMar>
              <w:top w:w="30" w:type="dxa"/>
              <w:left w:w="0" w:type="dxa"/>
              <w:bottom w:w="30" w:type="dxa"/>
              <w:right w:w="20" w:type="dxa"/>
            </w:tcMar>
            <w:vAlign w:val="bottom"/>
            <w:hideMark/>
          </w:tcPr>
          <w:p w14:paraId="14E13FE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CCCF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310AD6" w14:textId="77777777" w:rsidR="00000000" w:rsidRDefault="00E614A4">
            <w:pPr>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2B79701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CCCD1C1"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97BEF2" w14:textId="77777777" w:rsidR="00000000" w:rsidRDefault="00E614A4">
            <w:pPr>
              <w:jc w:val="right"/>
              <w:rPr>
                <w:rFonts w:eastAsia="Times New Roman"/>
              </w:rPr>
            </w:pPr>
            <w:r>
              <w:rPr>
                <w:rFonts w:eastAsia="Times New Roman"/>
                <w:color w:val="000000"/>
                <w:sz w:val="18"/>
                <w:szCs w:val="18"/>
              </w:rPr>
              <w:t>(2,092)</w:t>
            </w:r>
          </w:p>
        </w:tc>
        <w:tc>
          <w:tcPr>
            <w:tcW w:w="0" w:type="auto"/>
            <w:shd w:val="clear" w:color="auto" w:fill="CCEEFF"/>
            <w:tcMar>
              <w:top w:w="30" w:type="dxa"/>
              <w:left w:w="0" w:type="dxa"/>
              <w:bottom w:w="30" w:type="dxa"/>
              <w:right w:w="20" w:type="dxa"/>
            </w:tcMar>
            <w:vAlign w:val="bottom"/>
            <w:hideMark/>
          </w:tcPr>
          <w:p w14:paraId="4084F7B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F40D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06E4B2" w14:textId="77777777" w:rsidR="00000000" w:rsidRDefault="00E614A4">
            <w:pPr>
              <w:jc w:val="right"/>
              <w:rPr>
                <w:rFonts w:eastAsia="Times New Roman"/>
              </w:rPr>
            </w:pPr>
            <w:r>
              <w:rPr>
                <w:rFonts w:eastAsia="Times New Roman"/>
                <w:color w:val="000000"/>
                <w:sz w:val="18"/>
                <w:szCs w:val="18"/>
              </w:rPr>
              <w:t>(29.0)</w:t>
            </w:r>
          </w:p>
        </w:tc>
        <w:tc>
          <w:tcPr>
            <w:tcW w:w="0" w:type="auto"/>
            <w:shd w:val="clear" w:color="auto" w:fill="CCEEFF"/>
            <w:tcMar>
              <w:top w:w="30" w:type="dxa"/>
              <w:left w:w="0" w:type="dxa"/>
              <w:bottom w:w="30" w:type="dxa"/>
              <w:right w:w="20" w:type="dxa"/>
            </w:tcMar>
            <w:vAlign w:val="bottom"/>
            <w:hideMark/>
          </w:tcPr>
          <w:p w14:paraId="0D807F25" w14:textId="77777777" w:rsidR="00000000" w:rsidRDefault="00E614A4">
            <w:pPr>
              <w:jc w:val="right"/>
              <w:rPr>
                <w:rFonts w:eastAsia="Times New Roman"/>
              </w:rPr>
            </w:pPr>
            <w:r>
              <w:rPr>
                <w:rFonts w:eastAsia="Times New Roman"/>
                <w:color w:val="000000"/>
                <w:sz w:val="18"/>
                <w:szCs w:val="18"/>
              </w:rPr>
              <w:t>%</w:t>
            </w:r>
          </w:p>
        </w:tc>
      </w:tr>
      <w:tr w:rsidR="00000000" w14:paraId="51C26EDF" w14:textId="77777777">
        <w:trPr>
          <w:divId w:val="1983389185"/>
        </w:trPr>
        <w:tc>
          <w:tcPr>
            <w:tcW w:w="0" w:type="auto"/>
            <w:gridSpan w:val="3"/>
            <w:shd w:val="clear" w:color="auto" w:fill="FFFFFF"/>
            <w:tcMar>
              <w:top w:w="30" w:type="dxa"/>
              <w:left w:w="245" w:type="dxa"/>
              <w:bottom w:w="30" w:type="dxa"/>
              <w:right w:w="20" w:type="dxa"/>
            </w:tcMar>
            <w:vAlign w:val="bottom"/>
            <w:hideMark/>
          </w:tcPr>
          <w:p w14:paraId="622C1DB1" w14:textId="77777777" w:rsidR="00000000" w:rsidRDefault="00E614A4">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517BFB46" w14:textId="77777777" w:rsidR="00000000" w:rsidRDefault="00E614A4">
            <w:pPr>
              <w:jc w:val="right"/>
              <w:rPr>
                <w:rFonts w:eastAsia="Times New Roman"/>
              </w:rPr>
            </w:pPr>
            <w:r>
              <w:rPr>
                <w:rFonts w:eastAsia="Times New Roman"/>
                <w:color w:val="000000"/>
                <w:sz w:val="18"/>
                <w:szCs w:val="18"/>
              </w:rPr>
              <w:t>4,272 </w:t>
            </w:r>
          </w:p>
        </w:tc>
        <w:tc>
          <w:tcPr>
            <w:tcW w:w="0" w:type="auto"/>
            <w:shd w:val="clear" w:color="auto" w:fill="FFFFFF"/>
            <w:tcMar>
              <w:top w:w="30" w:type="dxa"/>
              <w:left w:w="0" w:type="dxa"/>
              <w:bottom w:w="30" w:type="dxa"/>
              <w:right w:w="20" w:type="dxa"/>
            </w:tcMar>
            <w:vAlign w:val="bottom"/>
            <w:hideMark/>
          </w:tcPr>
          <w:p w14:paraId="1C637C7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A47A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8CBA60" w14:textId="77777777" w:rsidR="00000000" w:rsidRDefault="00E614A4">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5BD6B862"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6C7AB1"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ABB223" w14:textId="77777777" w:rsidR="00000000" w:rsidRDefault="00E614A4">
            <w:pPr>
              <w:jc w:val="right"/>
              <w:rPr>
                <w:rFonts w:eastAsia="Times New Roman"/>
              </w:rPr>
            </w:pPr>
            <w:r>
              <w:rPr>
                <w:rFonts w:eastAsia="Times New Roman"/>
                <w:color w:val="000000"/>
                <w:sz w:val="18"/>
                <w:szCs w:val="18"/>
              </w:rPr>
              <w:t>6,985 </w:t>
            </w:r>
          </w:p>
        </w:tc>
        <w:tc>
          <w:tcPr>
            <w:tcW w:w="0" w:type="auto"/>
            <w:shd w:val="clear" w:color="auto" w:fill="FFFFFF"/>
            <w:tcMar>
              <w:top w:w="30" w:type="dxa"/>
              <w:left w:w="0" w:type="dxa"/>
              <w:bottom w:w="30" w:type="dxa"/>
              <w:right w:w="20" w:type="dxa"/>
            </w:tcMar>
            <w:vAlign w:val="bottom"/>
            <w:hideMark/>
          </w:tcPr>
          <w:p w14:paraId="10DDE0C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3FF4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65960B" w14:textId="77777777" w:rsidR="00000000" w:rsidRDefault="00E614A4">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7B3A0DD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D32F0BC"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4A5C80" w14:textId="77777777" w:rsidR="00000000" w:rsidRDefault="00E614A4">
            <w:pPr>
              <w:jc w:val="right"/>
              <w:rPr>
                <w:rFonts w:eastAsia="Times New Roman"/>
              </w:rPr>
            </w:pPr>
            <w:r>
              <w:rPr>
                <w:rFonts w:eastAsia="Times New Roman"/>
                <w:color w:val="000000"/>
                <w:sz w:val="18"/>
                <w:szCs w:val="18"/>
              </w:rPr>
              <w:t>(2,713)</w:t>
            </w:r>
          </w:p>
        </w:tc>
        <w:tc>
          <w:tcPr>
            <w:tcW w:w="0" w:type="auto"/>
            <w:shd w:val="clear" w:color="auto" w:fill="FFFFFF"/>
            <w:tcMar>
              <w:top w:w="30" w:type="dxa"/>
              <w:left w:w="0" w:type="dxa"/>
              <w:bottom w:w="30" w:type="dxa"/>
              <w:right w:w="20" w:type="dxa"/>
            </w:tcMar>
            <w:vAlign w:val="bottom"/>
            <w:hideMark/>
          </w:tcPr>
          <w:p w14:paraId="0DCB6C4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48D3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B73FD" w14:textId="77777777" w:rsidR="00000000" w:rsidRDefault="00E614A4">
            <w:pPr>
              <w:jc w:val="right"/>
              <w:rPr>
                <w:rFonts w:eastAsia="Times New Roman"/>
              </w:rPr>
            </w:pPr>
            <w:r>
              <w:rPr>
                <w:rFonts w:eastAsia="Times New Roman"/>
                <w:color w:val="000000"/>
                <w:sz w:val="18"/>
                <w:szCs w:val="18"/>
              </w:rPr>
              <w:t>(38.8)</w:t>
            </w:r>
          </w:p>
        </w:tc>
        <w:tc>
          <w:tcPr>
            <w:tcW w:w="0" w:type="auto"/>
            <w:shd w:val="clear" w:color="auto" w:fill="FFFFFF"/>
            <w:tcMar>
              <w:top w:w="30" w:type="dxa"/>
              <w:left w:w="0" w:type="dxa"/>
              <w:bottom w:w="30" w:type="dxa"/>
              <w:right w:w="20" w:type="dxa"/>
            </w:tcMar>
            <w:vAlign w:val="bottom"/>
            <w:hideMark/>
          </w:tcPr>
          <w:p w14:paraId="218DA367" w14:textId="77777777" w:rsidR="00000000" w:rsidRDefault="00E614A4">
            <w:pPr>
              <w:jc w:val="right"/>
              <w:rPr>
                <w:rFonts w:eastAsia="Times New Roman"/>
              </w:rPr>
            </w:pPr>
            <w:r>
              <w:rPr>
                <w:rFonts w:eastAsia="Times New Roman"/>
                <w:color w:val="000000"/>
                <w:sz w:val="18"/>
                <w:szCs w:val="18"/>
              </w:rPr>
              <w:t>%</w:t>
            </w:r>
          </w:p>
        </w:tc>
      </w:tr>
      <w:tr w:rsidR="00000000" w14:paraId="54557BCA" w14:textId="77777777">
        <w:trPr>
          <w:divId w:val="1983389185"/>
        </w:trPr>
        <w:tc>
          <w:tcPr>
            <w:tcW w:w="0" w:type="auto"/>
            <w:gridSpan w:val="3"/>
            <w:shd w:val="clear" w:color="auto" w:fill="CCEEFF"/>
            <w:tcMar>
              <w:top w:w="30" w:type="dxa"/>
              <w:left w:w="245" w:type="dxa"/>
              <w:bottom w:w="30" w:type="dxa"/>
              <w:right w:w="20" w:type="dxa"/>
            </w:tcMar>
            <w:vAlign w:val="bottom"/>
            <w:hideMark/>
          </w:tcPr>
          <w:p w14:paraId="2B2453A7" w14:textId="77777777" w:rsidR="00000000" w:rsidRDefault="00E614A4">
            <w:pPr>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2BAA0410" w14:textId="77777777" w:rsidR="00000000" w:rsidRDefault="00E614A4">
            <w:pPr>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14:paraId="346A9DD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664F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CC87D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830B0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14A1A67"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E3B09E" w14:textId="77777777" w:rsidR="00000000" w:rsidRDefault="00E614A4">
            <w:pPr>
              <w:jc w:val="right"/>
              <w:rPr>
                <w:rFonts w:eastAsia="Times New Roman"/>
              </w:rPr>
            </w:pPr>
            <w:r>
              <w:rPr>
                <w:rFonts w:eastAsia="Times New Roman"/>
                <w:color w:val="000000"/>
                <w:sz w:val="18"/>
                <w:szCs w:val="18"/>
              </w:rPr>
              <w:t>4,027 </w:t>
            </w:r>
          </w:p>
        </w:tc>
        <w:tc>
          <w:tcPr>
            <w:tcW w:w="0" w:type="auto"/>
            <w:shd w:val="clear" w:color="auto" w:fill="CCEEFF"/>
            <w:tcMar>
              <w:top w:w="30" w:type="dxa"/>
              <w:left w:w="0" w:type="dxa"/>
              <w:bottom w:w="30" w:type="dxa"/>
              <w:right w:w="20" w:type="dxa"/>
            </w:tcMar>
            <w:vAlign w:val="bottom"/>
            <w:hideMark/>
          </w:tcPr>
          <w:p w14:paraId="03FB770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1913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CF718" w14:textId="77777777" w:rsidR="00000000" w:rsidRDefault="00E614A4">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78A0472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7D7AC78"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003BB4" w14:textId="77777777" w:rsidR="00000000" w:rsidRDefault="00E614A4">
            <w:pPr>
              <w:jc w:val="right"/>
              <w:rPr>
                <w:rFonts w:eastAsia="Times New Roman"/>
              </w:rPr>
            </w:pPr>
            <w:r>
              <w:rPr>
                <w:rFonts w:eastAsia="Times New Roman"/>
                <w:color w:val="000000"/>
                <w:sz w:val="18"/>
                <w:szCs w:val="18"/>
              </w:rPr>
              <w:t>(4,060)</w:t>
            </w:r>
          </w:p>
        </w:tc>
        <w:tc>
          <w:tcPr>
            <w:tcW w:w="0" w:type="auto"/>
            <w:shd w:val="clear" w:color="auto" w:fill="CCEEFF"/>
            <w:tcMar>
              <w:top w:w="30" w:type="dxa"/>
              <w:left w:w="0" w:type="dxa"/>
              <w:bottom w:w="30" w:type="dxa"/>
              <w:right w:w="20" w:type="dxa"/>
            </w:tcMar>
            <w:vAlign w:val="bottom"/>
            <w:hideMark/>
          </w:tcPr>
          <w:p w14:paraId="6BFF468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07BB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D7B00B" w14:textId="77777777" w:rsidR="00000000" w:rsidRDefault="00E614A4">
            <w:pPr>
              <w:jc w:val="right"/>
              <w:rPr>
                <w:rFonts w:eastAsia="Times New Roman"/>
              </w:rPr>
            </w:pPr>
            <w:r>
              <w:rPr>
                <w:rFonts w:eastAsia="Times New Roman"/>
                <w:color w:val="000000"/>
                <w:sz w:val="18"/>
                <w:szCs w:val="18"/>
              </w:rPr>
              <w:t>(100.8)</w:t>
            </w:r>
          </w:p>
        </w:tc>
        <w:tc>
          <w:tcPr>
            <w:tcW w:w="0" w:type="auto"/>
            <w:shd w:val="clear" w:color="auto" w:fill="CCEEFF"/>
            <w:tcMar>
              <w:top w:w="30" w:type="dxa"/>
              <w:left w:w="0" w:type="dxa"/>
              <w:bottom w:w="30" w:type="dxa"/>
              <w:right w:w="20" w:type="dxa"/>
            </w:tcMar>
            <w:vAlign w:val="bottom"/>
            <w:hideMark/>
          </w:tcPr>
          <w:p w14:paraId="74895A2E" w14:textId="77777777" w:rsidR="00000000" w:rsidRDefault="00E614A4">
            <w:pPr>
              <w:jc w:val="right"/>
              <w:rPr>
                <w:rFonts w:eastAsia="Times New Roman"/>
              </w:rPr>
            </w:pPr>
            <w:r>
              <w:rPr>
                <w:rFonts w:eastAsia="Times New Roman"/>
                <w:color w:val="000000"/>
                <w:sz w:val="18"/>
                <w:szCs w:val="18"/>
              </w:rPr>
              <w:t>%</w:t>
            </w:r>
          </w:p>
        </w:tc>
      </w:tr>
      <w:tr w:rsidR="00000000" w14:paraId="33707694" w14:textId="77777777">
        <w:trPr>
          <w:divId w:val="1983389185"/>
        </w:trPr>
        <w:tc>
          <w:tcPr>
            <w:tcW w:w="0" w:type="auto"/>
            <w:gridSpan w:val="3"/>
            <w:shd w:val="clear" w:color="auto" w:fill="FFFFFF"/>
            <w:tcMar>
              <w:top w:w="30" w:type="dxa"/>
              <w:left w:w="245" w:type="dxa"/>
              <w:bottom w:w="30" w:type="dxa"/>
              <w:right w:w="20" w:type="dxa"/>
            </w:tcMar>
            <w:vAlign w:val="bottom"/>
            <w:hideMark/>
          </w:tcPr>
          <w:p w14:paraId="6E7ACF91" w14:textId="77777777" w:rsidR="00000000" w:rsidRDefault="00E614A4">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7879F00C" w14:textId="77777777" w:rsidR="00000000" w:rsidRDefault="00E614A4">
            <w:pPr>
              <w:jc w:val="right"/>
              <w:rPr>
                <w:rFonts w:eastAsia="Times New Roman"/>
              </w:rPr>
            </w:pPr>
            <w:r>
              <w:rPr>
                <w:rFonts w:eastAsia="Times New Roman"/>
                <w:color w:val="000000"/>
                <w:sz w:val="18"/>
                <w:szCs w:val="18"/>
              </w:rPr>
              <w:t>2,718 </w:t>
            </w:r>
          </w:p>
        </w:tc>
        <w:tc>
          <w:tcPr>
            <w:tcW w:w="0" w:type="auto"/>
            <w:shd w:val="clear" w:color="auto" w:fill="FFFFFF"/>
            <w:tcMar>
              <w:top w:w="30" w:type="dxa"/>
              <w:left w:w="0" w:type="dxa"/>
              <w:bottom w:w="30" w:type="dxa"/>
              <w:right w:w="20" w:type="dxa"/>
            </w:tcMar>
            <w:vAlign w:val="bottom"/>
            <w:hideMark/>
          </w:tcPr>
          <w:p w14:paraId="78FAFEA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86E7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19ED1" w14:textId="77777777" w:rsidR="00000000" w:rsidRDefault="00E614A4">
            <w:pPr>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14:paraId="7DB6B9D9"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604B8D5"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33BF16" w14:textId="77777777" w:rsidR="00000000" w:rsidRDefault="00E614A4">
            <w:pPr>
              <w:jc w:val="right"/>
              <w:rPr>
                <w:rFonts w:eastAsia="Times New Roman"/>
              </w:rPr>
            </w:pPr>
            <w:r>
              <w:rPr>
                <w:rFonts w:eastAsia="Times New Roman"/>
                <w:color w:val="000000"/>
                <w:sz w:val="18"/>
                <w:szCs w:val="18"/>
              </w:rPr>
              <w:t>3,361 </w:t>
            </w:r>
          </w:p>
        </w:tc>
        <w:tc>
          <w:tcPr>
            <w:tcW w:w="0" w:type="auto"/>
            <w:shd w:val="clear" w:color="auto" w:fill="FFFFFF"/>
            <w:tcMar>
              <w:top w:w="30" w:type="dxa"/>
              <w:left w:w="0" w:type="dxa"/>
              <w:bottom w:w="30" w:type="dxa"/>
              <w:right w:w="20" w:type="dxa"/>
            </w:tcMar>
            <w:vAlign w:val="bottom"/>
            <w:hideMark/>
          </w:tcPr>
          <w:p w14:paraId="0236849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84C6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E8A95A" w14:textId="77777777" w:rsidR="00000000" w:rsidRDefault="00E614A4">
            <w:pPr>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bottom"/>
            <w:hideMark/>
          </w:tcPr>
          <w:p w14:paraId="03B58B3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6AA025E"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29B031" w14:textId="77777777" w:rsidR="00000000" w:rsidRDefault="00E614A4">
            <w:pPr>
              <w:jc w:val="right"/>
              <w:rPr>
                <w:rFonts w:eastAsia="Times New Roman"/>
              </w:rPr>
            </w:pPr>
            <w:r>
              <w:rPr>
                <w:rFonts w:eastAsia="Times New Roman"/>
                <w:color w:val="000000"/>
                <w:sz w:val="18"/>
                <w:szCs w:val="18"/>
              </w:rPr>
              <w:t>(643)</w:t>
            </w:r>
          </w:p>
        </w:tc>
        <w:tc>
          <w:tcPr>
            <w:tcW w:w="0" w:type="auto"/>
            <w:shd w:val="clear" w:color="auto" w:fill="FFFFFF"/>
            <w:tcMar>
              <w:top w:w="30" w:type="dxa"/>
              <w:left w:w="0" w:type="dxa"/>
              <w:bottom w:w="30" w:type="dxa"/>
              <w:right w:w="20" w:type="dxa"/>
            </w:tcMar>
            <w:vAlign w:val="bottom"/>
            <w:hideMark/>
          </w:tcPr>
          <w:p w14:paraId="1158FDE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13FF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EBCCC" w14:textId="77777777" w:rsidR="00000000" w:rsidRDefault="00E614A4">
            <w:pPr>
              <w:jc w:val="right"/>
              <w:rPr>
                <w:rFonts w:eastAsia="Times New Roman"/>
              </w:rPr>
            </w:pPr>
            <w:r>
              <w:rPr>
                <w:rFonts w:eastAsia="Times New Roman"/>
                <w:color w:val="000000"/>
                <w:sz w:val="18"/>
                <w:szCs w:val="18"/>
              </w:rPr>
              <w:t>(19.1)</w:t>
            </w:r>
          </w:p>
        </w:tc>
        <w:tc>
          <w:tcPr>
            <w:tcW w:w="0" w:type="auto"/>
            <w:shd w:val="clear" w:color="auto" w:fill="FFFFFF"/>
            <w:tcMar>
              <w:top w:w="30" w:type="dxa"/>
              <w:left w:w="0" w:type="dxa"/>
              <w:bottom w:w="30" w:type="dxa"/>
              <w:right w:w="20" w:type="dxa"/>
            </w:tcMar>
            <w:vAlign w:val="bottom"/>
            <w:hideMark/>
          </w:tcPr>
          <w:p w14:paraId="142D9316" w14:textId="77777777" w:rsidR="00000000" w:rsidRDefault="00E614A4">
            <w:pPr>
              <w:jc w:val="right"/>
              <w:rPr>
                <w:rFonts w:eastAsia="Times New Roman"/>
              </w:rPr>
            </w:pPr>
            <w:r>
              <w:rPr>
                <w:rFonts w:eastAsia="Times New Roman"/>
                <w:color w:val="000000"/>
                <w:sz w:val="18"/>
                <w:szCs w:val="18"/>
              </w:rPr>
              <w:t>%</w:t>
            </w:r>
          </w:p>
        </w:tc>
      </w:tr>
      <w:tr w:rsidR="00000000" w14:paraId="3542A7E7" w14:textId="77777777">
        <w:trPr>
          <w:divId w:val="1983389185"/>
        </w:trPr>
        <w:tc>
          <w:tcPr>
            <w:tcW w:w="0" w:type="auto"/>
            <w:gridSpan w:val="3"/>
            <w:shd w:val="clear" w:color="auto" w:fill="CCEEFF"/>
            <w:tcMar>
              <w:top w:w="30" w:type="dxa"/>
              <w:left w:w="20" w:type="dxa"/>
              <w:bottom w:w="30" w:type="dxa"/>
              <w:right w:w="20" w:type="dxa"/>
            </w:tcMar>
            <w:vAlign w:val="bottom"/>
            <w:hideMark/>
          </w:tcPr>
          <w:p w14:paraId="7C81DF75" w14:textId="77777777" w:rsidR="00000000" w:rsidRDefault="00E614A4">
            <w:pPr>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66879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6C578B" w14:textId="77777777" w:rsidR="00000000" w:rsidRDefault="00E614A4">
            <w:pPr>
              <w:jc w:val="right"/>
              <w:rPr>
                <w:rFonts w:eastAsia="Times New Roman"/>
              </w:rPr>
            </w:pPr>
            <w:r>
              <w:rPr>
                <w:rFonts w:eastAsia="Times New Roman"/>
                <w:color w:val="000000"/>
                <w:sz w:val="18"/>
                <w:szCs w:val="18"/>
              </w:rPr>
              <w:t>180,712 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671F0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D22FB"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D3F6AD" w14:textId="77777777" w:rsidR="00000000" w:rsidRDefault="00E614A4">
            <w:pPr>
              <w:jc w:val="right"/>
              <w:rPr>
                <w:rFonts w:eastAsia="Times New Roman"/>
              </w:rPr>
            </w:pPr>
            <w:r>
              <w:rPr>
                <w:rFonts w:eastAsia="Times New Roman"/>
                <w:color w:val="000000"/>
                <w:sz w:val="18"/>
                <w:szCs w:val="18"/>
              </w:rPr>
              <w:t>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AB13E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276294"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FDA38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78459E" w14:textId="77777777" w:rsidR="00000000" w:rsidRDefault="00E614A4">
            <w:pPr>
              <w:jc w:val="right"/>
              <w:rPr>
                <w:rFonts w:eastAsia="Times New Roman"/>
              </w:rPr>
            </w:pPr>
            <w:r>
              <w:rPr>
                <w:rFonts w:eastAsia="Times New Roman"/>
                <w:color w:val="000000"/>
                <w:sz w:val="18"/>
                <w:szCs w:val="18"/>
              </w:rPr>
              <w:t>199,622 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139FB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3A0FA"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A35AB5" w14:textId="77777777" w:rsidR="00000000" w:rsidRDefault="00E614A4">
            <w:pPr>
              <w:jc w:val="right"/>
              <w:rPr>
                <w:rFonts w:eastAsia="Times New Roman"/>
              </w:rPr>
            </w:pPr>
            <w:r>
              <w:rPr>
                <w:rFonts w:eastAsia="Times New Roman"/>
                <w:color w:val="000000"/>
                <w:sz w:val="18"/>
                <w:szCs w:val="18"/>
              </w:rPr>
              <w:t>51.4 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DB9AF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4D49499"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55AB7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A0C88E" w14:textId="77777777" w:rsidR="00000000" w:rsidRDefault="00E614A4">
            <w:pPr>
              <w:jc w:val="right"/>
              <w:rPr>
                <w:rFonts w:eastAsia="Times New Roman"/>
              </w:rPr>
            </w:pPr>
            <w:r>
              <w:rPr>
                <w:rFonts w:eastAsia="Times New Roman"/>
                <w:color w:val="000000"/>
                <w:sz w:val="18"/>
                <w:szCs w:val="18"/>
              </w:rPr>
              <w:t>(18,910)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3AC9E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F6B7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ABA7CE" w14:textId="77777777" w:rsidR="00000000" w:rsidRDefault="00E614A4">
            <w:pPr>
              <w:jc w:val="right"/>
              <w:rPr>
                <w:rFonts w:eastAsia="Times New Roman"/>
              </w:rPr>
            </w:pPr>
            <w:r>
              <w:rPr>
                <w:rFonts w:eastAsia="Times New Roman"/>
                <w:color w:val="000000"/>
                <w:sz w:val="18"/>
                <w:szCs w:val="18"/>
              </w:rPr>
              <w:t>(9.5)</w:t>
            </w:r>
          </w:p>
        </w:tc>
        <w:tc>
          <w:tcPr>
            <w:tcW w:w="0" w:type="auto"/>
            <w:shd w:val="clear" w:color="auto" w:fill="CCEEFF"/>
            <w:tcMar>
              <w:top w:w="30" w:type="dxa"/>
              <w:left w:w="0" w:type="dxa"/>
              <w:bottom w:w="30" w:type="dxa"/>
              <w:right w:w="20" w:type="dxa"/>
            </w:tcMar>
            <w:vAlign w:val="bottom"/>
            <w:hideMark/>
          </w:tcPr>
          <w:p w14:paraId="3B5133F2" w14:textId="77777777" w:rsidR="00000000" w:rsidRDefault="00E614A4">
            <w:pPr>
              <w:jc w:val="right"/>
              <w:rPr>
                <w:rFonts w:eastAsia="Times New Roman"/>
              </w:rPr>
            </w:pPr>
            <w:r>
              <w:rPr>
                <w:rFonts w:eastAsia="Times New Roman"/>
                <w:color w:val="000000"/>
                <w:sz w:val="18"/>
                <w:szCs w:val="18"/>
              </w:rPr>
              <w:t>%</w:t>
            </w:r>
          </w:p>
        </w:tc>
      </w:tr>
    </w:tbl>
    <w:p w14:paraId="59300C5A" w14:textId="77777777" w:rsidR="00000000" w:rsidRDefault="00E614A4">
      <w:pPr>
        <w:jc w:val="both"/>
        <w:divId w:val="715852726"/>
        <w:rPr>
          <w:rFonts w:eastAsia="Times New Roman"/>
        </w:rPr>
      </w:pPr>
      <w:r>
        <w:rPr>
          <w:rFonts w:eastAsia="Times New Roman"/>
          <w:color w:val="000000"/>
          <w:sz w:val="20"/>
          <w:szCs w:val="20"/>
        </w:rPr>
        <w:t>Cost of revenues decreased by $18.9 million, or 9.5%, for the year ended December 31, 2020 as compared to the year ended December 31, 2019. Employee costs decreased $12.1 million primarily due to lower headcount. Royalties and resellers costs decreased $4.</w:t>
      </w:r>
      <w:r>
        <w:rPr>
          <w:rFonts w:eastAsia="Times New Roman"/>
          <w:color w:val="000000"/>
          <w:sz w:val="20"/>
          <w:szCs w:val="20"/>
        </w:rPr>
        <w:t>1 million primarily due to a $2.0 million one-time, non-cash benefit related to certain revenue share arrangements recorded in the fourth quarter of 2020 and lower costs due to less revenue associated with revenue sharing arrangements. Professional fees de</w:t>
      </w:r>
      <w:r>
        <w:rPr>
          <w:rFonts w:eastAsia="Times New Roman"/>
          <w:color w:val="000000"/>
          <w:sz w:val="20"/>
          <w:szCs w:val="20"/>
        </w:rPr>
        <w:t>creased $2.7 million primarily due to a decrease in consulting services. Sample and survey costs decreased $2.1 million primarily due to lower sales and deliveries of digital marketing solutions. Panel costs decreased $1.8 million driven by lower recruitme</w:t>
      </w:r>
      <w:r>
        <w:rPr>
          <w:rFonts w:eastAsia="Times New Roman"/>
          <w:color w:val="000000"/>
          <w:sz w:val="20"/>
          <w:szCs w:val="20"/>
        </w:rPr>
        <w:t xml:space="preserve">nt and support costs for our mobile panels. Offsetting these decreases was an increase in data costs of $3.4 million primarily due to increases in data licensing agreements as we continued to invest in product solution offerings through the acquisition of </w:t>
      </w:r>
      <w:r>
        <w:rPr>
          <w:rFonts w:eastAsia="Times New Roman"/>
          <w:color w:val="000000"/>
          <w:sz w:val="20"/>
          <w:szCs w:val="20"/>
        </w:rPr>
        <w:t>additional TV data. We expect this increase in data costs to continue in 2021. Lease expense and depreciation increased $1.9 million primarily due to increased depreciation related to internally developed software.</w:t>
      </w:r>
    </w:p>
    <w:p w14:paraId="2356C4D2" w14:textId="77777777" w:rsidR="00000000" w:rsidRDefault="00E614A4">
      <w:pPr>
        <w:jc w:val="both"/>
        <w:divId w:val="1101536495"/>
        <w:rPr>
          <w:rFonts w:eastAsia="Times New Roman"/>
        </w:rPr>
      </w:pPr>
      <w:r>
        <w:rPr>
          <w:rFonts w:eastAsia="Times New Roman"/>
          <w:color w:val="000000"/>
          <w:sz w:val="20"/>
          <w:szCs w:val="20"/>
        </w:rPr>
        <w:t>Cost of revenues for the years ended Dece</w:t>
      </w:r>
      <w:r>
        <w:rPr>
          <w:rFonts w:eastAsia="Times New Roman"/>
          <w:color w:val="000000"/>
          <w:sz w:val="20"/>
          <w:szCs w:val="20"/>
        </w:rPr>
        <w:t>mber 31, 2019 and 2018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2658"/>
        <w:gridCol w:w="38"/>
        <w:gridCol w:w="110"/>
        <w:gridCol w:w="683"/>
        <w:gridCol w:w="36"/>
        <w:gridCol w:w="36"/>
        <w:gridCol w:w="36"/>
        <w:gridCol w:w="36"/>
        <w:gridCol w:w="61"/>
        <w:gridCol w:w="614"/>
        <w:gridCol w:w="170"/>
        <w:gridCol w:w="36"/>
        <w:gridCol w:w="36"/>
        <w:gridCol w:w="36"/>
        <w:gridCol w:w="110"/>
        <w:gridCol w:w="683"/>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4D973395" w14:textId="77777777">
        <w:trPr>
          <w:divId w:val="1462918952"/>
        </w:trPr>
        <w:tc>
          <w:tcPr>
            <w:tcW w:w="50" w:type="pct"/>
            <w:vAlign w:val="center"/>
            <w:hideMark/>
          </w:tcPr>
          <w:p w14:paraId="52C963E3" w14:textId="77777777" w:rsidR="00000000" w:rsidRDefault="00E614A4">
            <w:pPr>
              <w:jc w:val="both"/>
              <w:rPr>
                <w:rFonts w:eastAsia="Times New Roman"/>
              </w:rPr>
            </w:pPr>
          </w:p>
        </w:tc>
        <w:tc>
          <w:tcPr>
            <w:tcW w:w="1681" w:type="pct"/>
            <w:vAlign w:val="center"/>
            <w:hideMark/>
          </w:tcPr>
          <w:p w14:paraId="1309CCC4" w14:textId="77777777" w:rsidR="00000000" w:rsidRDefault="00E614A4">
            <w:pPr>
              <w:rPr>
                <w:rFonts w:eastAsia="Times New Roman"/>
                <w:sz w:val="20"/>
                <w:szCs w:val="20"/>
              </w:rPr>
            </w:pPr>
          </w:p>
        </w:tc>
        <w:tc>
          <w:tcPr>
            <w:tcW w:w="5" w:type="pct"/>
            <w:vAlign w:val="center"/>
            <w:hideMark/>
          </w:tcPr>
          <w:p w14:paraId="7A0131BF" w14:textId="77777777" w:rsidR="00000000" w:rsidRDefault="00E614A4">
            <w:pPr>
              <w:rPr>
                <w:rFonts w:eastAsia="Times New Roman"/>
                <w:sz w:val="20"/>
                <w:szCs w:val="20"/>
              </w:rPr>
            </w:pPr>
          </w:p>
        </w:tc>
        <w:tc>
          <w:tcPr>
            <w:tcW w:w="50" w:type="pct"/>
            <w:vAlign w:val="center"/>
            <w:hideMark/>
          </w:tcPr>
          <w:p w14:paraId="1ADE7595" w14:textId="77777777" w:rsidR="00000000" w:rsidRDefault="00E614A4">
            <w:pPr>
              <w:rPr>
                <w:rFonts w:eastAsia="Times New Roman"/>
                <w:sz w:val="20"/>
                <w:szCs w:val="20"/>
              </w:rPr>
            </w:pPr>
          </w:p>
        </w:tc>
        <w:tc>
          <w:tcPr>
            <w:tcW w:w="465" w:type="pct"/>
            <w:vAlign w:val="center"/>
            <w:hideMark/>
          </w:tcPr>
          <w:p w14:paraId="63519F15" w14:textId="77777777" w:rsidR="00000000" w:rsidRDefault="00E614A4">
            <w:pPr>
              <w:rPr>
                <w:rFonts w:eastAsia="Times New Roman"/>
                <w:sz w:val="20"/>
                <w:szCs w:val="20"/>
              </w:rPr>
            </w:pPr>
          </w:p>
        </w:tc>
        <w:tc>
          <w:tcPr>
            <w:tcW w:w="5" w:type="pct"/>
            <w:vAlign w:val="center"/>
            <w:hideMark/>
          </w:tcPr>
          <w:p w14:paraId="4D50CD2F" w14:textId="77777777" w:rsidR="00000000" w:rsidRDefault="00E614A4">
            <w:pPr>
              <w:rPr>
                <w:rFonts w:eastAsia="Times New Roman"/>
                <w:sz w:val="20"/>
                <w:szCs w:val="20"/>
              </w:rPr>
            </w:pPr>
          </w:p>
        </w:tc>
        <w:tc>
          <w:tcPr>
            <w:tcW w:w="5" w:type="pct"/>
            <w:vAlign w:val="center"/>
            <w:hideMark/>
          </w:tcPr>
          <w:p w14:paraId="2FDC54C6" w14:textId="77777777" w:rsidR="00000000" w:rsidRDefault="00E614A4">
            <w:pPr>
              <w:rPr>
                <w:rFonts w:eastAsia="Times New Roman"/>
                <w:sz w:val="20"/>
                <w:szCs w:val="20"/>
              </w:rPr>
            </w:pPr>
          </w:p>
        </w:tc>
        <w:tc>
          <w:tcPr>
            <w:tcW w:w="17" w:type="pct"/>
            <w:vAlign w:val="center"/>
            <w:hideMark/>
          </w:tcPr>
          <w:p w14:paraId="32ACFB75" w14:textId="77777777" w:rsidR="00000000" w:rsidRDefault="00E614A4">
            <w:pPr>
              <w:rPr>
                <w:rFonts w:eastAsia="Times New Roman"/>
                <w:sz w:val="20"/>
                <w:szCs w:val="20"/>
              </w:rPr>
            </w:pPr>
          </w:p>
        </w:tc>
        <w:tc>
          <w:tcPr>
            <w:tcW w:w="5" w:type="pct"/>
            <w:vAlign w:val="center"/>
            <w:hideMark/>
          </w:tcPr>
          <w:p w14:paraId="313794F1" w14:textId="77777777" w:rsidR="00000000" w:rsidRDefault="00E614A4">
            <w:pPr>
              <w:rPr>
                <w:rFonts w:eastAsia="Times New Roman"/>
                <w:sz w:val="20"/>
                <w:szCs w:val="20"/>
              </w:rPr>
            </w:pPr>
          </w:p>
        </w:tc>
        <w:tc>
          <w:tcPr>
            <w:tcW w:w="50" w:type="pct"/>
            <w:vAlign w:val="center"/>
            <w:hideMark/>
          </w:tcPr>
          <w:p w14:paraId="3C59A86F" w14:textId="77777777" w:rsidR="00000000" w:rsidRDefault="00E614A4">
            <w:pPr>
              <w:rPr>
                <w:rFonts w:eastAsia="Times New Roman"/>
                <w:sz w:val="20"/>
                <w:szCs w:val="20"/>
              </w:rPr>
            </w:pPr>
          </w:p>
        </w:tc>
        <w:tc>
          <w:tcPr>
            <w:tcW w:w="465" w:type="pct"/>
            <w:vAlign w:val="center"/>
            <w:hideMark/>
          </w:tcPr>
          <w:p w14:paraId="569F7DB8" w14:textId="77777777" w:rsidR="00000000" w:rsidRDefault="00E614A4">
            <w:pPr>
              <w:rPr>
                <w:rFonts w:eastAsia="Times New Roman"/>
                <w:sz w:val="20"/>
                <w:szCs w:val="20"/>
              </w:rPr>
            </w:pPr>
          </w:p>
        </w:tc>
        <w:tc>
          <w:tcPr>
            <w:tcW w:w="5" w:type="pct"/>
            <w:vAlign w:val="center"/>
            <w:hideMark/>
          </w:tcPr>
          <w:p w14:paraId="3FA6DC0D" w14:textId="77777777" w:rsidR="00000000" w:rsidRDefault="00E614A4">
            <w:pPr>
              <w:rPr>
                <w:rFonts w:eastAsia="Times New Roman"/>
                <w:sz w:val="20"/>
                <w:szCs w:val="20"/>
              </w:rPr>
            </w:pPr>
          </w:p>
        </w:tc>
        <w:tc>
          <w:tcPr>
            <w:tcW w:w="5" w:type="pct"/>
            <w:vAlign w:val="center"/>
            <w:hideMark/>
          </w:tcPr>
          <w:p w14:paraId="7F54C140" w14:textId="77777777" w:rsidR="00000000" w:rsidRDefault="00E614A4">
            <w:pPr>
              <w:rPr>
                <w:rFonts w:eastAsia="Times New Roman"/>
                <w:sz w:val="20"/>
                <w:szCs w:val="20"/>
              </w:rPr>
            </w:pPr>
          </w:p>
        </w:tc>
        <w:tc>
          <w:tcPr>
            <w:tcW w:w="17" w:type="pct"/>
            <w:vAlign w:val="center"/>
            <w:hideMark/>
          </w:tcPr>
          <w:p w14:paraId="7186AEFB" w14:textId="77777777" w:rsidR="00000000" w:rsidRDefault="00E614A4">
            <w:pPr>
              <w:rPr>
                <w:rFonts w:eastAsia="Times New Roman"/>
                <w:sz w:val="20"/>
                <w:szCs w:val="20"/>
              </w:rPr>
            </w:pPr>
          </w:p>
        </w:tc>
        <w:tc>
          <w:tcPr>
            <w:tcW w:w="5" w:type="pct"/>
            <w:vAlign w:val="center"/>
            <w:hideMark/>
          </w:tcPr>
          <w:p w14:paraId="56F3C167" w14:textId="77777777" w:rsidR="00000000" w:rsidRDefault="00E614A4">
            <w:pPr>
              <w:rPr>
                <w:rFonts w:eastAsia="Times New Roman"/>
                <w:sz w:val="20"/>
                <w:szCs w:val="20"/>
              </w:rPr>
            </w:pPr>
          </w:p>
        </w:tc>
        <w:tc>
          <w:tcPr>
            <w:tcW w:w="50" w:type="pct"/>
            <w:vAlign w:val="center"/>
            <w:hideMark/>
          </w:tcPr>
          <w:p w14:paraId="604F6DC0" w14:textId="77777777" w:rsidR="00000000" w:rsidRDefault="00E614A4">
            <w:pPr>
              <w:rPr>
                <w:rFonts w:eastAsia="Times New Roman"/>
                <w:sz w:val="20"/>
                <w:szCs w:val="20"/>
              </w:rPr>
            </w:pPr>
          </w:p>
        </w:tc>
        <w:tc>
          <w:tcPr>
            <w:tcW w:w="465" w:type="pct"/>
            <w:vAlign w:val="center"/>
            <w:hideMark/>
          </w:tcPr>
          <w:p w14:paraId="623236B7" w14:textId="77777777" w:rsidR="00000000" w:rsidRDefault="00E614A4">
            <w:pPr>
              <w:rPr>
                <w:rFonts w:eastAsia="Times New Roman"/>
                <w:sz w:val="20"/>
                <w:szCs w:val="20"/>
              </w:rPr>
            </w:pPr>
          </w:p>
        </w:tc>
        <w:tc>
          <w:tcPr>
            <w:tcW w:w="5" w:type="pct"/>
            <w:vAlign w:val="center"/>
            <w:hideMark/>
          </w:tcPr>
          <w:p w14:paraId="3B69EDC3" w14:textId="77777777" w:rsidR="00000000" w:rsidRDefault="00E614A4">
            <w:pPr>
              <w:rPr>
                <w:rFonts w:eastAsia="Times New Roman"/>
                <w:sz w:val="20"/>
                <w:szCs w:val="20"/>
              </w:rPr>
            </w:pPr>
          </w:p>
        </w:tc>
        <w:tc>
          <w:tcPr>
            <w:tcW w:w="5" w:type="pct"/>
            <w:vAlign w:val="center"/>
            <w:hideMark/>
          </w:tcPr>
          <w:p w14:paraId="69D31F2A" w14:textId="77777777" w:rsidR="00000000" w:rsidRDefault="00E614A4">
            <w:pPr>
              <w:rPr>
                <w:rFonts w:eastAsia="Times New Roman"/>
                <w:sz w:val="20"/>
                <w:szCs w:val="20"/>
              </w:rPr>
            </w:pPr>
          </w:p>
        </w:tc>
        <w:tc>
          <w:tcPr>
            <w:tcW w:w="17" w:type="pct"/>
            <w:vAlign w:val="center"/>
            <w:hideMark/>
          </w:tcPr>
          <w:p w14:paraId="635F797A" w14:textId="77777777" w:rsidR="00000000" w:rsidRDefault="00E614A4">
            <w:pPr>
              <w:rPr>
                <w:rFonts w:eastAsia="Times New Roman"/>
                <w:sz w:val="20"/>
                <w:szCs w:val="20"/>
              </w:rPr>
            </w:pPr>
          </w:p>
        </w:tc>
        <w:tc>
          <w:tcPr>
            <w:tcW w:w="5" w:type="pct"/>
            <w:vAlign w:val="center"/>
            <w:hideMark/>
          </w:tcPr>
          <w:p w14:paraId="60C43AC0" w14:textId="77777777" w:rsidR="00000000" w:rsidRDefault="00E614A4">
            <w:pPr>
              <w:rPr>
                <w:rFonts w:eastAsia="Times New Roman"/>
                <w:sz w:val="20"/>
                <w:szCs w:val="20"/>
              </w:rPr>
            </w:pPr>
          </w:p>
        </w:tc>
        <w:tc>
          <w:tcPr>
            <w:tcW w:w="50" w:type="pct"/>
            <w:vAlign w:val="center"/>
            <w:hideMark/>
          </w:tcPr>
          <w:p w14:paraId="630EB423" w14:textId="77777777" w:rsidR="00000000" w:rsidRDefault="00E614A4">
            <w:pPr>
              <w:rPr>
                <w:rFonts w:eastAsia="Times New Roman"/>
                <w:sz w:val="20"/>
                <w:szCs w:val="20"/>
              </w:rPr>
            </w:pPr>
          </w:p>
        </w:tc>
        <w:tc>
          <w:tcPr>
            <w:tcW w:w="465" w:type="pct"/>
            <w:vAlign w:val="center"/>
            <w:hideMark/>
          </w:tcPr>
          <w:p w14:paraId="46217B21" w14:textId="77777777" w:rsidR="00000000" w:rsidRDefault="00E614A4">
            <w:pPr>
              <w:rPr>
                <w:rFonts w:eastAsia="Times New Roman"/>
                <w:sz w:val="20"/>
                <w:szCs w:val="20"/>
              </w:rPr>
            </w:pPr>
          </w:p>
        </w:tc>
        <w:tc>
          <w:tcPr>
            <w:tcW w:w="5" w:type="pct"/>
            <w:vAlign w:val="center"/>
            <w:hideMark/>
          </w:tcPr>
          <w:p w14:paraId="0D7D87B8" w14:textId="77777777" w:rsidR="00000000" w:rsidRDefault="00E614A4">
            <w:pPr>
              <w:rPr>
                <w:rFonts w:eastAsia="Times New Roman"/>
                <w:sz w:val="20"/>
                <w:szCs w:val="20"/>
              </w:rPr>
            </w:pPr>
          </w:p>
        </w:tc>
        <w:tc>
          <w:tcPr>
            <w:tcW w:w="5" w:type="pct"/>
            <w:vAlign w:val="center"/>
            <w:hideMark/>
          </w:tcPr>
          <w:p w14:paraId="23CC5272" w14:textId="77777777" w:rsidR="00000000" w:rsidRDefault="00E614A4">
            <w:pPr>
              <w:rPr>
                <w:rFonts w:eastAsia="Times New Roman"/>
                <w:sz w:val="20"/>
                <w:szCs w:val="20"/>
              </w:rPr>
            </w:pPr>
          </w:p>
        </w:tc>
        <w:tc>
          <w:tcPr>
            <w:tcW w:w="17" w:type="pct"/>
            <w:vAlign w:val="center"/>
            <w:hideMark/>
          </w:tcPr>
          <w:p w14:paraId="7083A685" w14:textId="77777777" w:rsidR="00000000" w:rsidRDefault="00E614A4">
            <w:pPr>
              <w:rPr>
                <w:rFonts w:eastAsia="Times New Roman"/>
                <w:sz w:val="20"/>
                <w:szCs w:val="20"/>
              </w:rPr>
            </w:pPr>
          </w:p>
        </w:tc>
        <w:tc>
          <w:tcPr>
            <w:tcW w:w="5" w:type="pct"/>
            <w:vAlign w:val="center"/>
            <w:hideMark/>
          </w:tcPr>
          <w:p w14:paraId="0598249F" w14:textId="77777777" w:rsidR="00000000" w:rsidRDefault="00E614A4">
            <w:pPr>
              <w:rPr>
                <w:rFonts w:eastAsia="Times New Roman"/>
                <w:sz w:val="20"/>
                <w:szCs w:val="20"/>
              </w:rPr>
            </w:pPr>
          </w:p>
        </w:tc>
        <w:tc>
          <w:tcPr>
            <w:tcW w:w="50" w:type="pct"/>
            <w:vAlign w:val="center"/>
            <w:hideMark/>
          </w:tcPr>
          <w:p w14:paraId="38C1953E" w14:textId="77777777" w:rsidR="00000000" w:rsidRDefault="00E614A4">
            <w:pPr>
              <w:rPr>
                <w:rFonts w:eastAsia="Times New Roman"/>
                <w:sz w:val="20"/>
                <w:szCs w:val="20"/>
              </w:rPr>
            </w:pPr>
          </w:p>
        </w:tc>
        <w:tc>
          <w:tcPr>
            <w:tcW w:w="465" w:type="pct"/>
            <w:vAlign w:val="center"/>
            <w:hideMark/>
          </w:tcPr>
          <w:p w14:paraId="75874F2D" w14:textId="77777777" w:rsidR="00000000" w:rsidRDefault="00E614A4">
            <w:pPr>
              <w:rPr>
                <w:rFonts w:eastAsia="Times New Roman"/>
                <w:sz w:val="20"/>
                <w:szCs w:val="20"/>
              </w:rPr>
            </w:pPr>
          </w:p>
        </w:tc>
        <w:tc>
          <w:tcPr>
            <w:tcW w:w="5" w:type="pct"/>
            <w:vAlign w:val="center"/>
            <w:hideMark/>
          </w:tcPr>
          <w:p w14:paraId="62F56183" w14:textId="77777777" w:rsidR="00000000" w:rsidRDefault="00E614A4">
            <w:pPr>
              <w:rPr>
                <w:rFonts w:eastAsia="Times New Roman"/>
                <w:sz w:val="20"/>
                <w:szCs w:val="20"/>
              </w:rPr>
            </w:pPr>
          </w:p>
        </w:tc>
        <w:tc>
          <w:tcPr>
            <w:tcW w:w="5" w:type="pct"/>
            <w:vAlign w:val="center"/>
            <w:hideMark/>
          </w:tcPr>
          <w:p w14:paraId="7AAADBA4" w14:textId="77777777" w:rsidR="00000000" w:rsidRDefault="00E614A4">
            <w:pPr>
              <w:rPr>
                <w:rFonts w:eastAsia="Times New Roman"/>
                <w:sz w:val="20"/>
                <w:szCs w:val="20"/>
              </w:rPr>
            </w:pPr>
          </w:p>
        </w:tc>
        <w:tc>
          <w:tcPr>
            <w:tcW w:w="17" w:type="pct"/>
            <w:vAlign w:val="center"/>
            <w:hideMark/>
          </w:tcPr>
          <w:p w14:paraId="07B928DA" w14:textId="77777777" w:rsidR="00000000" w:rsidRDefault="00E614A4">
            <w:pPr>
              <w:rPr>
                <w:rFonts w:eastAsia="Times New Roman"/>
                <w:sz w:val="20"/>
                <w:szCs w:val="20"/>
              </w:rPr>
            </w:pPr>
          </w:p>
        </w:tc>
        <w:tc>
          <w:tcPr>
            <w:tcW w:w="5" w:type="pct"/>
            <w:vAlign w:val="center"/>
            <w:hideMark/>
          </w:tcPr>
          <w:p w14:paraId="6560F9DA" w14:textId="77777777" w:rsidR="00000000" w:rsidRDefault="00E614A4">
            <w:pPr>
              <w:rPr>
                <w:rFonts w:eastAsia="Times New Roman"/>
                <w:sz w:val="20"/>
                <w:szCs w:val="20"/>
              </w:rPr>
            </w:pPr>
          </w:p>
        </w:tc>
        <w:tc>
          <w:tcPr>
            <w:tcW w:w="50" w:type="pct"/>
            <w:vAlign w:val="center"/>
            <w:hideMark/>
          </w:tcPr>
          <w:p w14:paraId="545E050C" w14:textId="77777777" w:rsidR="00000000" w:rsidRDefault="00E614A4">
            <w:pPr>
              <w:rPr>
                <w:rFonts w:eastAsia="Times New Roman"/>
                <w:sz w:val="20"/>
                <w:szCs w:val="20"/>
              </w:rPr>
            </w:pPr>
          </w:p>
        </w:tc>
        <w:tc>
          <w:tcPr>
            <w:tcW w:w="466" w:type="pct"/>
            <w:vAlign w:val="center"/>
            <w:hideMark/>
          </w:tcPr>
          <w:p w14:paraId="35F489EE" w14:textId="77777777" w:rsidR="00000000" w:rsidRDefault="00E614A4">
            <w:pPr>
              <w:rPr>
                <w:rFonts w:eastAsia="Times New Roman"/>
                <w:sz w:val="20"/>
                <w:szCs w:val="20"/>
              </w:rPr>
            </w:pPr>
          </w:p>
        </w:tc>
        <w:tc>
          <w:tcPr>
            <w:tcW w:w="5" w:type="pct"/>
            <w:vAlign w:val="center"/>
            <w:hideMark/>
          </w:tcPr>
          <w:p w14:paraId="015C50DF" w14:textId="77777777" w:rsidR="00000000" w:rsidRDefault="00E614A4">
            <w:pPr>
              <w:rPr>
                <w:rFonts w:eastAsia="Times New Roman"/>
                <w:sz w:val="20"/>
                <w:szCs w:val="20"/>
              </w:rPr>
            </w:pPr>
          </w:p>
        </w:tc>
      </w:tr>
      <w:tr w:rsidR="00000000" w14:paraId="3E890A24" w14:textId="77777777">
        <w:trPr>
          <w:divId w:val="1462918952"/>
        </w:trPr>
        <w:tc>
          <w:tcPr>
            <w:tcW w:w="0" w:type="auto"/>
            <w:gridSpan w:val="3"/>
            <w:vAlign w:val="center"/>
            <w:hideMark/>
          </w:tcPr>
          <w:p w14:paraId="3CA2BA4A" w14:textId="77777777" w:rsidR="00000000" w:rsidRDefault="00E614A4">
            <w:pPr>
              <w:rPr>
                <w:rFonts w:eastAsia="Times New Roman"/>
                <w:sz w:val="20"/>
                <w:szCs w:val="20"/>
              </w:rPr>
            </w:pPr>
          </w:p>
        </w:tc>
        <w:tc>
          <w:tcPr>
            <w:tcW w:w="0" w:type="auto"/>
            <w:gridSpan w:val="3"/>
            <w:vAlign w:val="center"/>
            <w:hideMark/>
          </w:tcPr>
          <w:p w14:paraId="49D1820C" w14:textId="77777777" w:rsidR="00000000" w:rsidRDefault="00E614A4">
            <w:pPr>
              <w:rPr>
                <w:rFonts w:eastAsia="Times New Roman"/>
                <w:sz w:val="20"/>
                <w:szCs w:val="20"/>
              </w:rPr>
            </w:pPr>
          </w:p>
        </w:tc>
        <w:tc>
          <w:tcPr>
            <w:tcW w:w="0" w:type="auto"/>
            <w:gridSpan w:val="3"/>
            <w:vAlign w:val="center"/>
            <w:hideMark/>
          </w:tcPr>
          <w:p w14:paraId="0576E60C" w14:textId="77777777" w:rsidR="00000000" w:rsidRDefault="00E614A4">
            <w:pPr>
              <w:rPr>
                <w:rFonts w:eastAsia="Times New Roman"/>
                <w:sz w:val="20"/>
                <w:szCs w:val="20"/>
              </w:rPr>
            </w:pPr>
          </w:p>
        </w:tc>
        <w:tc>
          <w:tcPr>
            <w:tcW w:w="0" w:type="auto"/>
            <w:gridSpan w:val="3"/>
            <w:vAlign w:val="center"/>
            <w:hideMark/>
          </w:tcPr>
          <w:p w14:paraId="3D640C1D" w14:textId="77777777" w:rsidR="00000000" w:rsidRDefault="00E614A4">
            <w:pPr>
              <w:rPr>
                <w:rFonts w:eastAsia="Times New Roman"/>
                <w:sz w:val="20"/>
                <w:szCs w:val="20"/>
              </w:rPr>
            </w:pPr>
          </w:p>
        </w:tc>
        <w:tc>
          <w:tcPr>
            <w:tcW w:w="0" w:type="auto"/>
            <w:gridSpan w:val="3"/>
            <w:vAlign w:val="center"/>
            <w:hideMark/>
          </w:tcPr>
          <w:p w14:paraId="42317F64" w14:textId="77777777" w:rsidR="00000000" w:rsidRDefault="00E614A4">
            <w:pPr>
              <w:rPr>
                <w:rFonts w:eastAsia="Times New Roman"/>
                <w:sz w:val="20"/>
                <w:szCs w:val="20"/>
              </w:rPr>
            </w:pPr>
          </w:p>
        </w:tc>
        <w:tc>
          <w:tcPr>
            <w:tcW w:w="0" w:type="auto"/>
            <w:gridSpan w:val="3"/>
            <w:vAlign w:val="center"/>
            <w:hideMark/>
          </w:tcPr>
          <w:p w14:paraId="7FF0E469" w14:textId="77777777" w:rsidR="00000000" w:rsidRDefault="00E614A4">
            <w:pPr>
              <w:rPr>
                <w:rFonts w:eastAsia="Times New Roman"/>
                <w:sz w:val="20"/>
                <w:szCs w:val="20"/>
              </w:rPr>
            </w:pPr>
          </w:p>
        </w:tc>
        <w:tc>
          <w:tcPr>
            <w:tcW w:w="0" w:type="auto"/>
            <w:gridSpan w:val="3"/>
            <w:vAlign w:val="center"/>
            <w:hideMark/>
          </w:tcPr>
          <w:p w14:paraId="57777C1D" w14:textId="77777777" w:rsidR="00000000" w:rsidRDefault="00E614A4">
            <w:pPr>
              <w:rPr>
                <w:rFonts w:eastAsia="Times New Roman"/>
                <w:sz w:val="20"/>
                <w:szCs w:val="20"/>
              </w:rPr>
            </w:pPr>
          </w:p>
        </w:tc>
        <w:tc>
          <w:tcPr>
            <w:tcW w:w="0" w:type="auto"/>
            <w:gridSpan w:val="3"/>
            <w:vAlign w:val="center"/>
            <w:hideMark/>
          </w:tcPr>
          <w:p w14:paraId="1DE15B00" w14:textId="77777777" w:rsidR="00000000" w:rsidRDefault="00E614A4">
            <w:pPr>
              <w:rPr>
                <w:rFonts w:eastAsia="Times New Roman"/>
                <w:sz w:val="20"/>
                <w:szCs w:val="20"/>
              </w:rPr>
            </w:pPr>
          </w:p>
        </w:tc>
        <w:tc>
          <w:tcPr>
            <w:tcW w:w="0" w:type="auto"/>
            <w:gridSpan w:val="3"/>
            <w:vAlign w:val="center"/>
            <w:hideMark/>
          </w:tcPr>
          <w:p w14:paraId="696CC924" w14:textId="77777777" w:rsidR="00000000" w:rsidRDefault="00E614A4">
            <w:pPr>
              <w:rPr>
                <w:rFonts w:eastAsia="Times New Roman"/>
                <w:sz w:val="20"/>
                <w:szCs w:val="20"/>
              </w:rPr>
            </w:pPr>
          </w:p>
        </w:tc>
        <w:tc>
          <w:tcPr>
            <w:tcW w:w="0" w:type="auto"/>
            <w:gridSpan w:val="3"/>
            <w:vAlign w:val="center"/>
            <w:hideMark/>
          </w:tcPr>
          <w:p w14:paraId="0D6D687C" w14:textId="77777777" w:rsidR="00000000" w:rsidRDefault="00E614A4">
            <w:pPr>
              <w:rPr>
                <w:rFonts w:eastAsia="Times New Roman"/>
                <w:sz w:val="20"/>
                <w:szCs w:val="20"/>
              </w:rPr>
            </w:pPr>
          </w:p>
        </w:tc>
        <w:tc>
          <w:tcPr>
            <w:tcW w:w="0" w:type="auto"/>
            <w:gridSpan w:val="3"/>
            <w:vAlign w:val="center"/>
            <w:hideMark/>
          </w:tcPr>
          <w:p w14:paraId="394E20EF" w14:textId="77777777" w:rsidR="00000000" w:rsidRDefault="00E614A4">
            <w:pPr>
              <w:rPr>
                <w:rFonts w:eastAsia="Times New Roman"/>
                <w:sz w:val="20"/>
                <w:szCs w:val="20"/>
              </w:rPr>
            </w:pPr>
          </w:p>
        </w:tc>
        <w:tc>
          <w:tcPr>
            <w:tcW w:w="0" w:type="auto"/>
            <w:gridSpan w:val="3"/>
            <w:vAlign w:val="center"/>
            <w:hideMark/>
          </w:tcPr>
          <w:p w14:paraId="05523A08" w14:textId="77777777" w:rsidR="00000000" w:rsidRDefault="00E614A4">
            <w:pPr>
              <w:rPr>
                <w:rFonts w:eastAsia="Times New Roman"/>
                <w:sz w:val="20"/>
                <w:szCs w:val="20"/>
              </w:rPr>
            </w:pPr>
          </w:p>
        </w:tc>
      </w:tr>
      <w:tr w:rsidR="00000000" w14:paraId="13D9D090" w14:textId="77777777">
        <w:trPr>
          <w:divId w:val="1462918952"/>
        </w:trPr>
        <w:tc>
          <w:tcPr>
            <w:tcW w:w="0" w:type="auto"/>
            <w:gridSpan w:val="3"/>
            <w:tcMar>
              <w:top w:w="0" w:type="dxa"/>
              <w:left w:w="20" w:type="dxa"/>
              <w:bottom w:w="0" w:type="dxa"/>
              <w:right w:w="20" w:type="dxa"/>
            </w:tcMar>
            <w:vAlign w:val="center"/>
            <w:hideMark/>
          </w:tcPr>
          <w:p w14:paraId="2A56DAA0"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610DF3E8"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6F52E591" w14:textId="77777777" w:rsidR="00000000" w:rsidRDefault="00E614A4">
            <w:pPr>
              <w:jc w:val="center"/>
              <w:rPr>
                <w:rFonts w:eastAsia="Times New Roman"/>
              </w:rPr>
            </w:pPr>
          </w:p>
        </w:tc>
        <w:tc>
          <w:tcPr>
            <w:tcW w:w="0" w:type="auto"/>
            <w:gridSpan w:val="9"/>
            <w:tcMar>
              <w:top w:w="0" w:type="dxa"/>
              <w:left w:w="20" w:type="dxa"/>
              <w:bottom w:w="0" w:type="dxa"/>
              <w:right w:w="20" w:type="dxa"/>
            </w:tcMar>
            <w:vAlign w:val="center"/>
            <w:hideMark/>
          </w:tcPr>
          <w:p w14:paraId="5A3DE728" w14:textId="77777777" w:rsidR="00000000" w:rsidRDefault="00E614A4">
            <w:pPr>
              <w:rPr>
                <w:rFonts w:eastAsia="Times New Roman"/>
                <w:sz w:val="20"/>
                <w:szCs w:val="20"/>
              </w:rPr>
            </w:pPr>
          </w:p>
        </w:tc>
      </w:tr>
      <w:tr w:rsidR="00000000" w14:paraId="17112180" w14:textId="77777777">
        <w:trPr>
          <w:divId w:val="1462918952"/>
        </w:trPr>
        <w:tc>
          <w:tcPr>
            <w:tcW w:w="0" w:type="auto"/>
            <w:gridSpan w:val="3"/>
            <w:shd w:val="clear" w:color="auto" w:fill="FFFFFF"/>
            <w:tcMar>
              <w:top w:w="30" w:type="dxa"/>
              <w:left w:w="20" w:type="dxa"/>
              <w:bottom w:w="30" w:type="dxa"/>
              <w:right w:w="20" w:type="dxa"/>
            </w:tcMar>
            <w:vAlign w:val="bottom"/>
            <w:hideMark/>
          </w:tcPr>
          <w:p w14:paraId="2622CE6D"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055E239"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D46825"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4AC1934"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4F977C"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7367B5" w14:textId="77777777" w:rsidR="00000000" w:rsidRDefault="00E614A4">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5E67AB"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3BBC796" w14:textId="77777777" w:rsidR="00000000" w:rsidRDefault="00E614A4">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65E4B5BC"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21CCAE3"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14:paraId="75A014EB"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4F6CE4" w14:textId="77777777" w:rsidR="00000000" w:rsidRDefault="00E614A4">
            <w:pPr>
              <w:jc w:val="center"/>
              <w:rPr>
                <w:rFonts w:eastAsia="Times New Roman"/>
              </w:rPr>
            </w:pPr>
            <w:r>
              <w:rPr>
                <w:rFonts w:eastAsia="Times New Roman"/>
                <w:b/>
                <w:bCs/>
                <w:color w:val="000000"/>
                <w:sz w:val="16"/>
                <w:szCs w:val="16"/>
              </w:rPr>
              <w:t>% Variance</w:t>
            </w:r>
          </w:p>
        </w:tc>
      </w:tr>
      <w:tr w:rsidR="00000000" w14:paraId="2C46FF2E" w14:textId="77777777">
        <w:trPr>
          <w:divId w:val="1462918952"/>
        </w:trPr>
        <w:tc>
          <w:tcPr>
            <w:tcW w:w="0" w:type="auto"/>
            <w:gridSpan w:val="3"/>
            <w:shd w:val="clear" w:color="auto" w:fill="CCEEFF"/>
            <w:tcMar>
              <w:top w:w="30" w:type="dxa"/>
              <w:left w:w="245" w:type="dxa"/>
              <w:bottom w:w="30" w:type="dxa"/>
              <w:right w:w="20" w:type="dxa"/>
            </w:tcMar>
            <w:vAlign w:val="bottom"/>
            <w:hideMark/>
          </w:tcPr>
          <w:p w14:paraId="073EE799" w14:textId="77777777" w:rsidR="00000000" w:rsidRDefault="00E614A4">
            <w:pPr>
              <w:rPr>
                <w:rFonts w:eastAsia="Times New Roman"/>
              </w:rPr>
            </w:pPr>
            <w:r>
              <w:rPr>
                <w:rFonts w:eastAsia="Times New Roman"/>
                <w:color w:val="000000"/>
                <w:sz w:val="18"/>
                <w:szCs w:val="18"/>
              </w:rPr>
              <w:t>Employee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477F9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F7C297" w14:textId="77777777" w:rsidR="00000000" w:rsidRDefault="00E614A4">
            <w:pPr>
              <w:jc w:val="right"/>
              <w:rPr>
                <w:rFonts w:eastAsia="Times New Roman"/>
              </w:rPr>
            </w:pPr>
            <w:r>
              <w:rPr>
                <w:rFonts w:eastAsia="Times New Roman"/>
                <w:color w:val="000000"/>
                <w:sz w:val="18"/>
                <w:szCs w:val="18"/>
              </w:rPr>
              <w:t>50,996 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F0EDC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FAE3D"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2C08B1" w14:textId="77777777" w:rsidR="00000000" w:rsidRDefault="00E614A4">
            <w:pPr>
              <w:jc w:val="right"/>
              <w:rPr>
                <w:rFonts w:eastAsia="Times New Roman"/>
              </w:rPr>
            </w:pPr>
            <w:r>
              <w:rPr>
                <w:rFonts w:eastAsia="Times New Roman"/>
                <w:color w:val="000000"/>
                <w:sz w:val="18"/>
                <w:szCs w:val="18"/>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56406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7F24C13"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5D2A6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307F6C" w14:textId="77777777" w:rsidR="00000000" w:rsidRDefault="00E614A4">
            <w:pPr>
              <w:jc w:val="right"/>
              <w:rPr>
                <w:rFonts w:eastAsia="Times New Roman"/>
              </w:rPr>
            </w:pPr>
            <w:r>
              <w:rPr>
                <w:rFonts w:eastAsia="Times New Roman"/>
                <w:color w:val="000000"/>
                <w:sz w:val="18"/>
                <w:szCs w:val="18"/>
              </w:rPr>
              <w:t>57,490 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95091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A42F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3803DA" w14:textId="77777777" w:rsidR="00000000" w:rsidRDefault="00E614A4">
            <w:pPr>
              <w:jc w:val="right"/>
              <w:rPr>
                <w:rFonts w:eastAsia="Times New Roman"/>
              </w:rPr>
            </w:pPr>
            <w:r>
              <w:rPr>
                <w:rFonts w:eastAsia="Times New Roman"/>
                <w:color w:val="000000"/>
                <w:sz w:val="18"/>
                <w:szCs w:val="18"/>
              </w:rPr>
              <w:t>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F8A14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4500DE3"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31A94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383DF9" w14:textId="77777777" w:rsidR="00000000" w:rsidRDefault="00E614A4">
            <w:pPr>
              <w:jc w:val="right"/>
              <w:rPr>
                <w:rFonts w:eastAsia="Times New Roman"/>
              </w:rPr>
            </w:pPr>
            <w:r>
              <w:rPr>
                <w:rFonts w:eastAsia="Times New Roman"/>
                <w:color w:val="000000"/>
                <w:sz w:val="18"/>
                <w:szCs w:val="18"/>
              </w:rPr>
              <w:t>(6,494)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AE350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5108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C80AB8" w14:textId="77777777" w:rsidR="00000000" w:rsidRDefault="00E614A4">
            <w:pPr>
              <w:jc w:val="right"/>
              <w:rPr>
                <w:rFonts w:eastAsia="Times New Roman"/>
              </w:rPr>
            </w:pPr>
            <w:r>
              <w:rPr>
                <w:rFonts w:eastAsia="Times New Roman"/>
                <w:color w:val="000000"/>
                <w:sz w:val="18"/>
                <w:szCs w:val="18"/>
              </w:rPr>
              <w:t>(11.3)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502276" w14:textId="77777777" w:rsidR="00000000" w:rsidRDefault="00E614A4">
            <w:pPr>
              <w:jc w:val="right"/>
              <w:rPr>
                <w:rFonts w:eastAsia="Times New Roman"/>
              </w:rPr>
            </w:pPr>
            <w:r>
              <w:rPr>
                <w:rFonts w:eastAsia="Times New Roman"/>
                <w:color w:val="000000"/>
                <w:sz w:val="18"/>
                <w:szCs w:val="18"/>
              </w:rPr>
              <w:t>%</w:t>
            </w:r>
          </w:p>
        </w:tc>
      </w:tr>
      <w:tr w:rsidR="00000000" w14:paraId="137AF725" w14:textId="77777777">
        <w:trPr>
          <w:divId w:val="1462918952"/>
        </w:trPr>
        <w:tc>
          <w:tcPr>
            <w:tcW w:w="0" w:type="auto"/>
            <w:gridSpan w:val="3"/>
            <w:shd w:val="clear" w:color="auto" w:fill="FFFFFF"/>
            <w:tcMar>
              <w:top w:w="30" w:type="dxa"/>
              <w:left w:w="245" w:type="dxa"/>
              <w:bottom w:w="30" w:type="dxa"/>
              <w:right w:w="20" w:type="dxa"/>
            </w:tcMar>
            <w:vAlign w:val="bottom"/>
            <w:hideMark/>
          </w:tcPr>
          <w:p w14:paraId="3AB85A48" w14:textId="77777777" w:rsidR="00000000" w:rsidRDefault="00E614A4">
            <w:pPr>
              <w:rPr>
                <w:rFonts w:eastAsia="Times New Roman"/>
              </w:rPr>
            </w:pPr>
            <w:r>
              <w:rPr>
                <w:rFonts w:eastAsia="Times New Roman"/>
                <w:color w:val="000000"/>
                <w:sz w:val="18"/>
                <w:szCs w:val="18"/>
              </w:rPr>
              <w:t>Data costs</w:t>
            </w:r>
          </w:p>
        </w:tc>
        <w:tc>
          <w:tcPr>
            <w:tcW w:w="0" w:type="auto"/>
            <w:gridSpan w:val="2"/>
            <w:shd w:val="clear" w:color="auto" w:fill="FFFFFF"/>
            <w:tcMar>
              <w:top w:w="30" w:type="dxa"/>
              <w:left w:w="20" w:type="dxa"/>
              <w:bottom w:w="30" w:type="dxa"/>
              <w:right w:w="0" w:type="dxa"/>
            </w:tcMar>
            <w:vAlign w:val="bottom"/>
            <w:hideMark/>
          </w:tcPr>
          <w:p w14:paraId="4D6C5C70" w14:textId="77777777" w:rsidR="00000000" w:rsidRDefault="00E614A4">
            <w:pPr>
              <w:jc w:val="right"/>
              <w:rPr>
                <w:rFonts w:eastAsia="Times New Roman"/>
              </w:rPr>
            </w:pPr>
            <w:r>
              <w:rPr>
                <w:rFonts w:eastAsia="Times New Roman"/>
                <w:color w:val="000000"/>
                <w:sz w:val="18"/>
                <w:szCs w:val="18"/>
              </w:rPr>
              <w:t>60,165 </w:t>
            </w:r>
          </w:p>
        </w:tc>
        <w:tc>
          <w:tcPr>
            <w:tcW w:w="0" w:type="auto"/>
            <w:shd w:val="clear" w:color="auto" w:fill="FFFFFF"/>
            <w:tcMar>
              <w:top w:w="30" w:type="dxa"/>
              <w:left w:w="0" w:type="dxa"/>
              <w:bottom w:w="30" w:type="dxa"/>
              <w:right w:w="20" w:type="dxa"/>
            </w:tcMar>
            <w:vAlign w:val="bottom"/>
            <w:hideMark/>
          </w:tcPr>
          <w:p w14:paraId="51231E3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9E7A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4A1304" w14:textId="77777777" w:rsidR="00000000" w:rsidRDefault="00E614A4">
            <w:pPr>
              <w:jc w:val="right"/>
              <w:rPr>
                <w:rFonts w:eastAsia="Times New Roman"/>
              </w:rPr>
            </w:pPr>
            <w:r>
              <w:rPr>
                <w:rFonts w:eastAsia="Times New Roman"/>
                <w:color w:val="000000"/>
                <w:sz w:val="18"/>
                <w:szCs w:val="18"/>
              </w:rPr>
              <w:t>15.5 </w:t>
            </w:r>
          </w:p>
        </w:tc>
        <w:tc>
          <w:tcPr>
            <w:tcW w:w="0" w:type="auto"/>
            <w:shd w:val="clear" w:color="auto" w:fill="FFFFFF"/>
            <w:tcMar>
              <w:top w:w="30" w:type="dxa"/>
              <w:left w:w="0" w:type="dxa"/>
              <w:bottom w:w="30" w:type="dxa"/>
              <w:right w:w="20" w:type="dxa"/>
            </w:tcMar>
            <w:vAlign w:val="bottom"/>
            <w:hideMark/>
          </w:tcPr>
          <w:p w14:paraId="4DC8769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E7B501C"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BD0B4C" w14:textId="77777777" w:rsidR="00000000" w:rsidRDefault="00E614A4">
            <w:pPr>
              <w:jc w:val="right"/>
              <w:rPr>
                <w:rFonts w:eastAsia="Times New Roman"/>
              </w:rPr>
            </w:pPr>
            <w:r>
              <w:rPr>
                <w:rFonts w:eastAsia="Times New Roman"/>
                <w:color w:val="000000"/>
                <w:sz w:val="18"/>
                <w:szCs w:val="18"/>
              </w:rPr>
              <w:t>53,248 </w:t>
            </w:r>
          </w:p>
        </w:tc>
        <w:tc>
          <w:tcPr>
            <w:tcW w:w="0" w:type="auto"/>
            <w:shd w:val="clear" w:color="auto" w:fill="FFFFFF"/>
            <w:tcMar>
              <w:top w:w="30" w:type="dxa"/>
              <w:left w:w="0" w:type="dxa"/>
              <w:bottom w:w="30" w:type="dxa"/>
              <w:right w:w="20" w:type="dxa"/>
            </w:tcMar>
            <w:vAlign w:val="bottom"/>
            <w:hideMark/>
          </w:tcPr>
          <w:p w14:paraId="1E676D9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484B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32250" w14:textId="77777777" w:rsidR="00000000" w:rsidRDefault="00E614A4">
            <w:pPr>
              <w:jc w:val="right"/>
              <w:rPr>
                <w:rFonts w:eastAsia="Times New Roman"/>
              </w:rPr>
            </w:pPr>
            <w:r>
              <w:rPr>
                <w:rFonts w:eastAsia="Times New Roman"/>
                <w:color w:val="000000"/>
                <w:sz w:val="18"/>
                <w:szCs w:val="18"/>
              </w:rPr>
              <w:t>12.7 </w:t>
            </w:r>
          </w:p>
        </w:tc>
        <w:tc>
          <w:tcPr>
            <w:tcW w:w="0" w:type="auto"/>
            <w:shd w:val="clear" w:color="auto" w:fill="FFFFFF"/>
            <w:tcMar>
              <w:top w:w="30" w:type="dxa"/>
              <w:left w:w="0" w:type="dxa"/>
              <w:bottom w:w="30" w:type="dxa"/>
              <w:right w:w="20" w:type="dxa"/>
            </w:tcMar>
            <w:vAlign w:val="bottom"/>
            <w:hideMark/>
          </w:tcPr>
          <w:p w14:paraId="2E0830C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B432B51"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E175AE" w14:textId="77777777" w:rsidR="00000000" w:rsidRDefault="00E614A4">
            <w:pPr>
              <w:jc w:val="right"/>
              <w:rPr>
                <w:rFonts w:eastAsia="Times New Roman"/>
              </w:rPr>
            </w:pPr>
            <w:r>
              <w:rPr>
                <w:rFonts w:eastAsia="Times New Roman"/>
                <w:color w:val="000000"/>
                <w:sz w:val="18"/>
                <w:szCs w:val="18"/>
              </w:rPr>
              <w:t>6,917 </w:t>
            </w:r>
          </w:p>
        </w:tc>
        <w:tc>
          <w:tcPr>
            <w:tcW w:w="0" w:type="auto"/>
            <w:shd w:val="clear" w:color="auto" w:fill="FFFFFF"/>
            <w:tcMar>
              <w:top w:w="30" w:type="dxa"/>
              <w:left w:w="0" w:type="dxa"/>
              <w:bottom w:w="30" w:type="dxa"/>
              <w:right w:w="20" w:type="dxa"/>
            </w:tcMar>
            <w:vAlign w:val="bottom"/>
            <w:hideMark/>
          </w:tcPr>
          <w:p w14:paraId="266C50F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B6C9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311081" w14:textId="77777777" w:rsidR="00000000" w:rsidRDefault="00E614A4">
            <w:pPr>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bottom"/>
            <w:hideMark/>
          </w:tcPr>
          <w:p w14:paraId="1D52FB2F" w14:textId="77777777" w:rsidR="00000000" w:rsidRDefault="00E614A4">
            <w:pPr>
              <w:jc w:val="right"/>
              <w:rPr>
                <w:rFonts w:eastAsia="Times New Roman"/>
              </w:rPr>
            </w:pPr>
            <w:r>
              <w:rPr>
                <w:rFonts w:eastAsia="Times New Roman"/>
                <w:color w:val="000000"/>
                <w:sz w:val="18"/>
                <w:szCs w:val="18"/>
              </w:rPr>
              <w:t>%</w:t>
            </w:r>
          </w:p>
        </w:tc>
      </w:tr>
      <w:tr w:rsidR="00000000" w14:paraId="10EB332B" w14:textId="77777777">
        <w:trPr>
          <w:divId w:val="1462918952"/>
        </w:trPr>
        <w:tc>
          <w:tcPr>
            <w:tcW w:w="0" w:type="auto"/>
            <w:gridSpan w:val="3"/>
            <w:shd w:val="clear" w:color="auto" w:fill="CCEEFF"/>
            <w:tcMar>
              <w:top w:w="30" w:type="dxa"/>
              <w:left w:w="245" w:type="dxa"/>
              <w:bottom w:w="30" w:type="dxa"/>
              <w:right w:w="20" w:type="dxa"/>
            </w:tcMar>
            <w:vAlign w:val="bottom"/>
            <w:hideMark/>
          </w:tcPr>
          <w:p w14:paraId="6F67FB57" w14:textId="77777777" w:rsidR="00000000" w:rsidRDefault="00E614A4">
            <w:pPr>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03221B97" w14:textId="77777777" w:rsidR="00000000" w:rsidRDefault="00E614A4">
            <w:pPr>
              <w:jc w:val="right"/>
              <w:rPr>
                <w:rFonts w:eastAsia="Times New Roman"/>
              </w:rPr>
            </w:pPr>
            <w:r>
              <w:rPr>
                <w:rFonts w:eastAsia="Times New Roman"/>
                <w:color w:val="000000"/>
                <w:sz w:val="18"/>
                <w:szCs w:val="18"/>
              </w:rPr>
              <w:t>25,023 </w:t>
            </w:r>
          </w:p>
        </w:tc>
        <w:tc>
          <w:tcPr>
            <w:tcW w:w="0" w:type="auto"/>
            <w:shd w:val="clear" w:color="auto" w:fill="CCEEFF"/>
            <w:tcMar>
              <w:top w:w="30" w:type="dxa"/>
              <w:left w:w="0" w:type="dxa"/>
              <w:bottom w:w="30" w:type="dxa"/>
              <w:right w:w="20" w:type="dxa"/>
            </w:tcMar>
            <w:vAlign w:val="bottom"/>
            <w:hideMark/>
          </w:tcPr>
          <w:p w14:paraId="4E89216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288E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DB6176" w14:textId="77777777" w:rsidR="00000000" w:rsidRDefault="00E614A4">
            <w:pPr>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14:paraId="4B36A76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AC236AD"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B84D28" w14:textId="77777777" w:rsidR="00000000" w:rsidRDefault="00E614A4">
            <w:pPr>
              <w:jc w:val="right"/>
              <w:rPr>
                <w:rFonts w:eastAsia="Times New Roman"/>
              </w:rPr>
            </w:pPr>
            <w:r>
              <w:rPr>
                <w:rFonts w:eastAsia="Times New Roman"/>
                <w:color w:val="000000"/>
                <w:sz w:val="18"/>
                <w:szCs w:val="18"/>
              </w:rPr>
              <w:t>27,033 </w:t>
            </w:r>
          </w:p>
        </w:tc>
        <w:tc>
          <w:tcPr>
            <w:tcW w:w="0" w:type="auto"/>
            <w:shd w:val="clear" w:color="auto" w:fill="CCEEFF"/>
            <w:tcMar>
              <w:top w:w="30" w:type="dxa"/>
              <w:left w:w="0" w:type="dxa"/>
              <w:bottom w:w="30" w:type="dxa"/>
              <w:right w:w="20" w:type="dxa"/>
            </w:tcMar>
            <w:vAlign w:val="bottom"/>
            <w:hideMark/>
          </w:tcPr>
          <w:p w14:paraId="5474EE3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3A96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E6535E" w14:textId="77777777" w:rsidR="00000000" w:rsidRDefault="00E614A4">
            <w:pPr>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14:paraId="3B19288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F345B52"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A02CEF" w14:textId="77777777" w:rsidR="00000000" w:rsidRDefault="00E614A4">
            <w:pPr>
              <w:jc w:val="right"/>
              <w:rPr>
                <w:rFonts w:eastAsia="Times New Roman"/>
              </w:rPr>
            </w:pPr>
            <w:r>
              <w:rPr>
                <w:rFonts w:eastAsia="Times New Roman"/>
                <w:color w:val="000000"/>
                <w:sz w:val="18"/>
                <w:szCs w:val="18"/>
              </w:rPr>
              <w:t>(2,010)</w:t>
            </w:r>
          </w:p>
        </w:tc>
        <w:tc>
          <w:tcPr>
            <w:tcW w:w="0" w:type="auto"/>
            <w:shd w:val="clear" w:color="auto" w:fill="CCEEFF"/>
            <w:tcMar>
              <w:top w:w="30" w:type="dxa"/>
              <w:left w:w="0" w:type="dxa"/>
              <w:bottom w:w="30" w:type="dxa"/>
              <w:right w:w="20" w:type="dxa"/>
            </w:tcMar>
            <w:vAlign w:val="bottom"/>
            <w:hideMark/>
          </w:tcPr>
          <w:p w14:paraId="69E8A5F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4BA9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E73157" w14:textId="77777777" w:rsidR="00000000" w:rsidRDefault="00E614A4">
            <w:pPr>
              <w:jc w:val="right"/>
              <w:rPr>
                <w:rFonts w:eastAsia="Times New Roman"/>
              </w:rPr>
            </w:pPr>
            <w:r>
              <w:rPr>
                <w:rFonts w:eastAsia="Times New Roman"/>
                <w:color w:val="000000"/>
                <w:sz w:val="18"/>
                <w:szCs w:val="18"/>
              </w:rPr>
              <w:t>(7.4)</w:t>
            </w:r>
          </w:p>
        </w:tc>
        <w:tc>
          <w:tcPr>
            <w:tcW w:w="0" w:type="auto"/>
            <w:shd w:val="clear" w:color="auto" w:fill="CCEEFF"/>
            <w:tcMar>
              <w:top w:w="30" w:type="dxa"/>
              <w:left w:w="0" w:type="dxa"/>
              <w:bottom w:w="30" w:type="dxa"/>
              <w:right w:w="20" w:type="dxa"/>
            </w:tcMar>
            <w:vAlign w:val="bottom"/>
            <w:hideMark/>
          </w:tcPr>
          <w:p w14:paraId="625C7B18" w14:textId="77777777" w:rsidR="00000000" w:rsidRDefault="00E614A4">
            <w:pPr>
              <w:jc w:val="right"/>
              <w:rPr>
                <w:rFonts w:eastAsia="Times New Roman"/>
              </w:rPr>
            </w:pPr>
            <w:r>
              <w:rPr>
                <w:rFonts w:eastAsia="Times New Roman"/>
                <w:color w:val="000000"/>
                <w:sz w:val="18"/>
                <w:szCs w:val="18"/>
              </w:rPr>
              <w:t>%</w:t>
            </w:r>
          </w:p>
        </w:tc>
      </w:tr>
      <w:tr w:rsidR="00000000" w14:paraId="0F14C0FE" w14:textId="77777777">
        <w:trPr>
          <w:divId w:val="1462918952"/>
        </w:trPr>
        <w:tc>
          <w:tcPr>
            <w:tcW w:w="0" w:type="auto"/>
            <w:gridSpan w:val="3"/>
            <w:shd w:val="clear" w:color="auto" w:fill="FFFFFF"/>
            <w:tcMar>
              <w:top w:w="30" w:type="dxa"/>
              <w:left w:w="245" w:type="dxa"/>
              <w:bottom w:w="30" w:type="dxa"/>
              <w:right w:w="20" w:type="dxa"/>
            </w:tcMar>
            <w:vAlign w:val="bottom"/>
            <w:hideMark/>
          </w:tcPr>
          <w:p w14:paraId="2A16BE3B" w14:textId="77777777" w:rsidR="00000000" w:rsidRDefault="00E614A4">
            <w:pPr>
              <w:rPr>
                <w:rFonts w:eastAsia="Times New Roman"/>
              </w:rPr>
            </w:pPr>
            <w:r>
              <w:rPr>
                <w:rFonts w:eastAsia="Times New Roman"/>
                <w:color w:val="000000"/>
                <w:sz w:val="18"/>
                <w:szCs w:val="18"/>
              </w:rPr>
              <w:t>Panel costs</w:t>
            </w:r>
          </w:p>
        </w:tc>
        <w:tc>
          <w:tcPr>
            <w:tcW w:w="0" w:type="auto"/>
            <w:gridSpan w:val="2"/>
            <w:shd w:val="clear" w:color="auto" w:fill="FFFFFF"/>
            <w:tcMar>
              <w:top w:w="30" w:type="dxa"/>
              <w:left w:w="20" w:type="dxa"/>
              <w:bottom w:w="30" w:type="dxa"/>
              <w:right w:w="0" w:type="dxa"/>
            </w:tcMar>
            <w:vAlign w:val="bottom"/>
            <w:hideMark/>
          </w:tcPr>
          <w:p w14:paraId="458CAD75" w14:textId="77777777" w:rsidR="00000000" w:rsidRDefault="00E614A4">
            <w:pPr>
              <w:jc w:val="right"/>
              <w:rPr>
                <w:rFonts w:eastAsia="Times New Roman"/>
              </w:rPr>
            </w:pPr>
            <w:r>
              <w:rPr>
                <w:rFonts w:eastAsia="Times New Roman"/>
                <w:color w:val="000000"/>
                <w:sz w:val="18"/>
                <w:szCs w:val="18"/>
              </w:rPr>
              <w:t>20,901 </w:t>
            </w:r>
          </w:p>
        </w:tc>
        <w:tc>
          <w:tcPr>
            <w:tcW w:w="0" w:type="auto"/>
            <w:shd w:val="clear" w:color="auto" w:fill="FFFFFF"/>
            <w:tcMar>
              <w:top w:w="30" w:type="dxa"/>
              <w:left w:w="0" w:type="dxa"/>
              <w:bottom w:w="30" w:type="dxa"/>
              <w:right w:w="20" w:type="dxa"/>
            </w:tcMar>
            <w:vAlign w:val="bottom"/>
            <w:hideMark/>
          </w:tcPr>
          <w:p w14:paraId="40E73B0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0F12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C07568" w14:textId="77777777" w:rsidR="00000000" w:rsidRDefault="00E614A4">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3D64E38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278E311"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ABF225" w14:textId="77777777" w:rsidR="00000000" w:rsidRDefault="00E614A4">
            <w:pPr>
              <w:jc w:val="right"/>
              <w:rPr>
                <w:rFonts w:eastAsia="Times New Roman"/>
              </w:rPr>
            </w:pPr>
            <w:r>
              <w:rPr>
                <w:rFonts w:eastAsia="Times New Roman"/>
                <w:color w:val="000000"/>
                <w:sz w:val="18"/>
                <w:szCs w:val="18"/>
              </w:rPr>
              <w:t>22,670 </w:t>
            </w:r>
          </w:p>
        </w:tc>
        <w:tc>
          <w:tcPr>
            <w:tcW w:w="0" w:type="auto"/>
            <w:shd w:val="clear" w:color="auto" w:fill="FFFFFF"/>
            <w:tcMar>
              <w:top w:w="30" w:type="dxa"/>
              <w:left w:w="0" w:type="dxa"/>
              <w:bottom w:w="30" w:type="dxa"/>
              <w:right w:w="20" w:type="dxa"/>
            </w:tcMar>
            <w:vAlign w:val="bottom"/>
            <w:hideMark/>
          </w:tcPr>
          <w:p w14:paraId="29754FA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DAE2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9005DC" w14:textId="77777777" w:rsidR="00000000" w:rsidRDefault="00E614A4">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143D990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A243554"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1E8931" w14:textId="77777777" w:rsidR="00000000" w:rsidRDefault="00E614A4">
            <w:pPr>
              <w:jc w:val="right"/>
              <w:rPr>
                <w:rFonts w:eastAsia="Times New Roman"/>
              </w:rPr>
            </w:pPr>
            <w:r>
              <w:rPr>
                <w:rFonts w:eastAsia="Times New Roman"/>
                <w:color w:val="000000"/>
                <w:sz w:val="18"/>
                <w:szCs w:val="18"/>
              </w:rPr>
              <w:t>(1,769)</w:t>
            </w:r>
          </w:p>
        </w:tc>
        <w:tc>
          <w:tcPr>
            <w:tcW w:w="0" w:type="auto"/>
            <w:shd w:val="clear" w:color="auto" w:fill="FFFFFF"/>
            <w:tcMar>
              <w:top w:w="30" w:type="dxa"/>
              <w:left w:w="0" w:type="dxa"/>
              <w:bottom w:w="30" w:type="dxa"/>
              <w:right w:w="20" w:type="dxa"/>
            </w:tcMar>
            <w:vAlign w:val="bottom"/>
            <w:hideMark/>
          </w:tcPr>
          <w:p w14:paraId="0082070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5471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49D70" w14:textId="77777777" w:rsidR="00000000" w:rsidRDefault="00E614A4">
            <w:pPr>
              <w:jc w:val="right"/>
              <w:rPr>
                <w:rFonts w:eastAsia="Times New Roman"/>
              </w:rPr>
            </w:pPr>
            <w:r>
              <w:rPr>
                <w:rFonts w:eastAsia="Times New Roman"/>
                <w:color w:val="000000"/>
                <w:sz w:val="18"/>
                <w:szCs w:val="18"/>
              </w:rPr>
              <w:t>(7.8)</w:t>
            </w:r>
          </w:p>
        </w:tc>
        <w:tc>
          <w:tcPr>
            <w:tcW w:w="0" w:type="auto"/>
            <w:shd w:val="clear" w:color="auto" w:fill="FFFFFF"/>
            <w:tcMar>
              <w:top w:w="30" w:type="dxa"/>
              <w:left w:w="0" w:type="dxa"/>
              <w:bottom w:w="30" w:type="dxa"/>
              <w:right w:w="20" w:type="dxa"/>
            </w:tcMar>
            <w:vAlign w:val="bottom"/>
            <w:hideMark/>
          </w:tcPr>
          <w:p w14:paraId="0968A87F" w14:textId="77777777" w:rsidR="00000000" w:rsidRDefault="00E614A4">
            <w:pPr>
              <w:jc w:val="right"/>
              <w:rPr>
                <w:rFonts w:eastAsia="Times New Roman"/>
              </w:rPr>
            </w:pPr>
            <w:r>
              <w:rPr>
                <w:rFonts w:eastAsia="Times New Roman"/>
                <w:color w:val="000000"/>
                <w:sz w:val="18"/>
                <w:szCs w:val="18"/>
              </w:rPr>
              <w:t>%</w:t>
            </w:r>
          </w:p>
        </w:tc>
      </w:tr>
      <w:tr w:rsidR="00000000" w14:paraId="188C611C" w14:textId="77777777">
        <w:trPr>
          <w:divId w:val="1462918952"/>
        </w:trPr>
        <w:tc>
          <w:tcPr>
            <w:tcW w:w="0" w:type="auto"/>
            <w:gridSpan w:val="3"/>
            <w:shd w:val="clear" w:color="auto" w:fill="CCEEFF"/>
            <w:tcMar>
              <w:top w:w="30" w:type="dxa"/>
              <w:left w:w="20" w:type="dxa"/>
              <w:bottom w:w="30" w:type="dxa"/>
              <w:right w:w="20" w:type="dxa"/>
            </w:tcMar>
            <w:vAlign w:val="bottom"/>
            <w:hideMark/>
          </w:tcPr>
          <w:p w14:paraId="2A3C943C" w14:textId="77777777" w:rsidR="00000000" w:rsidRDefault="00E614A4">
            <w:pPr>
              <w:divId w:val="142816233"/>
              <w:rPr>
                <w:rFonts w:eastAsia="Times New Roman"/>
              </w:rPr>
            </w:pPr>
            <w:r>
              <w:rPr>
                <w:rFonts w:eastAsia="Times New Roman"/>
                <w:color w:val="000000"/>
                <w:sz w:val="18"/>
                <w:szCs w:val="18"/>
              </w:rPr>
              <w:t>Lease expense and depreciatio</w:t>
            </w:r>
            <w:r>
              <w:rPr>
                <w:rFonts w:eastAsia="Times New Roman"/>
                <w:color w:val="000000"/>
                <w:sz w:val="18"/>
                <w:szCs w:val="18"/>
              </w:rPr>
              <w:t>n</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710F91F8" w14:textId="77777777" w:rsidR="00000000" w:rsidRDefault="00E614A4">
            <w:pPr>
              <w:jc w:val="right"/>
              <w:rPr>
                <w:rFonts w:eastAsia="Times New Roman"/>
              </w:rPr>
            </w:pPr>
            <w:r>
              <w:rPr>
                <w:rFonts w:eastAsia="Times New Roman"/>
                <w:color w:val="000000"/>
                <w:sz w:val="18"/>
                <w:szCs w:val="18"/>
              </w:rPr>
              <w:t>15,052 </w:t>
            </w:r>
          </w:p>
        </w:tc>
        <w:tc>
          <w:tcPr>
            <w:tcW w:w="0" w:type="auto"/>
            <w:shd w:val="clear" w:color="auto" w:fill="CCEEFF"/>
            <w:tcMar>
              <w:top w:w="30" w:type="dxa"/>
              <w:left w:w="0" w:type="dxa"/>
              <w:bottom w:w="30" w:type="dxa"/>
              <w:right w:w="20" w:type="dxa"/>
            </w:tcMar>
            <w:vAlign w:val="bottom"/>
            <w:hideMark/>
          </w:tcPr>
          <w:p w14:paraId="7D5FBE9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EBB0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FA1392" w14:textId="77777777" w:rsidR="00000000" w:rsidRDefault="00E614A4">
            <w:pPr>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14:paraId="5ACDB6E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0EFC212"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F4FED0" w14:textId="77777777" w:rsidR="00000000" w:rsidRDefault="00E614A4">
            <w:pPr>
              <w:jc w:val="right"/>
              <w:rPr>
                <w:rFonts w:eastAsia="Times New Roman"/>
              </w:rPr>
            </w:pPr>
            <w:r>
              <w:rPr>
                <w:rFonts w:eastAsia="Times New Roman"/>
                <w:color w:val="000000"/>
                <w:sz w:val="18"/>
                <w:szCs w:val="18"/>
              </w:rPr>
              <w:t>12,753 </w:t>
            </w:r>
          </w:p>
        </w:tc>
        <w:tc>
          <w:tcPr>
            <w:tcW w:w="0" w:type="auto"/>
            <w:shd w:val="clear" w:color="auto" w:fill="CCEEFF"/>
            <w:tcMar>
              <w:top w:w="30" w:type="dxa"/>
              <w:left w:w="0" w:type="dxa"/>
              <w:bottom w:w="30" w:type="dxa"/>
              <w:right w:w="20" w:type="dxa"/>
            </w:tcMar>
            <w:vAlign w:val="bottom"/>
            <w:hideMark/>
          </w:tcPr>
          <w:p w14:paraId="59E035F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3651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C97F05" w14:textId="77777777" w:rsidR="00000000" w:rsidRDefault="00E614A4">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14:paraId="1D1A92A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77B342"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24A81E" w14:textId="77777777" w:rsidR="00000000" w:rsidRDefault="00E614A4">
            <w:pPr>
              <w:jc w:val="right"/>
              <w:rPr>
                <w:rFonts w:eastAsia="Times New Roman"/>
              </w:rPr>
            </w:pPr>
            <w:r>
              <w:rPr>
                <w:rFonts w:eastAsia="Times New Roman"/>
                <w:color w:val="000000"/>
                <w:sz w:val="18"/>
                <w:szCs w:val="18"/>
              </w:rPr>
              <w:t>2,299 </w:t>
            </w:r>
          </w:p>
        </w:tc>
        <w:tc>
          <w:tcPr>
            <w:tcW w:w="0" w:type="auto"/>
            <w:shd w:val="clear" w:color="auto" w:fill="CCEEFF"/>
            <w:tcMar>
              <w:top w:w="30" w:type="dxa"/>
              <w:left w:w="0" w:type="dxa"/>
              <w:bottom w:w="30" w:type="dxa"/>
              <w:right w:w="20" w:type="dxa"/>
            </w:tcMar>
            <w:vAlign w:val="bottom"/>
            <w:hideMark/>
          </w:tcPr>
          <w:p w14:paraId="6F52692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7F5D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F5E2D" w14:textId="77777777" w:rsidR="00000000" w:rsidRDefault="00E614A4">
            <w:pPr>
              <w:jc w:val="right"/>
              <w:rPr>
                <w:rFonts w:eastAsia="Times New Roman"/>
              </w:rPr>
            </w:pPr>
            <w:r>
              <w:rPr>
                <w:rFonts w:eastAsia="Times New Roman"/>
                <w:color w:val="000000"/>
                <w:sz w:val="18"/>
                <w:szCs w:val="18"/>
              </w:rPr>
              <w:t>18.0 </w:t>
            </w:r>
          </w:p>
        </w:tc>
        <w:tc>
          <w:tcPr>
            <w:tcW w:w="0" w:type="auto"/>
            <w:shd w:val="clear" w:color="auto" w:fill="CCEEFF"/>
            <w:tcMar>
              <w:top w:w="30" w:type="dxa"/>
              <w:left w:w="0" w:type="dxa"/>
              <w:bottom w:w="30" w:type="dxa"/>
              <w:right w:w="20" w:type="dxa"/>
            </w:tcMar>
            <w:vAlign w:val="bottom"/>
            <w:hideMark/>
          </w:tcPr>
          <w:p w14:paraId="678C9DBE" w14:textId="77777777" w:rsidR="00000000" w:rsidRDefault="00E614A4">
            <w:pPr>
              <w:jc w:val="right"/>
              <w:rPr>
                <w:rFonts w:eastAsia="Times New Roman"/>
              </w:rPr>
            </w:pPr>
            <w:r>
              <w:rPr>
                <w:rFonts w:eastAsia="Times New Roman"/>
                <w:color w:val="000000"/>
                <w:sz w:val="18"/>
                <w:szCs w:val="18"/>
              </w:rPr>
              <w:t>%</w:t>
            </w:r>
          </w:p>
        </w:tc>
      </w:tr>
      <w:tr w:rsidR="00000000" w14:paraId="1193013D" w14:textId="77777777">
        <w:trPr>
          <w:divId w:val="1462918952"/>
        </w:trPr>
        <w:tc>
          <w:tcPr>
            <w:tcW w:w="0" w:type="auto"/>
            <w:gridSpan w:val="3"/>
            <w:shd w:val="clear" w:color="auto" w:fill="FFFFFF"/>
            <w:tcMar>
              <w:top w:w="30" w:type="dxa"/>
              <w:left w:w="245" w:type="dxa"/>
              <w:bottom w:w="30" w:type="dxa"/>
              <w:right w:w="20" w:type="dxa"/>
            </w:tcMar>
            <w:vAlign w:val="bottom"/>
            <w:hideMark/>
          </w:tcPr>
          <w:p w14:paraId="5C7635E7" w14:textId="77777777" w:rsidR="00000000" w:rsidRDefault="00E614A4">
            <w:pPr>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3DFECABD" w14:textId="77777777" w:rsidR="00000000" w:rsidRDefault="00E614A4">
            <w:pPr>
              <w:jc w:val="right"/>
              <w:rPr>
                <w:rFonts w:eastAsia="Times New Roman"/>
              </w:rPr>
            </w:pPr>
            <w:r>
              <w:rPr>
                <w:rFonts w:eastAsia="Times New Roman"/>
                <w:color w:val="000000"/>
                <w:sz w:val="18"/>
                <w:szCs w:val="18"/>
              </w:rPr>
              <w:t>5,887 </w:t>
            </w:r>
          </w:p>
        </w:tc>
        <w:tc>
          <w:tcPr>
            <w:tcW w:w="0" w:type="auto"/>
            <w:shd w:val="clear" w:color="auto" w:fill="FFFFFF"/>
            <w:tcMar>
              <w:top w:w="30" w:type="dxa"/>
              <w:left w:w="0" w:type="dxa"/>
              <w:bottom w:w="30" w:type="dxa"/>
              <w:right w:w="20" w:type="dxa"/>
            </w:tcMar>
            <w:vAlign w:val="bottom"/>
            <w:hideMark/>
          </w:tcPr>
          <w:p w14:paraId="72B49D1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C1CF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EF9822" w14:textId="77777777" w:rsidR="00000000" w:rsidRDefault="00E614A4">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19ABFB8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5DC9C0A"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5B2877" w14:textId="77777777" w:rsidR="00000000" w:rsidRDefault="00E614A4">
            <w:pPr>
              <w:jc w:val="right"/>
              <w:rPr>
                <w:rFonts w:eastAsia="Times New Roman"/>
              </w:rPr>
            </w:pPr>
            <w:r>
              <w:rPr>
                <w:rFonts w:eastAsia="Times New Roman"/>
                <w:color w:val="000000"/>
                <w:sz w:val="18"/>
                <w:szCs w:val="18"/>
              </w:rPr>
              <w:t>6,492 </w:t>
            </w:r>
          </w:p>
        </w:tc>
        <w:tc>
          <w:tcPr>
            <w:tcW w:w="0" w:type="auto"/>
            <w:shd w:val="clear" w:color="auto" w:fill="FFFFFF"/>
            <w:tcMar>
              <w:top w:w="30" w:type="dxa"/>
              <w:left w:w="0" w:type="dxa"/>
              <w:bottom w:w="30" w:type="dxa"/>
              <w:right w:w="20" w:type="dxa"/>
            </w:tcMar>
            <w:vAlign w:val="bottom"/>
            <w:hideMark/>
          </w:tcPr>
          <w:p w14:paraId="632C286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6188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B9016F" w14:textId="77777777" w:rsidR="00000000" w:rsidRDefault="00E614A4">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0678F73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9B09E11"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ACEF02" w14:textId="77777777" w:rsidR="00000000" w:rsidRDefault="00E614A4">
            <w:pPr>
              <w:jc w:val="right"/>
              <w:rPr>
                <w:rFonts w:eastAsia="Times New Roman"/>
              </w:rPr>
            </w:pPr>
            <w:r>
              <w:rPr>
                <w:rFonts w:eastAsia="Times New Roman"/>
                <w:color w:val="000000"/>
                <w:sz w:val="18"/>
                <w:szCs w:val="18"/>
              </w:rPr>
              <w:t>(605)</w:t>
            </w:r>
          </w:p>
        </w:tc>
        <w:tc>
          <w:tcPr>
            <w:tcW w:w="0" w:type="auto"/>
            <w:shd w:val="clear" w:color="auto" w:fill="FFFFFF"/>
            <w:tcMar>
              <w:top w:w="30" w:type="dxa"/>
              <w:left w:w="0" w:type="dxa"/>
              <w:bottom w:w="30" w:type="dxa"/>
              <w:right w:w="20" w:type="dxa"/>
            </w:tcMar>
            <w:vAlign w:val="bottom"/>
            <w:hideMark/>
          </w:tcPr>
          <w:p w14:paraId="0059EAB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EDAF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72A65F" w14:textId="77777777" w:rsidR="00000000" w:rsidRDefault="00E614A4">
            <w:pPr>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bottom"/>
            <w:hideMark/>
          </w:tcPr>
          <w:p w14:paraId="146569A8" w14:textId="77777777" w:rsidR="00000000" w:rsidRDefault="00E614A4">
            <w:pPr>
              <w:jc w:val="right"/>
              <w:rPr>
                <w:rFonts w:eastAsia="Times New Roman"/>
              </w:rPr>
            </w:pPr>
            <w:r>
              <w:rPr>
                <w:rFonts w:eastAsia="Times New Roman"/>
                <w:color w:val="000000"/>
                <w:sz w:val="18"/>
                <w:szCs w:val="18"/>
              </w:rPr>
              <w:t>%</w:t>
            </w:r>
          </w:p>
        </w:tc>
      </w:tr>
      <w:tr w:rsidR="00000000" w14:paraId="7E38AB48" w14:textId="77777777">
        <w:trPr>
          <w:divId w:val="1462918952"/>
        </w:trPr>
        <w:tc>
          <w:tcPr>
            <w:tcW w:w="0" w:type="auto"/>
            <w:gridSpan w:val="3"/>
            <w:shd w:val="clear" w:color="auto" w:fill="CCEEFF"/>
            <w:tcMar>
              <w:top w:w="30" w:type="dxa"/>
              <w:left w:w="245" w:type="dxa"/>
              <w:bottom w:w="30" w:type="dxa"/>
              <w:right w:w="20" w:type="dxa"/>
            </w:tcMar>
            <w:vAlign w:val="bottom"/>
            <w:hideMark/>
          </w:tcPr>
          <w:p w14:paraId="4FA34545" w14:textId="77777777" w:rsidR="00000000" w:rsidRDefault="00E614A4">
            <w:pPr>
              <w:rPr>
                <w:rFonts w:eastAsia="Times New Roman"/>
              </w:rPr>
            </w:pPr>
            <w:r>
              <w:rPr>
                <w:rFonts w:eastAsia="Times New Roman"/>
                <w:color w:val="000000"/>
                <w:sz w:val="18"/>
                <w:szCs w:val="18"/>
              </w:rPr>
              <w:t>Sample and survey costs</w:t>
            </w:r>
          </w:p>
        </w:tc>
        <w:tc>
          <w:tcPr>
            <w:tcW w:w="0" w:type="auto"/>
            <w:gridSpan w:val="2"/>
            <w:shd w:val="clear" w:color="auto" w:fill="CCEEFF"/>
            <w:tcMar>
              <w:top w:w="30" w:type="dxa"/>
              <w:left w:w="20" w:type="dxa"/>
              <w:bottom w:w="30" w:type="dxa"/>
              <w:right w:w="0" w:type="dxa"/>
            </w:tcMar>
            <w:vAlign w:val="bottom"/>
            <w:hideMark/>
          </w:tcPr>
          <w:p w14:paraId="45A5462D" w14:textId="77777777" w:rsidR="00000000" w:rsidRDefault="00E614A4">
            <w:pPr>
              <w:jc w:val="right"/>
              <w:rPr>
                <w:rFonts w:eastAsia="Times New Roman"/>
              </w:rPr>
            </w:pPr>
            <w:r>
              <w:rPr>
                <w:rFonts w:eastAsia="Times New Roman"/>
                <w:color w:val="000000"/>
                <w:sz w:val="18"/>
                <w:szCs w:val="18"/>
              </w:rPr>
              <w:t>7,225 </w:t>
            </w:r>
          </w:p>
        </w:tc>
        <w:tc>
          <w:tcPr>
            <w:tcW w:w="0" w:type="auto"/>
            <w:shd w:val="clear" w:color="auto" w:fill="CCEEFF"/>
            <w:tcMar>
              <w:top w:w="30" w:type="dxa"/>
              <w:left w:w="0" w:type="dxa"/>
              <w:bottom w:w="30" w:type="dxa"/>
              <w:right w:w="20" w:type="dxa"/>
            </w:tcMar>
            <w:vAlign w:val="bottom"/>
            <w:hideMark/>
          </w:tcPr>
          <w:p w14:paraId="70820B9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327C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1AA0D7" w14:textId="77777777" w:rsidR="00000000" w:rsidRDefault="00E614A4">
            <w:pPr>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649928E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2C2123C"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42611C" w14:textId="77777777" w:rsidR="00000000" w:rsidRDefault="00E614A4">
            <w:pPr>
              <w:jc w:val="right"/>
              <w:rPr>
                <w:rFonts w:eastAsia="Times New Roman"/>
              </w:rPr>
            </w:pPr>
            <w:r>
              <w:rPr>
                <w:rFonts w:eastAsia="Times New Roman"/>
                <w:color w:val="000000"/>
                <w:sz w:val="18"/>
                <w:szCs w:val="18"/>
              </w:rPr>
              <w:t>6,295 </w:t>
            </w:r>
          </w:p>
        </w:tc>
        <w:tc>
          <w:tcPr>
            <w:tcW w:w="0" w:type="auto"/>
            <w:shd w:val="clear" w:color="auto" w:fill="CCEEFF"/>
            <w:tcMar>
              <w:top w:w="30" w:type="dxa"/>
              <w:left w:w="0" w:type="dxa"/>
              <w:bottom w:w="30" w:type="dxa"/>
              <w:right w:w="20" w:type="dxa"/>
            </w:tcMar>
            <w:vAlign w:val="bottom"/>
            <w:hideMark/>
          </w:tcPr>
          <w:p w14:paraId="6F945CC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B8A79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34A84" w14:textId="77777777" w:rsidR="00000000" w:rsidRDefault="00E614A4">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14:paraId="154E75E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E0F0C57"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59607D" w14:textId="77777777" w:rsidR="00000000" w:rsidRDefault="00E614A4">
            <w:pPr>
              <w:jc w:val="right"/>
              <w:rPr>
                <w:rFonts w:eastAsia="Times New Roman"/>
              </w:rPr>
            </w:pPr>
            <w:r>
              <w:rPr>
                <w:rFonts w:eastAsia="Times New Roman"/>
                <w:color w:val="000000"/>
                <w:sz w:val="18"/>
                <w:szCs w:val="18"/>
              </w:rPr>
              <w:t>930 </w:t>
            </w:r>
          </w:p>
        </w:tc>
        <w:tc>
          <w:tcPr>
            <w:tcW w:w="0" w:type="auto"/>
            <w:shd w:val="clear" w:color="auto" w:fill="CCEEFF"/>
            <w:tcMar>
              <w:top w:w="30" w:type="dxa"/>
              <w:left w:w="0" w:type="dxa"/>
              <w:bottom w:w="30" w:type="dxa"/>
              <w:right w:w="20" w:type="dxa"/>
            </w:tcMar>
            <w:vAlign w:val="bottom"/>
            <w:hideMark/>
          </w:tcPr>
          <w:p w14:paraId="59D7710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18F12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E8B240" w14:textId="77777777" w:rsidR="00000000" w:rsidRDefault="00E614A4">
            <w:pPr>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bottom"/>
            <w:hideMark/>
          </w:tcPr>
          <w:p w14:paraId="560AFA7F" w14:textId="77777777" w:rsidR="00000000" w:rsidRDefault="00E614A4">
            <w:pPr>
              <w:jc w:val="right"/>
              <w:rPr>
                <w:rFonts w:eastAsia="Times New Roman"/>
              </w:rPr>
            </w:pPr>
            <w:r>
              <w:rPr>
                <w:rFonts w:eastAsia="Times New Roman"/>
                <w:color w:val="000000"/>
                <w:sz w:val="18"/>
                <w:szCs w:val="18"/>
              </w:rPr>
              <w:t>%</w:t>
            </w:r>
          </w:p>
        </w:tc>
      </w:tr>
      <w:tr w:rsidR="00000000" w14:paraId="5319E66A" w14:textId="77777777">
        <w:trPr>
          <w:divId w:val="1462918952"/>
        </w:trPr>
        <w:tc>
          <w:tcPr>
            <w:tcW w:w="0" w:type="auto"/>
            <w:gridSpan w:val="3"/>
            <w:shd w:val="clear" w:color="auto" w:fill="FFFFFF"/>
            <w:tcMar>
              <w:top w:w="30" w:type="dxa"/>
              <w:left w:w="245" w:type="dxa"/>
              <w:bottom w:w="30" w:type="dxa"/>
              <w:right w:w="20" w:type="dxa"/>
            </w:tcMar>
            <w:vAlign w:val="bottom"/>
            <w:hideMark/>
          </w:tcPr>
          <w:p w14:paraId="5F0FDE7E" w14:textId="77777777" w:rsidR="00000000" w:rsidRDefault="00E614A4">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7ED772FE" w14:textId="77777777" w:rsidR="00000000" w:rsidRDefault="00E614A4">
            <w:pPr>
              <w:jc w:val="right"/>
              <w:rPr>
                <w:rFonts w:eastAsia="Times New Roman"/>
              </w:rPr>
            </w:pPr>
            <w:r>
              <w:rPr>
                <w:rFonts w:eastAsia="Times New Roman"/>
                <w:color w:val="000000"/>
                <w:sz w:val="18"/>
                <w:szCs w:val="18"/>
              </w:rPr>
              <w:t>6,985 </w:t>
            </w:r>
          </w:p>
        </w:tc>
        <w:tc>
          <w:tcPr>
            <w:tcW w:w="0" w:type="auto"/>
            <w:shd w:val="clear" w:color="auto" w:fill="FFFFFF"/>
            <w:tcMar>
              <w:top w:w="30" w:type="dxa"/>
              <w:left w:w="0" w:type="dxa"/>
              <w:bottom w:w="30" w:type="dxa"/>
              <w:right w:w="20" w:type="dxa"/>
            </w:tcMar>
            <w:vAlign w:val="bottom"/>
            <w:hideMark/>
          </w:tcPr>
          <w:p w14:paraId="2A6377B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410E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3A3A73" w14:textId="77777777" w:rsidR="00000000" w:rsidRDefault="00E614A4">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6EE12C42"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F6BE20D"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CBF326" w14:textId="77777777" w:rsidR="00000000" w:rsidRDefault="00E614A4">
            <w:pPr>
              <w:jc w:val="right"/>
              <w:rPr>
                <w:rFonts w:eastAsia="Times New Roman"/>
              </w:rPr>
            </w:pPr>
            <w:r>
              <w:rPr>
                <w:rFonts w:eastAsia="Times New Roman"/>
                <w:color w:val="000000"/>
                <w:sz w:val="18"/>
                <w:szCs w:val="18"/>
              </w:rPr>
              <w:t>5,470 </w:t>
            </w:r>
          </w:p>
        </w:tc>
        <w:tc>
          <w:tcPr>
            <w:tcW w:w="0" w:type="auto"/>
            <w:shd w:val="clear" w:color="auto" w:fill="FFFFFF"/>
            <w:tcMar>
              <w:top w:w="30" w:type="dxa"/>
              <w:left w:w="0" w:type="dxa"/>
              <w:bottom w:w="30" w:type="dxa"/>
              <w:right w:w="20" w:type="dxa"/>
            </w:tcMar>
            <w:vAlign w:val="bottom"/>
            <w:hideMark/>
          </w:tcPr>
          <w:p w14:paraId="433BDE4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A61B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139E37" w14:textId="77777777" w:rsidR="00000000" w:rsidRDefault="00E614A4">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18A9A42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F0C70D2"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5108A5" w14:textId="77777777" w:rsidR="00000000" w:rsidRDefault="00E614A4">
            <w:pPr>
              <w:jc w:val="right"/>
              <w:rPr>
                <w:rFonts w:eastAsia="Times New Roman"/>
              </w:rPr>
            </w:pPr>
            <w:r>
              <w:rPr>
                <w:rFonts w:eastAsia="Times New Roman"/>
                <w:color w:val="000000"/>
                <w:sz w:val="18"/>
                <w:szCs w:val="18"/>
              </w:rPr>
              <w:t>1,515 </w:t>
            </w:r>
          </w:p>
        </w:tc>
        <w:tc>
          <w:tcPr>
            <w:tcW w:w="0" w:type="auto"/>
            <w:shd w:val="clear" w:color="auto" w:fill="FFFFFF"/>
            <w:tcMar>
              <w:top w:w="30" w:type="dxa"/>
              <w:left w:w="0" w:type="dxa"/>
              <w:bottom w:w="30" w:type="dxa"/>
              <w:right w:w="20" w:type="dxa"/>
            </w:tcMar>
            <w:vAlign w:val="bottom"/>
            <w:hideMark/>
          </w:tcPr>
          <w:p w14:paraId="4EC5926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E924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8E4FE2" w14:textId="77777777" w:rsidR="00000000" w:rsidRDefault="00E614A4">
            <w:pPr>
              <w:jc w:val="right"/>
              <w:rPr>
                <w:rFonts w:eastAsia="Times New Roman"/>
              </w:rPr>
            </w:pPr>
            <w:r>
              <w:rPr>
                <w:rFonts w:eastAsia="Times New Roman"/>
                <w:color w:val="000000"/>
                <w:sz w:val="18"/>
                <w:szCs w:val="18"/>
              </w:rPr>
              <w:t>27.7 </w:t>
            </w:r>
          </w:p>
        </w:tc>
        <w:tc>
          <w:tcPr>
            <w:tcW w:w="0" w:type="auto"/>
            <w:shd w:val="clear" w:color="auto" w:fill="FFFFFF"/>
            <w:tcMar>
              <w:top w:w="30" w:type="dxa"/>
              <w:left w:w="0" w:type="dxa"/>
              <w:bottom w:w="30" w:type="dxa"/>
              <w:right w:w="20" w:type="dxa"/>
            </w:tcMar>
            <w:vAlign w:val="bottom"/>
            <w:hideMark/>
          </w:tcPr>
          <w:p w14:paraId="729B83BD" w14:textId="77777777" w:rsidR="00000000" w:rsidRDefault="00E614A4">
            <w:pPr>
              <w:jc w:val="right"/>
              <w:rPr>
                <w:rFonts w:eastAsia="Times New Roman"/>
              </w:rPr>
            </w:pPr>
            <w:r>
              <w:rPr>
                <w:rFonts w:eastAsia="Times New Roman"/>
                <w:color w:val="000000"/>
                <w:sz w:val="18"/>
                <w:szCs w:val="18"/>
              </w:rPr>
              <w:t>%</w:t>
            </w:r>
          </w:p>
        </w:tc>
      </w:tr>
      <w:tr w:rsidR="00000000" w14:paraId="0FF8132B" w14:textId="77777777">
        <w:trPr>
          <w:divId w:val="1462918952"/>
        </w:trPr>
        <w:tc>
          <w:tcPr>
            <w:tcW w:w="0" w:type="auto"/>
            <w:gridSpan w:val="3"/>
            <w:shd w:val="clear" w:color="auto" w:fill="CCEEFF"/>
            <w:tcMar>
              <w:top w:w="30" w:type="dxa"/>
              <w:left w:w="245" w:type="dxa"/>
              <w:bottom w:w="30" w:type="dxa"/>
              <w:right w:w="20" w:type="dxa"/>
            </w:tcMar>
            <w:vAlign w:val="bottom"/>
            <w:hideMark/>
          </w:tcPr>
          <w:p w14:paraId="23A95AFC" w14:textId="77777777" w:rsidR="00000000" w:rsidRDefault="00E614A4">
            <w:pPr>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33142D4B" w14:textId="77777777" w:rsidR="00000000" w:rsidRDefault="00E614A4">
            <w:pPr>
              <w:jc w:val="right"/>
              <w:rPr>
                <w:rFonts w:eastAsia="Times New Roman"/>
              </w:rPr>
            </w:pPr>
            <w:r>
              <w:rPr>
                <w:rFonts w:eastAsia="Times New Roman"/>
                <w:color w:val="000000"/>
                <w:sz w:val="18"/>
                <w:szCs w:val="18"/>
              </w:rPr>
              <w:t>4,027 </w:t>
            </w:r>
          </w:p>
        </w:tc>
        <w:tc>
          <w:tcPr>
            <w:tcW w:w="0" w:type="auto"/>
            <w:shd w:val="clear" w:color="auto" w:fill="CCEEFF"/>
            <w:tcMar>
              <w:top w:w="30" w:type="dxa"/>
              <w:left w:w="0" w:type="dxa"/>
              <w:bottom w:w="30" w:type="dxa"/>
              <w:right w:w="20" w:type="dxa"/>
            </w:tcMar>
            <w:vAlign w:val="bottom"/>
            <w:hideMark/>
          </w:tcPr>
          <w:p w14:paraId="281A757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9C45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8E9446" w14:textId="77777777" w:rsidR="00000000" w:rsidRDefault="00E614A4">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1DDB2AA2"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BFF3D39"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DCB2A4" w14:textId="77777777" w:rsidR="00000000" w:rsidRDefault="00E614A4">
            <w:pPr>
              <w:jc w:val="right"/>
              <w:rPr>
                <w:rFonts w:eastAsia="Times New Roman"/>
              </w:rPr>
            </w:pPr>
            <w:r>
              <w:rPr>
                <w:rFonts w:eastAsia="Times New Roman"/>
                <w:color w:val="000000"/>
                <w:sz w:val="18"/>
                <w:szCs w:val="18"/>
              </w:rPr>
              <w:t>3,389 </w:t>
            </w:r>
          </w:p>
        </w:tc>
        <w:tc>
          <w:tcPr>
            <w:tcW w:w="0" w:type="auto"/>
            <w:shd w:val="clear" w:color="auto" w:fill="CCEEFF"/>
            <w:tcMar>
              <w:top w:w="30" w:type="dxa"/>
              <w:left w:w="0" w:type="dxa"/>
              <w:bottom w:w="30" w:type="dxa"/>
              <w:right w:w="20" w:type="dxa"/>
            </w:tcMar>
            <w:vAlign w:val="bottom"/>
            <w:hideMark/>
          </w:tcPr>
          <w:p w14:paraId="72BDE5A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08B6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9147A2" w14:textId="77777777" w:rsidR="00000000" w:rsidRDefault="00E614A4">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597601D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3290B2"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E5B77B" w14:textId="77777777" w:rsidR="00000000" w:rsidRDefault="00E614A4">
            <w:pPr>
              <w:jc w:val="right"/>
              <w:rPr>
                <w:rFonts w:eastAsia="Times New Roman"/>
              </w:rPr>
            </w:pPr>
            <w:r>
              <w:rPr>
                <w:rFonts w:eastAsia="Times New Roman"/>
                <w:color w:val="000000"/>
                <w:sz w:val="18"/>
                <w:szCs w:val="18"/>
              </w:rPr>
              <w:t>638 </w:t>
            </w:r>
          </w:p>
        </w:tc>
        <w:tc>
          <w:tcPr>
            <w:tcW w:w="0" w:type="auto"/>
            <w:shd w:val="clear" w:color="auto" w:fill="CCEEFF"/>
            <w:tcMar>
              <w:top w:w="30" w:type="dxa"/>
              <w:left w:w="0" w:type="dxa"/>
              <w:bottom w:w="30" w:type="dxa"/>
              <w:right w:w="20" w:type="dxa"/>
            </w:tcMar>
            <w:vAlign w:val="bottom"/>
            <w:hideMark/>
          </w:tcPr>
          <w:p w14:paraId="14BCDA1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6F66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28802D" w14:textId="77777777" w:rsidR="00000000" w:rsidRDefault="00E614A4">
            <w:pPr>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bottom"/>
            <w:hideMark/>
          </w:tcPr>
          <w:p w14:paraId="06CA0A41" w14:textId="77777777" w:rsidR="00000000" w:rsidRDefault="00E614A4">
            <w:pPr>
              <w:jc w:val="right"/>
              <w:rPr>
                <w:rFonts w:eastAsia="Times New Roman"/>
              </w:rPr>
            </w:pPr>
            <w:r>
              <w:rPr>
                <w:rFonts w:eastAsia="Times New Roman"/>
                <w:color w:val="000000"/>
                <w:sz w:val="18"/>
                <w:szCs w:val="18"/>
              </w:rPr>
              <w:t>%</w:t>
            </w:r>
          </w:p>
        </w:tc>
      </w:tr>
      <w:tr w:rsidR="00000000" w14:paraId="01024ACE" w14:textId="77777777">
        <w:trPr>
          <w:divId w:val="1462918952"/>
        </w:trPr>
        <w:tc>
          <w:tcPr>
            <w:tcW w:w="0" w:type="auto"/>
            <w:gridSpan w:val="3"/>
            <w:shd w:val="clear" w:color="auto" w:fill="FFFFFF"/>
            <w:tcMar>
              <w:top w:w="30" w:type="dxa"/>
              <w:left w:w="245" w:type="dxa"/>
              <w:bottom w:w="30" w:type="dxa"/>
              <w:right w:w="20" w:type="dxa"/>
            </w:tcMar>
            <w:vAlign w:val="bottom"/>
            <w:hideMark/>
          </w:tcPr>
          <w:p w14:paraId="3B040AE6" w14:textId="77777777" w:rsidR="00000000" w:rsidRDefault="00E614A4">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2522EED3" w14:textId="77777777" w:rsidR="00000000" w:rsidRDefault="00E614A4">
            <w:pPr>
              <w:jc w:val="right"/>
              <w:rPr>
                <w:rFonts w:eastAsia="Times New Roman"/>
              </w:rPr>
            </w:pPr>
            <w:r>
              <w:rPr>
                <w:rFonts w:eastAsia="Times New Roman"/>
                <w:color w:val="000000"/>
                <w:sz w:val="18"/>
                <w:szCs w:val="18"/>
              </w:rPr>
              <w:t>3,361 </w:t>
            </w:r>
          </w:p>
        </w:tc>
        <w:tc>
          <w:tcPr>
            <w:tcW w:w="0" w:type="auto"/>
            <w:shd w:val="clear" w:color="auto" w:fill="FFFFFF"/>
            <w:tcMar>
              <w:top w:w="30" w:type="dxa"/>
              <w:left w:w="0" w:type="dxa"/>
              <w:bottom w:w="30" w:type="dxa"/>
              <w:right w:w="20" w:type="dxa"/>
            </w:tcMar>
            <w:vAlign w:val="bottom"/>
            <w:hideMark/>
          </w:tcPr>
          <w:p w14:paraId="4830E34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AFCD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12C834" w14:textId="77777777" w:rsidR="00000000" w:rsidRDefault="00E614A4">
            <w:pPr>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bottom"/>
            <w:hideMark/>
          </w:tcPr>
          <w:p w14:paraId="049755A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CBD845E"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8BD36E" w14:textId="77777777" w:rsidR="00000000" w:rsidRDefault="00E614A4">
            <w:pPr>
              <w:jc w:val="right"/>
              <w:rPr>
                <w:rFonts w:eastAsia="Times New Roman"/>
              </w:rPr>
            </w:pPr>
            <w:r>
              <w:rPr>
                <w:rFonts w:eastAsia="Times New Roman"/>
                <w:color w:val="000000"/>
                <w:sz w:val="18"/>
                <w:szCs w:val="18"/>
              </w:rPr>
              <w:t>5,380 </w:t>
            </w:r>
          </w:p>
        </w:tc>
        <w:tc>
          <w:tcPr>
            <w:tcW w:w="0" w:type="auto"/>
            <w:shd w:val="clear" w:color="auto" w:fill="FFFFFF"/>
            <w:tcMar>
              <w:top w:w="30" w:type="dxa"/>
              <w:left w:w="0" w:type="dxa"/>
              <w:bottom w:w="30" w:type="dxa"/>
              <w:right w:w="20" w:type="dxa"/>
            </w:tcMar>
            <w:vAlign w:val="bottom"/>
            <w:hideMark/>
          </w:tcPr>
          <w:p w14:paraId="083AEF2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F5EDA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AC1ABC" w14:textId="77777777" w:rsidR="00000000" w:rsidRDefault="00E614A4">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358A4EB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5FA0FE8"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40F9D2" w14:textId="77777777" w:rsidR="00000000" w:rsidRDefault="00E614A4">
            <w:pPr>
              <w:jc w:val="right"/>
              <w:rPr>
                <w:rFonts w:eastAsia="Times New Roman"/>
              </w:rPr>
            </w:pPr>
            <w:r>
              <w:rPr>
                <w:rFonts w:eastAsia="Times New Roman"/>
                <w:color w:val="000000"/>
                <w:sz w:val="18"/>
                <w:szCs w:val="18"/>
              </w:rPr>
              <w:t>(2,019)</w:t>
            </w:r>
          </w:p>
        </w:tc>
        <w:tc>
          <w:tcPr>
            <w:tcW w:w="0" w:type="auto"/>
            <w:shd w:val="clear" w:color="auto" w:fill="FFFFFF"/>
            <w:tcMar>
              <w:top w:w="30" w:type="dxa"/>
              <w:left w:w="0" w:type="dxa"/>
              <w:bottom w:w="30" w:type="dxa"/>
              <w:right w:w="20" w:type="dxa"/>
            </w:tcMar>
            <w:vAlign w:val="bottom"/>
            <w:hideMark/>
          </w:tcPr>
          <w:p w14:paraId="18BCAC2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53D3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AA5A25" w14:textId="77777777" w:rsidR="00000000" w:rsidRDefault="00E614A4">
            <w:pPr>
              <w:jc w:val="right"/>
              <w:rPr>
                <w:rFonts w:eastAsia="Times New Roman"/>
              </w:rPr>
            </w:pPr>
            <w:r>
              <w:rPr>
                <w:rFonts w:eastAsia="Times New Roman"/>
                <w:color w:val="000000"/>
                <w:sz w:val="18"/>
                <w:szCs w:val="18"/>
              </w:rPr>
              <w:t>(37.5)</w:t>
            </w:r>
          </w:p>
        </w:tc>
        <w:tc>
          <w:tcPr>
            <w:tcW w:w="0" w:type="auto"/>
            <w:shd w:val="clear" w:color="auto" w:fill="FFFFFF"/>
            <w:tcMar>
              <w:top w:w="30" w:type="dxa"/>
              <w:left w:w="0" w:type="dxa"/>
              <w:bottom w:w="30" w:type="dxa"/>
              <w:right w:w="20" w:type="dxa"/>
            </w:tcMar>
            <w:vAlign w:val="bottom"/>
            <w:hideMark/>
          </w:tcPr>
          <w:p w14:paraId="56511E3F" w14:textId="77777777" w:rsidR="00000000" w:rsidRDefault="00E614A4">
            <w:pPr>
              <w:jc w:val="right"/>
              <w:rPr>
                <w:rFonts w:eastAsia="Times New Roman"/>
              </w:rPr>
            </w:pPr>
            <w:r>
              <w:rPr>
                <w:rFonts w:eastAsia="Times New Roman"/>
                <w:color w:val="000000"/>
                <w:sz w:val="18"/>
                <w:szCs w:val="18"/>
              </w:rPr>
              <w:t>%</w:t>
            </w:r>
          </w:p>
        </w:tc>
      </w:tr>
      <w:tr w:rsidR="00000000" w14:paraId="4EE6CB44" w14:textId="77777777">
        <w:trPr>
          <w:divId w:val="1462918952"/>
        </w:trPr>
        <w:tc>
          <w:tcPr>
            <w:tcW w:w="0" w:type="auto"/>
            <w:gridSpan w:val="3"/>
            <w:shd w:val="clear" w:color="auto" w:fill="CCEEFF"/>
            <w:tcMar>
              <w:top w:w="30" w:type="dxa"/>
              <w:left w:w="20" w:type="dxa"/>
              <w:bottom w:w="30" w:type="dxa"/>
              <w:right w:w="20" w:type="dxa"/>
            </w:tcMar>
            <w:vAlign w:val="bottom"/>
            <w:hideMark/>
          </w:tcPr>
          <w:p w14:paraId="4FFC743C" w14:textId="77777777" w:rsidR="00000000" w:rsidRDefault="00E614A4">
            <w:pPr>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0412D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549142" w14:textId="77777777" w:rsidR="00000000" w:rsidRDefault="00E614A4">
            <w:pPr>
              <w:jc w:val="right"/>
              <w:rPr>
                <w:rFonts w:eastAsia="Times New Roman"/>
              </w:rPr>
            </w:pPr>
            <w:r>
              <w:rPr>
                <w:rFonts w:eastAsia="Times New Roman"/>
                <w:color w:val="000000"/>
                <w:sz w:val="18"/>
                <w:szCs w:val="18"/>
              </w:rPr>
              <w:t>199,622 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557D2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FE5EA"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140F2F" w14:textId="77777777" w:rsidR="00000000" w:rsidRDefault="00E614A4">
            <w:pPr>
              <w:jc w:val="right"/>
              <w:rPr>
                <w:rFonts w:eastAsia="Times New Roman"/>
              </w:rPr>
            </w:pPr>
            <w:r>
              <w:rPr>
                <w:rFonts w:eastAsia="Times New Roman"/>
                <w:color w:val="000000"/>
                <w:sz w:val="18"/>
                <w:szCs w:val="18"/>
              </w:rPr>
              <w:t>51.4 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975B5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398B7BB"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CD5C9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652C7F" w14:textId="77777777" w:rsidR="00000000" w:rsidRDefault="00E614A4">
            <w:pPr>
              <w:jc w:val="right"/>
              <w:rPr>
                <w:rFonts w:eastAsia="Times New Roman"/>
              </w:rPr>
            </w:pPr>
            <w:r>
              <w:rPr>
                <w:rFonts w:eastAsia="Times New Roman"/>
                <w:color w:val="000000"/>
                <w:sz w:val="18"/>
                <w:szCs w:val="18"/>
              </w:rPr>
              <w:t>200,220 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68EDB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43655"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554533" w14:textId="77777777" w:rsidR="00000000" w:rsidRDefault="00E614A4">
            <w:pPr>
              <w:jc w:val="right"/>
              <w:rPr>
                <w:rFonts w:eastAsia="Times New Roman"/>
              </w:rPr>
            </w:pPr>
            <w:r>
              <w:rPr>
                <w:rFonts w:eastAsia="Times New Roman"/>
                <w:color w:val="000000"/>
                <w:sz w:val="18"/>
                <w:szCs w:val="18"/>
              </w:rPr>
              <w:t>47.7 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4CAC1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71C94A"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43EFE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5655F7" w14:textId="77777777" w:rsidR="00000000" w:rsidRDefault="00E614A4">
            <w:pPr>
              <w:jc w:val="right"/>
              <w:rPr>
                <w:rFonts w:eastAsia="Times New Roman"/>
              </w:rPr>
            </w:pPr>
            <w:r>
              <w:rPr>
                <w:rFonts w:eastAsia="Times New Roman"/>
                <w:color w:val="000000"/>
                <w:sz w:val="18"/>
                <w:szCs w:val="18"/>
              </w:rPr>
              <w:t>(598)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2CCCA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4206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BBAF3" w14:textId="77777777" w:rsidR="00000000" w:rsidRDefault="00E614A4">
            <w:pPr>
              <w:jc w:val="right"/>
              <w:rPr>
                <w:rFonts w:eastAsia="Times New Roman"/>
              </w:rPr>
            </w:pPr>
            <w:r>
              <w:rPr>
                <w:rFonts w:eastAsia="Times New Roman"/>
                <w:color w:val="000000"/>
                <w:sz w:val="18"/>
                <w:szCs w:val="18"/>
              </w:rPr>
              <w:t>(0.3)</w:t>
            </w:r>
          </w:p>
        </w:tc>
        <w:tc>
          <w:tcPr>
            <w:tcW w:w="0" w:type="auto"/>
            <w:shd w:val="clear" w:color="auto" w:fill="CCEEFF"/>
            <w:tcMar>
              <w:top w:w="30" w:type="dxa"/>
              <w:left w:w="0" w:type="dxa"/>
              <w:bottom w:w="30" w:type="dxa"/>
              <w:right w:w="20" w:type="dxa"/>
            </w:tcMar>
            <w:vAlign w:val="bottom"/>
            <w:hideMark/>
          </w:tcPr>
          <w:p w14:paraId="024FEA93" w14:textId="77777777" w:rsidR="00000000" w:rsidRDefault="00E614A4">
            <w:pPr>
              <w:jc w:val="right"/>
              <w:rPr>
                <w:rFonts w:eastAsia="Times New Roman"/>
              </w:rPr>
            </w:pPr>
            <w:r>
              <w:rPr>
                <w:rFonts w:eastAsia="Times New Roman"/>
                <w:color w:val="000000"/>
                <w:sz w:val="18"/>
                <w:szCs w:val="18"/>
              </w:rPr>
              <w:t>%</w:t>
            </w:r>
          </w:p>
        </w:tc>
      </w:tr>
    </w:tbl>
    <w:p w14:paraId="0710BC96" w14:textId="77777777" w:rsidR="00000000" w:rsidRDefault="00E614A4">
      <w:pPr>
        <w:jc w:val="both"/>
        <w:divId w:val="869420338"/>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As discussed in </w:t>
      </w:r>
      <w:hyperlink r:id="rId8" w:anchor="s5B1B894228215AEEABBC1FE6C8EB010C" w:history="1">
        <w:r>
          <w:rPr>
            <w:rStyle w:val="a3"/>
            <w:rFonts w:eastAsia="Times New Roman"/>
            <w:i/>
            <w:iCs/>
            <w:sz w:val="16"/>
            <w:szCs w:val="16"/>
          </w:rPr>
          <w:t>Footnote 2</w:t>
        </w:r>
      </w:hyperlink>
      <w:r>
        <w:rPr>
          <w:rFonts w:eastAsia="Times New Roman"/>
          <w:i/>
          <w:iCs/>
          <w:color w:val="000000"/>
          <w:sz w:val="16"/>
          <w:szCs w:val="16"/>
        </w:rPr>
        <w:t xml:space="preserve">, Summary of Significant Accounting Policies, in our </w:t>
      </w:r>
      <w:hyperlink r:id="rId9" w:history="1">
        <w:r>
          <w:rPr>
            <w:rStyle w:val="a3"/>
            <w:rFonts w:eastAsia="Times New Roman"/>
            <w:i/>
            <w:iCs/>
            <w:sz w:val="16"/>
            <w:szCs w:val="16"/>
          </w:rPr>
          <w:t>2019 10-K</w:t>
        </w:r>
      </w:hyperlink>
      <w:r>
        <w:rPr>
          <w:rFonts w:eastAsia="Times New Roman"/>
          <w:i/>
          <w:iCs/>
          <w:color w:val="000000"/>
          <w:sz w:val="16"/>
          <w:szCs w:val="16"/>
        </w:rPr>
        <w:t>, we adopted ASC 842, Leases as of January 1, 2019. Lease expense and depreciation f</w:t>
      </w:r>
      <w:r>
        <w:rPr>
          <w:rFonts w:eastAsia="Times New Roman"/>
          <w:i/>
          <w:iCs/>
          <w:color w:val="000000"/>
          <w:sz w:val="16"/>
          <w:szCs w:val="16"/>
        </w:rPr>
        <w:t>or the year ended December 31, 2019 is not comparable to the year ended December 31, 2018 due to our adoption of ASC 842.</w:t>
      </w:r>
    </w:p>
    <w:p w14:paraId="281F788C" w14:textId="77777777" w:rsidR="00000000" w:rsidRDefault="00E614A4">
      <w:pPr>
        <w:jc w:val="both"/>
        <w:divId w:val="388386681"/>
        <w:rPr>
          <w:rFonts w:eastAsia="Times New Roman"/>
        </w:rPr>
      </w:pPr>
      <w:r>
        <w:rPr>
          <w:rFonts w:eastAsia="Times New Roman"/>
          <w:color w:val="000000"/>
          <w:sz w:val="20"/>
          <w:szCs w:val="20"/>
        </w:rPr>
        <w:t>Cost of revenues decreased by $0.6 million, or 0.3%, for the year ended December 31, 2019 as compared to the year ended December 31, 2</w:t>
      </w:r>
      <w:r>
        <w:rPr>
          <w:rFonts w:eastAsia="Times New Roman"/>
          <w:color w:val="000000"/>
          <w:sz w:val="20"/>
          <w:szCs w:val="20"/>
        </w:rPr>
        <w:t xml:space="preserve">018. Employee costs decreased $6.5 million due to reduced headcount and restructuring efforts as discussed in </w:t>
      </w:r>
      <w:hyperlink w:anchor="ided6989bcc374020961c421c465250ee_190" w:history="1">
        <w:r>
          <w:rPr>
            <w:rStyle w:val="a3"/>
            <w:rFonts w:eastAsia="Times New Roman"/>
            <w:sz w:val="20"/>
            <w:szCs w:val="20"/>
          </w:rPr>
          <w:t>Footnote 14</w:t>
        </w:r>
      </w:hyperlink>
      <w:r>
        <w:rPr>
          <w:rFonts w:eastAsia="Times New Roman"/>
          <w:color w:val="000000"/>
          <w:sz w:val="20"/>
          <w:szCs w:val="20"/>
        </w:rPr>
        <w:t xml:space="preserve">, </w:t>
      </w:r>
      <w:r>
        <w:rPr>
          <w:rFonts w:eastAsia="Times New Roman"/>
          <w:i/>
          <w:iCs/>
          <w:color w:val="000000"/>
          <w:sz w:val="20"/>
          <w:szCs w:val="20"/>
        </w:rPr>
        <w:t>Organizational Restructuring</w:t>
      </w:r>
      <w:r>
        <w:rPr>
          <w:rFonts w:eastAsia="Times New Roman"/>
          <w:color w:val="000000"/>
          <w:sz w:val="20"/>
          <w:szCs w:val="20"/>
        </w:rPr>
        <w:t xml:space="preserve">. Systems and bandwidth costs decreased $2.0 </w:t>
      </w:r>
      <w:r>
        <w:rPr>
          <w:rFonts w:eastAsia="Times New Roman"/>
          <w:color w:val="000000"/>
          <w:sz w:val="20"/>
          <w:szCs w:val="20"/>
        </w:rPr>
        <w:t>million due to our technology transformation to reduce complexity, increase capacity, and transition to a cloud-based environment from data centers. Panel costs decreased $1.8 million due to lower costs associated with incentive plans used in certain count</w:t>
      </w:r>
      <w:r>
        <w:rPr>
          <w:rFonts w:eastAsia="Times New Roman"/>
          <w:color w:val="000000"/>
          <w:sz w:val="20"/>
          <w:szCs w:val="20"/>
        </w:rPr>
        <w:t>ries and the use of more cost-effective recruitment solutions. Other costs decreased $2.0 million due to reduction in travel costs from lower headcount and certain license expenses that are now included in data costs. Offsetting these decreases was an incr</w:t>
      </w:r>
      <w:r>
        <w:rPr>
          <w:rFonts w:eastAsia="Times New Roman"/>
          <w:color w:val="000000"/>
          <w:sz w:val="20"/>
          <w:szCs w:val="20"/>
        </w:rPr>
        <w:t xml:space="preserve">ease in data costs of $6.9 million due to increased costs associated with our long-term data contracts with MVPDs. We continued to invest in product solution offerings through the acquisition of additional TV data. Lease expense and depreciation increased </w:t>
      </w:r>
      <w:r>
        <w:rPr>
          <w:rFonts w:eastAsia="Times New Roman"/>
          <w:color w:val="000000"/>
          <w:sz w:val="20"/>
          <w:szCs w:val="20"/>
        </w:rPr>
        <w:t>$2.3 million primarily due to increased depreciation related to internally developed software. Professional fees increased $1.5 million due to an increase in data governance and technology consulting services to improve operational processes.</w:t>
      </w:r>
    </w:p>
    <w:p w14:paraId="5A605339" w14:textId="77777777" w:rsidR="00000000" w:rsidRDefault="00E614A4">
      <w:pPr>
        <w:jc w:val="both"/>
        <w:divId w:val="2135512361"/>
        <w:rPr>
          <w:rFonts w:eastAsia="Times New Roman"/>
        </w:rPr>
      </w:pPr>
      <w:r>
        <w:rPr>
          <w:rFonts w:eastAsia="Times New Roman"/>
          <w:b/>
          <w:bCs/>
          <w:i/>
          <w:iCs/>
          <w:color w:val="000000"/>
          <w:sz w:val="20"/>
          <w:szCs w:val="20"/>
        </w:rPr>
        <w:t>Selling and M</w:t>
      </w:r>
      <w:r>
        <w:rPr>
          <w:rFonts w:eastAsia="Times New Roman"/>
          <w:b/>
          <w:bCs/>
          <w:i/>
          <w:iCs/>
          <w:color w:val="000000"/>
          <w:sz w:val="20"/>
          <w:szCs w:val="20"/>
        </w:rPr>
        <w:t>arketing</w:t>
      </w:r>
    </w:p>
    <w:p w14:paraId="3C658CAC" w14:textId="77777777" w:rsidR="00000000" w:rsidRDefault="00E614A4">
      <w:pPr>
        <w:jc w:val="both"/>
        <w:divId w:val="397633437"/>
        <w:rPr>
          <w:rFonts w:eastAsia="Times New Roman"/>
        </w:rPr>
      </w:pPr>
      <w:r>
        <w:rPr>
          <w:rFonts w:eastAsia="Times New Roman"/>
          <w:color w:val="000000"/>
          <w:sz w:val="20"/>
          <w:szCs w:val="20"/>
        </w:rPr>
        <w:t xml:space="preserve">Selling and marketing expenses consist primarily of employee costs, including salaries, benefits, commissions, stock-based compensation and other related costs for personnel associated with sales and marketing activities, as well as costs related </w:t>
      </w:r>
      <w:r>
        <w:rPr>
          <w:rFonts w:eastAsia="Times New Roman"/>
          <w:color w:val="000000"/>
          <w:sz w:val="20"/>
          <w:szCs w:val="20"/>
        </w:rPr>
        <w:t xml:space="preserve">to online and </w:t>
      </w:r>
    </w:p>
    <w:p w14:paraId="1ED26998" w14:textId="77777777" w:rsidR="00000000" w:rsidRDefault="00E614A4">
      <w:pPr>
        <w:jc w:val="center"/>
        <w:divId w:val="650643242"/>
        <w:rPr>
          <w:rFonts w:eastAsia="Times New Roman"/>
        </w:rPr>
      </w:pPr>
      <w:r>
        <w:rPr>
          <w:rFonts w:eastAsia="Times New Roman"/>
          <w:color w:val="000000"/>
          <w:sz w:val="20"/>
          <w:szCs w:val="20"/>
        </w:rPr>
        <w:t>38</w:t>
      </w:r>
    </w:p>
    <w:p w14:paraId="0929AE29" w14:textId="77777777" w:rsidR="00000000" w:rsidRDefault="00E614A4">
      <w:pPr>
        <w:rPr>
          <w:rFonts w:eastAsia="Times New Roman"/>
        </w:rPr>
      </w:pPr>
      <w:r>
        <w:rPr>
          <w:rFonts w:eastAsia="Times New Roman"/>
        </w:rPr>
        <w:pict w14:anchorId="34366A26">
          <v:rect id="_x0000_i1066" style="width:0;height:1.5pt" o:hralign="center" o:hrstd="t" o:hr="t" fillcolor="#a0a0a0" stroked="f"/>
        </w:pict>
      </w:r>
    </w:p>
    <w:p w14:paraId="1F0B0861" w14:textId="77777777" w:rsidR="00000000" w:rsidRDefault="00E614A4">
      <w:pPr>
        <w:divId w:val="119140775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54D2E89" w14:textId="77777777" w:rsidR="00000000" w:rsidRDefault="00E614A4">
      <w:pPr>
        <w:divId w:val="1317303615"/>
        <w:rPr>
          <w:rFonts w:eastAsia="Times New Roman"/>
        </w:rPr>
      </w:pPr>
    </w:p>
    <w:p w14:paraId="7CFEE135" w14:textId="77777777" w:rsidR="00000000" w:rsidRDefault="00E614A4">
      <w:pPr>
        <w:jc w:val="both"/>
        <w:divId w:val="1057127845"/>
        <w:rPr>
          <w:rFonts w:eastAsia="Times New Roman"/>
        </w:rPr>
      </w:pPr>
      <w:r>
        <w:rPr>
          <w:rFonts w:eastAsia="Times New Roman"/>
          <w:color w:val="000000"/>
          <w:sz w:val="20"/>
          <w:szCs w:val="20"/>
        </w:rPr>
        <w:t>offline advertising, industry conferences, promotional materials, public relations, other sales and marketing programs and allocated overhead, which is comprised of lease expense and other facilities-related costs, and depreciation expense generated by gen</w:t>
      </w:r>
      <w:r>
        <w:rPr>
          <w:rFonts w:eastAsia="Times New Roman"/>
          <w:color w:val="000000"/>
          <w:sz w:val="20"/>
          <w:szCs w:val="20"/>
        </w:rPr>
        <w:t xml:space="preserve">eral purpose equipment and software. </w:t>
      </w:r>
    </w:p>
    <w:p w14:paraId="5912AB3C" w14:textId="77777777" w:rsidR="00000000" w:rsidRDefault="00E614A4">
      <w:pPr>
        <w:jc w:val="both"/>
        <w:divId w:val="1114403924"/>
        <w:rPr>
          <w:rFonts w:eastAsia="Times New Roman"/>
        </w:rPr>
      </w:pPr>
      <w:r>
        <w:rPr>
          <w:rFonts w:eastAsia="Times New Roman"/>
          <w:color w:val="000000"/>
          <w:sz w:val="20"/>
          <w:szCs w:val="20"/>
        </w:rPr>
        <w:t>Selling and marketing expenses for the years ended December 31, 2020 and 2019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701D9770" w14:textId="77777777">
        <w:trPr>
          <w:divId w:val="1980643964"/>
          <w:jc w:val="center"/>
        </w:trPr>
        <w:tc>
          <w:tcPr>
            <w:tcW w:w="50" w:type="pct"/>
            <w:vAlign w:val="center"/>
            <w:hideMark/>
          </w:tcPr>
          <w:p w14:paraId="3C3FF5BD" w14:textId="77777777" w:rsidR="00000000" w:rsidRDefault="00E614A4">
            <w:pPr>
              <w:jc w:val="both"/>
              <w:rPr>
                <w:rFonts w:eastAsia="Times New Roman"/>
              </w:rPr>
            </w:pPr>
          </w:p>
        </w:tc>
        <w:tc>
          <w:tcPr>
            <w:tcW w:w="1681" w:type="pct"/>
            <w:vAlign w:val="center"/>
            <w:hideMark/>
          </w:tcPr>
          <w:p w14:paraId="7CC31E6F" w14:textId="77777777" w:rsidR="00000000" w:rsidRDefault="00E614A4">
            <w:pPr>
              <w:rPr>
                <w:rFonts w:eastAsia="Times New Roman"/>
                <w:sz w:val="20"/>
                <w:szCs w:val="20"/>
              </w:rPr>
            </w:pPr>
          </w:p>
        </w:tc>
        <w:tc>
          <w:tcPr>
            <w:tcW w:w="5" w:type="pct"/>
            <w:vAlign w:val="center"/>
            <w:hideMark/>
          </w:tcPr>
          <w:p w14:paraId="6473932A" w14:textId="77777777" w:rsidR="00000000" w:rsidRDefault="00E614A4">
            <w:pPr>
              <w:rPr>
                <w:rFonts w:eastAsia="Times New Roman"/>
                <w:sz w:val="20"/>
                <w:szCs w:val="20"/>
              </w:rPr>
            </w:pPr>
          </w:p>
        </w:tc>
        <w:tc>
          <w:tcPr>
            <w:tcW w:w="50" w:type="pct"/>
            <w:vAlign w:val="center"/>
            <w:hideMark/>
          </w:tcPr>
          <w:p w14:paraId="40E1A26D" w14:textId="77777777" w:rsidR="00000000" w:rsidRDefault="00E614A4">
            <w:pPr>
              <w:rPr>
                <w:rFonts w:eastAsia="Times New Roman"/>
                <w:sz w:val="20"/>
                <w:szCs w:val="20"/>
              </w:rPr>
            </w:pPr>
          </w:p>
        </w:tc>
        <w:tc>
          <w:tcPr>
            <w:tcW w:w="465" w:type="pct"/>
            <w:vAlign w:val="center"/>
            <w:hideMark/>
          </w:tcPr>
          <w:p w14:paraId="2B210637" w14:textId="77777777" w:rsidR="00000000" w:rsidRDefault="00E614A4">
            <w:pPr>
              <w:rPr>
                <w:rFonts w:eastAsia="Times New Roman"/>
                <w:sz w:val="20"/>
                <w:szCs w:val="20"/>
              </w:rPr>
            </w:pPr>
          </w:p>
        </w:tc>
        <w:tc>
          <w:tcPr>
            <w:tcW w:w="5" w:type="pct"/>
            <w:vAlign w:val="center"/>
            <w:hideMark/>
          </w:tcPr>
          <w:p w14:paraId="2CF844EC" w14:textId="77777777" w:rsidR="00000000" w:rsidRDefault="00E614A4">
            <w:pPr>
              <w:rPr>
                <w:rFonts w:eastAsia="Times New Roman"/>
                <w:sz w:val="20"/>
                <w:szCs w:val="20"/>
              </w:rPr>
            </w:pPr>
          </w:p>
        </w:tc>
        <w:tc>
          <w:tcPr>
            <w:tcW w:w="5" w:type="pct"/>
            <w:vAlign w:val="center"/>
            <w:hideMark/>
          </w:tcPr>
          <w:p w14:paraId="4B78DC83" w14:textId="77777777" w:rsidR="00000000" w:rsidRDefault="00E614A4">
            <w:pPr>
              <w:rPr>
                <w:rFonts w:eastAsia="Times New Roman"/>
                <w:sz w:val="20"/>
                <w:szCs w:val="20"/>
              </w:rPr>
            </w:pPr>
          </w:p>
        </w:tc>
        <w:tc>
          <w:tcPr>
            <w:tcW w:w="17" w:type="pct"/>
            <w:vAlign w:val="center"/>
            <w:hideMark/>
          </w:tcPr>
          <w:p w14:paraId="76B07211" w14:textId="77777777" w:rsidR="00000000" w:rsidRDefault="00E614A4">
            <w:pPr>
              <w:rPr>
                <w:rFonts w:eastAsia="Times New Roman"/>
                <w:sz w:val="20"/>
                <w:szCs w:val="20"/>
              </w:rPr>
            </w:pPr>
          </w:p>
        </w:tc>
        <w:tc>
          <w:tcPr>
            <w:tcW w:w="5" w:type="pct"/>
            <w:vAlign w:val="center"/>
            <w:hideMark/>
          </w:tcPr>
          <w:p w14:paraId="6A14E644" w14:textId="77777777" w:rsidR="00000000" w:rsidRDefault="00E614A4">
            <w:pPr>
              <w:rPr>
                <w:rFonts w:eastAsia="Times New Roman"/>
                <w:sz w:val="20"/>
                <w:szCs w:val="20"/>
              </w:rPr>
            </w:pPr>
          </w:p>
        </w:tc>
        <w:tc>
          <w:tcPr>
            <w:tcW w:w="50" w:type="pct"/>
            <w:vAlign w:val="center"/>
            <w:hideMark/>
          </w:tcPr>
          <w:p w14:paraId="3ED2B4B7" w14:textId="77777777" w:rsidR="00000000" w:rsidRDefault="00E614A4">
            <w:pPr>
              <w:rPr>
                <w:rFonts w:eastAsia="Times New Roman"/>
                <w:sz w:val="20"/>
                <w:szCs w:val="20"/>
              </w:rPr>
            </w:pPr>
          </w:p>
        </w:tc>
        <w:tc>
          <w:tcPr>
            <w:tcW w:w="465" w:type="pct"/>
            <w:vAlign w:val="center"/>
            <w:hideMark/>
          </w:tcPr>
          <w:p w14:paraId="346BAD8B" w14:textId="77777777" w:rsidR="00000000" w:rsidRDefault="00E614A4">
            <w:pPr>
              <w:rPr>
                <w:rFonts w:eastAsia="Times New Roman"/>
                <w:sz w:val="20"/>
                <w:szCs w:val="20"/>
              </w:rPr>
            </w:pPr>
          </w:p>
        </w:tc>
        <w:tc>
          <w:tcPr>
            <w:tcW w:w="5" w:type="pct"/>
            <w:vAlign w:val="center"/>
            <w:hideMark/>
          </w:tcPr>
          <w:p w14:paraId="21ED77E7" w14:textId="77777777" w:rsidR="00000000" w:rsidRDefault="00E614A4">
            <w:pPr>
              <w:rPr>
                <w:rFonts w:eastAsia="Times New Roman"/>
                <w:sz w:val="20"/>
                <w:szCs w:val="20"/>
              </w:rPr>
            </w:pPr>
          </w:p>
        </w:tc>
        <w:tc>
          <w:tcPr>
            <w:tcW w:w="5" w:type="pct"/>
            <w:vAlign w:val="center"/>
            <w:hideMark/>
          </w:tcPr>
          <w:p w14:paraId="2E1D9A8E" w14:textId="77777777" w:rsidR="00000000" w:rsidRDefault="00E614A4">
            <w:pPr>
              <w:rPr>
                <w:rFonts w:eastAsia="Times New Roman"/>
                <w:sz w:val="20"/>
                <w:szCs w:val="20"/>
              </w:rPr>
            </w:pPr>
          </w:p>
        </w:tc>
        <w:tc>
          <w:tcPr>
            <w:tcW w:w="17" w:type="pct"/>
            <w:vAlign w:val="center"/>
            <w:hideMark/>
          </w:tcPr>
          <w:p w14:paraId="40BF17EC" w14:textId="77777777" w:rsidR="00000000" w:rsidRDefault="00E614A4">
            <w:pPr>
              <w:rPr>
                <w:rFonts w:eastAsia="Times New Roman"/>
                <w:sz w:val="20"/>
                <w:szCs w:val="20"/>
              </w:rPr>
            </w:pPr>
          </w:p>
        </w:tc>
        <w:tc>
          <w:tcPr>
            <w:tcW w:w="5" w:type="pct"/>
            <w:vAlign w:val="center"/>
            <w:hideMark/>
          </w:tcPr>
          <w:p w14:paraId="7E058682" w14:textId="77777777" w:rsidR="00000000" w:rsidRDefault="00E614A4">
            <w:pPr>
              <w:rPr>
                <w:rFonts w:eastAsia="Times New Roman"/>
                <w:sz w:val="20"/>
                <w:szCs w:val="20"/>
              </w:rPr>
            </w:pPr>
          </w:p>
        </w:tc>
        <w:tc>
          <w:tcPr>
            <w:tcW w:w="50" w:type="pct"/>
            <w:vAlign w:val="center"/>
            <w:hideMark/>
          </w:tcPr>
          <w:p w14:paraId="350617E6" w14:textId="77777777" w:rsidR="00000000" w:rsidRDefault="00E614A4">
            <w:pPr>
              <w:rPr>
                <w:rFonts w:eastAsia="Times New Roman"/>
                <w:sz w:val="20"/>
                <w:szCs w:val="20"/>
              </w:rPr>
            </w:pPr>
          </w:p>
        </w:tc>
        <w:tc>
          <w:tcPr>
            <w:tcW w:w="465" w:type="pct"/>
            <w:vAlign w:val="center"/>
            <w:hideMark/>
          </w:tcPr>
          <w:p w14:paraId="45CF90F8" w14:textId="77777777" w:rsidR="00000000" w:rsidRDefault="00E614A4">
            <w:pPr>
              <w:rPr>
                <w:rFonts w:eastAsia="Times New Roman"/>
                <w:sz w:val="20"/>
                <w:szCs w:val="20"/>
              </w:rPr>
            </w:pPr>
          </w:p>
        </w:tc>
        <w:tc>
          <w:tcPr>
            <w:tcW w:w="5" w:type="pct"/>
            <w:vAlign w:val="center"/>
            <w:hideMark/>
          </w:tcPr>
          <w:p w14:paraId="46F95FB2" w14:textId="77777777" w:rsidR="00000000" w:rsidRDefault="00E614A4">
            <w:pPr>
              <w:rPr>
                <w:rFonts w:eastAsia="Times New Roman"/>
                <w:sz w:val="20"/>
                <w:szCs w:val="20"/>
              </w:rPr>
            </w:pPr>
          </w:p>
        </w:tc>
        <w:tc>
          <w:tcPr>
            <w:tcW w:w="5" w:type="pct"/>
            <w:vAlign w:val="center"/>
            <w:hideMark/>
          </w:tcPr>
          <w:p w14:paraId="67D91531" w14:textId="77777777" w:rsidR="00000000" w:rsidRDefault="00E614A4">
            <w:pPr>
              <w:rPr>
                <w:rFonts w:eastAsia="Times New Roman"/>
                <w:sz w:val="20"/>
                <w:szCs w:val="20"/>
              </w:rPr>
            </w:pPr>
          </w:p>
        </w:tc>
        <w:tc>
          <w:tcPr>
            <w:tcW w:w="17" w:type="pct"/>
            <w:vAlign w:val="center"/>
            <w:hideMark/>
          </w:tcPr>
          <w:p w14:paraId="0E0ED75D" w14:textId="77777777" w:rsidR="00000000" w:rsidRDefault="00E614A4">
            <w:pPr>
              <w:rPr>
                <w:rFonts w:eastAsia="Times New Roman"/>
                <w:sz w:val="20"/>
                <w:szCs w:val="20"/>
              </w:rPr>
            </w:pPr>
          </w:p>
        </w:tc>
        <w:tc>
          <w:tcPr>
            <w:tcW w:w="5" w:type="pct"/>
            <w:vAlign w:val="center"/>
            <w:hideMark/>
          </w:tcPr>
          <w:p w14:paraId="6A68C71A" w14:textId="77777777" w:rsidR="00000000" w:rsidRDefault="00E614A4">
            <w:pPr>
              <w:rPr>
                <w:rFonts w:eastAsia="Times New Roman"/>
                <w:sz w:val="20"/>
                <w:szCs w:val="20"/>
              </w:rPr>
            </w:pPr>
          </w:p>
        </w:tc>
        <w:tc>
          <w:tcPr>
            <w:tcW w:w="50" w:type="pct"/>
            <w:vAlign w:val="center"/>
            <w:hideMark/>
          </w:tcPr>
          <w:p w14:paraId="50AB12C0" w14:textId="77777777" w:rsidR="00000000" w:rsidRDefault="00E614A4">
            <w:pPr>
              <w:rPr>
                <w:rFonts w:eastAsia="Times New Roman"/>
                <w:sz w:val="20"/>
                <w:szCs w:val="20"/>
              </w:rPr>
            </w:pPr>
          </w:p>
        </w:tc>
        <w:tc>
          <w:tcPr>
            <w:tcW w:w="465" w:type="pct"/>
            <w:vAlign w:val="center"/>
            <w:hideMark/>
          </w:tcPr>
          <w:p w14:paraId="4DFB3594" w14:textId="77777777" w:rsidR="00000000" w:rsidRDefault="00E614A4">
            <w:pPr>
              <w:rPr>
                <w:rFonts w:eastAsia="Times New Roman"/>
                <w:sz w:val="20"/>
                <w:szCs w:val="20"/>
              </w:rPr>
            </w:pPr>
          </w:p>
        </w:tc>
        <w:tc>
          <w:tcPr>
            <w:tcW w:w="5" w:type="pct"/>
            <w:vAlign w:val="center"/>
            <w:hideMark/>
          </w:tcPr>
          <w:p w14:paraId="394342D6" w14:textId="77777777" w:rsidR="00000000" w:rsidRDefault="00E614A4">
            <w:pPr>
              <w:rPr>
                <w:rFonts w:eastAsia="Times New Roman"/>
                <w:sz w:val="20"/>
                <w:szCs w:val="20"/>
              </w:rPr>
            </w:pPr>
          </w:p>
        </w:tc>
        <w:tc>
          <w:tcPr>
            <w:tcW w:w="5" w:type="pct"/>
            <w:vAlign w:val="center"/>
            <w:hideMark/>
          </w:tcPr>
          <w:p w14:paraId="6467DDF0" w14:textId="77777777" w:rsidR="00000000" w:rsidRDefault="00E614A4">
            <w:pPr>
              <w:rPr>
                <w:rFonts w:eastAsia="Times New Roman"/>
                <w:sz w:val="20"/>
                <w:szCs w:val="20"/>
              </w:rPr>
            </w:pPr>
          </w:p>
        </w:tc>
        <w:tc>
          <w:tcPr>
            <w:tcW w:w="17" w:type="pct"/>
            <w:vAlign w:val="center"/>
            <w:hideMark/>
          </w:tcPr>
          <w:p w14:paraId="7FBA23FD" w14:textId="77777777" w:rsidR="00000000" w:rsidRDefault="00E614A4">
            <w:pPr>
              <w:rPr>
                <w:rFonts w:eastAsia="Times New Roman"/>
                <w:sz w:val="20"/>
                <w:szCs w:val="20"/>
              </w:rPr>
            </w:pPr>
          </w:p>
        </w:tc>
        <w:tc>
          <w:tcPr>
            <w:tcW w:w="5" w:type="pct"/>
            <w:vAlign w:val="center"/>
            <w:hideMark/>
          </w:tcPr>
          <w:p w14:paraId="23039F04" w14:textId="77777777" w:rsidR="00000000" w:rsidRDefault="00E614A4">
            <w:pPr>
              <w:rPr>
                <w:rFonts w:eastAsia="Times New Roman"/>
                <w:sz w:val="20"/>
                <w:szCs w:val="20"/>
              </w:rPr>
            </w:pPr>
          </w:p>
        </w:tc>
        <w:tc>
          <w:tcPr>
            <w:tcW w:w="50" w:type="pct"/>
            <w:vAlign w:val="center"/>
            <w:hideMark/>
          </w:tcPr>
          <w:p w14:paraId="5CF82AE7" w14:textId="77777777" w:rsidR="00000000" w:rsidRDefault="00E614A4">
            <w:pPr>
              <w:rPr>
                <w:rFonts w:eastAsia="Times New Roman"/>
                <w:sz w:val="20"/>
                <w:szCs w:val="20"/>
              </w:rPr>
            </w:pPr>
          </w:p>
        </w:tc>
        <w:tc>
          <w:tcPr>
            <w:tcW w:w="465" w:type="pct"/>
            <w:vAlign w:val="center"/>
            <w:hideMark/>
          </w:tcPr>
          <w:p w14:paraId="3792C094" w14:textId="77777777" w:rsidR="00000000" w:rsidRDefault="00E614A4">
            <w:pPr>
              <w:rPr>
                <w:rFonts w:eastAsia="Times New Roman"/>
                <w:sz w:val="20"/>
                <w:szCs w:val="20"/>
              </w:rPr>
            </w:pPr>
          </w:p>
        </w:tc>
        <w:tc>
          <w:tcPr>
            <w:tcW w:w="5" w:type="pct"/>
            <w:vAlign w:val="center"/>
            <w:hideMark/>
          </w:tcPr>
          <w:p w14:paraId="13F2AD62" w14:textId="77777777" w:rsidR="00000000" w:rsidRDefault="00E614A4">
            <w:pPr>
              <w:rPr>
                <w:rFonts w:eastAsia="Times New Roman"/>
                <w:sz w:val="20"/>
                <w:szCs w:val="20"/>
              </w:rPr>
            </w:pPr>
          </w:p>
        </w:tc>
        <w:tc>
          <w:tcPr>
            <w:tcW w:w="5" w:type="pct"/>
            <w:vAlign w:val="center"/>
            <w:hideMark/>
          </w:tcPr>
          <w:p w14:paraId="5FF2443E" w14:textId="77777777" w:rsidR="00000000" w:rsidRDefault="00E614A4">
            <w:pPr>
              <w:rPr>
                <w:rFonts w:eastAsia="Times New Roman"/>
                <w:sz w:val="20"/>
                <w:szCs w:val="20"/>
              </w:rPr>
            </w:pPr>
          </w:p>
        </w:tc>
        <w:tc>
          <w:tcPr>
            <w:tcW w:w="17" w:type="pct"/>
            <w:vAlign w:val="center"/>
            <w:hideMark/>
          </w:tcPr>
          <w:p w14:paraId="6C30EED7" w14:textId="77777777" w:rsidR="00000000" w:rsidRDefault="00E614A4">
            <w:pPr>
              <w:rPr>
                <w:rFonts w:eastAsia="Times New Roman"/>
                <w:sz w:val="20"/>
                <w:szCs w:val="20"/>
              </w:rPr>
            </w:pPr>
          </w:p>
        </w:tc>
        <w:tc>
          <w:tcPr>
            <w:tcW w:w="5" w:type="pct"/>
            <w:vAlign w:val="center"/>
            <w:hideMark/>
          </w:tcPr>
          <w:p w14:paraId="2C4792A9" w14:textId="77777777" w:rsidR="00000000" w:rsidRDefault="00E614A4">
            <w:pPr>
              <w:rPr>
                <w:rFonts w:eastAsia="Times New Roman"/>
                <w:sz w:val="20"/>
                <w:szCs w:val="20"/>
              </w:rPr>
            </w:pPr>
          </w:p>
        </w:tc>
        <w:tc>
          <w:tcPr>
            <w:tcW w:w="50" w:type="pct"/>
            <w:vAlign w:val="center"/>
            <w:hideMark/>
          </w:tcPr>
          <w:p w14:paraId="50D22E3E" w14:textId="77777777" w:rsidR="00000000" w:rsidRDefault="00E614A4">
            <w:pPr>
              <w:rPr>
                <w:rFonts w:eastAsia="Times New Roman"/>
                <w:sz w:val="20"/>
                <w:szCs w:val="20"/>
              </w:rPr>
            </w:pPr>
          </w:p>
        </w:tc>
        <w:tc>
          <w:tcPr>
            <w:tcW w:w="466" w:type="pct"/>
            <w:vAlign w:val="center"/>
            <w:hideMark/>
          </w:tcPr>
          <w:p w14:paraId="2A44D9FD" w14:textId="77777777" w:rsidR="00000000" w:rsidRDefault="00E614A4">
            <w:pPr>
              <w:rPr>
                <w:rFonts w:eastAsia="Times New Roman"/>
                <w:sz w:val="20"/>
                <w:szCs w:val="20"/>
              </w:rPr>
            </w:pPr>
          </w:p>
        </w:tc>
        <w:tc>
          <w:tcPr>
            <w:tcW w:w="5" w:type="pct"/>
            <w:vAlign w:val="center"/>
            <w:hideMark/>
          </w:tcPr>
          <w:p w14:paraId="2E6B941B" w14:textId="77777777" w:rsidR="00000000" w:rsidRDefault="00E614A4">
            <w:pPr>
              <w:rPr>
                <w:rFonts w:eastAsia="Times New Roman"/>
                <w:sz w:val="20"/>
                <w:szCs w:val="20"/>
              </w:rPr>
            </w:pPr>
          </w:p>
        </w:tc>
      </w:tr>
      <w:tr w:rsidR="00000000" w14:paraId="5761A51E" w14:textId="77777777">
        <w:trPr>
          <w:divId w:val="1980643964"/>
          <w:jc w:val="center"/>
        </w:trPr>
        <w:tc>
          <w:tcPr>
            <w:tcW w:w="0" w:type="auto"/>
            <w:gridSpan w:val="3"/>
            <w:vAlign w:val="center"/>
            <w:hideMark/>
          </w:tcPr>
          <w:p w14:paraId="3A479667" w14:textId="77777777" w:rsidR="00000000" w:rsidRDefault="00E614A4">
            <w:pPr>
              <w:rPr>
                <w:rFonts w:eastAsia="Times New Roman"/>
                <w:sz w:val="20"/>
                <w:szCs w:val="20"/>
              </w:rPr>
            </w:pPr>
          </w:p>
        </w:tc>
        <w:tc>
          <w:tcPr>
            <w:tcW w:w="0" w:type="auto"/>
            <w:gridSpan w:val="3"/>
            <w:vAlign w:val="center"/>
            <w:hideMark/>
          </w:tcPr>
          <w:p w14:paraId="6761CADA" w14:textId="77777777" w:rsidR="00000000" w:rsidRDefault="00E614A4">
            <w:pPr>
              <w:rPr>
                <w:rFonts w:eastAsia="Times New Roman"/>
                <w:sz w:val="20"/>
                <w:szCs w:val="20"/>
              </w:rPr>
            </w:pPr>
          </w:p>
        </w:tc>
        <w:tc>
          <w:tcPr>
            <w:tcW w:w="0" w:type="auto"/>
            <w:gridSpan w:val="3"/>
            <w:vAlign w:val="center"/>
            <w:hideMark/>
          </w:tcPr>
          <w:p w14:paraId="2DAFFA71" w14:textId="77777777" w:rsidR="00000000" w:rsidRDefault="00E614A4">
            <w:pPr>
              <w:rPr>
                <w:rFonts w:eastAsia="Times New Roman"/>
                <w:sz w:val="20"/>
                <w:szCs w:val="20"/>
              </w:rPr>
            </w:pPr>
          </w:p>
        </w:tc>
        <w:tc>
          <w:tcPr>
            <w:tcW w:w="0" w:type="auto"/>
            <w:gridSpan w:val="3"/>
            <w:vAlign w:val="center"/>
            <w:hideMark/>
          </w:tcPr>
          <w:p w14:paraId="53279472" w14:textId="77777777" w:rsidR="00000000" w:rsidRDefault="00E614A4">
            <w:pPr>
              <w:rPr>
                <w:rFonts w:eastAsia="Times New Roman"/>
                <w:sz w:val="20"/>
                <w:szCs w:val="20"/>
              </w:rPr>
            </w:pPr>
          </w:p>
        </w:tc>
        <w:tc>
          <w:tcPr>
            <w:tcW w:w="0" w:type="auto"/>
            <w:gridSpan w:val="3"/>
            <w:vAlign w:val="center"/>
            <w:hideMark/>
          </w:tcPr>
          <w:p w14:paraId="3076B9A0" w14:textId="77777777" w:rsidR="00000000" w:rsidRDefault="00E614A4">
            <w:pPr>
              <w:rPr>
                <w:rFonts w:eastAsia="Times New Roman"/>
                <w:sz w:val="20"/>
                <w:szCs w:val="20"/>
              </w:rPr>
            </w:pPr>
          </w:p>
        </w:tc>
        <w:tc>
          <w:tcPr>
            <w:tcW w:w="0" w:type="auto"/>
            <w:gridSpan w:val="3"/>
            <w:vAlign w:val="center"/>
            <w:hideMark/>
          </w:tcPr>
          <w:p w14:paraId="55BBEB4B" w14:textId="77777777" w:rsidR="00000000" w:rsidRDefault="00E614A4">
            <w:pPr>
              <w:rPr>
                <w:rFonts w:eastAsia="Times New Roman"/>
                <w:sz w:val="20"/>
                <w:szCs w:val="20"/>
              </w:rPr>
            </w:pPr>
          </w:p>
        </w:tc>
        <w:tc>
          <w:tcPr>
            <w:tcW w:w="0" w:type="auto"/>
            <w:gridSpan w:val="3"/>
            <w:vAlign w:val="center"/>
            <w:hideMark/>
          </w:tcPr>
          <w:p w14:paraId="253E709E" w14:textId="77777777" w:rsidR="00000000" w:rsidRDefault="00E614A4">
            <w:pPr>
              <w:rPr>
                <w:rFonts w:eastAsia="Times New Roman"/>
                <w:sz w:val="20"/>
                <w:szCs w:val="20"/>
              </w:rPr>
            </w:pPr>
          </w:p>
        </w:tc>
        <w:tc>
          <w:tcPr>
            <w:tcW w:w="0" w:type="auto"/>
            <w:gridSpan w:val="3"/>
            <w:vAlign w:val="center"/>
            <w:hideMark/>
          </w:tcPr>
          <w:p w14:paraId="6773251A" w14:textId="77777777" w:rsidR="00000000" w:rsidRDefault="00E614A4">
            <w:pPr>
              <w:rPr>
                <w:rFonts w:eastAsia="Times New Roman"/>
                <w:sz w:val="20"/>
                <w:szCs w:val="20"/>
              </w:rPr>
            </w:pPr>
          </w:p>
        </w:tc>
        <w:tc>
          <w:tcPr>
            <w:tcW w:w="0" w:type="auto"/>
            <w:gridSpan w:val="3"/>
            <w:vAlign w:val="center"/>
            <w:hideMark/>
          </w:tcPr>
          <w:p w14:paraId="47635021" w14:textId="77777777" w:rsidR="00000000" w:rsidRDefault="00E614A4">
            <w:pPr>
              <w:rPr>
                <w:rFonts w:eastAsia="Times New Roman"/>
                <w:sz w:val="20"/>
                <w:szCs w:val="20"/>
              </w:rPr>
            </w:pPr>
          </w:p>
        </w:tc>
        <w:tc>
          <w:tcPr>
            <w:tcW w:w="0" w:type="auto"/>
            <w:gridSpan w:val="3"/>
            <w:vAlign w:val="center"/>
            <w:hideMark/>
          </w:tcPr>
          <w:p w14:paraId="4805DB3A" w14:textId="77777777" w:rsidR="00000000" w:rsidRDefault="00E614A4">
            <w:pPr>
              <w:rPr>
                <w:rFonts w:eastAsia="Times New Roman"/>
                <w:sz w:val="20"/>
                <w:szCs w:val="20"/>
              </w:rPr>
            </w:pPr>
          </w:p>
        </w:tc>
        <w:tc>
          <w:tcPr>
            <w:tcW w:w="0" w:type="auto"/>
            <w:gridSpan w:val="3"/>
            <w:vAlign w:val="center"/>
            <w:hideMark/>
          </w:tcPr>
          <w:p w14:paraId="23B826B9" w14:textId="77777777" w:rsidR="00000000" w:rsidRDefault="00E614A4">
            <w:pPr>
              <w:rPr>
                <w:rFonts w:eastAsia="Times New Roman"/>
                <w:sz w:val="20"/>
                <w:szCs w:val="20"/>
              </w:rPr>
            </w:pPr>
          </w:p>
        </w:tc>
        <w:tc>
          <w:tcPr>
            <w:tcW w:w="0" w:type="auto"/>
            <w:gridSpan w:val="3"/>
            <w:vAlign w:val="center"/>
            <w:hideMark/>
          </w:tcPr>
          <w:p w14:paraId="6AB25B33" w14:textId="77777777" w:rsidR="00000000" w:rsidRDefault="00E614A4">
            <w:pPr>
              <w:rPr>
                <w:rFonts w:eastAsia="Times New Roman"/>
                <w:sz w:val="20"/>
                <w:szCs w:val="20"/>
              </w:rPr>
            </w:pPr>
          </w:p>
        </w:tc>
      </w:tr>
      <w:tr w:rsidR="00000000" w14:paraId="4EF9E8BE" w14:textId="77777777">
        <w:trPr>
          <w:divId w:val="1980643964"/>
          <w:jc w:val="center"/>
        </w:trPr>
        <w:tc>
          <w:tcPr>
            <w:tcW w:w="0" w:type="auto"/>
            <w:gridSpan w:val="3"/>
            <w:tcMar>
              <w:top w:w="0" w:type="dxa"/>
              <w:left w:w="20" w:type="dxa"/>
              <w:bottom w:w="0" w:type="dxa"/>
              <w:right w:w="20" w:type="dxa"/>
            </w:tcMar>
            <w:vAlign w:val="center"/>
            <w:hideMark/>
          </w:tcPr>
          <w:p w14:paraId="580857D3"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531E1105"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437FBEB7"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16C43A6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101B66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9BE2764" w14:textId="77777777" w:rsidR="00000000" w:rsidRDefault="00E614A4">
            <w:pPr>
              <w:rPr>
                <w:rFonts w:eastAsia="Times New Roman"/>
                <w:sz w:val="20"/>
                <w:szCs w:val="20"/>
              </w:rPr>
            </w:pPr>
          </w:p>
        </w:tc>
      </w:tr>
      <w:tr w:rsidR="00000000" w14:paraId="6CD213F8" w14:textId="77777777">
        <w:trPr>
          <w:divId w:val="1980643964"/>
          <w:jc w:val="center"/>
        </w:trPr>
        <w:tc>
          <w:tcPr>
            <w:tcW w:w="0" w:type="auto"/>
            <w:gridSpan w:val="3"/>
            <w:shd w:val="clear" w:color="auto" w:fill="FFFFFF"/>
            <w:tcMar>
              <w:top w:w="30" w:type="dxa"/>
              <w:left w:w="20" w:type="dxa"/>
              <w:bottom w:w="30" w:type="dxa"/>
              <w:right w:w="20" w:type="dxa"/>
            </w:tcMar>
            <w:vAlign w:val="bottom"/>
            <w:hideMark/>
          </w:tcPr>
          <w:p w14:paraId="646295EA"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51E2A7E"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51009C"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B913C88" w14:textId="77777777" w:rsidR="00000000" w:rsidRDefault="00E614A4">
            <w:pPr>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CC21C6"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B385FDA"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C20D80"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B8CE980" w14:textId="77777777" w:rsidR="00000000" w:rsidRDefault="00E614A4">
            <w:pPr>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17E6B309"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6F2A87"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14:paraId="2BBF30BF"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0BDCF99" w14:textId="77777777" w:rsidR="00000000" w:rsidRDefault="00E614A4">
            <w:pPr>
              <w:jc w:val="center"/>
              <w:rPr>
                <w:rFonts w:eastAsia="Times New Roman"/>
              </w:rPr>
            </w:pPr>
            <w:r>
              <w:rPr>
                <w:rFonts w:eastAsia="Times New Roman"/>
                <w:b/>
                <w:bCs/>
                <w:color w:val="000000"/>
                <w:sz w:val="16"/>
                <w:szCs w:val="16"/>
              </w:rPr>
              <w:t>% Variance</w:t>
            </w:r>
          </w:p>
        </w:tc>
      </w:tr>
      <w:tr w:rsidR="00000000" w14:paraId="5694EA8A" w14:textId="77777777">
        <w:trPr>
          <w:divId w:val="1980643964"/>
          <w:jc w:val="center"/>
        </w:trPr>
        <w:tc>
          <w:tcPr>
            <w:tcW w:w="0" w:type="auto"/>
            <w:gridSpan w:val="3"/>
            <w:shd w:val="clear" w:color="auto" w:fill="CCEEFF"/>
            <w:tcMar>
              <w:top w:w="30" w:type="dxa"/>
              <w:left w:w="245" w:type="dxa"/>
              <w:bottom w:w="30" w:type="dxa"/>
              <w:right w:w="20" w:type="dxa"/>
            </w:tcMar>
            <w:vAlign w:val="bottom"/>
            <w:hideMark/>
          </w:tcPr>
          <w:p w14:paraId="525506CE" w14:textId="77777777" w:rsidR="00000000" w:rsidRDefault="00E614A4">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F2F47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9934B9" w14:textId="77777777" w:rsidR="00000000" w:rsidRDefault="00E614A4">
            <w:pPr>
              <w:jc w:val="right"/>
              <w:rPr>
                <w:rFonts w:eastAsia="Times New Roman"/>
              </w:rPr>
            </w:pPr>
            <w:r>
              <w:rPr>
                <w:rFonts w:eastAsia="Times New Roman"/>
                <w:color w:val="000000"/>
                <w:sz w:val="18"/>
                <w:szCs w:val="18"/>
              </w:rPr>
              <w:t>57,629 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887F9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38A4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2D08D6" w14:textId="77777777" w:rsidR="00000000" w:rsidRDefault="00E614A4">
            <w:pPr>
              <w:jc w:val="right"/>
              <w:rPr>
                <w:rFonts w:eastAsia="Times New Roman"/>
              </w:rPr>
            </w:pPr>
            <w:r>
              <w:rPr>
                <w:rFonts w:eastAsia="Times New Roman"/>
                <w:color w:val="000000"/>
                <w:sz w:val="18"/>
                <w:szCs w:val="18"/>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B8A5F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BC33B90"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D0C67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59FA08" w14:textId="77777777" w:rsidR="00000000" w:rsidRDefault="00E614A4">
            <w:pPr>
              <w:jc w:val="right"/>
              <w:rPr>
                <w:rFonts w:eastAsia="Times New Roman"/>
              </w:rPr>
            </w:pPr>
            <w:r>
              <w:rPr>
                <w:rFonts w:eastAsia="Times New Roman"/>
                <w:color w:val="000000"/>
                <w:sz w:val="18"/>
                <w:szCs w:val="18"/>
              </w:rPr>
              <w:t>71,979 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D9A6A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A17ED"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D4A3BB" w14:textId="77777777" w:rsidR="00000000" w:rsidRDefault="00E614A4">
            <w:pPr>
              <w:jc w:val="right"/>
              <w:rPr>
                <w:rFonts w:eastAsia="Times New Roman"/>
              </w:rPr>
            </w:pPr>
            <w:r>
              <w:rPr>
                <w:rFonts w:eastAsia="Times New Roman"/>
                <w:color w:val="000000"/>
                <w:sz w:val="18"/>
                <w:szCs w:val="18"/>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9A257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29BE253"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468EC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E02F3F" w14:textId="77777777" w:rsidR="00000000" w:rsidRDefault="00E614A4">
            <w:pPr>
              <w:jc w:val="right"/>
              <w:rPr>
                <w:rFonts w:eastAsia="Times New Roman"/>
              </w:rPr>
            </w:pPr>
            <w:r>
              <w:rPr>
                <w:rFonts w:eastAsia="Times New Roman"/>
                <w:color w:val="000000"/>
                <w:sz w:val="18"/>
                <w:szCs w:val="18"/>
              </w:rPr>
              <w:t>(14,350)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81849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95746"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25E2E8" w14:textId="77777777" w:rsidR="00000000" w:rsidRDefault="00E614A4">
            <w:pPr>
              <w:jc w:val="right"/>
              <w:rPr>
                <w:rFonts w:eastAsia="Times New Roman"/>
              </w:rPr>
            </w:pPr>
            <w:r>
              <w:rPr>
                <w:rFonts w:eastAsia="Times New Roman"/>
                <w:color w:val="000000"/>
                <w:sz w:val="18"/>
                <w:szCs w:val="18"/>
              </w:rPr>
              <w:t>(19.9)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7ECD3F" w14:textId="77777777" w:rsidR="00000000" w:rsidRDefault="00E614A4">
            <w:pPr>
              <w:jc w:val="right"/>
              <w:rPr>
                <w:rFonts w:eastAsia="Times New Roman"/>
              </w:rPr>
            </w:pPr>
            <w:r>
              <w:rPr>
                <w:rFonts w:eastAsia="Times New Roman"/>
                <w:color w:val="000000"/>
                <w:sz w:val="18"/>
                <w:szCs w:val="18"/>
              </w:rPr>
              <w:t>%</w:t>
            </w:r>
          </w:p>
        </w:tc>
      </w:tr>
      <w:tr w:rsidR="00000000" w14:paraId="0CAC3A6B" w14:textId="77777777">
        <w:trPr>
          <w:divId w:val="1980643964"/>
          <w:jc w:val="center"/>
        </w:trPr>
        <w:tc>
          <w:tcPr>
            <w:tcW w:w="0" w:type="auto"/>
            <w:gridSpan w:val="3"/>
            <w:shd w:val="clear" w:color="auto" w:fill="FFFFFF"/>
            <w:tcMar>
              <w:top w:w="30" w:type="dxa"/>
              <w:left w:w="245" w:type="dxa"/>
              <w:bottom w:w="30" w:type="dxa"/>
              <w:right w:w="20" w:type="dxa"/>
            </w:tcMar>
            <w:vAlign w:val="bottom"/>
            <w:hideMark/>
          </w:tcPr>
          <w:p w14:paraId="29F68554" w14:textId="77777777" w:rsidR="00000000" w:rsidRDefault="00E614A4">
            <w:pPr>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7165AF25" w14:textId="77777777" w:rsidR="00000000" w:rsidRDefault="00E614A4">
            <w:pPr>
              <w:jc w:val="right"/>
              <w:rPr>
                <w:rFonts w:eastAsia="Times New Roman"/>
              </w:rPr>
            </w:pPr>
            <w:r>
              <w:rPr>
                <w:rFonts w:eastAsia="Times New Roman"/>
                <w:color w:val="000000"/>
                <w:sz w:val="18"/>
                <w:szCs w:val="18"/>
              </w:rPr>
              <w:t>4,980 </w:t>
            </w:r>
          </w:p>
        </w:tc>
        <w:tc>
          <w:tcPr>
            <w:tcW w:w="0" w:type="auto"/>
            <w:shd w:val="clear" w:color="auto" w:fill="FFFFFF"/>
            <w:tcMar>
              <w:top w:w="30" w:type="dxa"/>
              <w:left w:w="0" w:type="dxa"/>
              <w:bottom w:w="30" w:type="dxa"/>
              <w:right w:w="20" w:type="dxa"/>
            </w:tcMar>
            <w:vAlign w:val="bottom"/>
            <w:hideMark/>
          </w:tcPr>
          <w:p w14:paraId="64FD112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808F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CCD8FB" w14:textId="77777777" w:rsidR="00000000" w:rsidRDefault="00E614A4">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29ACC23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3A39830"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124BF9" w14:textId="77777777" w:rsidR="00000000" w:rsidRDefault="00E614A4">
            <w:pPr>
              <w:jc w:val="right"/>
              <w:rPr>
                <w:rFonts w:eastAsia="Times New Roman"/>
              </w:rPr>
            </w:pPr>
            <w:r>
              <w:rPr>
                <w:rFonts w:eastAsia="Times New Roman"/>
                <w:color w:val="000000"/>
                <w:sz w:val="18"/>
                <w:szCs w:val="18"/>
              </w:rPr>
              <w:t>5,690 </w:t>
            </w:r>
          </w:p>
        </w:tc>
        <w:tc>
          <w:tcPr>
            <w:tcW w:w="0" w:type="auto"/>
            <w:shd w:val="clear" w:color="auto" w:fill="FFFFFF"/>
            <w:tcMar>
              <w:top w:w="30" w:type="dxa"/>
              <w:left w:w="0" w:type="dxa"/>
              <w:bottom w:w="30" w:type="dxa"/>
              <w:right w:w="20" w:type="dxa"/>
            </w:tcMar>
            <w:vAlign w:val="bottom"/>
            <w:hideMark/>
          </w:tcPr>
          <w:p w14:paraId="56F93D7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7C5F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315B82" w14:textId="77777777" w:rsidR="00000000" w:rsidRDefault="00E614A4">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3390637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544B2E2"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8F5C18" w14:textId="77777777" w:rsidR="00000000" w:rsidRDefault="00E614A4">
            <w:pPr>
              <w:jc w:val="right"/>
              <w:rPr>
                <w:rFonts w:eastAsia="Times New Roman"/>
              </w:rPr>
            </w:pPr>
            <w:r>
              <w:rPr>
                <w:rFonts w:eastAsia="Times New Roman"/>
                <w:color w:val="000000"/>
                <w:sz w:val="18"/>
                <w:szCs w:val="18"/>
              </w:rPr>
              <w:t>(710)</w:t>
            </w:r>
          </w:p>
        </w:tc>
        <w:tc>
          <w:tcPr>
            <w:tcW w:w="0" w:type="auto"/>
            <w:shd w:val="clear" w:color="auto" w:fill="FFFFFF"/>
            <w:tcMar>
              <w:top w:w="30" w:type="dxa"/>
              <w:left w:w="0" w:type="dxa"/>
              <w:bottom w:w="30" w:type="dxa"/>
              <w:right w:w="20" w:type="dxa"/>
            </w:tcMar>
            <w:vAlign w:val="bottom"/>
            <w:hideMark/>
          </w:tcPr>
          <w:p w14:paraId="51CCF64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21CA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E0FD7E" w14:textId="77777777" w:rsidR="00000000" w:rsidRDefault="00E614A4">
            <w:pPr>
              <w:jc w:val="right"/>
              <w:rPr>
                <w:rFonts w:eastAsia="Times New Roman"/>
              </w:rPr>
            </w:pPr>
            <w:r>
              <w:rPr>
                <w:rFonts w:eastAsia="Times New Roman"/>
                <w:color w:val="000000"/>
                <w:sz w:val="18"/>
                <w:szCs w:val="18"/>
              </w:rPr>
              <w:t>(12.5)</w:t>
            </w:r>
          </w:p>
        </w:tc>
        <w:tc>
          <w:tcPr>
            <w:tcW w:w="0" w:type="auto"/>
            <w:shd w:val="clear" w:color="auto" w:fill="FFFFFF"/>
            <w:tcMar>
              <w:top w:w="30" w:type="dxa"/>
              <w:left w:w="0" w:type="dxa"/>
              <w:bottom w:w="30" w:type="dxa"/>
              <w:right w:w="20" w:type="dxa"/>
            </w:tcMar>
            <w:vAlign w:val="bottom"/>
            <w:hideMark/>
          </w:tcPr>
          <w:p w14:paraId="36699CAC" w14:textId="77777777" w:rsidR="00000000" w:rsidRDefault="00E614A4">
            <w:pPr>
              <w:jc w:val="right"/>
              <w:rPr>
                <w:rFonts w:eastAsia="Times New Roman"/>
              </w:rPr>
            </w:pPr>
            <w:r>
              <w:rPr>
                <w:rFonts w:eastAsia="Times New Roman"/>
                <w:color w:val="000000"/>
                <w:sz w:val="18"/>
                <w:szCs w:val="18"/>
              </w:rPr>
              <w:t>%</w:t>
            </w:r>
          </w:p>
        </w:tc>
      </w:tr>
      <w:tr w:rsidR="00000000" w14:paraId="3ECAE57C" w14:textId="77777777">
        <w:trPr>
          <w:divId w:val="1980643964"/>
          <w:jc w:val="center"/>
        </w:trPr>
        <w:tc>
          <w:tcPr>
            <w:tcW w:w="0" w:type="auto"/>
            <w:gridSpan w:val="3"/>
            <w:shd w:val="clear" w:color="auto" w:fill="CCEEFF"/>
            <w:tcMar>
              <w:top w:w="30" w:type="dxa"/>
              <w:left w:w="245" w:type="dxa"/>
              <w:bottom w:w="30" w:type="dxa"/>
              <w:right w:w="20" w:type="dxa"/>
            </w:tcMar>
            <w:vAlign w:val="bottom"/>
            <w:hideMark/>
          </w:tcPr>
          <w:p w14:paraId="4649DCBC" w14:textId="77777777" w:rsidR="00000000" w:rsidRDefault="00E614A4">
            <w:pPr>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1AA5E52D" w14:textId="77777777" w:rsidR="00000000" w:rsidRDefault="00E614A4">
            <w:pPr>
              <w:jc w:val="right"/>
              <w:rPr>
                <w:rFonts w:eastAsia="Times New Roman"/>
              </w:rPr>
            </w:pPr>
            <w:r>
              <w:rPr>
                <w:rFonts w:eastAsia="Times New Roman"/>
                <w:color w:val="000000"/>
                <w:sz w:val="18"/>
                <w:szCs w:val="18"/>
              </w:rPr>
              <w:t>2,651 </w:t>
            </w:r>
          </w:p>
        </w:tc>
        <w:tc>
          <w:tcPr>
            <w:tcW w:w="0" w:type="auto"/>
            <w:shd w:val="clear" w:color="auto" w:fill="CCEEFF"/>
            <w:tcMar>
              <w:top w:w="30" w:type="dxa"/>
              <w:left w:w="0" w:type="dxa"/>
              <w:bottom w:w="30" w:type="dxa"/>
              <w:right w:w="20" w:type="dxa"/>
            </w:tcMar>
            <w:vAlign w:val="bottom"/>
            <w:hideMark/>
          </w:tcPr>
          <w:p w14:paraId="6955B0C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AF24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DD1B34" w14:textId="77777777" w:rsidR="00000000" w:rsidRDefault="00E614A4">
            <w:pPr>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4969877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07D9CBD"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F302B0" w14:textId="77777777" w:rsidR="00000000" w:rsidRDefault="00E614A4">
            <w:pPr>
              <w:jc w:val="right"/>
              <w:rPr>
                <w:rFonts w:eastAsia="Times New Roman"/>
              </w:rPr>
            </w:pPr>
            <w:r>
              <w:rPr>
                <w:rFonts w:eastAsia="Times New Roman"/>
                <w:color w:val="000000"/>
                <w:sz w:val="18"/>
                <w:szCs w:val="18"/>
              </w:rPr>
              <w:t>2,521 </w:t>
            </w:r>
          </w:p>
        </w:tc>
        <w:tc>
          <w:tcPr>
            <w:tcW w:w="0" w:type="auto"/>
            <w:shd w:val="clear" w:color="auto" w:fill="CCEEFF"/>
            <w:tcMar>
              <w:top w:w="30" w:type="dxa"/>
              <w:left w:w="0" w:type="dxa"/>
              <w:bottom w:w="30" w:type="dxa"/>
              <w:right w:w="20" w:type="dxa"/>
            </w:tcMar>
            <w:vAlign w:val="bottom"/>
            <w:hideMark/>
          </w:tcPr>
          <w:p w14:paraId="0EBACF8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B7A98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F0AC0A" w14:textId="77777777" w:rsidR="00000000" w:rsidRDefault="00E614A4">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3304D459"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533691"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614985" w14:textId="77777777" w:rsidR="00000000" w:rsidRDefault="00E614A4">
            <w:pPr>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bottom"/>
            <w:hideMark/>
          </w:tcPr>
          <w:p w14:paraId="094E3BE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DA6F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DA866E" w14:textId="77777777" w:rsidR="00000000" w:rsidRDefault="00E614A4">
            <w:pPr>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bottom"/>
            <w:hideMark/>
          </w:tcPr>
          <w:p w14:paraId="3263EEBF" w14:textId="77777777" w:rsidR="00000000" w:rsidRDefault="00E614A4">
            <w:pPr>
              <w:jc w:val="right"/>
              <w:rPr>
                <w:rFonts w:eastAsia="Times New Roman"/>
              </w:rPr>
            </w:pPr>
            <w:r>
              <w:rPr>
                <w:rFonts w:eastAsia="Times New Roman"/>
                <w:color w:val="000000"/>
                <w:sz w:val="18"/>
                <w:szCs w:val="18"/>
              </w:rPr>
              <w:t>%</w:t>
            </w:r>
          </w:p>
        </w:tc>
      </w:tr>
      <w:tr w:rsidR="00000000" w14:paraId="06D9957E" w14:textId="77777777">
        <w:trPr>
          <w:divId w:val="1980643964"/>
          <w:jc w:val="center"/>
        </w:trPr>
        <w:tc>
          <w:tcPr>
            <w:tcW w:w="0" w:type="auto"/>
            <w:gridSpan w:val="3"/>
            <w:vAlign w:val="center"/>
            <w:hideMark/>
          </w:tcPr>
          <w:p w14:paraId="08D2A68F" w14:textId="77777777" w:rsidR="00000000" w:rsidRDefault="00E614A4">
            <w:pPr>
              <w:jc w:val="right"/>
              <w:rPr>
                <w:rFonts w:eastAsia="Times New Roman"/>
              </w:rPr>
            </w:pPr>
          </w:p>
        </w:tc>
        <w:tc>
          <w:tcPr>
            <w:tcW w:w="0" w:type="auto"/>
            <w:gridSpan w:val="3"/>
            <w:vAlign w:val="center"/>
            <w:hideMark/>
          </w:tcPr>
          <w:p w14:paraId="144C6DA1" w14:textId="77777777" w:rsidR="00000000" w:rsidRDefault="00E614A4">
            <w:pPr>
              <w:rPr>
                <w:rFonts w:eastAsia="Times New Roman"/>
                <w:sz w:val="20"/>
                <w:szCs w:val="20"/>
              </w:rPr>
            </w:pPr>
          </w:p>
        </w:tc>
        <w:tc>
          <w:tcPr>
            <w:tcW w:w="0" w:type="auto"/>
            <w:gridSpan w:val="3"/>
            <w:vAlign w:val="center"/>
            <w:hideMark/>
          </w:tcPr>
          <w:p w14:paraId="53167D5F" w14:textId="77777777" w:rsidR="00000000" w:rsidRDefault="00E614A4">
            <w:pPr>
              <w:rPr>
                <w:rFonts w:eastAsia="Times New Roman"/>
                <w:sz w:val="20"/>
                <w:szCs w:val="20"/>
              </w:rPr>
            </w:pPr>
          </w:p>
        </w:tc>
        <w:tc>
          <w:tcPr>
            <w:tcW w:w="0" w:type="auto"/>
            <w:gridSpan w:val="3"/>
            <w:vAlign w:val="center"/>
            <w:hideMark/>
          </w:tcPr>
          <w:p w14:paraId="20D49515" w14:textId="77777777" w:rsidR="00000000" w:rsidRDefault="00E614A4">
            <w:pPr>
              <w:rPr>
                <w:rFonts w:eastAsia="Times New Roman"/>
                <w:sz w:val="20"/>
                <w:szCs w:val="20"/>
              </w:rPr>
            </w:pPr>
          </w:p>
        </w:tc>
        <w:tc>
          <w:tcPr>
            <w:tcW w:w="0" w:type="auto"/>
            <w:gridSpan w:val="3"/>
            <w:vAlign w:val="center"/>
            <w:hideMark/>
          </w:tcPr>
          <w:p w14:paraId="16680BDE" w14:textId="77777777" w:rsidR="00000000" w:rsidRDefault="00E614A4">
            <w:pPr>
              <w:rPr>
                <w:rFonts w:eastAsia="Times New Roman"/>
                <w:sz w:val="20"/>
                <w:szCs w:val="20"/>
              </w:rPr>
            </w:pPr>
          </w:p>
        </w:tc>
        <w:tc>
          <w:tcPr>
            <w:tcW w:w="0" w:type="auto"/>
            <w:gridSpan w:val="3"/>
            <w:vAlign w:val="center"/>
            <w:hideMark/>
          </w:tcPr>
          <w:p w14:paraId="309BF0D5" w14:textId="77777777" w:rsidR="00000000" w:rsidRDefault="00E614A4">
            <w:pPr>
              <w:rPr>
                <w:rFonts w:eastAsia="Times New Roman"/>
                <w:sz w:val="20"/>
                <w:szCs w:val="20"/>
              </w:rPr>
            </w:pPr>
          </w:p>
        </w:tc>
        <w:tc>
          <w:tcPr>
            <w:tcW w:w="0" w:type="auto"/>
            <w:gridSpan w:val="3"/>
            <w:vAlign w:val="center"/>
            <w:hideMark/>
          </w:tcPr>
          <w:p w14:paraId="6972E328" w14:textId="77777777" w:rsidR="00000000" w:rsidRDefault="00E614A4">
            <w:pPr>
              <w:rPr>
                <w:rFonts w:eastAsia="Times New Roman"/>
                <w:sz w:val="20"/>
                <w:szCs w:val="20"/>
              </w:rPr>
            </w:pPr>
          </w:p>
        </w:tc>
        <w:tc>
          <w:tcPr>
            <w:tcW w:w="0" w:type="auto"/>
            <w:gridSpan w:val="3"/>
            <w:vAlign w:val="center"/>
            <w:hideMark/>
          </w:tcPr>
          <w:p w14:paraId="7781762E" w14:textId="77777777" w:rsidR="00000000" w:rsidRDefault="00E614A4">
            <w:pPr>
              <w:rPr>
                <w:rFonts w:eastAsia="Times New Roman"/>
                <w:sz w:val="20"/>
                <w:szCs w:val="20"/>
              </w:rPr>
            </w:pPr>
          </w:p>
        </w:tc>
        <w:tc>
          <w:tcPr>
            <w:tcW w:w="0" w:type="auto"/>
            <w:gridSpan w:val="3"/>
            <w:vAlign w:val="center"/>
            <w:hideMark/>
          </w:tcPr>
          <w:p w14:paraId="3C9FBE31" w14:textId="77777777" w:rsidR="00000000" w:rsidRDefault="00E614A4">
            <w:pPr>
              <w:rPr>
                <w:rFonts w:eastAsia="Times New Roman"/>
                <w:sz w:val="20"/>
                <w:szCs w:val="20"/>
              </w:rPr>
            </w:pPr>
          </w:p>
        </w:tc>
        <w:tc>
          <w:tcPr>
            <w:tcW w:w="0" w:type="auto"/>
            <w:gridSpan w:val="3"/>
            <w:vAlign w:val="center"/>
            <w:hideMark/>
          </w:tcPr>
          <w:p w14:paraId="575044D3" w14:textId="77777777" w:rsidR="00000000" w:rsidRDefault="00E614A4">
            <w:pPr>
              <w:rPr>
                <w:rFonts w:eastAsia="Times New Roman"/>
                <w:sz w:val="20"/>
                <w:szCs w:val="20"/>
              </w:rPr>
            </w:pPr>
          </w:p>
        </w:tc>
        <w:tc>
          <w:tcPr>
            <w:tcW w:w="0" w:type="auto"/>
            <w:gridSpan w:val="3"/>
            <w:vAlign w:val="center"/>
            <w:hideMark/>
          </w:tcPr>
          <w:p w14:paraId="3D6D497D" w14:textId="77777777" w:rsidR="00000000" w:rsidRDefault="00E614A4">
            <w:pPr>
              <w:rPr>
                <w:rFonts w:eastAsia="Times New Roman"/>
                <w:sz w:val="20"/>
                <w:szCs w:val="20"/>
              </w:rPr>
            </w:pPr>
          </w:p>
        </w:tc>
        <w:tc>
          <w:tcPr>
            <w:tcW w:w="0" w:type="auto"/>
            <w:gridSpan w:val="3"/>
            <w:vAlign w:val="center"/>
            <w:hideMark/>
          </w:tcPr>
          <w:p w14:paraId="24A91D66" w14:textId="77777777" w:rsidR="00000000" w:rsidRDefault="00E614A4">
            <w:pPr>
              <w:rPr>
                <w:rFonts w:eastAsia="Times New Roman"/>
                <w:sz w:val="20"/>
                <w:szCs w:val="20"/>
              </w:rPr>
            </w:pPr>
          </w:p>
        </w:tc>
      </w:tr>
      <w:tr w:rsidR="00000000" w14:paraId="0B8068AA" w14:textId="77777777">
        <w:trPr>
          <w:divId w:val="1980643964"/>
          <w:jc w:val="center"/>
        </w:trPr>
        <w:tc>
          <w:tcPr>
            <w:tcW w:w="0" w:type="auto"/>
            <w:gridSpan w:val="3"/>
            <w:shd w:val="clear" w:color="auto" w:fill="FFFFFF"/>
            <w:tcMar>
              <w:top w:w="30" w:type="dxa"/>
              <w:left w:w="245" w:type="dxa"/>
              <w:bottom w:w="30" w:type="dxa"/>
              <w:right w:w="20" w:type="dxa"/>
            </w:tcMar>
            <w:vAlign w:val="bottom"/>
            <w:hideMark/>
          </w:tcPr>
          <w:p w14:paraId="6448C888" w14:textId="77777777" w:rsidR="00000000" w:rsidRDefault="00E614A4">
            <w:pPr>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5741E75D" w14:textId="77777777" w:rsidR="00000000" w:rsidRDefault="00E614A4">
            <w:pPr>
              <w:jc w:val="right"/>
              <w:rPr>
                <w:rFonts w:eastAsia="Times New Roman"/>
              </w:rPr>
            </w:pPr>
            <w:r>
              <w:rPr>
                <w:rFonts w:eastAsia="Times New Roman"/>
                <w:color w:val="000000"/>
                <w:sz w:val="18"/>
                <w:szCs w:val="18"/>
              </w:rPr>
              <w:t>2,579 </w:t>
            </w:r>
          </w:p>
        </w:tc>
        <w:tc>
          <w:tcPr>
            <w:tcW w:w="0" w:type="auto"/>
            <w:shd w:val="clear" w:color="auto" w:fill="FFFFFF"/>
            <w:tcMar>
              <w:top w:w="30" w:type="dxa"/>
              <w:left w:w="0" w:type="dxa"/>
              <w:bottom w:w="30" w:type="dxa"/>
              <w:right w:w="20" w:type="dxa"/>
            </w:tcMar>
            <w:vAlign w:val="bottom"/>
            <w:hideMark/>
          </w:tcPr>
          <w:p w14:paraId="1655D27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73C5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521EFB" w14:textId="77777777" w:rsidR="00000000" w:rsidRDefault="00E614A4">
            <w:pPr>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3B7B738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A0ADA22"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5EFBA7" w14:textId="77777777" w:rsidR="00000000" w:rsidRDefault="00E614A4">
            <w:pPr>
              <w:jc w:val="right"/>
              <w:rPr>
                <w:rFonts w:eastAsia="Times New Roman"/>
              </w:rPr>
            </w:pPr>
            <w:r>
              <w:rPr>
                <w:rFonts w:eastAsia="Times New Roman"/>
                <w:color w:val="000000"/>
                <w:sz w:val="18"/>
                <w:szCs w:val="18"/>
              </w:rPr>
              <w:t>2,726 </w:t>
            </w:r>
          </w:p>
        </w:tc>
        <w:tc>
          <w:tcPr>
            <w:tcW w:w="0" w:type="auto"/>
            <w:shd w:val="clear" w:color="auto" w:fill="FFFFFF"/>
            <w:tcMar>
              <w:top w:w="30" w:type="dxa"/>
              <w:left w:w="0" w:type="dxa"/>
              <w:bottom w:w="30" w:type="dxa"/>
              <w:right w:w="20" w:type="dxa"/>
            </w:tcMar>
            <w:vAlign w:val="bottom"/>
            <w:hideMark/>
          </w:tcPr>
          <w:p w14:paraId="1FE9237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15D7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6CBADD" w14:textId="77777777" w:rsidR="00000000" w:rsidRDefault="00E614A4">
            <w:pPr>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57496F1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7370DFC"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204D78" w14:textId="77777777" w:rsidR="00000000" w:rsidRDefault="00E614A4">
            <w:pPr>
              <w:jc w:val="right"/>
              <w:rPr>
                <w:rFonts w:eastAsia="Times New Roman"/>
              </w:rPr>
            </w:pPr>
            <w:r>
              <w:rPr>
                <w:rFonts w:eastAsia="Times New Roman"/>
                <w:color w:val="000000"/>
                <w:sz w:val="18"/>
                <w:szCs w:val="18"/>
              </w:rPr>
              <w:t>(147)</w:t>
            </w:r>
          </w:p>
        </w:tc>
        <w:tc>
          <w:tcPr>
            <w:tcW w:w="0" w:type="auto"/>
            <w:shd w:val="clear" w:color="auto" w:fill="FFFFFF"/>
            <w:tcMar>
              <w:top w:w="30" w:type="dxa"/>
              <w:left w:w="0" w:type="dxa"/>
              <w:bottom w:w="30" w:type="dxa"/>
              <w:right w:w="20" w:type="dxa"/>
            </w:tcMar>
            <w:vAlign w:val="bottom"/>
            <w:hideMark/>
          </w:tcPr>
          <w:p w14:paraId="3048D50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213E9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BFB68" w14:textId="77777777" w:rsidR="00000000" w:rsidRDefault="00E614A4">
            <w:pPr>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14:paraId="24988DB0" w14:textId="77777777" w:rsidR="00000000" w:rsidRDefault="00E614A4">
            <w:pPr>
              <w:jc w:val="right"/>
              <w:rPr>
                <w:rFonts w:eastAsia="Times New Roman"/>
              </w:rPr>
            </w:pPr>
            <w:r>
              <w:rPr>
                <w:rFonts w:eastAsia="Times New Roman"/>
                <w:color w:val="000000"/>
                <w:sz w:val="18"/>
                <w:szCs w:val="18"/>
              </w:rPr>
              <w:t>%</w:t>
            </w:r>
          </w:p>
        </w:tc>
      </w:tr>
      <w:tr w:rsidR="00000000" w14:paraId="0A3E984A" w14:textId="77777777">
        <w:trPr>
          <w:divId w:val="1980643964"/>
          <w:jc w:val="center"/>
        </w:trPr>
        <w:tc>
          <w:tcPr>
            <w:tcW w:w="0" w:type="auto"/>
            <w:gridSpan w:val="3"/>
            <w:shd w:val="clear" w:color="auto" w:fill="CCEEFF"/>
            <w:tcMar>
              <w:top w:w="30" w:type="dxa"/>
              <w:left w:w="245" w:type="dxa"/>
              <w:bottom w:w="30" w:type="dxa"/>
              <w:right w:w="20" w:type="dxa"/>
            </w:tcMar>
            <w:vAlign w:val="bottom"/>
            <w:hideMark/>
          </w:tcPr>
          <w:p w14:paraId="583BFF6C" w14:textId="77777777" w:rsidR="00000000" w:rsidRDefault="00E614A4">
            <w:pPr>
              <w:rPr>
                <w:rFonts w:eastAsia="Times New Roman"/>
              </w:rPr>
            </w:pPr>
            <w:r>
              <w:rPr>
                <w:rFonts w:eastAsia="Times New Roman"/>
                <w:color w:val="000000"/>
                <w:sz w:val="18"/>
                <w:szCs w:val="18"/>
              </w:rPr>
              <w:t>Travel</w:t>
            </w:r>
          </w:p>
        </w:tc>
        <w:tc>
          <w:tcPr>
            <w:tcW w:w="0" w:type="auto"/>
            <w:gridSpan w:val="2"/>
            <w:shd w:val="clear" w:color="auto" w:fill="CCEEFF"/>
            <w:tcMar>
              <w:top w:w="30" w:type="dxa"/>
              <w:left w:w="20" w:type="dxa"/>
              <w:bottom w:w="30" w:type="dxa"/>
              <w:right w:w="0" w:type="dxa"/>
            </w:tcMar>
            <w:vAlign w:val="bottom"/>
            <w:hideMark/>
          </w:tcPr>
          <w:p w14:paraId="10C2BEE2" w14:textId="77777777" w:rsidR="00000000" w:rsidRDefault="00E614A4">
            <w:pPr>
              <w:jc w:val="right"/>
              <w:rPr>
                <w:rFonts w:eastAsia="Times New Roman"/>
              </w:rPr>
            </w:pPr>
            <w:r>
              <w:rPr>
                <w:rFonts w:eastAsia="Times New Roman"/>
                <w:color w:val="000000"/>
                <w:sz w:val="18"/>
                <w:szCs w:val="18"/>
              </w:rPr>
              <w:t>720 </w:t>
            </w:r>
          </w:p>
        </w:tc>
        <w:tc>
          <w:tcPr>
            <w:tcW w:w="0" w:type="auto"/>
            <w:shd w:val="clear" w:color="auto" w:fill="CCEEFF"/>
            <w:tcMar>
              <w:top w:w="30" w:type="dxa"/>
              <w:left w:w="0" w:type="dxa"/>
              <w:bottom w:w="30" w:type="dxa"/>
              <w:right w:w="20" w:type="dxa"/>
            </w:tcMar>
            <w:vAlign w:val="bottom"/>
            <w:hideMark/>
          </w:tcPr>
          <w:p w14:paraId="1A21A61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EE815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E512DE" w14:textId="77777777" w:rsidR="00000000" w:rsidRDefault="00E614A4">
            <w:pPr>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761198D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C20D01D"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DCACF2" w14:textId="77777777" w:rsidR="00000000" w:rsidRDefault="00E614A4">
            <w:pPr>
              <w:jc w:val="right"/>
              <w:rPr>
                <w:rFonts w:eastAsia="Times New Roman"/>
              </w:rPr>
            </w:pPr>
            <w:r>
              <w:rPr>
                <w:rFonts w:eastAsia="Times New Roman"/>
                <w:color w:val="000000"/>
                <w:sz w:val="18"/>
                <w:szCs w:val="18"/>
              </w:rPr>
              <w:t>3,260 </w:t>
            </w:r>
          </w:p>
        </w:tc>
        <w:tc>
          <w:tcPr>
            <w:tcW w:w="0" w:type="auto"/>
            <w:shd w:val="clear" w:color="auto" w:fill="CCEEFF"/>
            <w:tcMar>
              <w:top w:w="30" w:type="dxa"/>
              <w:left w:w="0" w:type="dxa"/>
              <w:bottom w:w="30" w:type="dxa"/>
              <w:right w:w="20" w:type="dxa"/>
            </w:tcMar>
            <w:vAlign w:val="bottom"/>
            <w:hideMark/>
          </w:tcPr>
          <w:p w14:paraId="79E3938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FBD8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66D8F" w14:textId="77777777" w:rsidR="00000000" w:rsidRDefault="00E614A4">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3C15E369"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EC21288"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4DA7A6" w14:textId="77777777" w:rsidR="00000000" w:rsidRDefault="00E614A4">
            <w:pPr>
              <w:jc w:val="right"/>
              <w:rPr>
                <w:rFonts w:eastAsia="Times New Roman"/>
              </w:rPr>
            </w:pPr>
            <w:r>
              <w:rPr>
                <w:rFonts w:eastAsia="Times New Roman"/>
                <w:color w:val="000000"/>
                <w:sz w:val="18"/>
                <w:szCs w:val="18"/>
              </w:rPr>
              <w:t>(2,540)</w:t>
            </w:r>
          </w:p>
        </w:tc>
        <w:tc>
          <w:tcPr>
            <w:tcW w:w="0" w:type="auto"/>
            <w:shd w:val="clear" w:color="auto" w:fill="CCEEFF"/>
            <w:tcMar>
              <w:top w:w="30" w:type="dxa"/>
              <w:left w:w="0" w:type="dxa"/>
              <w:bottom w:w="30" w:type="dxa"/>
              <w:right w:w="20" w:type="dxa"/>
            </w:tcMar>
            <w:vAlign w:val="bottom"/>
            <w:hideMark/>
          </w:tcPr>
          <w:p w14:paraId="4C2566A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F8B8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F88DBE" w14:textId="77777777" w:rsidR="00000000" w:rsidRDefault="00E614A4">
            <w:pPr>
              <w:jc w:val="right"/>
              <w:rPr>
                <w:rFonts w:eastAsia="Times New Roman"/>
              </w:rPr>
            </w:pPr>
            <w:r>
              <w:rPr>
                <w:rFonts w:eastAsia="Times New Roman"/>
                <w:color w:val="000000"/>
                <w:sz w:val="18"/>
                <w:szCs w:val="18"/>
              </w:rPr>
              <w:t>(77.9)</w:t>
            </w:r>
          </w:p>
        </w:tc>
        <w:tc>
          <w:tcPr>
            <w:tcW w:w="0" w:type="auto"/>
            <w:shd w:val="clear" w:color="auto" w:fill="CCEEFF"/>
            <w:tcMar>
              <w:top w:w="30" w:type="dxa"/>
              <w:left w:w="0" w:type="dxa"/>
              <w:bottom w:w="30" w:type="dxa"/>
              <w:right w:w="20" w:type="dxa"/>
            </w:tcMar>
            <w:vAlign w:val="bottom"/>
            <w:hideMark/>
          </w:tcPr>
          <w:p w14:paraId="65626160" w14:textId="77777777" w:rsidR="00000000" w:rsidRDefault="00E614A4">
            <w:pPr>
              <w:jc w:val="right"/>
              <w:rPr>
                <w:rFonts w:eastAsia="Times New Roman"/>
              </w:rPr>
            </w:pPr>
            <w:r>
              <w:rPr>
                <w:rFonts w:eastAsia="Times New Roman"/>
                <w:color w:val="000000"/>
                <w:sz w:val="18"/>
                <w:szCs w:val="18"/>
              </w:rPr>
              <w:t>%</w:t>
            </w:r>
          </w:p>
        </w:tc>
      </w:tr>
      <w:tr w:rsidR="00000000" w14:paraId="407BE2DD" w14:textId="77777777">
        <w:trPr>
          <w:divId w:val="1980643964"/>
          <w:jc w:val="center"/>
        </w:trPr>
        <w:tc>
          <w:tcPr>
            <w:tcW w:w="0" w:type="auto"/>
            <w:gridSpan w:val="3"/>
            <w:vAlign w:val="center"/>
            <w:hideMark/>
          </w:tcPr>
          <w:p w14:paraId="1E64FE64" w14:textId="77777777" w:rsidR="00000000" w:rsidRDefault="00E614A4">
            <w:pPr>
              <w:jc w:val="right"/>
              <w:rPr>
                <w:rFonts w:eastAsia="Times New Roman"/>
              </w:rPr>
            </w:pPr>
          </w:p>
        </w:tc>
        <w:tc>
          <w:tcPr>
            <w:tcW w:w="0" w:type="auto"/>
            <w:gridSpan w:val="3"/>
            <w:vAlign w:val="center"/>
            <w:hideMark/>
          </w:tcPr>
          <w:p w14:paraId="237FFBF3" w14:textId="77777777" w:rsidR="00000000" w:rsidRDefault="00E614A4">
            <w:pPr>
              <w:rPr>
                <w:rFonts w:eastAsia="Times New Roman"/>
                <w:sz w:val="20"/>
                <w:szCs w:val="20"/>
              </w:rPr>
            </w:pPr>
          </w:p>
        </w:tc>
        <w:tc>
          <w:tcPr>
            <w:tcW w:w="0" w:type="auto"/>
            <w:gridSpan w:val="3"/>
            <w:vAlign w:val="center"/>
            <w:hideMark/>
          </w:tcPr>
          <w:p w14:paraId="7FF166E6" w14:textId="77777777" w:rsidR="00000000" w:rsidRDefault="00E614A4">
            <w:pPr>
              <w:rPr>
                <w:rFonts w:eastAsia="Times New Roman"/>
                <w:sz w:val="20"/>
                <w:szCs w:val="20"/>
              </w:rPr>
            </w:pPr>
          </w:p>
        </w:tc>
        <w:tc>
          <w:tcPr>
            <w:tcW w:w="0" w:type="auto"/>
            <w:gridSpan w:val="3"/>
            <w:vAlign w:val="center"/>
            <w:hideMark/>
          </w:tcPr>
          <w:p w14:paraId="6B058CA6" w14:textId="77777777" w:rsidR="00000000" w:rsidRDefault="00E614A4">
            <w:pPr>
              <w:rPr>
                <w:rFonts w:eastAsia="Times New Roman"/>
                <w:sz w:val="20"/>
                <w:szCs w:val="20"/>
              </w:rPr>
            </w:pPr>
          </w:p>
        </w:tc>
        <w:tc>
          <w:tcPr>
            <w:tcW w:w="0" w:type="auto"/>
            <w:gridSpan w:val="3"/>
            <w:vAlign w:val="center"/>
            <w:hideMark/>
          </w:tcPr>
          <w:p w14:paraId="4EF1A953" w14:textId="77777777" w:rsidR="00000000" w:rsidRDefault="00E614A4">
            <w:pPr>
              <w:rPr>
                <w:rFonts w:eastAsia="Times New Roman"/>
                <w:sz w:val="20"/>
                <w:szCs w:val="20"/>
              </w:rPr>
            </w:pPr>
          </w:p>
        </w:tc>
        <w:tc>
          <w:tcPr>
            <w:tcW w:w="0" w:type="auto"/>
            <w:gridSpan w:val="3"/>
            <w:vAlign w:val="center"/>
            <w:hideMark/>
          </w:tcPr>
          <w:p w14:paraId="27F9BA15" w14:textId="77777777" w:rsidR="00000000" w:rsidRDefault="00E614A4">
            <w:pPr>
              <w:rPr>
                <w:rFonts w:eastAsia="Times New Roman"/>
                <w:sz w:val="20"/>
                <w:szCs w:val="20"/>
              </w:rPr>
            </w:pPr>
          </w:p>
        </w:tc>
        <w:tc>
          <w:tcPr>
            <w:tcW w:w="0" w:type="auto"/>
            <w:gridSpan w:val="3"/>
            <w:vAlign w:val="center"/>
            <w:hideMark/>
          </w:tcPr>
          <w:p w14:paraId="326484CE" w14:textId="77777777" w:rsidR="00000000" w:rsidRDefault="00E614A4">
            <w:pPr>
              <w:rPr>
                <w:rFonts w:eastAsia="Times New Roman"/>
                <w:sz w:val="20"/>
                <w:szCs w:val="20"/>
              </w:rPr>
            </w:pPr>
          </w:p>
        </w:tc>
        <w:tc>
          <w:tcPr>
            <w:tcW w:w="0" w:type="auto"/>
            <w:gridSpan w:val="3"/>
            <w:vAlign w:val="center"/>
            <w:hideMark/>
          </w:tcPr>
          <w:p w14:paraId="5547B01F" w14:textId="77777777" w:rsidR="00000000" w:rsidRDefault="00E614A4">
            <w:pPr>
              <w:rPr>
                <w:rFonts w:eastAsia="Times New Roman"/>
                <w:sz w:val="20"/>
                <w:szCs w:val="20"/>
              </w:rPr>
            </w:pPr>
          </w:p>
        </w:tc>
        <w:tc>
          <w:tcPr>
            <w:tcW w:w="0" w:type="auto"/>
            <w:gridSpan w:val="3"/>
            <w:vAlign w:val="center"/>
            <w:hideMark/>
          </w:tcPr>
          <w:p w14:paraId="3A3C7492" w14:textId="77777777" w:rsidR="00000000" w:rsidRDefault="00E614A4">
            <w:pPr>
              <w:rPr>
                <w:rFonts w:eastAsia="Times New Roman"/>
                <w:sz w:val="20"/>
                <w:szCs w:val="20"/>
              </w:rPr>
            </w:pPr>
          </w:p>
        </w:tc>
        <w:tc>
          <w:tcPr>
            <w:tcW w:w="0" w:type="auto"/>
            <w:gridSpan w:val="3"/>
            <w:vAlign w:val="center"/>
            <w:hideMark/>
          </w:tcPr>
          <w:p w14:paraId="3C50E0AD" w14:textId="77777777" w:rsidR="00000000" w:rsidRDefault="00E614A4">
            <w:pPr>
              <w:rPr>
                <w:rFonts w:eastAsia="Times New Roman"/>
                <w:sz w:val="20"/>
                <w:szCs w:val="20"/>
              </w:rPr>
            </w:pPr>
          </w:p>
        </w:tc>
        <w:tc>
          <w:tcPr>
            <w:tcW w:w="0" w:type="auto"/>
            <w:gridSpan w:val="3"/>
            <w:vAlign w:val="center"/>
            <w:hideMark/>
          </w:tcPr>
          <w:p w14:paraId="05C82C4F" w14:textId="77777777" w:rsidR="00000000" w:rsidRDefault="00E614A4">
            <w:pPr>
              <w:rPr>
                <w:rFonts w:eastAsia="Times New Roman"/>
                <w:sz w:val="20"/>
                <w:szCs w:val="20"/>
              </w:rPr>
            </w:pPr>
          </w:p>
        </w:tc>
        <w:tc>
          <w:tcPr>
            <w:tcW w:w="0" w:type="auto"/>
            <w:gridSpan w:val="3"/>
            <w:vAlign w:val="center"/>
            <w:hideMark/>
          </w:tcPr>
          <w:p w14:paraId="6B5895E8" w14:textId="77777777" w:rsidR="00000000" w:rsidRDefault="00E614A4">
            <w:pPr>
              <w:rPr>
                <w:rFonts w:eastAsia="Times New Roman"/>
                <w:sz w:val="20"/>
                <w:szCs w:val="20"/>
              </w:rPr>
            </w:pPr>
          </w:p>
        </w:tc>
      </w:tr>
      <w:tr w:rsidR="00000000" w14:paraId="34166278" w14:textId="77777777">
        <w:trPr>
          <w:divId w:val="1980643964"/>
          <w:jc w:val="center"/>
        </w:trPr>
        <w:tc>
          <w:tcPr>
            <w:tcW w:w="0" w:type="auto"/>
            <w:gridSpan w:val="3"/>
            <w:shd w:val="clear" w:color="auto" w:fill="FFFFFF"/>
            <w:tcMar>
              <w:top w:w="30" w:type="dxa"/>
              <w:left w:w="245" w:type="dxa"/>
              <w:bottom w:w="30" w:type="dxa"/>
              <w:right w:w="20" w:type="dxa"/>
            </w:tcMar>
            <w:vAlign w:val="bottom"/>
            <w:hideMark/>
          </w:tcPr>
          <w:p w14:paraId="6BBAFC3E" w14:textId="77777777" w:rsidR="00000000" w:rsidRDefault="00E614A4">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7F6BCD0E" w14:textId="77777777" w:rsidR="00000000" w:rsidRDefault="00E614A4">
            <w:pPr>
              <w:jc w:val="right"/>
              <w:rPr>
                <w:rFonts w:eastAsia="Times New Roman"/>
              </w:rPr>
            </w:pPr>
            <w:r>
              <w:rPr>
                <w:rFonts w:eastAsia="Times New Roman"/>
                <w:color w:val="000000"/>
                <w:sz w:val="18"/>
                <w:szCs w:val="18"/>
              </w:rPr>
              <w:t>1,661 </w:t>
            </w:r>
          </w:p>
        </w:tc>
        <w:tc>
          <w:tcPr>
            <w:tcW w:w="0" w:type="auto"/>
            <w:shd w:val="clear" w:color="auto" w:fill="FFFFFF"/>
            <w:tcMar>
              <w:top w:w="30" w:type="dxa"/>
              <w:left w:w="0" w:type="dxa"/>
              <w:bottom w:w="30" w:type="dxa"/>
              <w:right w:w="20" w:type="dxa"/>
            </w:tcMar>
            <w:vAlign w:val="bottom"/>
            <w:hideMark/>
          </w:tcPr>
          <w:p w14:paraId="65A6A01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57DAD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306BA" w14:textId="77777777" w:rsidR="00000000" w:rsidRDefault="00E614A4">
            <w:pPr>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4CD5F63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7549F49"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6F898A" w14:textId="77777777" w:rsidR="00000000" w:rsidRDefault="00E614A4">
            <w:pPr>
              <w:jc w:val="right"/>
              <w:rPr>
                <w:rFonts w:eastAsia="Times New Roman"/>
              </w:rPr>
            </w:pPr>
            <w:r>
              <w:rPr>
                <w:rFonts w:eastAsia="Times New Roman"/>
                <w:color w:val="000000"/>
                <w:sz w:val="18"/>
                <w:szCs w:val="18"/>
              </w:rPr>
              <w:t>2,969 </w:t>
            </w:r>
          </w:p>
        </w:tc>
        <w:tc>
          <w:tcPr>
            <w:tcW w:w="0" w:type="auto"/>
            <w:shd w:val="clear" w:color="auto" w:fill="FFFFFF"/>
            <w:tcMar>
              <w:top w:w="30" w:type="dxa"/>
              <w:left w:w="0" w:type="dxa"/>
              <w:bottom w:w="30" w:type="dxa"/>
              <w:right w:w="20" w:type="dxa"/>
            </w:tcMar>
            <w:vAlign w:val="bottom"/>
            <w:hideMark/>
          </w:tcPr>
          <w:p w14:paraId="15FC3AB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45DB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AE40F" w14:textId="77777777" w:rsidR="00000000" w:rsidRDefault="00E614A4">
            <w:pPr>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14:paraId="58BBD2F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89A0EF3"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3C4E5B" w14:textId="77777777" w:rsidR="00000000" w:rsidRDefault="00E614A4">
            <w:pPr>
              <w:jc w:val="right"/>
              <w:rPr>
                <w:rFonts w:eastAsia="Times New Roman"/>
              </w:rPr>
            </w:pPr>
            <w:r>
              <w:rPr>
                <w:rFonts w:eastAsia="Times New Roman"/>
                <w:color w:val="000000"/>
                <w:sz w:val="18"/>
                <w:szCs w:val="18"/>
              </w:rPr>
              <w:t>(1,308)</w:t>
            </w:r>
          </w:p>
        </w:tc>
        <w:tc>
          <w:tcPr>
            <w:tcW w:w="0" w:type="auto"/>
            <w:shd w:val="clear" w:color="auto" w:fill="FFFFFF"/>
            <w:tcMar>
              <w:top w:w="30" w:type="dxa"/>
              <w:left w:w="0" w:type="dxa"/>
              <w:bottom w:w="30" w:type="dxa"/>
              <w:right w:w="20" w:type="dxa"/>
            </w:tcMar>
            <w:vAlign w:val="bottom"/>
            <w:hideMark/>
          </w:tcPr>
          <w:p w14:paraId="6996B6D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283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AF3E5A" w14:textId="77777777" w:rsidR="00000000" w:rsidRDefault="00E614A4">
            <w:pPr>
              <w:jc w:val="right"/>
              <w:rPr>
                <w:rFonts w:eastAsia="Times New Roman"/>
              </w:rPr>
            </w:pPr>
            <w:r>
              <w:rPr>
                <w:rFonts w:eastAsia="Times New Roman"/>
                <w:color w:val="000000"/>
                <w:sz w:val="18"/>
                <w:szCs w:val="18"/>
              </w:rPr>
              <w:t>(44.1)</w:t>
            </w:r>
          </w:p>
        </w:tc>
        <w:tc>
          <w:tcPr>
            <w:tcW w:w="0" w:type="auto"/>
            <w:shd w:val="clear" w:color="auto" w:fill="FFFFFF"/>
            <w:tcMar>
              <w:top w:w="30" w:type="dxa"/>
              <w:left w:w="0" w:type="dxa"/>
              <w:bottom w:w="30" w:type="dxa"/>
              <w:right w:w="20" w:type="dxa"/>
            </w:tcMar>
            <w:vAlign w:val="bottom"/>
            <w:hideMark/>
          </w:tcPr>
          <w:p w14:paraId="04F7DE43" w14:textId="77777777" w:rsidR="00000000" w:rsidRDefault="00E614A4">
            <w:pPr>
              <w:jc w:val="right"/>
              <w:rPr>
                <w:rFonts w:eastAsia="Times New Roman"/>
              </w:rPr>
            </w:pPr>
            <w:r>
              <w:rPr>
                <w:rFonts w:eastAsia="Times New Roman"/>
                <w:color w:val="000000"/>
                <w:sz w:val="18"/>
                <w:szCs w:val="18"/>
              </w:rPr>
              <w:t>%</w:t>
            </w:r>
          </w:p>
        </w:tc>
      </w:tr>
      <w:tr w:rsidR="00000000" w14:paraId="71E414C4" w14:textId="77777777">
        <w:trPr>
          <w:divId w:val="1980643964"/>
          <w:jc w:val="center"/>
        </w:trPr>
        <w:tc>
          <w:tcPr>
            <w:tcW w:w="0" w:type="auto"/>
            <w:gridSpan w:val="3"/>
            <w:shd w:val="clear" w:color="auto" w:fill="CCEEFF"/>
            <w:tcMar>
              <w:top w:w="30" w:type="dxa"/>
              <w:left w:w="20" w:type="dxa"/>
              <w:bottom w:w="30" w:type="dxa"/>
              <w:right w:w="20" w:type="dxa"/>
            </w:tcMar>
            <w:vAlign w:val="bottom"/>
            <w:hideMark/>
          </w:tcPr>
          <w:p w14:paraId="59CC5CED" w14:textId="77777777" w:rsidR="00000000" w:rsidRDefault="00E614A4">
            <w:pPr>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15C6F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7DD309" w14:textId="77777777" w:rsidR="00000000" w:rsidRDefault="00E614A4">
            <w:pPr>
              <w:jc w:val="right"/>
              <w:rPr>
                <w:rFonts w:eastAsia="Times New Roman"/>
              </w:rPr>
            </w:pPr>
            <w:r>
              <w:rPr>
                <w:rFonts w:eastAsia="Times New Roman"/>
                <w:color w:val="000000"/>
                <w:sz w:val="18"/>
                <w:szCs w:val="18"/>
              </w:rPr>
              <w:t>70,220 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15BEB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1252D"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3C14E0" w14:textId="77777777" w:rsidR="00000000" w:rsidRDefault="00E614A4">
            <w:pPr>
              <w:jc w:val="right"/>
              <w:rPr>
                <w:rFonts w:eastAsia="Times New Roman"/>
              </w:rPr>
            </w:pPr>
            <w:r>
              <w:rPr>
                <w:rFonts w:eastAsia="Times New Roman"/>
                <w:color w:val="000000"/>
                <w:sz w:val="18"/>
                <w:szCs w:val="18"/>
              </w:rPr>
              <w:t>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F9B3F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078BA81"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97C92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0D5C72" w14:textId="77777777" w:rsidR="00000000" w:rsidRDefault="00E614A4">
            <w:pPr>
              <w:jc w:val="right"/>
              <w:rPr>
                <w:rFonts w:eastAsia="Times New Roman"/>
              </w:rPr>
            </w:pPr>
            <w:r>
              <w:rPr>
                <w:rFonts w:eastAsia="Times New Roman"/>
                <w:color w:val="000000"/>
                <w:sz w:val="18"/>
                <w:szCs w:val="18"/>
              </w:rPr>
              <w:t>89,145 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A07BD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C0606"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401E6D" w14:textId="77777777" w:rsidR="00000000" w:rsidRDefault="00E614A4">
            <w:pPr>
              <w:jc w:val="right"/>
              <w:rPr>
                <w:rFonts w:eastAsia="Times New Roman"/>
              </w:rPr>
            </w:pPr>
            <w:r>
              <w:rPr>
                <w:rFonts w:eastAsia="Times New Roman"/>
                <w:color w:val="000000"/>
                <w:sz w:val="18"/>
                <w:szCs w:val="18"/>
              </w:rPr>
              <w:t>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DBF40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92D350B"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58969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956C5B" w14:textId="77777777" w:rsidR="00000000" w:rsidRDefault="00E614A4">
            <w:pPr>
              <w:jc w:val="right"/>
              <w:rPr>
                <w:rFonts w:eastAsia="Times New Roman"/>
              </w:rPr>
            </w:pPr>
            <w:r>
              <w:rPr>
                <w:rFonts w:eastAsia="Times New Roman"/>
                <w:color w:val="000000"/>
                <w:sz w:val="18"/>
                <w:szCs w:val="18"/>
              </w:rPr>
              <w:t>(18,925)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6AA8B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D73D2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522F13" w14:textId="77777777" w:rsidR="00000000" w:rsidRDefault="00E614A4">
            <w:pPr>
              <w:jc w:val="right"/>
              <w:rPr>
                <w:rFonts w:eastAsia="Times New Roman"/>
              </w:rPr>
            </w:pPr>
            <w:r>
              <w:rPr>
                <w:rFonts w:eastAsia="Times New Roman"/>
                <w:color w:val="000000"/>
                <w:sz w:val="18"/>
                <w:szCs w:val="18"/>
              </w:rPr>
              <w:t>(21.2)</w:t>
            </w:r>
          </w:p>
        </w:tc>
        <w:tc>
          <w:tcPr>
            <w:tcW w:w="0" w:type="auto"/>
            <w:shd w:val="clear" w:color="auto" w:fill="CCEEFF"/>
            <w:tcMar>
              <w:top w:w="30" w:type="dxa"/>
              <w:left w:w="0" w:type="dxa"/>
              <w:bottom w:w="30" w:type="dxa"/>
              <w:right w:w="20" w:type="dxa"/>
            </w:tcMar>
            <w:vAlign w:val="bottom"/>
            <w:hideMark/>
          </w:tcPr>
          <w:p w14:paraId="07E4DC4C" w14:textId="77777777" w:rsidR="00000000" w:rsidRDefault="00E614A4">
            <w:pPr>
              <w:jc w:val="right"/>
              <w:rPr>
                <w:rFonts w:eastAsia="Times New Roman"/>
              </w:rPr>
            </w:pPr>
            <w:r>
              <w:rPr>
                <w:rFonts w:eastAsia="Times New Roman"/>
                <w:color w:val="000000"/>
                <w:sz w:val="18"/>
                <w:szCs w:val="18"/>
              </w:rPr>
              <w:t>%</w:t>
            </w:r>
          </w:p>
        </w:tc>
      </w:tr>
    </w:tbl>
    <w:p w14:paraId="55FD9624" w14:textId="77777777" w:rsidR="00000000" w:rsidRDefault="00E614A4">
      <w:pPr>
        <w:jc w:val="both"/>
        <w:divId w:val="911233393"/>
        <w:rPr>
          <w:rFonts w:eastAsia="Times New Roman"/>
        </w:rPr>
      </w:pPr>
      <w:r>
        <w:rPr>
          <w:rFonts w:eastAsia="Times New Roman"/>
          <w:color w:val="000000"/>
          <w:sz w:val="20"/>
          <w:szCs w:val="20"/>
        </w:rPr>
        <w:t>Selling and marketing expenses decreased by $18.9 million, or 21.2%, for the year ended December 31, 2</w:t>
      </w:r>
      <w:r>
        <w:rPr>
          <w:rFonts w:eastAsia="Times New Roman"/>
          <w:color w:val="000000"/>
          <w:sz w:val="20"/>
          <w:szCs w:val="20"/>
        </w:rPr>
        <w:t>020 as compared to the year ended December 31, 2019. Employee costs decreased $14.4 million primarily as a result of lower headcount and a decrease in sales commissions. Travel costs decreased $2.5 million, and other costs decreased $1.3 million, primarily</w:t>
      </w:r>
      <w:r>
        <w:rPr>
          <w:rFonts w:eastAsia="Times New Roman"/>
          <w:color w:val="000000"/>
          <w:sz w:val="20"/>
          <w:szCs w:val="20"/>
        </w:rPr>
        <w:t xml:space="preserve"> due to a reduction in travel and lower marketing and event costs as a result of the COVID-19 pandemic.</w:t>
      </w:r>
    </w:p>
    <w:p w14:paraId="7C75D57E" w14:textId="77777777" w:rsidR="00000000" w:rsidRDefault="00E614A4">
      <w:pPr>
        <w:jc w:val="both"/>
        <w:divId w:val="2134054103"/>
        <w:rPr>
          <w:rFonts w:eastAsia="Times New Roman"/>
        </w:rPr>
      </w:pPr>
      <w:r>
        <w:rPr>
          <w:rFonts w:eastAsia="Times New Roman"/>
          <w:color w:val="000000"/>
          <w:sz w:val="20"/>
          <w:szCs w:val="20"/>
        </w:rPr>
        <w:t>Selling and marketing expenses for the years ended December 31, 2019 and 2018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2620"/>
        <w:gridCol w:w="38"/>
        <w:gridCol w:w="110"/>
        <w:gridCol w:w="660"/>
        <w:gridCol w:w="36"/>
        <w:gridCol w:w="36"/>
        <w:gridCol w:w="36"/>
        <w:gridCol w:w="36"/>
        <w:gridCol w:w="61"/>
        <w:gridCol w:w="577"/>
        <w:gridCol w:w="170"/>
        <w:gridCol w:w="36"/>
        <w:gridCol w:w="36"/>
        <w:gridCol w:w="36"/>
        <w:gridCol w:w="110"/>
        <w:gridCol w:w="661"/>
        <w:gridCol w:w="36"/>
        <w:gridCol w:w="36"/>
        <w:gridCol w:w="36"/>
        <w:gridCol w:w="36"/>
        <w:gridCol w:w="61"/>
        <w:gridCol w:w="579"/>
        <w:gridCol w:w="170"/>
        <w:gridCol w:w="36"/>
        <w:gridCol w:w="36"/>
        <w:gridCol w:w="36"/>
        <w:gridCol w:w="111"/>
        <w:gridCol w:w="700"/>
        <w:gridCol w:w="36"/>
        <w:gridCol w:w="51"/>
        <w:gridCol w:w="170"/>
        <w:gridCol w:w="50"/>
        <w:gridCol w:w="64"/>
        <w:gridCol w:w="593"/>
        <w:gridCol w:w="170"/>
      </w:tblGrid>
      <w:tr w:rsidR="00000000" w14:paraId="1E068683" w14:textId="77777777">
        <w:trPr>
          <w:divId w:val="1922324233"/>
        </w:trPr>
        <w:tc>
          <w:tcPr>
            <w:tcW w:w="50" w:type="pct"/>
            <w:vAlign w:val="center"/>
            <w:hideMark/>
          </w:tcPr>
          <w:p w14:paraId="4F8C2AA0" w14:textId="77777777" w:rsidR="00000000" w:rsidRDefault="00E614A4">
            <w:pPr>
              <w:jc w:val="both"/>
              <w:rPr>
                <w:rFonts w:eastAsia="Times New Roman"/>
              </w:rPr>
            </w:pPr>
          </w:p>
        </w:tc>
        <w:tc>
          <w:tcPr>
            <w:tcW w:w="1681" w:type="pct"/>
            <w:vAlign w:val="center"/>
            <w:hideMark/>
          </w:tcPr>
          <w:p w14:paraId="4F4C0CAC" w14:textId="77777777" w:rsidR="00000000" w:rsidRDefault="00E614A4">
            <w:pPr>
              <w:rPr>
                <w:rFonts w:eastAsia="Times New Roman"/>
                <w:sz w:val="20"/>
                <w:szCs w:val="20"/>
              </w:rPr>
            </w:pPr>
          </w:p>
        </w:tc>
        <w:tc>
          <w:tcPr>
            <w:tcW w:w="5" w:type="pct"/>
            <w:vAlign w:val="center"/>
            <w:hideMark/>
          </w:tcPr>
          <w:p w14:paraId="338F0671" w14:textId="77777777" w:rsidR="00000000" w:rsidRDefault="00E614A4">
            <w:pPr>
              <w:rPr>
                <w:rFonts w:eastAsia="Times New Roman"/>
                <w:sz w:val="20"/>
                <w:szCs w:val="20"/>
              </w:rPr>
            </w:pPr>
          </w:p>
        </w:tc>
        <w:tc>
          <w:tcPr>
            <w:tcW w:w="50" w:type="pct"/>
            <w:vAlign w:val="center"/>
            <w:hideMark/>
          </w:tcPr>
          <w:p w14:paraId="10F6DC5E" w14:textId="77777777" w:rsidR="00000000" w:rsidRDefault="00E614A4">
            <w:pPr>
              <w:rPr>
                <w:rFonts w:eastAsia="Times New Roman"/>
                <w:sz w:val="20"/>
                <w:szCs w:val="20"/>
              </w:rPr>
            </w:pPr>
          </w:p>
        </w:tc>
        <w:tc>
          <w:tcPr>
            <w:tcW w:w="465" w:type="pct"/>
            <w:vAlign w:val="center"/>
            <w:hideMark/>
          </w:tcPr>
          <w:p w14:paraId="6970C847" w14:textId="77777777" w:rsidR="00000000" w:rsidRDefault="00E614A4">
            <w:pPr>
              <w:rPr>
                <w:rFonts w:eastAsia="Times New Roman"/>
                <w:sz w:val="20"/>
                <w:szCs w:val="20"/>
              </w:rPr>
            </w:pPr>
          </w:p>
        </w:tc>
        <w:tc>
          <w:tcPr>
            <w:tcW w:w="5" w:type="pct"/>
            <w:vAlign w:val="center"/>
            <w:hideMark/>
          </w:tcPr>
          <w:p w14:paraId="26C04C99" w14:textId="77777777" w:rsidR="00000000" w:rsidRDefault="00E614A4">
            <w:pPr>
              <w:rPr>
                <w:rFonts w:eastAsia="Times New Roman"/>
                <w:sz w:val="20"/>
                <w:szCs w:val="20"/>
              </w:rPr>
            </w:pPr>
          </w:p>
        </w:tc>
        <w:tc>
          <w:tcPr>
            <w:tcW w:w="5" w:type="pct"/>
            <w:vAlign w:val="center"/>
            <w:hideMark/>
          </w:tcPr>
          <w:p w14:paraId="3A474646" w14:textId="77777777" w:rsidR="00000000" w:rsidRDefault="00E614A4">
            <w:pPr>
              <w:rPr>
                <w:rFonts w:eastAsia="Times New Roman"/>
                <w:sz w:val="20"/>
                <w:szCs w:val="20"/>
              </w:rPr>
            </w:pPr>
          </w:p>
        </w:tc>
        <w:tc>
          <w:tcPr>
            <w:tcW w:w="17" w:type="pct"/>
            <w:vAlign w:val="center"/>
            <w:hideMark/>
          </w:tcPr>
          <w:p w14:paraId="5B5FCA36" w14:textId="77777777" w:rsidR="00000000" w:rsidRDefault="00E614A4">
            <w:pPr>
              <w:rPr>
                <w:rFonts w:eastAsia="Times New Roman"/>
                <w:sz w:val="20"/>
                <w:szCs w:val="20"/>
              </w:rPr>
            </w:pPr>
          </w:p>
        </w:tc>
        <w:tc>
          <w:tcPr>
            <w:tcW w:w="5" w:type="pct"/>
            <w:vAlign w:val="center"/>
            <w:hideMark/>
          </w:tcPr>
          <w:p w14:paraId="04DD7135" w14:textId="77777777" w:rsidR="00000000" w:rsidRDefault="00E614A4">
            <w:pPr>
              <w:rPr>
                <w:rFonts w:eastAsia="Times New Roman"/>
                <w:sz w:val="20"/>
                <w:szCs w:val="20"/>
              </w:rPr>
            </w:pPr>
          </w:p>
        </w:tc>
        <w:tc>
          <w:tcPr>
            <w:tcW w:w="50" w:type="pct"/>
            <w:vAlign w:val="center"/>
            <w:hideMark/>
          </w:tcPr>
          <w:p w14:paraId="3E4CADD5" w14:textId="77777777" w:rsidR="00000000" w:rsidRDefault="00E614A4">
            <w:pPr>
              <w:rPr>
                <w:rFonts w:eastAsia="Times New Roman"/>
                <w:sz w:val="20"/>
                <w:szCs w:val="20"/>
              </w:rPr>
            </w:pPr>
          </w:p>
        </w:tc>
        <w:tc>
          <w:tcPr>
            <w:tcW w:w="465" w:type="pct"/>
            <w:vAlign w:val="center"/>
            <w:hideMark/>
          </w:tcPr>
          <w:p w14:paraId="1EB5AB55" w14:textId="77777777" w:rsidR="00000000" w:rsidRDefault="00E614A4">
            <w:pPr>
              <w:rPr>
                <w:rFonts w:eastAsia="Times New Roman"/>
                <w:sz w:val="20"/>
                <w:szCs w:val="20"/>
              </w:rPr>
            </w:pPr>
          </w:p>
        </w:tc>
        <w:tc>
          <w:tcPr>
            <w:tcW w:w="5" w:type="pct"/>
            <w:vAlign w:val="center"/>
            <w:hideMark/>
          </w:tcPr>
          <w:p w14:paraId="3A7AA562" w14:textId="77777777" w:rsidR="00000000" w:rsidRDefault="00E614A4">
            <w:pPr>
              <w:rPr>
                <w:rFonts w:eastAsia="Times New Roman"/>
                <w:sz w:val="20"/>
                <w:szCs w:val="20"/>
              </w:rPr>
            </w:pPr>
          </w:p>
        </w:tc>
        <w:tc>
          <w:tcPr>
            <w:tcW w:w="5" w:type="pct"/>
            <w:vAlign w:val="center"/>
            <w:hideMark/>
          </w:tcPr>
          <w:p w14:paraId="0E2781B6" w14:textId="77777777" w:rsidR="00000000" w:rsidRDefault="00E614A4">
            <w:pPr>
              <w:rPr>
                <w:rFonts w:eastAsia="Times New Roman"/>
                <w:sz w:val="20"/>
                <w:szCs w:val="20"/>
              </w:rPr>
            </w:pPr>
          </w:p>
        </w:tc>
        <w:tc>
          <w:tcPr>
            <w:tcW w:w="17" w:type="pct"/>
            <w:vAlign w:val="center"/>
            <w:hideMark/>
          </w:tcPr>
          <w:p w14:paraId="1CA7E62E" w14:textId="77777777" w:rsidR="00000000" w:rsidRDefault="00E614A4">
            <w:pPr>
              <w:rPr>
                <w:rFonts w:eastAsia="Times New Roman"/>
                <w:sz w:val="20"/>
                <w:szCs w:val="20"/>
              </w:rPr>
            </w:pPr>
          </w:p>
        </w:tc>
        <w:tc>
          <w:tcPr>
            <w:tcW w:w="5" w:type="pct"/>
            <w:vAlign w:val="center"/>
            <w:hideMark/>
          </w:tcPr>
          <w:p w14:paraId="70363BFD" w14:textId="77777777" w:rsidR="00000000" w:rsidRDefault="00E614A4">
            <w:pPr>
              <w:rPr>
                <w:rFonts w:eastAsia="Times New Roman"/>
                <w:sz w:val="20"/>
                <w:szCs w:val="20"/>
              </w:rPr>
            </w:pPr>
          </w:p>
        </w:tc>
        <w:tc>
          <w:tcPr>
            <w:tcW w:w="50" w:type="pct"/>
            <w:vAlign w:val="center"/>
            <w:hideMark/>
          </w:tcPr>
          <w:p w14:paraId="6BA84B79" w14:textId="77777777" w:rsidR="00000000" w:rsidRDefault="00E614A4">
            <w:pPr>
              <w:rPr>
                <w:rFonts w:eastAsia="Times New Roman"/>
                <w:sz w:val="20"/>
                <w:szCs w:val="20"/>
              </w:rPr>
            </w:pPr>
          </w:p>
        </w:tc>
        <w:tc>
          <w:tcPr>
            <w:tcW w:w="465" w:type="pct"/>
            <w:vAlign w:val="center"/>
            <w:hideMark/>
          </w:tcPr>
          <w:p w14:paraId="326456D2" w14:textId="77777777" w:rsidR="00000000" w:rsidRDefault="00E614A4">
            <w:pPr>
              <w:rPr>
                <w:rFonts w:eastAsia="Times New Roman"/>
                <w:sz w:val="20"/>
                <w:szCs w:val="20"/>
              </w:rPr>
            </w:pPr>
          </w:p>
        </w:tc>
        <w:tc>
          <w:tcPr>
            <w:tcW w:w="5" w:type="pct"/>
            <w:vAlign w:val="center"/>
            <w:hideMark/>
          </w:tcPr>
          <w:p w14:paraId="4E63857D" w14:textId="77777777" w:rsidR="00000000" w:rsidRDefault="00E614A4">
            <w:pPr>
              <w:rPr>
                <w:rFonts w:eastAsia="Times New Roman"/>
                <w:sz w:val="20"/>
                <w:szCs w:val="20"/>
              </w:rPr>
            </w:pPr>
          </w:p>
        </w:tc>
        <w:tc>
          <w:tcPr>
            <w:tcW w:w="5" w:type="pct"/>
            <w:vAlign w:val="center"/>
            <w:hideMark/>
          </w:tcPr>
          <w:p w14:paraId="5B04E606" w14:textId="77777777" w:rsidR="00000000" w:rsidRDefault="00E614A4">
            <w:pPr>
              <w:rPr>
                <w:rFonts w:eastAsia="Times New Roman"/>
                <w:sz w:val="20"/>
                <w:szCs w:val="20"/>
              </w:rPr>
            </w:pPr>
          </w:p>
        </w:tc>
        <w:tc>
          <w:tcPr>
            <w:tcW w:w="17" w:type="pct"/>
            <w:vAlign w:val="center"/>
            <w:hideMark/>
          </w:tcPr>
          <w:p w14:paraId="65F9574F" w14:textId="77777777" w:rsidR="00000000" w:rsidRDefault="00E614A4">
            <w:pPr>
              <w:rPr>
                <w:rFonts w:eastAsia="Times New Roman"/>
                <w:sz w:val="20"/>
                <w:szCs w:val="20"/>
              </w:rPr>
            </w:pPr>
          </w:p>
        </w:tc>
        <w:tc>
          <w:tcPr>
            <w:tcW w:w="5" w:type="pct"/>
            <w:vAlign w:val="center"/>
            <w:hideMark/>
          </w:tcPr>
          <w:p w14:paraId="29975774" w14:textId="77777777" w:rsidR="00000000" w:rsidRDefault="00E614A4">
            <w:pPr>
              <w:rPr>
                <w:rFonts w:eastAsia="Times New Roman"/>
                <w:sz w:val="20"/>
                <w:szCs w:val="20"/>
              </w:rPr>
            </w:pPr>
          </w:p>
        </w:tc>
        <w:tc>
          <w:tcPr>
            <w:tcW w:w="50" w:type="pct"/>
            <w:vAlign w:val="center"/>
            <w:hideMark/>
          </w:tcPr>
          <w:p w14:paraId="2E02CA3E" w14:textId="77777777" w:rsidR="00000000" w:rsidRDefault="00E614A4">
            <w:pPr>
              <w:rPr>
                <w:rFonts w:eastAsia="Times New Roman"/>
                <w:sz w:val="20"/>
                <w:szCs w:val="20"/>
              </w:rPr>
            </w:pPr>
          </w:p>
        </w:tc>
        <w:tc>
          <w:tcPr>
            <w:tcW w:w="465" w:type="pct"/>
            <w:vAlign w:val="center"/>
            <w:hideMark/>
          </w:tcPr>
          <w:p w14:paraId="3C1582D7" w14:textId="77777777" w:rsidR="00000000" w:rsidRDefault="00E614A4">
            <w:pPr>
              <w:rPr>
                <w:rFonts w:eastAsia="Times New Roman"/>
                <w:sz w:val="20"/>
                <w:szCs w:val="20"/>
              </w:rPr>
            </w:pPr>
          </w:p>
        </w:tc>
        <w:tc>
          <w:tcPr>
            <w:tcW w:w="5" w:type="pct"/>
            <w:vAlign w:val="center"/>
            <w:hideMark/>
          </w:tcPr>
          <w:p w14:paraId="2049558A" w14:textId="77777777" w:rsidR="00000000" w:rsidRDefault="00E614A4">
            <w:pPr>
              <w:rPr>
                <w:rFonts w:eastAsia="Times New Roman"/>
                <w:sz w:val="20"/>
                <w:szCs w:val="20"/>
              </w:rPr>
            </w:pPr>
          </w:p>
        </w:tc>
        <w:tc>
          <w:tcPr>
            <w:tcW w:w="5" w:type="pct"/>
            <w:vAlign w:val="center"/>
            <w:hideMark/>
          </w:tcPr>
          <w:p w14:paraId="38634408" w14:textId="77777777" w:rsidR="00000000" w:rsidRDefault="00E614A4">
            <w:pPr>
              <w:rPr>
                <w:rFonts w:eastAsia="Times New Roman"/>
                <w:sz w:val="20"/>
                <w:szCs w:val="20"/>
              </w:rPr>
            </w:pPr>
          </w:p>
        </w:tc>
        <w:tc>
          <w:tcPr>
            <w:tcW w:w="17" w:type="pct"/>
            <w:vAlign w:val="center"/>
            <w:hideMark/>
          </w:tcPr>
          <w:p w14:paraId="5335C9E3" w14:textId="77777777" w:rsidR="00000000" w:rsidRDefault="00E614A4">
            <w:pPr>
              <w:rPr>
                <w:rFonts w:eastAsia="Times New Roman"/>
                <w:sz w:val="20"/>
                <w:szCs w:val="20"/>
              </w:rPr>
            </w:pPr>
          </w:p>
        </w:tc>
        <w:tc>
          <w:tcPr>
            <w:tcW w:w="5" w:type="pct"/>
            <w:vAlign w:val="center"/>
            <w:hideMark/>
          </w:tcPr>
          <w:p w14:paraId="518EE148" w14:textId="77777777" w:rsidR="00000000" w:rsidRDefault="00E614A4">
            <w:pPr>
              <w:rPr>
                <w:rFonts w:eastAsia="Times New Roman"/>
                <w:sz w:val="20"/>
                <w:szCs w:val="20"/>
              </w:rPr>
            </w:pPr>
          </w:p>
        </w:tc>
        <w:tc>
          <w:tcPr>
            <w:tcW w:w="50" w:type="pct"/>
            <w:vAlign w:val="center"/>
            <w:hideMark/>
          </w:tcPr>
          <w:p w14:paraId="71655C7F" w14:textId="77777777" w:rsidR="00000000" w:rsidRDefault="00E614A4">
            <w:pPr>
              <w:rPr>
                <w:rFonts w:eastAsia="Times New Roman"/>
                <w:sz w:val="20"/>
                <w:szCs w:val="20"/>
              </w:rPr>
            </w:pPr>
          </w:p>
        </w:tc>
        <w:tc>
          <w:tcPr>
            <w:tcW w:w="465" w:type="pct"/>
            <w:vAlign w:val="center"/>
            <w:hideMark/>
          </w:tcPr>
          <w:p w14:paraId="589A7011" w14:textId="77777777" w:rsidR="00000000" w:rsidRDefault="00E614A4">
            <w:pPr>
              <w:rPr>
                <w:rFonts w:eastAsia="Times New Roman"/>
                <w:sz w:val="20"/>
                <w:szCs w:val="20"/>
              </w:rPr>
            </w:pPr>
          </w:p>
        </w:tc>
        <w:tc>
          <w:tcPr>
            <w:tcW w:w="5" w:type="pct"/>
            <w:vAlign w:val="center"/>
            <w:hideMark/>
          </w:tcPr>
          <w:p w14:paraId="37CA26CD" w14:textId="77777777" w:rsidR="00000000" w:rsidRDefault="00E614A4">
            <w:pPr>
              <w:rPr>
                <w:rFonts w:eastAsia="Times New Roman"/>
                <w:sz w:val="20"/>
                <w:szCs w:val="20"/>
              </w:rPr>
            </w:pPr>
          </w:p>
        </w:tc>
        <w:tc>
          <w:tcPr>
            <w:tcW w:w="5" w:type="pct"/>
            <w:vAlign w:val="center"/>
            <w:hideMark/>
          </w:tcPr>
          <w:p w14:paraId="613F4C27" w14:textId="77777777" w:rsidR="00000000" w:rsidRDefault="00E614A4">
            <w:pPr>
              <w:rPr>
                <w:rFonts w:eastAsia="Times New Roman"/>
                <w:sz w:val="20"/>
                <w:szCs w:val="20"/>
              </w:rPr>
            </w:pPr>
          </w:p>
        </w:tc>
        <w:tc>
          <w:tcPr>
            <w:tcW w:w="17" w:type="pct"/>
            <w:vAlign w:val="center"/>
            <w:hideMark/>
          </w:tcPr>
          <w:p w14:paraId="54597186" w14:textId="77777777" w:rsidR="00000000" w:rsidRDefault="00E614A4">
            <w:pPr>
              <w:rPr>
                <w:rFonts w:eastAsia="Times New Roman"/>
                <w:sz w:val="20"/>
                <w:szCs w:val="20"/>
              </w:rPr>
            </w:pPr>
          </w:p>
        </w:tc>
        <w:tc>
          <w:tcPr>
            <w:tcW w:w="5" w:type="pct"/>
            <w:vAlign w:val="center"/>
            <w:hideMark/>
          </w:tcPr>
          <w:p w14:paraId="0664F71A" w14:textId="77777777" w:rsidR="00000000" w:rsidRDefault="00E614A4">
            <w:pPr>
              <w:rPr>
                <w:rFonts w:eastAsia="Times New Roman"/>
                <w:sz w:val="20"/>
                <w:szCs w:val="20"/>
              </w:rPr>
            </w:pPr>
          </w:p>
        </w:tc>
        <w:tc>
          <w:tcPr>
            <w:tcW w:w="50" w:type="pct"/>
            <w:vAlign w:val="center"/>
            <w:hideMark/>
          </w:tcPr>
          <w:p w14:paraId="6A68569E" w14:textId="77777777" w:rsidR="00000000" w:rsidRDefault="00E614A4">
            <w:pPr>
              <w:rPr>
                <w:rFonts w:eastAsia="Times New Roman"/>
                <w:sz w:val="20"/>
                <w:szCs w:val="20"/>
              </w:rPr>
            </w:pPr>
          </w:p>
        </w:tc>
        <w:tc>
          <w:tcPr>
            <w:tcW w:w="466" w:type="pct"/>
            <w:vAlign w:val="center"/>
            <w:hideMark/>
          </w:tcPr>
          <w:p w14:paraId="3FCFD1C0" w14:textId="77777777" w:rsidR="00000000" w:rsidRDefault="00E614A4">
            <w:pPr>
              <w:rPr>
                <w:rFonts w:eastAsia="Times New Roman"/>
                <w:sz w:val="20"/>
                <w:szCs w:val="20"/>
              </w:rPr>
            </w:pPr>
          </w:p>
        </w:tc>
        <w:tc>
          <w:tcPr>
            <w:tcW w:w="5" w:type="pct"/>
            <w:vAlign w:val="center"/>
            <w:hideMark/>
          </w:tcPr>
          <w:p w14:paraId="22AE913D" w14:textId="77777777" w:rsidR="00000000" w:rsidRDefault="00E614A4">
            <w:pPr>
              <w:rPr>
                <w:rFonts w:eastAsia="Times New Roman"/>
                <w:sz w:val="20"/>
                <w:szCs w:val="20"/>
              </w:rPr>
            </w:pPr>
          </w:p>
        </w:tc>
      </w:tr>
      <w:tr w:rsidR="00000000" w14:paraId="70BF1953" w14:textId="77777777">
        <w:trPr>
          <w:divId w:val="1922324233"/>
        </w:trPr>
        <w:tc>
          <w:tcPr>
            <w:tcW w:w="0" w:type="auto"/>
            <w:gridSpan w:val="3"/>
            <w:vAlign w:val="center"/>
            <w:hideMark/>
          </w:tcPr>
          <w:p w14:paraId="7B630FA6" w14:textId="77777777" w:rsidR="00000000" w:rsidRDefault="00E614A4">
            <w:pPr>
              <w:rPr>
                <w:rFonts w:eastAsia="Times New Roman"/>
                <w:sz w:val="20"/>
                <w:szCs w:val="20"/>
              </w:rPr>
            </w:pPr>
          </w:p>
        </w:tc>
        <w:tc>
          <w:tcPr>
            <w:tcW w:w="0" w:type="auto"/>
            <w:gridSpan w:val="3"/>
            <w:vAlign w:val="center"/>
            <w:hideMark/>
          </w:tcPr>
          <w:p w14:paraId="225C5F1F" w14:textId="77777777" w:rsidR="00000000" w:rsidRDefault="00E614A4">
            <w:pPr>
              <w:rPr>
                <w:rFonts w:eastAsia="Times New Roman"/>
                <w:sz w:val="20"/>
                <w:szCs w:val="20"/>
              </w:rPr>
            </w:pPr>
          </w:p>
        </w:tc>
        <w:tc>
          <w:tcPr>
            <w:tcW w:w="0" w:type="auto"/>
            <w:gridSpan w:val="3"/>
            <w:vAlign w:val="center"/>
            <w:hideMark/>
          </w:tcPr>
          <w:p w14:paraId="4CBA0001" w14:textId="77777777" w:rsidR="00000000" w:rsidRDefault="00E614A4">
            <w:pPr>
              <w:rPr>
                <w:rFonts w:eastAsia="Times New Roman"/>
                <w:sz w:val="20"/>
                <w:szCs w:val="20"/>
              </w:rPr>
            </w:pPr>
          </w:p>
        </w:tc>
        <w:tc>
          <w:tcPr>
            <w:tcW w:w="0" w:type="auto"/>
            <w:gridSpan w:val="3"/>
            <w:vAlign w:val="center"/>
            <w:hideMark/>
          </w:tcPr>
          <w:p w14:paraId="169EF4BE" w14:textId="77777777" w:rsidR="00000000" w:rsidRDefault="00E614A4">
            <w:pPr>
              <w:rPr>
                <w:rFonts w:eastAsia="Times New Roman"/>
                <w:sz w:val="20"/>
                <w:szCs w:val="20"/>
              </w:rPr>
            </w:pPr>
          </w:p>
        </w:tc>
        <w:tc>
          <w:tcPr>
            <w:tcW w:w="0" w:type="auto"/>
            <w:gridSpan w:val="3"/>
            <w:vAlign w:val="center"/>
            <w:hideMark/>
          </w:tcPr>
          <w:p w14:paraId="6B1FD059" w14:textId="77777777" w:rsidR="00000000" w:rsidRDefault="00E614A4">
            <w:pPr>
              <w:rPr>
                <w:rFonts w:eastAsia="Times New Roman"/>
                <w:sz w:val="20"/>
                <w:szCs w:val="20"/>
              </w:rPr>
            </w:pPr>
          </w:p>
        </w:tc>
        <w:tc>
          <w:tcPr>
            <w:tcW w:w="0" w:type="auto"/>
            <w:gridSpan w:val="3"/>
            <w:vAlign w:val="center"/>
            <w:hideMark/>
          </w:tcPr>
          <w:p w14:paraId="3E88D06E" w14:textId="77777777" w:rsidR="00000000" w:rsidRDefault="00E614A4">
            <w:pPr>
              <w:rPr>
                <w:rFonts w:eastAsia="Times New Roman"/>
                <w:sz w:val="20"/>
                <w:szCs w:val="20"/>
              </w:rPr>
            </w:pPr>
          </w:p>
        </w:tc>
        <w:tc>
          <w:tcPr>
            <w:tcW w:w="0" w:type="auto"/>
            <w:gridSpan w:val="3"/>
            <w:vAlign w:val="center"/>
            <w:hideMark/>
          </w:tcPr>
          <w:p w14:paraId="21B0ED98" w14:textId="77777777" w:rsidR="00000000" w:rsidRDefault="00E614A4">
            <w:pPr>
              <w:rPr>
                <w:rFonts w:eastAsia="Times New Roman"/>
                <w:sz w:val="20"/>
                <w:szCs w:val="20"/>
              </w:rPr>
            </w:pPr>
          </w:p>
        </w:tc>
        <w:tc>
          <w:tcPr>
            <w:tcW w:w="0" w:type="auto"/>
            <w:gridSpan w:val="3"/>
            <w:vAlign w:val="center"/>
            <w:hideMark/>
          </w:tcPr>
          <w:p w14:paraId="1B97ADB2" w14:textId="77777777" w:rsidR="00000000" w:rsidRDefault="00E614A4">
            <w:pPr>
              <w:rPr>
                <w:rFonts w:eastAsia="Times New Roman"/>
                <w:sz w:val="20"/>
                <w:szCs w:val="20"/>
              </w:rPr>
            </w:pPr>
          </w:p>
        </w:tc>
        <w:tc>
          <w:tcPr>
            <w:tcW w:w="0" w:type="auto"/>
            <w:gridSpan w:val="3"/>
            <w:vAlign w:val="center"/>
            <w:hideMark/>
          </w:tcPr>
          <w:p w14:paraId="24EF5876" w14:textId="77777777" w:rsidR="00000000" w:rsidRDefault="00E614A4">
            <w:pPr>
              <w:rPr>
                <w:rFonts w:eastAsia="Times New Roman"/>
                <w:sz w:val="20"/>
                <w:szCs w:val="20"/>
              </w:rPr>
            </w:pPr>
          </w:p>
        </w:tc>
        <w:tc>
          <w:tcPr>
            <w:tcW w:w="0" w:type="auto"/>
            <w:gridSpan w:val="3"/>
            <w:vAlign w:val="center"/>
            <w:hideMark/>
          </w:tcPr>
          <w:p w14:paraId="0D2175B2" w14:textId="77777777" w:rsidR="00000000" w:rsidRDefault="00E614A4">
            <w:pPr>
              <w:rPr>
                <w:rFonts w:eastAsia="Times New Roman"/>
                <w:sz w:val="20"/>
                <w:szCs w:val="20"/>
              </w:rPr>
            </w:pPr>
          </w:p>
        </w:tc>
        <w:tc>
          <w:tcPr>
            <w:tcW w:w="0" w:type="auto"/>
            <w:gridSpan w:val="3"/>
            <w:vAlign w:val="center"/>
            <w:hideMark/>
          </w:tcPr>
          <w:p w14:paraId="57ACE46F" w14:textId="77777777" w:rsidR="00000000" w:rsidRDefault="00E614A4">
            <w:pPr>
              <w:rPr>
                <w:rFonts w:eastAsia="Times New Roman"/>
                <w:sz w:val="20"/>
                <w:szCs w:val="20"/>
              </w:rPr>
            </w:pPr>
          </w:p>
        </w:tc>
        <w:tc>
          <w:tcPr>
            <w:tcW w:w="0" w:type="auto"/>
            <w:gridSpan w:val="3"/>
            <w:vAlign w:val="center"/>
            <w:hideMark/>
          </w:tcPr>
          <w:p w14:paraId="1EC46E10" w14:textId="77777777" w:rsidR="00000000" w:rsidRDefault="00E614A4">
            <w:pPr>
              <w:rPr>
                <w:rFonts w:eastAsia="Times New Roman"/>
                <w:sz w:val="20"/>
                <w:szCs w:val="20"/>
              </w:rPr>
            </w:pPr>
          </w:p>
        </w:tc>
      </w:tr>
      <w:tr w:rsidR="00000000" w14:paraId="627606BF" w14:textId="77777777">
        <w:trPr>
          <w:divId w:val="1922324233"/>
        </w:trPr>
        <w:tc>
          <w:tcPr>
            <w:tcW w:w="0" w:type="auto"/>
            <w:gridSpan w:val="3"/>
            <w:tcMar>
              <w:top w:w="0" w:type="dxa"/>
              <w:left w:w="20" w:type="dxa"/>
              <w:bottom w:w="0" w:type="dxa"/>
              <w:right w:w="20" w:type="dxa"/>
            </w:tcMar>
            <w:vAlign w:val="center"/>
            <w:hideMark/>
          </w:tcPr>
          <w:p w14:paraId="6E3B8A39"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7D329D52"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19CA534B"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01EA2B8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F93C3B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2C8F544" w14:textId="77777777" w:rsidR="00000000" w:rsidRDefault="00E614A4">
            <w:pPr>
              <w:rPr>
                <w:rFonts w:eastAsia="Times New Roman"/>
                <w:sz w:val="20"/>
                <w:szCs w:val="20"/>
              </w:rPr>
            </w:pPr>
          </w:p>
        </w:tc>
      </w:tr>
      <w:tr w:rsidR="00000000" w14:paraId="7DE2356C" w14:textId="77777777">
        <w:trPr>
          <w:divId w:val="1922324233"/>
        </w:trPr>
        <w:tc>
          <w:tcPr>
            <w:tcW w:w="0" w:type="auto"/>
            <w:gridSpan w:val="3"/>
            <w:shd w:val="clear" w:color="auto" w:fill="FFFFFF"/>
            <w:tcMar>
              <w:top w:w="30" w:type="dxa"/>
              <w:left w:w="20" w:type="dxa"/>
              <w:bottom w:w="30" w:type="dxa"/>
              <w:right w:w="20" w:type="dxa"/>
            </w:tcMar>
            <w:vAlign w:val="bottom"/>
            <w:hideMark/>
          </w:tcPr>
          <w:p w14:paraId="64EDAD71"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D23C303"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FD0057"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802D091" w14:textId="77777777" w:rsidR="00000000" w:rsidRDefault="00E614A4">
            <w:pPr>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07FEAD"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0C20EF0" w14:textId="77777777" w:rsidR="00000000" w:rsidRDefault="00E614A4">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C3C9BB"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51EDBC8" w14:textId="77777777" w:rsidR="00000000" w:rsidRDefault="00E614A4">
            <w:pPr>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7BE2611E"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6B4B775"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14:paraId="4DEECB36"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F6A9F0" w14:textId="77777777" w:rsidR="00000000" w:rsidRDefault="00E614A4">
            <w:pPr>
              <w:jc w:val="center"/>
              <w:rPr>
                <w:rFonts w:eastAsia="Times New Roman"/>
              </w:rPr>
            </w:pPr>
            <w:r>
              <w:rPr>
                <w:rFonts w:eastAsia="Times New Roman"/>
                <w:b/>
                <w:bCs/>
                <w:color w:val="000000"/>
                <w:sz w:val="16"/>
                <w:szCs w:val="16"/>
              </w:rPr>
              <w:t>% Variance</w:t>
            </w:r>
          </w:p>
        </w:tc>
      </w:tr>
      <w:tr w:rsidR="00000000" w14:paraId="5FA0B4E0" w14:textId="77777777">
        <w:trPr>
          <w:divId w:val="1922324233"/>
        </w:trPr>
        <w:tc>
          <w:tcPr>
            <w:tcW w:w="0" w:type="auto"/>
            <w:gridSpan w:val="3"/>
            <w:shd w:val="clear" w:color="auto" w:fill="CCEEFF"/>
            <w:tcMar>
              <w:top w:w="30" w:type="dxa"/>
              <w:left w:w="245" w:type="dxa"/>
              <w:bottom w:w="30" w:type="dxa"/>
              <w:right w:w="20" w:type="dxa"/>
            </w:tcMar>
            <w:vAlign w:val="bottom"/>
            <w:hideMark/>
          </w:tcPr>
          <w:p w14:paraId="6A287D3F" w14:textId="77777777" w:rsidR="00000000" w:rsidRDefault="00E614A4">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59D46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35FFDB" w14:textId="77777777" w:rsidR="00000000" w:rsidRDefault="00E614A4">
            <w:pPr>
              <w:jc w:val="right"/>
              <w:rPr>
                <w:rFonts w:eastAsia="Times New Roman"/>
              </w:rPr>
            </w:pPr>
            <w:r>
              <w:rPr>
                <w:rFonts w:eastAsia="Times New Roman"/>
                <w:color w:val="000000"/>
                <w:sz w:val="18"/>
                <w:szCs w:val="18"/>
              </w:rPr>
              <w:t>71,979 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A5543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9DA6A4"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0EAC6F" w14:textId="77777777" w:rsidR="00000000" w:rsidRDefault="00E614A4">
            <w:pPr>
              <w:jc w:val="right"/>
              <w:rPr>
                <w:rFonts w:eastAsia="Times New Roman"/>
              </w:rPr>
            </w:pPr>
            <w:r>
              <w:rPr>
                <w:rFonts w:eastAsia="Times New Roman"/>
                <w:color w:val="000000"/>
                <w:sz w:val="18"/>
                <w:szCs w:val="18"/>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F9E36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B95F8C1"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74D42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FB1C41" w14:textId="77777777" w:rsidR="00000000" w:rsidRDefault="00E614A4">
            <w:pPr>
              <w:jc w:val="right"/>
              <w:rPr>
                <w:rFonts w:eastAsia="Times New Roman"/>
              </w:rPr>
            </w:pPr>
            <w:r>
              <w:rPr>
                <w:rFonts w:eastAsia="Times New Roman"/>
                <w:color w:val="000000"/>
                <w:sz w:val="18"/>
                <w:szCs w:val="18"/>
              </w:rPr>
              <w:t>87,591 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77C5C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B26CD"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3C798F" w14:textId="77777777" w:rsidR="00000000" w:rsidRDefault="00E614A4">
            <w:pPr>
              <w:jc w:val="right"/>
              <w:rPr>
                <w:rFonts w:eastAsia="Times New Roman"/>
              </w:rPr>
            </w:pPr>
            <w:r>
              <w:rPr>
                <w:rFonts w:eastAsia="Times New Roman"/>
                <w:color w:val="000000"/>
                <w:sz w:val="18"/>
                <w:szCs w:val="18"/>
              </w:rPr>
              <w:t>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10632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AB8A0EB"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02115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610D41" w14:textId="77777777" w:rsidR="00000000" w:rsidRDefault="00E614A4">
            <w:pPr>
              <w:jc w:val="right"/>
              <w:rPr>
                <w:rFonts w:eastAsia="Times New Roman"/>
              </w:rPr>
            </w:pPr>
            <w:r>
              <w:rPr>
                <w:rFonts w:eastAsia="Times New Roman"/>
                <w:color w:val="000000"/>
                <w:sz w:val="18"/>
                <w:szCs w:val="18"/>
              </w:rPr>
              <w:t>(15,612)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4642B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B3B7B"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A5A9F6" w14:textId="77777777" w:rsidR="00000000" w:rsidRDefault="00E614A4">
            <w:pPr>
              <w:jc w:val="right"/>
              <w:rPr>
                <w:rFonts w:eastAsia="Times New Roman"/>
              </w:rPr>
            </w:pPr>
            <w:r>
              <w:rPr>
                <w:rFonts w:eastAsia="Times New Roman"/>
                <w:color w:val="000000"/>
                <w:sz w:val="18"/>
                <w:szCs w:val="18"/>
              </w:rPr>
              <w:t>(17.8)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7618C3" w14:textId="77777777" w:rsidR="00000000" w:rsidRDefault="00E614A4">
            <w:pPr>
              <w:jc w:val="right"/>
              <w:rPr>
                <w:rFonts w:eastAsia="Times New Roman"/>
              </w:rPr>
            </w:pPr>
            <w:r>
              <w:rPr>
                <w:rFonts w:eastAsia="Times New Roman"/>
                <w:color w:val="000000"/>
                <w:sz w:val="18"/>
                <w:szCs w:val="18"/>
              </w:rPr>
              <w:t>%</w:t>
            </w:r>
          </w:p>
        </w:tc>
      </w:tr>
      <w:tr w:rsidR="00000000" w14:paraId="21F55950" w14:textId="77777777">
        <w:trPr>
          <w:divId w:val="1922324233"/>
        </w:trPr>
        <w:tc>
          <w:tcPr>
            <w:tcW w:w="0" w:type="auto"/>
            <w:gridSpan w:val="3"/>
            <w:shd w:val="clear" w:color="auto" w:fill="FFFFFF"/>
            <w:tcMar>
              <w:top w:w="30" w:type="dxa"/>
              <w:left w:w="20" w:type="dxa"/>
              <w:bottom w:w="30" w:type="dxa"/>
              <w:right w:w="20" w:type="dxa"/>
            </w:tcMar>
            <w:vAlign w:val="bottom"/>
            <w:hideMark/>
          </w:tcPr>
          <w:p w14:paraId="3347CC85" w14:textId="77777777" w:rsidR="00000000" w:rsidRDefault="00E614A4">
            <w:pPr>
              <w:divId w:val="139618947"/>
              <w:rPr>
                <w:rFonts w:eastAsia="Times New Roman"/>
              </w:rPr>
            </w:pPr>
            <w:r>
              <w:rPr>
                <w:rFonts w:eastAsia="Times New Roman"/>
                <w:color w:val="000000"/>
                <w:sz w:val="18"/>
                <w:szCs w:val="18"/>
              </w:rPr>
              <w:t>Lease expense and depreciatio</w:t>
            </w:r>
            <w:r>
              <w:rPr>
                <w:rFonts w:eastAsia="Times New Roman"/>
                <w:color w:val="000000"/>
                <w:sz w:val="18"/>
                <w:szCs w:val="18"/>
              </w:rPr>
              <w:t>n</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647DC74E" w14:textId="77777777" w:rsidR="00000000" w:rsidRDefault="00E614A4">
            <w:pPr>
              <w:jc w:val="right"/>
              <w:rPr>
                <w:rFonts w:eastAsia="Times New Roman"/>
              </w:rPr>
            </w:pPr>
            <w:r>
              <w:rPr>
                <w:rFonts w:eastAsia="Times New Roman"/>
                <w:color w:val="000000"/>
                <w:sz w:val="18"/>
                <w:szCs w:val="18"/>
              </w:rPr>
              <w:t>5,690 </w:t>
            </w:r>
          </w:p>
        </w:tc>
        <w:tc>
          <w:tcPr>
            <w:tcW w:w="0" w:type="auto"/>
            <w:shd w:val="clear" w:color="auto" w:fill="FFFFFF"/>
            <w:tcMar>
              <w:top w:w="30" w:type="dxa"/>
              <w:left w:w="0" w:type="dxa"/>
              <w:bottom w:w="30" w:type="dxa"/>
              <w:right w:w="20" w:type="dxa"/>
            </w:tcMar>
            <w:vAlign w:val="bottom"/>
            <w:hideMark/>
          </w:tcPr>
          <w:p w14:paraId="4853F5F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0F86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155252" w14:textId="77777777" w:rsidR="00000000" w:rsidRDefault="00E614A4">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3303C64B"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DAEF0F"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11D4B0" w14:textId="77777777" w:rsidR="00000000" w:rsidRDefault="00E614A4">
            <w:pPr>
              <w:jc w:val="right"/>
              <w:rPr>
                <w:rFonts w:eastAsia="Times New Roman"/>
              </w:rPr>
            </w:pPr>
            <w:r>
              <w:rPr>
                <w:rFonts w:eastAsia="Times New Roman"/>
                <w:color w:val="000000"/>
                <w:sz w:val="18"/>
                <w:szCs w:val="18"/>
              </w:rPr>
              <w:t>7,670 </w:t>
            </w:r>
          </w:p>
        </w:tc>
        <w:tc>
          <w:tcPr>
            <w:tcW w:w="0" w:type="auto"/>
            <w:shd w:val="clear" w:color="auto" w:fill="FFFFFF"/>
            <w:tcMar>
              <w:top w:w="30" w:type="dxa"/>
              <w:left w:w="0" w:type="dxa"/>
              <w:bottom w:w="30" w:type="dxa"/>
              <w:right w:w="20" w:type="dxa"/>
            </w:tcMar>
            <w:vAlign w:val="bottom"/>
            <w:hideMark/>
          </w:tcPr>
          <w:p w14:paraId="0B192D4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B696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37F92C" w14:textId="77777777" w:rsidR="00000000" w:rsidRDefault="00E614A4">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2F5EFBE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9F1B9FB"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78CAD1" w14:textId="77777777" w:rsidR="00000000" w:rsidRDefault="00E614A4">
            <w:pPr>
              <w:jc w:val="right"/>
              <w:rPr>
                <w:rFonts w:eastAsia="Times New Roman"/>
              </w:rPr>
            </w:pPr>
            <w:r>
              <w:rPr>
                <w:rFonts w:eastAsia="Times New Roman"/>
                <w:color w:val="000000"/>
                <w:sz w:val="18"/>
                <w:szCs w:val="18"/>
              </w:rPr>
              <w:t>(1,980)</w:t>
            </w:r>
          </w:p>
        </w:tc>
        <w:tc>
          <w:tcPr>
            <w:tcW w:w="0" w:type="auto"/>
            <w:shd w:val="clear" w:color="auto" w:fill="FFFFFF"/>
            <w:tcMar>
              <w:top w:w="30" w:type="dxa"/>
              <w:left w:w="0" w:type="dxa"/>
              <w:bottom w:w="30" w:type="dxa"/>
              <w:right w:w="20" w:type="dxa"/>
            </w:tcMar>
            <w:vAlign w:val="bottom"/>
            <w:hideMark/>
          </w:tcPr>
          <w:p w14:paraId="2A099EB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A0CB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6EAED" w14:textId="77777777" w:rsidR="00000000" w:rsidRDefault="00E614A4">
            <w:pPr>
              <w:jc w:val="right"/>
              <w:rPr>
                <w:rFonts w:eastAsia="Times New Roman"/>
              </w:rPr>
            </w:pPr>
            <w:r>
              <w:rPr>
                <w:rFonts w:eastAsia="Times New Roman"/>
                <w:color w:val="000000"/>
                <w:sz w:val="18"/>
                <w:szCs w:val="18"/>
              </w:rPr>
              <w:t>(25.8)</w:t>
            </w:r>
          </w:p>
        </w:tc>
        <w:tc>
          <w:tcPr>
            <w:tcW w:w="0" w:type="auto"/>
            <w:shd w:val="clear" w:color="auto" w:fill="FFFFFF"/>
            <w:tcMar>
              <w:top w:w="30" w:type="dxa"/>
              <w:left w:w="0" w:type="dxa"/>
              <w:bottom w:w="30" w:type="dxa"/>
              <w:right w:w="20" w:type="dxa"/>
            </w:tcMar>
            <w:vAlign w:val="bottom"/>
            <w:hideMark/>
          </w:tcPr>
          <w:p w14:paraId="7F4F5824" w14:textId="77777777" w:rsidR="00000000" w:rsidRDefault="00E614A4">
            <w:pPr>
              <w:jc w:val="right"/>
              <w:rPr>
                <w:rFonts w:eastAsia="Times New Roman"/>
              </w:rPr>
            </w:pPr>
            <w:r>
              <w:rPr>
                <w:rFonts w:eastAsia="Times New Roman"/>
                <w:color w:val="000000"/>
                <w:sz w:val="18"/>
                <w:szCs w:val="18"/>
              </w:rPr>
              <w:t>%</w:t>
            </w:r>
          </w:p>
        </w:tc>
      </w:tr>
      <w:tr w:rsidR="00000000" w14:paraId="59948BDF" w14:textId="77777777">
        <w:trPr>
          <w:divId w:val="1922324233"/>
        </w:trPr>
        <w:tc>
          <w:tcPr>
            <w:tcW w:w="0" w:type="auto"/>
            <w:gridSpan w:val="3"/>
            <w:shd w:val="clear" w:color="auto" w:fill="CCEEFF"/>
            <w:tcMar>
              <w:top w:w="30" w:type="dxa"/>
              <w:left w:w="245" w:type="dxa"/>
              <w:bottom w:w="30" w:type="dxa"/>
              <w:right w:w="20" w:type="dxa"/>
            </w:tcMar>
            <w:vAlign w:val="bottom"/>
            <w:hideMark/>
          </w:tcPr>
          <w:p w14:paraId="5C700BD5" w14:textId="77777777" w:rsidR="00000000" w:rsidRDefault="00E614A4">
            <w:pPr>
              <w:rPr>
                <w:rFonts w:eastAsia="Times New Roman"/>
              </w:rPr>
            </w:pPr>
            <w:r>
              <w:rPr>
                <w:rFonts w:eastAsia="Times New Roman"/>
                <w:color w:val="000000"/>
                <w:sz w:val="18"/>
                <w:szCs w:val="18"/>
              </w:rPr>
              <w:t>Travel</w:t>
            </w:r>
          </w:p>
        </w:tc>
        <w:tc>
          <w:tcPr>
            <w:tcW w:w="0" w:type="auto"/>
            <w:gridSpan w:val="2"/>
            <w:shd w:val="clear" w:color="auto" w:fill="CCEEFF"/>
            <w:tcMar>
              <w:top w:w="30" w:type="dxa"/>
              <w:left w:w="20" w:type="dxa"/>
              <w:bottom w:w="30" w:type="dxa"/>
              <w:right w:w="0" w:type="dxa"/>
            </w:tcMar>
            <w:vAlign w:val="bottom"/>
            <w:hideMark/>
          </w:tcPr>
          <w:p w14:paraId="5182C5F1" w14:textId="77777777" w:rsidR="00000000" w:rsidRDefault="00E614A4">
            <w:pPr>
              <w:jc w:val="right"/>
              <w:rPr>
                <w:rFonts w:eastAsia="Times New Roman"/>
              </w:rPr>
            </w:pPr>
            <w:r>
              <w:rPr>
                <w:rFonts w:eastAsia="Times New Roman"/>
                <w:color w:val="000000"/>
                <w:sz w:val="18"/>
                <w:szCs w:val="18"/>
              </w:rPr>
              <w:t>3,260 </w:t>
            </w:r>
          </w:p>
        </w:tc>
        <w:tc>
          <w:tcPr>
            <w:tcW w:w="0" w:type="auto"/>
            <w:shd w:val="clear" w:color="auto" w:fill="CCEEFF"/>
            <w:tcMar>
              <w:top w:w="30" w:type="dxa"/>
              <w:left w:w="0" w:type="dxa"/>
              <w:bottom w:w="30" w:type="dxa"/>
              <w:right w:w="20" w:type="dxa"/>
            </w:tcMar>
            <w:vAlign w:val="bottom"/>
            <w:hideMark/>
          </w:tcPr>
          <w:p w14:paraId="20F0870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9785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0A055C" w14:textId="77777777" w:rsidR="00000000" w:rsidRDefault="00E614A4">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447C61E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2C4BFB2"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FAF545" w14:textId="77777777" w:rsidR="00000000" w:rsidRDefault="00E614A4">
            <w:pPr>
              <w:jc w:val="right"/>
              <w:rPr>
                <w:rFonts w:eastAsia="Times New Roman"/>
              </w:rPr>
            </w:pPr>
            <w:r>
              <w:rPr>
                <w:rFonts w:eastAsia="Times New Roman"/>
                <w:color w:val="000000"/>
                <w:sz w:val="18"/>
                <w:szCs w:val="18"/>
              </w:rPr>
              <w:t>4,780 </w:t>
            </w:r>
          </w:p>
        </w:tc>
        <w:tc>
          <w:tcPr>
            <w:tcW w:w="0" w:type="auto"/>
            <w:shd w:val="clear" w:color="auto" w:fill="CCEEFF"/>
            <w:tcMar>
              <w:top w:w="30" w:type="dxa"/>
              <w:left w:w="0" w:type="dxa"/>
              <w:bottom w:w="30" w:type="dxa"/>
              <w:right w:w="20" w:type="dxa"/>
            </w:tcMar>
            <w:vAlign w:val="bottom"/>
            <w:hideMark/>
          </w:tcPr>
          <w:p w14:paraId="36A0173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810F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A0CE6A" w14:textId="77777777" w:rsidR="00000000" w:rsidRDefault="00E614A4">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7C1BB92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E9B2F03"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676D1E" w14:textId="77777777" w:rsidR="00000000" w:rsidRDefault="00E614A4">
            <w:pPr>
              <w:jc w:val="right"/>
              <w:rPr>
                <w:rFonts w:eastAsia="Times New Roman"/>
              </w:rPr>
            </w:pPr>
            <w:r>
              <w:rPr>
                <w:rFonts w:eastAsia="Times New Roman"/>
                <w:color w:val="000000"/>
                <w:sz w:val="18"/>
                <w:szCs w:val="18"/>
              </w:rPr>
              <w:t>(1,520)</w:t>
            </w:r>
          </w:p>
        </w:tc>
        <w:tc>
          <w:tcPr>
            <w:tcW w:w="0" w:type="auto"/>
            <w:shd w:val="clear" w:color="auto" w:fill="CCEEFF"/>
            <w:tcMar>
              <w:top w:w="30" w:type="dxa"/>
              <w:left w:w="0" w:type="dxa"/>
              <w:bottom w:w="30" w:type="dxa"/>
              <w:right w:w="20" w:type="dxa"/>
            </w:tcMar>
            <w:vAlign w:val="bottom"/>
            <w:hideMark/>
          </w:tcPr>
          <w:p w14:paraId="44D1E85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C617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C52EF0" w14:textId="77777777" w:rsidR="00000000" w:rsidRDefault="00E614A4">
            <w:pPr>
              <w:jc w:val="right"/>
              <w:rPr>
                <w:rFonts w:eastAsia="Times New Roman"/>
              </w:rPr>
            </w:pPr>
            <w:r>
              <w:rPr>
                <w:rFonts w:eastAsia="Times New Roman"/>
                <w:color w:val="000000"/>
                <w:sz w:val="18"/>
                <w:szCs w:val="18"/>
              </w:rPr>
              <w:t>(31.8)</w:t>
            </w:r>
          </w:p>
        </w:tc>
        <w:tc>
          <w:tcPr>
            <w:tcW w:w="0" w:type="auto"/>
            <w:shd w:val="clear" w:color="auto" w:fill="CCEEFF"/>
            <w:tcMar>
              <w:top w:w="30" w:type="dxa"/>
              <w:left w:w="0" w:type="dxa"/>
              <w:bottom w:w="30" w:type="dxa"/>
              <w:right w:w="20" w:type="dxa"/>
            </w:tcMar>
            <w:vAlign w:val="bottom"/>
            <w:hideMark/>
          </w:tcPr>
          <w:p w14:paraId="31A672F2" w14:textId="77777777" w:rsidR="00000000" w:rsidRDefault="00E614A4">
            <w:pPr>
              <w:jc w:val="right"/>
              <w:rPr>
                <w:rFonts w:eastAsia="Times New Roman"/>
              </w:rPr>
            </w:pPr>
            <w:r>
              <w:rPr>
                <w:rFonts w:eastAsia="Times New Roman"/>
                <w:color w:val="000000"/>
                <w:sz w:val="18"/>
                <w:szCs w:val="18"/>
              </w:rPr>
              <w:t>%</w:t>
            </w:r>
          </w:p>
        </w:tc>
      </w:tr>
      <w:tr w:rsidR="00000000" w14:paraId="25912A0F" w14:textId="77777777">
        <w:trPr>
          <w:divId w:val="1922324233"/>
        </w:trPr>
        <w:tc>
          <w:tcPr>
            <w:tcW w:w="0" w:type="auto"/>
            <w:gridSpan w:val="3"/>
            <w:shd w:val="clear" w:color="auto" w:fill="FFFFFF"/>
            <w:tcMar>
              <w:top w:w="30" w:type="dxa"/>
              <w:left w:w="245" w:type="dxa"/>
              <w:bottom w:w="30" w:type="dxa"/>
              <w:right w:w="20" w:type="dxa"/>
            </w:tcMar>
            <w:vAlign w:val="bottom"/>
            <w:hideMark/>
          </w:tcPr>
          <w:p w14:paraId="32C6E1AC" w14:textId="77777777" w:rsidR="00000000" w:rsidRDefault="00E614A4">
            <w:pPr>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12CC6066" w14:textId="77777777" w:rsidR="00000000" w:rsidRDefault="00E614A4">
            <w:pPr>
              <w:jc w:val="right"/>
              <w:rPr>
                <w:rFonts w:eastAsia="Times New Roman"/>
              </w:rPr>
            </w:pPr>
            <w:r>
              <w:rPr>
                <w:rFonts w:eastAsia="Times New Roman"/>
                <w:color w:val="000000"/>
                <w:sz w:val="18"/>
                <w:szCs w:val="18"/>
              </w:rPr>
              <w:t>2,726 </w:t>
            </w:r>
          </w:p>
        </w:tc>
        <w:tc>
          <w:tcPr>
            <w:tcW w:w="0" w:type="auto"/>
            <w:shd w:val="clear" w:color="auto" w:fill="FFFFFF"/>
            <w:tcMar>
              <w:top w:w="30" w:type="dxa"/>
              <w:left w:w="0" w:type="dxa"/>
              <w:bottom w:w="30" w:type="dxa"/>
              <w:right w:w="20" w:type="dxa"/>
            </w:tcMar>
            <w:vAlign w:val="bottom"/>
            <w:hideMark/>
          </w:tcPr>
          <w:p w14:paraId="459AE58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40F8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B5BE89" w14:textId="77777777" w:rsidR="00000000" w:rsidRDefault="00E614A4">
            <w:pPr>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5E5B629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2E20601"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0D5BAF" w14:textId="77777777" w:rsidR="00000000" w:rsidRDefault="00E614A4">
            <w:pPr>
              <w:jc w:val="right"/>
              <w:rPr>
                <w:rFonts w:eastAsia="Times New Roman"/>
              </w:rPr>
            </w:pPr>
            <w:r>
              <w:rPr>
                <w:rFonts w:eastAsia="Times New Roman"/>
                <w:color w:val="000000"/>
                <w:sz w:val="18"/>
                <w:szCs w:val="18"/>
              </w:rPr>
              <w:t>1,042 </w:t>
            </w:r>
          </w:p>
        </w:tc>
        <w:tc>
          <w:tcPr>
            <w:tcW w:w="0" w:type="auto"/>
            <w:shd w:val="clear" w:color="auto" w:fill="FFFFFF"/>
            <w:tcMar>
              <w:top w:w="30" w:type="dxa"/>
              <w:left w:w="0" w:type="dxa"/>
              <w:bottom w:w="30" w:type="dxa"/>
              <w:right w:w="20" w:type="dxa"/>
            </w:tcMar>
            <w:vAlign w:val="bottom"/>
            <w:hideMark/>
          </w:tcPr>
          <w:p w14:paraId="6F83243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10B1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E2C1A0" w14:textId="77777777" w:rsidR="00000000" w:rsidRDefault="00E614A4">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bottom"/>
            <w:hideMark/>
          </w:tcPr>
          <w:p w14:paraId="1B2AFC4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B1D11DF"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438F4D" w14:textId="77777777" w:rsidR="00000000" w:rsidRDefault="00E614A4">
            <w:pPr>
              <w:jc w:val="right"/>
              <w:rPr>
                <w:rFonts w:eastAsia="Times New Roman"/>
              </w:rPr>
            </w:pPr>
            <w:r>
              <w:rPr>
                <w:rFonts w:eastAsia="Times New Roman"/>
                <w:color w:val="000000"/>
                <w:sz w:val="18"/>
                <w:szCs w:val="18"/>
              </w:rPr>
              <w:t>1,684 </w:t>
            </w:r>
          </w:p>
        </w:tc>
        <w:tc>
          <w:tcPr>
            <w:tcW w:w="0" w:type="auto"/>
            <w:shd w:val="clear" w:color="auto" w:fill="FFFFFF"/>
            <w:tcMar>
              <w:top w:w="30" w:type="dxa"/>
              <w:left w:w="0" w:type="dxa"/>
              <w:bottom w:w="30" w:type="dxa"/>
              <w:right w:w="20" w:type="dxa"/>
            </w:tcMar>
            <w:vAlign w:val="bottom"/>
            <w:hideMark/>
          </w:tcPr>
          <w:p w14:paraId="0BDD370C" w14:textId="77777777" w:rsidR="00000000" w:rsidRDefault="00E614A4">
            <w:pPr>
              <w:jc w:val="right"/>
              <w:rPr>
                <w:rFonts w:eastAsia="Times New Roman"/>
              </w:rPr>
            </w:pPr>
          </w:p>
        </w:tc>
        <w:tc>
          <w:tcPr>
            <w:tcW w:w="0" w:type="auto"/>
            <w:gridSpan w:val="3"/>
            <w:shd w:val="clear" w:color="auto" w:fill="FFFFFF"/>
            <w:tcMar>
              <w:top w:w="0" w:type="dxa"/>
              <w:left w:w="245" w:type="dxa"/>
              <w:bottom w:w="0" w:type="dxa"/>
              <w:right w:w="20" w:type="dxa"/>
            </w:tcMar>
            <w:vAlign w:val="center"/>
            <w:hideMark/>
          </w:tcPr>
          <w:p w14:paraId="4095721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45E48C" w14:textId="77777777" w:rsidR="00000000" w:rsidRDefault="00E614A4">
            <w:pPr>
              <w:jc w:val="right"/>
              <w:rPr>
                <w:rFonts w:eastAsia="Times New Roman"/>
              </w:rPr>
            </w:pPr>
            <w:r>
              <w:rPr>
                <w:rFonts w:eastAsia="Times New Roman"/>
                <w:color w:val="000000"/>
                <w:sz w:val="18"/>
                <w:szCs w:val="18"/>
              </w:rPr>
              <w:t>161.6 </w:t>
            </w:r>
          </w:p>
        </w:tc>
        <w:tc>
          <w:tcPr>
            <w:tcW w:w="0" w:type="auto"/>
            <w:shd w:val="clear" w:color="auto" w:fill="FFFFFF"/>
            <w:tcMar>
              <w:top w:w="30" w:type="dxa"/>
              <w:left w:w="0" w:type="dxa"/>
              <w:bottom w:w="30" w:type="dxa"/>
              <w:right w:w="20" w:type="dxa"/>
            </w:tcMar>
            <w:vAlign w:val="bottom"/>
            <w:hideMark/>
          </w:tcPr>
          <w:p w14:paraId="545D97B0" w14:textId="77777777" w:rsidR="00000000" w:rsidRDefault="00E614A4">
            <w:pPr>
              <w:jc w:val="right"/>
              <w:rPr>
                <w:rFonts w:eastAsia="Times New Roman"/>
              </w:rPr>
            </w:pPr>
            <w:r>
              <w:rPr>
                <w:rFonts w:eastAsia="Times New Roman"/>
                <w:color w:val="000000"/>
                <w:sz w:val="18"/>
                <w:szCs w:val="18"/>
              </w:rPr>
              <w:t>%</w:t>
            </w:r>
          </w:p>
        </w:tc>
      </w:tr>
      <w:tr w:rsidR="00000000" w14:paraId="49F964CB" w14:textId="77777777">
        <w:trPr>
          <w:divId w:val="1922324233"/>
        </w:trPr>
        <w:tc>
          <w:tcPr>
            <w:tcW w:w="0" w:type="auto"/>
            <w:gridSpan w:val="3"/>
            <w:shd w:val="clear" w:color="auto" w:fill="CCEEFF"/>
            <w:tcMar>
              <w:top w:w="30" w:type="dxa"/>
              <w:left w:w="245" w:type="dxa"/>
              <w:bottom w:w="30" w:type="dxa"/>
              <w:right w:w="20" w:type="dxa"/>
            </w:tcMar>
            <w:vAlign w:val="bottom"/>
            <w:hideMark/>
          </w:tcPr>
          <w:p w14:paraId="4D07433C" w14:textId="77777777" w:rsidR="00000000" w:rsidRDefault="00E614A4">
            <w:pPr>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2AAB4112" w14:textId="77777777" w:rsidR="00000000" w:rsidRDefault="00E614A4">
            <w:pPr>
              <w:jc w:val="right"/>
              <w:rPr>
                <w:rFonts w:eastAsia="Times New Roman"/>
              </w:rPr>
            </w:pPr>
            <w:r>
              <w:rPr>
                <w:rFonts w:eastAsia="Times New Roman"/>
                <w:color w:val="000000"/>
                <w:sz w:val="18"/>
                <w:szCs w:val="18"/>
              </w:rPr>
              <w:t>2,521 </w:t>
            </w:r>
          </w:p>
        </w:tc>
        <w:tc>
          <w:tcPr>
            <w:tcW w:w="0" w:type="auto"/>
            <w:shd w:val="clear" w:color="auto" w:fill="CCEEFF"/>
            <w:tcMar>
              <w:top w:w="30" w:type="dxa"/>
              <w:left w:w="0" w:type="dxa"/>
              <w:bottom w:w="30" w:type="dxa"/>
              <w:right w:w="20" w:type="dxa"/>
            </w:tcMar>
            <w:vAlign w:val="bottom"/>
            <w:hideMark/>
          </w:tcPr>
          <w:p w14:paraId="06EC151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142F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A28EAB" w14:textId="77777777" w:rsidR="00000000" w:rsidRDefault="00E614A4">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2247EB8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C2420E4"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0EAC29" w14:textId="77777777" w:rsidR="00000000" w:rsidRDefault="00E614A4">
            <w:pPr>
              <w:jc w:val="right"/>
              <w:rPr>
                <w:rFonts w:eastAsia="Times New Roman"/>
              </w:rPr>
            </w:pPr>
            <w:r>
              <w:rPr>
                <w:rFonts w:eastAsia="Times New Roman"/>
                <w:color w:val="000000"/>
                <w:sz w:val="18"/>
                <w:szCs w:val="18"/>
              </w:rPr>
              <w:t>3,311 </w:t>
            </w:r>
          </w:p>
        </w:tc>
        <w:tc>
          <w:tcPr>
            <w:tcW w:w="0" w:type="auto"/>
            <w:shd w:val="clear" w:color="auto" w:fill="CCEEFF"/>
            <w:tcMar>
              <w:top w:w="30" w:type="dxa"/>
              <w:left w:w="0" w:type="dxa"/>
              <w:bottom w:w="30" w:type="dxa"/>
              <w:right w:w="20" w:type="dxa"/>
            </w:tcMar>
            <w:vAlign w:val="bottom"/>
            <w:hideMark/>
          </w:tcPr>
          <w:p w14:paraId="3AEF78D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C733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C5F37" w14:textId="77777777" w:rsidR="00000000" w:rsidRDefault="00E614A4">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3B3DAC3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041DF5"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FE1C64" w14:textId="77777777" w:rsidR="00000000" w:rsidRDefault="00E614A4">
            <w:pPr>
              <w:jc w:val="right"/>
              <w:rPr>
                <w:rFonts w:eastAsia="Times New Roman"/>
              </w:rPr>
            </w:pPr>
            <w:r>
              <w:rPr>
                <w:rFonts w:eastAsia="Times New Roman"/>
                <w:color w:val="000000"/>
                <w:sz w:val="18"/>
                <w:szCs w:val="18"/>
              </w:rPr>
              <w:t>(790)</w:t>
            </w:r>
          </w:p>
        </w:tc>
        <w:tc>
          <w:tcPr>
            <w:tcW w:w="0" w:type="auto"/>
            <w:shd w:val="clear" w:color="auto" w:fill="CCEEFF"/>
            <w:tcMar>
              <w:top w:w="30" w:type="dxa"/>
              <w:left w:w="0" w:type="dxa"/>
              <w:bottom w:w="30" w:type="dxa"/>
              <w:right w:w="20" w:type="dxa"/>
            </w:tcMar>
            <w:vAlign w:val="bottom"/>
            <w:hideMark/>
          </w:tcPr>
          <w:p w14:paraId="0F9400B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D5FC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7F23B7" w14:textId="77777777" w:rsidR="00000000" w:rsidRDefault="00E614A4">
            <w:pPr>
              <w:jc w:val="right"/>
              <w:rPr>
                <w:rFonts w:eastAsia="Times New Roman"/>
              </w:rPr>
            </w:pPr>
            <w:r>
              <w:rPr>
                <w:rFonts w:eastAsia="Times New Roman"/>
                <w:color w:val="000000"/>
                <w:sz w:val="18"/>
                <w:szCs w:val="18"/>
              </w:rPr>
              <w:t>(23.9)</w:t>
            </w:r>
          </w:p>
        </w:tc>
        <w:tc>
          <w:tcPr>
            <w:tcW w:w="0" w:type="auto"/>
            <w:shd w:val="clear" w:color="auto" w:fill="CCEEFF"/>
            <w:tcMar>
              <w:top w:w="30" w:type="dxa"/>
              <w:left w:w="0" w:type="dxa"/>
              <w:bottom w:w="30" w:type="dxa"/>
              <w:right w:w="20" w:type="dxa"/>
            </w:tcMar>
            <w:vAlign w:val="bottom"/>
            <w:hideMark/>
          </w:tcPr>
          <w:p w14:paraId="5489EA96" w14:textId="77777777" w:rsidR="00000000" w:rsidRDefault="00E614A4">
            <w:pPr>
              <w:jc w:val="right"/>
              <w:rPr>
                <w:rFonts w:eastAsia="Times New Roman"/>
              </w:rPr>
            </w:pPr>
            <w:r>
              <w:rPr>
                <w:rFonts w:eastAsia="Times New Roman"/>
                <w:color w:val="000000"/>
                <w:sz w:val="18"/>
                <w:szCs w:val="18"/>
              </w:rPr>
              <w:t>%</w:t>
            </w:r>
          </w:p>
        </w:tc>
      </w:tr>
      <w:tr w:rsidR="00000000" w14:paraId="54BA96A7" w14:textId="77777777">
        <w:trPr>
          <w:divId w:val="1922324233"/>
        </w:trPr>
        <w:tc>
          <w:tcPr>
            <w:tcW w:w="0" w:type="auto"/>
            <w:gridSpan w:val="3"/>
            <w:vAlign w:val="center"/>
            <w:hideMark/>
          </w:tcPr>
          <w:p w14:paraId="7F9C9396" w14:textId="77777777" w:rsidR="00000000" w:rsidRDefault="00E614A4">
            <w:pPr>
              <w:jc w:val="right"/>
              <w:rPr>
                <w:rFonts w:eastAsia="Times New Roman"/>
              </w:rPr>
            </w:pPr>
          </w:p>
        </w:tc>
        <w:tc>
          <w:tcPr>
            <w:tcW w:w="0" w:type="auto"/>
            <w:gridSpan w:val="3"/>
            <w:vAlign w:val="center"/>
            <w:hideMark/>
          </w:tcPr>
          <w:p w14:paraId="34D6EB83" w14:textId="77777777" w:rsidR="00000000" w:rsidRDefault="00E614A4">
            <w:pPr>
              <w:rPr>
                <w:rFonts w:eastAsia="Times New Roman"/>
                <w:sz w:val="20"/>
                <w:szCs w:val="20"/>
              </w:rPr>
            </w:pPr>
          </w:p>
        </w:tc>
        <w:tc>
          <w:tcPr>
            <w:tcW w:w="0" w:type="auto"/>
            <w:gridSpan w:val="3"/>
            <w:vAlign w:val="center"/>
            <w:hideMark/>
          </w:tcPr>
          <w:p w14:paraId="3415CA8C" w14:textId="77777777" w:rsidR="00000000" w:rsidRDefault="00E614A4">
            <w:pPr>
              <w:rPr>
                <w:rFonts w:eastAsia="Times New Roman"/>
                <w:sz w:val="20"/>
                <w:szCs w:val="20"/>
              </w:rPr>
            </w:pPr>
          </w:p>
        </w:tc>
        <w:tc>
          <w:tcPr>
            <w:tcW w:w="0" w:type="auto"/>
            <w:gridSpan w:val="3"/>
            <w:vAlign w:val="center"/>
            <w:hideMark/>
          </w:tcPr>
          <w:p w14:paraId="43081B0D" w14:textId="77777777" w:rsidR="00000000" w:rsidRDefault="00E614A4">
            <w:pPr>
              <w:rPr>
                <w:rFonts w:eastAsia="Times New Roman"/>
                <w:sz w:val="20"/>
                <w:szCs w:val="20"/>
              </w:rPr>
            </w:pPr>
          </w:p>
        </w:tc>
        <w:tc>
          <w:tcPr>
            <w:tcW w:w="0" w:type="auto"/>
            <w:gridSpan w:val="3"/>
            <w:vAlign w:val="center"/>
            <w:hideMark/>
          </w:tcPr>
          <w:p w14:paraId="2902926C" w14:textId="77777777" w:rsidR="00000000" w:rsidRDefault="00E614A4">
            <w:pPr>
              <w:rPr>
                <w:rFonts w:eastAsia="Times New Roman"/>
                <w:sz w:val="20"/>
                <w:szCs w:val="20"/>
              </w:rPr>
            </w:pPr>
          </w:p>
        </w:tc>
        <w:tc>
          <w:tcPr>
            <w:tcW w:w="0" w:type="auto"/>
            <w:gridSpan w:val="3"/>
            <w:vAlign w:val="center"/>
            <w:hideMark/>
          </w:tcPr>
          <w:p w14:paraId="62B804C3" w14:textId="77777777" w:rsidR="00000000" w:rsidRDefault="00E614A4">
            <w:pPr>
              <w:rPr>
                <w:rFonts w:eastAsia="Times New Roman"/>
                <w:sz w:val="20"/>
                <w:szCs w:val="20"/>
              </w:rPr>
            </w:pPr>
          </w:p>
        </w:tc>
        <w:tc>
          <w:tcPr>
            <w:tcW w:w="0" w:type="auto"/>
            <w:gridSpan w:val="3"/>
            <w:vAlign w:val="center"/>
            <w:hideMark/>
          </w:tcPr>
          <w:p w14:paraId="489B8A46" w14:textId="77777777" w:rsidR="00000000" w:rsidRDefault="00E614A4">
            <w:pPr>
              <w:rPr>
                <w:rFonts w:eastAsia="Times New Roman"/>
                <w:sz w:val="20"/>
                <w:szCs w:val="20"/>
              </w:rPr>
            </w:pPr>
          </w:p>
        </w:tc>
        <w:tc>
          <w:tcPr>
            <w:tcW w:w="0" w:type="auto"/>
            <w:gridSpan w:val="3"/>
            <w:vAlign w:val="center"/>
            <w:hideMark/>
          </w:tcPr>
          <w:p w14:paraId="12148CAE" w14:textId="77777777" w:rsidR="00000000" w:rsidRDefault="00E614A4">
            <w:pPr>
              <w:rPr>
                <w:rFonts w:eastAsia="Times New Roman"/>
                <w:sz w:val="20"/>
                <w:szCs w:val="20"/>
              </w:rPr>
            </w:pPr>
          </w:p>
        </w:tc>
        <w:tc>
          <w:tcPr>
            <w:tcW w:w="0" w:type="auto"/>
            <w:gridSpan w:val="3"/>
            <w:vAlign w:val="center"/>
            <w:hideMark/>
          </w:tcPr>
          <w:p w14:paraId="39659C3E" w14:textId="77777777" w:rsidR="00000000" w:rsidRDefault="00E614A4">
            <w:pPr>
              <w:rPr>
                <w:rFonts w:eastAsia="Times New Roman"/>
                <w:sz w:val="20"/>
                <w:szCs w:val="20"/>
              </w:rPr>
            </w:pPr>
          </w:p>
        </w:tc>
        <w:tc>
          <w:tcPr>
            <w:tcW w:w="0" w:type="auto"/>
            <w:gridSpan w:val="3"/>
            <w:vAlign w:val="center"/>
            <w:hideMark/>
          </w:tcPr>
          <w:p w14:paraId="0A27D6BC" w14:textId="77777777" w:rsidR="00000000" w:rsidRDefault="00E614A4">
            <w:pPr>
              <w:rPr>
                <w:rFonts w:eastAsia="Times New Roman"/>
                <w:sz w:val="20"/>
                <w:szCs w:val="20"/>
              </w:rPr>
            </w:pPr>
          </w:p>
        </w:tc>
        <w:tc>
          <w:tcPr>
            <w:tcW w:w="0" w:type="auto"/>
            <w:gridSpan w:val="3"/>
            <w:vAlign w:val="center"/>
            <w:hideMark/>
          </w:tcPr>
          <w:p w14:paraId="3565A677" w14:textId="77777777" w:rsidR="00000000" w:rsidRDefault="00E614A4">
            <w:pPr>
              <w:rPr>
                <w:rFonts w:eastAsia="Times New Roman"/>
                <w:sz w:val="20"/>
                <w:szCs w:val="20"/>
              </w:rPr>
            </w:pPr>
          </w:p>
        </w:tc>
        <w:tc>
          <w:tcPr>
            <w:tcW w:w="0" w:type="auto"/>
            <w:gridSpan w:val="3"/>
            <w:vAlign w:val="center"/>
            <w:hideMark/>
          </w:tcPr>
          <w:p w14:paraId="17AFF79A" w14:textId="77777777" w:rsidR="00000000" w:rsidRDefault="00E614A4">
            <w:pPr>
              <w:rPr>
                <w:rFonts w:eastAsia="Times New Roman"/>
                <w:sz w:val="20"/>
                <w:szCs w:val="20"/>
              </w:rPr>
            </w:pPr>
          </w:p>
        </w:tc>
      </w:tr>
      <w:tr w:rsidR="00000000" w14:paraId="4A08201B" w14:textId="77777777">
        <w:trPr>
          <w:divId w:val="1922324233"/>
        </w:trPr>
        <w:tc>
          <w:tcPr>
            <w:tcW w:w="0" w:type="auto"/>
            <w:gridSpan w:val="3"/>
            <w:shd w:val="clear" w:color="auto" w:fill="FFFFFF"/>
            <w:tcMar>
              <w:top w:w="30" w:type="dxa"/>
              <w:left w:w="245" w:type="dxa"/>
              <w:bottom w:w="30" w:type="dxa"/>
              <w:right w:w="20" w:type="dxa"/>
            </w:tcMar>
            <w:vAlign w:val="bottom"/>
            <w:hideMark/>
          </w:tcPr>
          <w:p w14:paraId="153257FE" w14:textId="77777777" w:rsidR="00000000" w:rsidRDefault="00E614A4">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47665E26" w14:textId="77777777" w:rsidR="00000000" w:rsidRDefault="00E614A4">
            <w:pPr>
              <w:jc w:val="right"/>
              <w:rPr>
                <w:rFonts w:eastAsia="Times New Roman"/>
              </w:rPr>
            </w:pPr>
            <w:r>
              <w:rPr>
                <w:rFonts w:eastAsia="Times New Roman"/>
                <w:color w:val="000000"/>
                <w:sz w:val="18"/>
                <w:szCs w:val="18"/>
              </w:rPr>
              <w:t>2,969 </w:t>
            </w:r>
          </w:p>
        </w:tc>
        <w:tc>
          <w:tcPr>
            <w:tcW w:w="0" w:type="auto"/>
            <w:shd w:val="clear" w:color="auto" w:fill="FFFFFF"/>
            <w:tcMar>
              <w:top w:w="30" w:type="dxa"/>
              <w:left w:w="0" w:type="dxa"/>
              <w:bottom w:w="30" w:type="dxa"/>
              <w:right w:w="20" w:type="dxa"/>
            </w:tcMar>
            <w:vAlign w:val="bottom"/>
            <w:hideMark/>
          </w:tcPr>
          <w:p w14:paraId="3D36BE7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5627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1093BB" w14:textId="77777777" w:rsidR="00000000" w:rsidRDefault="00E614A4">
            <w:pPr>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14:paraId="1E002E8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049582"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E847C3" w14:textId="77777777" w:rsidR="00000000" w:rsidRDefault="00E614A4">
            <w:pPr>
              <w:jc w:val="right"/>
              <w:rPr>
                <w:rFonts w:eastAsia="Times New Roman"/>
              </w:rPr>
            </w:pPr>
            <w:r>
              <w:rPr>
                <w:rFonts w:eastAsia="Times New Roman"/>
                <w:color w:val="000000"/>
                <w:sz w:val="18"/>
                <w:szCs w:val="18"/>
              </w:rPr>
              <w:t>4,001 </w:t>
            </w:r>
          </w:p>
        </w:tc>
        <w:tc>
          <w:tcPr>
            <w:tcW w:w="0" w:type="auto"/>
            <w:shd w:val="clear" w:color="auto" w:fill="FFFFFF"/>
            <w:tcMar>
              <w:top w:w="30" w:type="dxa"/>
              <w:left w:w="0" w:type="dxa"/>
              <w:bottom w:w="30" w:type="dxa"/>
              <w:right w:w="20" w:type="dxa"/>
            </w:tcMar>
            <w:vAlign w:val="bottom"/>
            <w:hideMark/>
          </w:tcPr>
          <w:p w14:paraId="1415CBC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72CC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BE34A0" w14:textId="77777777" w:rsidR="00000000" w:rsidRDefault="00E614A4">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19F59F8A"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EF63A8F"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318073" w14:textId="77777777" w:rsidR="00000000" w:rsidRDefault="00E614A4">
            <w:pPr>
              <w:jc w:val="right"/>
              <w:rPr>
                <w:rFonts w:eastAsia="Times New Roman"/>
              </w:rPr>
            </w:pPr>
            <w:r>
              <w:rPr>
                <w:rFonts w:eastAsia="Times New Roman"/>
                <w:color w:val="000000"/>
                <w:sz w:val="18"/>
                <w:szCs w:val="18"/>
              </w:rPr>
              <w:t>(1,032)</w:t>
            </w:r>
          </w:p>
        </w:tc>
        <w:tc>
          <w:tcPr>
            <w:tcW w:w="0" w:type="auto"/>
            <w:shd w:val="clear" w:color="auto" w:fill="FFFFFF"/>
            <w:tcMar>
              <w:top w:w="30" w:type="dxa"/>
              <w:left w:w="0" w:type="dxa"/>
              <w:bottom w:w="30" w:type="dxa"/>
              <w:right w:w="20" w:type="dxa"/>
            </w:tcMar>
            <w:vAlign w:val="bottom"/>
            <w:hideMark/>
          </w:tcPr>
          <w:p w14:paraId="5119A96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47DE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DFDF10" w14:textId="77777777" w:rsidR="00000000" w:rsidRDefault="00E614A4">
            <w:pPr>
              <w:jc w:val="right"/>
              <w:rPr>
                <w:rFonts w:eastAsia="Times New Roman"/>
              </w:rPr>
            </w:pPr>
            <w:r>
              <w:rPr>
                <w:rFonts w:eastAsia="Times New Roman"/>
                <w:color w:val="000000"/>
                <w:sz w:val="18"/>
                <w:szCs w:val="18"/>
              </w:rPr>
              <w:t>(25.8)</w:t>
            </w:r>
          </w:p>
        </w:tc>
        <w:tc>
          <w:tcPr>
            <w:tcW w:w="0" w:type="auto"/>
            <w:shd w:val="clear" w:color="auto" w:fill="FFFFFF"/>
            <w:tcMar>
              <w:top w:w="30" w:type="dxa"/>
              <w:left w:w="0" w:type="dxa"/>
              <w:bottom w:w="30" w:type="dxa"/>
              <w:right w:w="20" w:type="dxa"/>
            </w:tcMar>
            <w:vAlign w:val="bottom"/>
            <w:hideMark/>
          </w:tcPr>
          <w:p w14:paraId="087D4D38" w14:textId="77777777" w:rsidR="00000000" w:rsidRDefault="00E614A4">
            <w:pPr>
              <w:jc w:val="right"/>
              <w:rPr>
                <w:rFonts w:eastAsia="Times New Roman"/>
              </w:rPr>
            </w:pPr>
            <w:r>
              <w:rPr>
                <w:rFonts w:eastAsia="Times New Roman"/>
                <w:color w:val="000000"/>
                <w:sz w:val="18"/>
                <w:szCs w:val="18"/>
              </w:rPr>
              <w:t>%</w:t>
            </w:r>
          </w:p>
        </w:tc>
      </w:tr>
      <w:tr w:rsidR="00000000" w14:paraId="2B36FD36" w14:textId="77777777">
        <w:trPr>
          <w:divId w:val="1922324233"/>
        </w:trPr>
        <w:tc>
          <w:tcPr>
            <w:tcW w:w="0" w:type="auto"/>
            <w:gridSpan w:val="3"/>
            <w:shd w:val="clear" w:color="auto" w:fill="CCEEFF"/>
            <w:tcMar>
              <w:top w:w="30" w:type="dxa"/>
              <w:left w:w="20" w:type="dxa"/>
              <w:bottom w:w="30" w:type="dxa"/>
              <w:right w:w="20" w:type="dxa"/>
            </w:tcMar>
            <w:vAlign w:val="bottom"/>
            <w:hideMark/>
          </w:tcPr>
          <w:p w14:paraId="34C47F94" w14:textId="77777777" w:rsidR="00000000" w:rsidRDefault="00E614A4">
            <w:pPr>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5F2D7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5F8910" w14:textId="77777777" w:rsidR="00000000" w:rsidRDefault="00E614A4">
            <w:pPr>
              <w:jc w:val="right"/>
              <w:rPr>
                <w:rFonts w:eastAsia="Times New Roman"/>
              </w:rPr>
            </w:pPr>
            <w:r>
              <w:rPr>
                <w:rFonts w:eastAsia="Times New Roman"/>
                <w:color w:val="000000"/>
                <w:sz w:val="18"/>
                <w:szCs w:val="18"/>
              </w:rPr>
              <w:t>89,145 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1A276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71068"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ED4C23" w14:textId="77777777" w:rsidR="00000000" w:rsidRDefault="00E614A4">
            <w:pPr>
              <w:jc w:val="right"/>
              <w:rPr>
                <w:rFonts w:eastAsia="Times New Roman"/>
              </w:rPr>
            </w:pPr>
            <w:r>
              <w:rPr>
                <w:rFonts w:eastAsia="Times New Roman"/>
                <w:color w:val="000000"/>
                <w:sz w:val="18"/>
                <w:szCs w:val="18"/>
              </w:rPr>
              <w:t>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8E92D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FA3F773"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59039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EAB735" w14:textId="77777777" w:rsidR="00000000" w:rsidRDefault="00E614A4">
            <w:pPr>
              <w:jc w:val="right"/>
              <w:rPr>
                <w:rFonts w:eastAsia="Times New Roman"/>
              </w:rPr>
            </w:pPr>
            <w:r>
              <w:rPr>
                <w:rFonts w:eastAsia="Times New Roman"/>
                <w:color w:val="000000"/>
                <w:sz w:val="18"/>
                <w:szCs w:val="18"/>
              </w:rPr>
              <w:t>108,395 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83247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A3276"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0EABD0" w14:textId="77777777" w:rsidR="00000000" w:rsidRDefault="00E614A4">
            <w:pPr>
              <w:jc w:val="right"/>
              <w:rPr>
                <w:rFonts w:eastAsia="Times New Roman"/>
              </w:rPr>
            </w:pPr>
            <w:r>
              <w:rPr>
                <w:rFonts w:eastAsia="Times New Roman"/>
                <w:color w:val="000000"/>
                <w:sz w:val="18"/>
                <w:szCs w:val="18"/>
              </w:rPr>
              <w:t>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E2275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E0B700B"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D64E7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8DA186" w14:textId="77777777" w:rsidR="00000000" w:rsidRDefault="00E614A4">
            <w:pPr>
              <w:jc w:val="right"/>
              <w:rPr>
                <w:rFonts w:eastAsia="Times New Roman"/>
              </w:rPr>
            </w:pPr>
            <w:r>
              <w:rPr>
                <w:rFonts w:eastAsia="Times New Roman"/>
                <w:color w:val="000000"/>
                <w:sz w:val="18"/>
                <w:szCs w:val="18"/>
              </w:rPr>
              <w:t>(19,250)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7A472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97DB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288C68" w14:textId="77777777" w:rsidR="00000000" w:rsidRDefault="00E614A4">
            <w:pPr>
              <w:jc w:val="right"/>
              <w:rPr>
                <w:rFonts w:eastAsia="Times New Roman"/>
              </w:rPr>
            </w:pPr>
            <w:r>
              <w:rPr>
                <w:rFonts w:eastAsia="Times New Roman"/>
                <w:color w:val="000000"/>
                <w:sz w:val="18"/>
                <w:szCs w:val="18"/>
              </w:rPr>
              <w:t>(17.8)</w:t>
            </w:r>
          </w:p>
        </w:tc>
        <w:tc>
          <w:tcPr>
            <w:tcW w:w="0" w:type="auto"/>
            <w:shd w:val="clear" w:color="auto" w:fill="CCEEFF"/>
            <w:tcMar>
              <w:top w:w="30" w:type="dxa"/>
              <w:left w:w="0" w:type="dxa"/>
              <w:bottom w:w="30" w:type="dxa"/>
              <w:right w:w="20" w:type="dxa"/>
            </w:tcMar>
            <w:vAlign w:val="bottom"/>
            <w:hideMark/>
          </w:tcPr>
          <w:p w14:paraId="2E9F2ABA" w14:textId="77777777" w:rsidR="00000000" w:rsidRDefault="00E614A4">
            <w:pPr>
              <w:jc w:val="right"/>
              <w:rPr>
                <w:rFonts w:eastAsia="Times New Roman"/>
              </w:rPr>
            </w:pPr>
            <w:r>
              <w:rPr>
                <w:rFonts w:eastAsia="Times New Roman"/>
                <w:color w:val="000000"/>
                <w:sz w:val="18"/>
                <w:szCs w:val="18"/>
              </w:rPr>
              <w:t>%</w:t>
            </w:r>
          </w:p>
        </w:tc>
      </w:tr>
    </w:tbl>
    <w:p w14:paraId="779CC819" w14:textId="77777777" w:rsidR="00000000" w:rsidRDefault="00E614A4">
      <w:pPr>
        <w:jc w:val="both"/>
        <w:divId w:val="444468682"/>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As discussed in </w:t>
      </w:r>
      <w:hyperlink r:id="rId10" w:anchor="s5B1B894228215AEEABBC1FE6C8EB010C" w:history="1">
        <w:r>
          <w:rPr>
            <w:rStyle w:val="a3"/>
            <w:rFonts w:eastAsia="Times New Roman"/>
            <w:i/>
            <w:iCs/>
            <w:sz w:val="16"/>
            <w:szCs w:val="16"/>
          </w:rPr>
          <w:t>Footnote 2</w:t>
        </w:r>
      </w:hyperlink>
      <w:r>
        <w:rPr>
          <w:rFonts w:eastAsia="Times New Roman"/>
          <w:i/>
          <w:iCs/>
          <w:color w:val="000000"/>
          <w:sz w:val="16"/>
          <w:szCs w:val="16"/>
        </w:rPr>
        <w:t xml:space="preserve">, Summary of Significant Accounting Policies, in our </w:t>
      </w:r>
      <w:hyperlink r:id="rId11" w:history="1">
        <w:r>
          <w:rPr>
            <w:rStyle w:val="a3"/>
            <w:rFonts w:eastAsia="Times New Roman"/>
            <w:i/>
            <w:iCs/>
            <w:sz w:val="16"/>
            <w:szCs w:val="16"/>
          </w:rPr>
          <w:t>2019 10-K</w:t>
        </w:r>
      </w:hyperlink>
      <w:r>
        <w:rPr>
          <w:rFonts w:eastAsia="Times New Roman"/>
          <w:i/>
          <w:iCs/>
          <w:color w:val="000000"/>
          <w:sz w:val="16"/>
          <w:szCs w:val="16"/>
        </w:rPr>
        <w:t>, we adopted A</w:t>
      </w:r>
      <w:r>
        <w:rPr>
          <w:rFonts w:eastAsia="Times New Roman"/>
          <w:i/>
          <w:iCs/>
          <w:color w:val="000000"/>
          <w:sz w:val="16"/>
          <w:szCs w:val="16"/>
        </w:rPr>
        <w:t>SC 842, Leases as of January 1, 2019. Lease expense and depreciation for the year ended December 31, 2019 is not comparable to the year ended December 31, 2018 due to our adoption of ASC 842.</w:t>
      </w:r>
    </w:p>
    <w:p w14:paraId="54B54BDC" w14:textId="77777777" w:rsidR="00000000" w:rsidRDefault="00E614A4">
      <w:pPr>
        <w:jc w:val="both"/>
        <w:divId w:val="345058457"/>
        <w:rPr>
          <w:rFonts w:eastAsia="Times New Roman"/>
        </w:rPr>
      </w:pPr>
      <w:r>
        <w:rPr>
          <w:rFonts w:eastAsia="Times New Roman"/>
          <w:color w:val="000000"/>
          <w:sz w:val="20"/>
          <w:szCs w:val="20"/>
        </w:rPr>
        <w:t>Selling and marketing expenses decreased by $19.3 million, or 17</w:t>
      </w:r>
      <w:r>
        <w:rPr>
          <w:rFonts w:eastAsia="Times New Roman"/>
          <w:color w:val="000000"/>
          <w:sz w:val="20"/>
          <w:szCs w:val="20"/>
        </w:rPr>
        <w:t xml:space="preserve">.8%, for the year ended December 31, 2019 as compared to the year ended December 31, 2018. Employee costs decreased $15.6 million due to reduced headcount and restructuring efforts as discussed in </w:t>
      </w:r>
      <w:hyperlink w:anchor="ided6989bcc374020961c421c465250ee_190" w:history="1">
        <w:r>
          <w:rPr>
            <w:rStyle w:val="a3"/>
            <w:rFonts w:eastAsia="Times New Roman"/>
            <w:sz w:val="20"/>
            <w:szCs w:val="20"/>
          </w:rPr>
          <w:t>Footnote 14</w:t>
        </w:r>
      </w:hyperlink>
      <w:r>
        <w:rPr>
          <w:rFonts w:eastAsia="Times New Roman"/>
          <w:color w:val="000000"/>
          <w:sz w:val="20"/>
          <w:szCs w:val="20"/>
        </w:rPr>
        <w:t xml:space="preserve">, </w:t>
      </w:r>
      <w:r>
        <w:rPr>
          <w:rFonts w:eastAsia="Times New Roman"/>
          <w:i/>
          <w:iCs/>
          <w:color w:val="000000"/>
          <w:sz w:val="20"/>
          <w:szCs w:val="20"/>
        </w:rPr>
        <w:t>Organizational Restructuring</w:t>
      </w:r>
      <w:r>
        <w:rPr>
          <w:rFonts w:eastAsia="Times New Roman"/>
          <w:color w:val="000000"/>
          <w:sz w:val="20"/>
          <w:szCs w:val="20"/>
        </w:rPr>
        <w:t>. Lease expense and depreciation decreased $2.0 million as a result of various lease terminations and decreased depreciation expense as various assets reached the end of their depreciable lives. Travel costs decrea</w:t>
      </w:r>
      <w:r>
        <w:rPr>
          <w:rFonts w:eastAsia="Times New Roman"/>
          <w:color w:val="000000"/>
          <w:sz w:val="20"/>
          <w:szCs w:val="20"/>
        </w:rPr>
        <w:t xml:space="preserve">sed $1.5 million from lower headcount while professional fees decreased $0.8 million from reduced use of consultants. Offsetting these decreases in costs was an increase of $1.7 million in technology costs due certain license expenses that were previously </w:t>
      </w:r>
      <w:r>
        <w:rPr>
          <w:rFonts w:eastAsia="Times New Roman"/>
          <w:color w:val="000000"/>
          <w:sz w:val="20"/>
          <w:szCs w:val="20"/>
        </w:rPr>
        <w:t>included in research and development expense.</w:t>
      </w:r>
    </w:p>
    <w:p w14:paraId="4A2C1C99" w14:textId="77777777" w:rsidR="00000000" w:rsidRDefault="00E614A4">
      <w:pPr>
        <w:jc w:val="both"/>
        <w:divId w:val="144665332"/>
        <w:rPr>
          <w:rFonts w:eastAsia="Times New Roman"/>
        </w:rPr>
      </w:pPr>
      <w:r>
        <w:rPr>
          <w:rFonts w:eastAsia="Times New Roman"/>
          <w:b/>
          <w:bCs/>
          <w:i/>
          <w:iCs/>
          <w:color w:val="000000"/>
          <w:sz w:val="20"/>
          <w:szCs w:val="20"/>
        </w:rPr>
        <w:t>Research and Development</w:t>
      </w:r>
    </w:p>
    <w:p w14:paraId="19520615" w14:textId="77777777" w:rsidR="00000000" w:rsidRDefault="00E614A4">
      <w:pPr>
        <w:jc w:val="both"/>
        <w:divId w:val="744375013"/>
        <w:rPr>
          <w:rFonts w:eastAsia="Times New Roman"/>
        </w:rPr>
      </w:pPr>
      <w:r>
        <w:rPr>
          <w:rFonts w:eastAsia="Times New Roman"/>
          <w:color w:val="000000"/>
          <w:sz w:val="20"/>
          <w:szCs w:val="20"/>
        </w:rPr>
        <w:t>Research and development expenses include product development costs, consisting primarily of employee costs including salaries, benefits, stock-based compensation and other related costs for personnel associated with research and development activities, th</w:t>
      </w:r>
      <w:r>
        <w:rPr>
          <w:rFonts w:eastAsia="Times New Roman"/>
          <w:color w:val="000000"/>
          <w:sz w:val="20"/>
          <w:szCs w:val="20"/>
        </w:rPr>
        <w:t>ird-party expenses to develop new products and third-party data costs and allocated overhead, which is comprised of lease expense and other facilities-related costs, and depreciation expense related to general purpose equipment and software.</w:t>
      </w:r>
    </w:p>
    <w:p w14:paraId="7AC007B3" w14:textId="77777777" w:rsidR="00000000" w:rsidRDefault="00E614A4">
      <w:pPr>
        <w:jc w:val="both"/>
        <w:divId w:val="1714961122"/>
        <w:rPr>
          <w:rFonts w:eastAsia="Times New Roman"/>
        </w:rPr>
      </w:pPr>
      <w:r>
        <w:rPr>
          <w:rFonts w:eastAsia="Times New Roman"/>
          <w:color w:val="000000"/>
          <w:sz w:val="20"/>
          <w:szCs w:val="20"/>
        </w:rPr>
        <w:t>Research and d</w:t>
      </w:r>
      <w:r>
        <w:rPr>
          <w:rFonts w:eastAsia="Times New Roman"/>
          <w:color w:val="000000"/>
          <w:sz w:val="20"/>
          <w:szCs w:val="20"/>
        </w:rPr>
        <w:t>evelopment expenses for the years ended December 31, 2020 and 2019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5B986B9E" w14:textId="77777777">
        <w:trPr>
          <w:divId w:val="166288463"/>
          <w:jc w:val="center"/>
        </w:trPr>
        <w:tc>
          <w:tcPr>
            <w:tcW w:w="50" w:type="pct"/>
            <w:vAlign w:val="center"/>
            <w:hideMark/>
          </w:tcPr>
          <w:p w14:paraId="33F46772" w14:textId="77777777" w:rsidR="00000000" w:rsidRDefault="00E614A4">
            <w:pPr>
              <w:jc w:val="both"/>
              <w:rPr>
                <w:rFonts w:eastAsia="Times New Roman"/>
              </w:rPr>
            </w:pPr>
          </w:p>
        </w:tc>
        <w:tc>
          <w:tcPr>
            <w:tcW w:w="1681" w:type="pct"/>
            <w:vAlign w:val="center"/>
            <w:hideMark/>
          </w:tcPr>
          <w:p w14:paraId="42315F59" w14:textId="77777777" w:rsidR="00000000" w:rsidRDefault="00E614A4">
            <w:pPr>
              <w:rPr>
                <w:rFonts w:eastAsia="Times New Roman"/>
                <w:sz w:val="20"/>
                <w:szCs w:val="20"/>
              </w:rPr>
            </w:pPr>
          </w:p>
        </w:tc>
        <w:tc>
          <w:tcPr>
            <w:tcW w:w="5" w:type="pct"/>
            <w:vAlign w:val="center"/>
            <w:hideMark/>
          </w:tcPr>
          <w:p w14:paraId="7B23B87D" w14:textId="77777777" w:rsidR="00000000" w:rsidRDefault="00E614A4">
            <w:pPr>
              <w:rPr>
                <w:rFonts w:eastAsia="Times New Roman"/>
                <w:sz w:val="20"/>
                <w:szCs w:val="20"/>
              </w:rPr>
            </w:pPr>
          </w:p>
        </w:tc>
        <w:tc>
          <w:tcPr>
            <w:tcW w:w="50" w:type="pct"/>
            <w:vAlign w:val="center"/>
            <w:hideMark/>
          </w:tcPr>
          <w:p w14:paraId="2469877A" w14:textId="77777777" w:rsidR="00000000" w:rsidRDefault="00E614A4">
            <w:pPr>
              <w:rPr>
                <w:rFonts w:eastAsia="Times New Roman"/>
                <w:sz w:val="20"/>
                <w:szCs w:val="20"/>
              </w:rPr>
            </w:pPr>
          </w:p>
        </w:tc>
        <w:tc>
          <w:tcPr>
            <w:tcW w:w="465" w:type="pct"/>
            <w:vAlign w:val="center"/>
            <w:hideMark/>
          </w:tcPr>
          <w:p w14:paraId="7F7F14BB" w14:textId="77777777" w:rsidR="00000000" w:rsidRDefault="00E614A4">
            <w:pPr>
              <w:rPr>
                <w:rFonts w:eastAsia="Times New Roman"/>
                <w:sz w:val="20"/>
                <w:szCs w:val="20"/>
              </w:rPr>
            </w:pPr>
          </w:p>
        </w:tc>
        <w:tc>
          <w:tcPr>
            <w:tcW w:w="5" w:type="pct"/>
            <w:vAlign w:val="center"/>
            <w:hideMark/>
          </w:tcPr>
          <w:p w14:paraId="494B39BA" w14:textId="77777777" w:rsidR="00000000" w:rsidRDefault="00E614A4">
            <w:pPr>
              <w:rPr>
                <w:rFonts w:eastAsia="Times New Roman"/>
                <w:sz w:val="20"/>
                <w:szCs w:val="20"/>
              </w:rPr>
            </w:pPr>
          </w:p>
        </w:tc>
        <w:tc>
          <w:tcPr>
            <w:tcW w:w="5" w:type="pct"/>
            <w:vAlign w:val="center"/>
            <w:hideMark/>
          </w:tcPr>
          <w:p w14:paraId="65F26EB5" w14:textId="77777777" w:rsidR="00000000" w:rsidRDefault="00E614A4">
            <w:pPr>
              <w:rPr>
                <w:rFonts w:eastAsia="Times New Roman"/>
                <w:sz w:val="20"/>
                <w:szCs w:val="20"/>
              </w:rPr>
            </w:pPr>
          </w:p>
        </w:tc>
        <w:tc>
          <w:tcPr>
            <w:tcW w:w="17" w:type="pct"/>
            <w:vAlign w:val="center"/>
            <w:hideMark/>
          </w:tcPr>
          <w:p w14:paraId="208E034D" w14:textId="77777777" w:rsidR="00000000" w:rsidRDefault="00E614A4">
            <w:pPr>
              <w:rPr>
                <w:rFonts w:eastAsia="Times New Roman"/>
                <w:sz w:val="20"/>
                <w:szCs w:val="20"/>
              </w:rPr>
            </w:pPr>
          </w:p>
        </w:tc>
        <w:tc>
          <w:tcPr>
            <w:tcW w:w="5" w:type="pct"/>
            <w:vAlign w:val="center"/>
            <w:hideMark/>
          </w:tcPr>
          <w:p w14:paraId="032169E2" w14:textId="77777777" w:rsidR="00000000" w:rsidRDefault="00E614A4">
            <w:pPr>
              <w:rPr>
                <w:rFonts w:eastAsia="Times New Roman"/>
                <w:sz w:val="20"/>
                <w:szCs w:val="20"/>
              </w:rPr>
            </w:pPr>
          </w:p>
        </w:tc>
        <w:tc>
          <w:tcPr>
            <w:tcW w:w="50" w:type="pct"/>
            <w:vAlign w:val="center"/>
            <w:hideMark/>
          </w:tcPr>
          <w:p w14:paraId="33E7AC77" w14:textId="77777777" w:rsidR="00000000" w:rsidRDefault="00E614A4">
            <w:pPr>
              <w:rPr>
                <w:rFonts w:eastAsia="Times New Roman"/>
                <w:sz w:val="20"/>
                <w:szCs w:val="20"/>
              </w:rPr>
            </w:pPr>
          </w:p>
        </w:tc>
        <w:tc>
          <w:tcPr>
            <w:tcW w:w="465" w:type="pct"/>
            <w:vAlign w:val="center"/>
            <w:hideMark/>
          </w:tcPr>
          <w:p w14:paraId="59D00EE6" w14:textId="77777777" w:rsidR="00000000" w:rsidRDefault="00E614A4">
            <w:pPr>
              <w:rPr>
                <w:rFonts w:eastAsia="Times New Roman"/>
                <w:sz w:val="20"/>
                <w:szCs w:val="20"/>
              </w:rPr>
            </w:pPr>
          </w:p>
        </w:tc>
        <w:tc>
          <w:tcPr>
            <w:tcW w:w="5" w:type="pct"/>
            <w:vAlign w:val="center"/>
            <w:hideMark/>
          </w:tcPr>
          <w:p w14:paraId="1DD86AD8" w14:textId="77777777" w:rsidR="00000000" w:rsidRDefault="00E614A4">
            <w:pPr>
              <w:rPr>
                <w:rFonts w:eastAsia="Times New Roman"/>
                <w:sz w:val="20"/>
                <w:szCs w:val="20"/>
              </w:rPr>
            </w:pPr>
          </w:p>
        </w:tc>
        <w:tc>
          <w:tcPr>
            <w:tcW w:w="5" w:type="pct"/>
            <w:vAlign w:val="center"/>
            <w:hideMark/>
          </w:tcPr>
          <w:p w14:paraId="1287996B" w14:textId="77777777" w:rsidR="00000000" w:rsidRDefault="00E614A4">
            <w:pPr>
              <w:rPr>
                <w:rFonts w:eastAsia="Times New Roman"/>
                <w:sz w:val="20"/>
                <w:szCs w:val="20"/>
              </w:rPr>
            </w:pPr>
          </w:p>
        </w:tc>
        <w:tc>
          <w:tcPr>
            <w:tcW w:w="17" w:type="pct"/>
            <w:vAlign w:val="center"/>
            <w:hideMark/>
          </w:tcPr>
          <w:p w14:paraId="77155324" w14:textId="77777777" w:rsidR="00000000" w:rsidRDefault="00E614A4">
            <w:pPr>
              <w:rPr>
                <w:rFonts w:eastAsia="Times New Roman"/>
                <w:sz w:val="20"/>
                <w:szCs w:val="20"/>
              </w:rPr>
            </w:pPr>
          </w:p>
        </w:tc>
        <w:tc>
          <w:tcPr>
            <w:tcW w:w="5" w:type="pct"/>
            <w:vAlign w:val="center"/>
            <w:hideMark/>
          </w:tcPr>
          <w:p w14:paraId="082391E7" w14:textId="77777777" w:rsidR="00000000" w:rsidRDefault="00E614A4">
            <w:pPr>
              <w:rPr>
                <w:rFonts w:eastAsia="Times New Roman"/>
                <w:sz w:val="20"/>
                <w:szCs w:val="20"/>
              </w:rPr>
            </w:pPr>
          </w:p>
        </w:tc>
        <w:tc>
          <w:tcPr>
            <w:tcW w:w="50" w:type="pct"/>
            <w:vAlign w:val="center"/>
            <w:hideMark/>
          </w:tcPr>
          <w:p w14:paraId="57A10E47" w14:textId="77777777" w:rsidR="00000000" w:rsidRDefault="00E614A4">
            <w:pPr>
              <w:rPr>
                <w:rFonts w:eastAsia="Times New Roman"/>
                <w:sz w:val="20"/>
                <w:szCs w:val="20"/>
              </w:rPr>
            </w:pPr>
          </w:p>
        </w:tc>
        <w:tc>
          <w:tcPr>
            <w:tcW w:w="465" w:type="pct"/>
            <w:vAlign w:val="center"/>
            <w:hideMark/>
          </w:tcPr>
          <w:p w14:paraId="58AD9EF2" w14:textId="77777777" w:rsidR="00000000" w:rsidRDefault="00E614A4">
            <w:pPr>
              <w:rPr>
                <w:rFonts w:eastAsia="Times New Roman"/>
                <w:sz w:val="20"/>
                <w:szCs w:val="20"/>
              </w:rPr>
            </w:pPr>
          </w:p>
        </w:tc>
        <w:tc>
          <w:tcPr>
            <w:tcW w:w="5" w:type="pct"/>
            <w:vAlign w:val="center"/>
            <w:hideMark/>
          </w:tcPr>
          <w:p w14:paraId="17B78BFF" w14:textId="77777777" w:rsidR="00000000" w:rsidRDefault="00E614A4">
            <w:pPr>
              <w:rPr>
                <w:rFonts w:eastAsia="Times New Roman"/>
                <w:sz w:val="20"/>
                <w:szCs w:val="20"/>
              </w:rPr>
            </w:pPr>
          </w:p>
        </w:tc>
        <w:tc>
          <w:tcPr>
            <w:tcW w:w="5" w:type="pct"/>
            <w:vAlign w:val="center"/>
            <w:hideMark/>
          </w:tcPr>
          <w:p w14:paraId="7782868E" w14:textId="77777777" w:rsidR="00000000" w:rsidRDefault="00E614A4">
            <w:pPr>
              <w:rPr>
                <w:rFonts w:eastAsia="Times New Roman"/>
                <w:sz w:val="20"/>
                <w:szCs w:val="20"/>
              </w:rPr>
            </w:pPr>
          </w:p>
        </w:tc>
        <w:tc>
          <w:tcPr>
            <w:tcW w:w="17" w:type="pct"/>
            <w:vAlign w:val="center"/>
            <w:hideMark/>
          </w:tcPr>
          <w:p w14:paraId="6570FC61" w14:textId="77777777" w:rsidR="00000000" w:rsidRDefault="00E614A4">
            <w:pPr>
              <w:rPr>
                <w:rFonts w:eastAsia="Times New Roman"/>
                <w:sz w:val="20"/>
                <w:szCs w:val="20"/>
              </w:rPr>
            </w:pPr>
          </w:p>
        </w:tc>
        <w:tc>
          <w:tcPr>
            <w:tcW w:w="5" w:type="pct"/>
            <w:vAlign w:val="center"/>
            <w:hideMark/>
          </w:tcPr>
          <w:p w14:paraId="3A8F0CC0" w14:textId="77777777" w:rsidR="00000000" w:rsidRDefault="00E614A4">
            <w:pPr>
              <w:rPr>
                <w:rFonts w:eastAsia="Times New Roman"/>
                <w:sz w:val="20"/>
                <w:szCs w:val="20"/>
              </w:rPr>
            </w:pPr>
          </w:p>
        </w:tc>
        <w:tc>
          <w:tcPr>
            <w:tcW w:w="50" w:type="pct"/>
            <w:vAlign w:val="center"/>
            <w:hideMark/>
          </w:tcPr>
          <w:p w14:paraId="1CE8F0BA" w14:textId="77777777" w:rsidR="00000000" w:rsidRDefault="00E614A4">
            <w:pPr>
              <w:rPr>
                <w:rFonts w:eastAsia="Times New Roman"/>
                <w:sz w:val="20"/>
                <w:szCs w:val="20"/>
              </w:rPr>
            </w:pPr>
          </w:p>
        </w:tc>
        <w:tc>
          <w:tcPr>
            <w:tcW w:w="465" w:type="pct"/>
            <w:vAlign w:val="center"/>
            <w:hideMark/>
          </w:tcPr>
          <w:p w14:paraId="2F67D448" w14:textId="77777777" w:rsidR="00000000" w:rsidRDefault="00E614A4">
            <w:pPr>
              <w:rPr>
                <w:rFonts w:eastAsia="Times New Roman"/>
                <w:sz w:val="20"/>
                <w:szCs w:val="20"/>
              </w:rPr>
            </w:pPr>
          </w:p>
        </w:tc>
        <w:tc>
          <w:tcPr>
            <w:tcW w:w="5" w:type="pct"/>
            <w:vAlign w:val="center"/>
            <w:hideMark/>
          </w:tcPr>
          <w:p w14:paraId="3D479749" w14:textId="77777777" w:rsidR="00000000" w:rsidRDefault="00E614A4">
            <w:pPr>
              <w:rPr>
                <w:rFonts w:eastAsia="Times New Roman"/>
                <w:sz w:val="20"/>
                <w:szCs w:val="20"/>
              </w:rPr>
            </w:pPr>
          </w:p>
        </w:tc>
        <w:tc>
          <w:tcPr>
            <w:tcW w:w="5" w:type="pct"/>
            <w:vAlign w:val="center"/>
            <w:hideMark/>
          </w:tcPr>
          <w:p w14:paraId="7E83B025" w14:textId="77777777" w:rsidR="00000000" w:rsidRDefault="00E614A4">
            <w:pPr>
              <w:rPr>
                <w:rFonts w:eastAsia="Times New Roman"/>
                <w:sz w:val="20"/>
                <w:szCs w:val="20"/>
              </w:rPr>
            </w:pPr>
          </w:p>
        </w:tc>
        <w:tc>
          <w:tcPr>
            <w:tcW w:w="17" w:type="pct"/>
            <w:vAlign w:val="center"/>
            <w:hideMark/>
          </w:tcPr>
          <w:p w14:paraId="1D097979" w14:textId="77777777" w:rsidR="00000000" w:rsidRDefault="00E614A4">
            <w:pPr>
              <w:rPr>
                <w:rFonts w:eastAsia="Times New Roman"/>
                <w:sz w:val="20"/>
                <w:szCs w:val="20"/>
              </w:rPr>
            </w:pPr>
          </w:p>
        </w:tc>
        <w:tc>
          <w:tcPr>
            <w:tcW w:w="5" w:type="pct"/>
            <w:vAlign w:val="center"/>
            <w:hideMark/>
          </w:tcPr>
          <w:p w14:paraId="0F85DE84" w14:textId="77777777" w:rsidR="00000000" w:rsidRDefault="00E614A4">
            <w:pPr>
              <w:rPr>
                <w:rFonts w:eastAsia="Times New Roman"/>
                <w:sz w:val="20"/>
                <w:szCs w:val="20"/>
              </w:rPr>
            </w:pPr>
          </w:p>
        </w:tc>
        <w:tc>
          <w:tcPr>
            <w:tcW w:w="50" w:type="pct"/>
            <w:vAlign w:val="center"/>
            <w:hideMark/>
          </w:tcPr>
          <w:p w14:paraId="1DB63357" w14:textId="77777777" w:rsidR="00000000" w:rsidRDefault="00E614A4">
            <w:pPr>
              <w:rPr>
                <w:rFonts w:eastAsia="Times New Roman"/>
                <w:sz w:val="20"/>
                <w:szCs w:val="20"/>
              </w:rPr>
            </w:pPr>
          </w:p>
        </w:tc>
        <w:tc>
          <w:tcPr>
            <w:tcW w:w="465" w:type="pct"/>
            <w:vAlign w:val="center"/>
            <w:hideMark/>
          </w:tcPr>
          <w:p w14:paraId="71DC4BB9" w14:textId="77777777" w:rsidR="00000000" w:rsidRDefault="00E614A4">
            <w:pPr>
              <w:rPr>
                <w:rFonts w:eastAsia="Times New Roman"/>
                <w:sz w:val="20"/>
                <w:szCs w:val="20"/>
              </w:rPr>
            </w:pPr>
          </w:p>
        </w:tc>
        <w:tc>
          <w:tcPr>
            <w:tcW w:w="5" w:type="pct"/>
            <w:vAlign w:val="center"/>
            <w:hideMark/>
          </w:tcPr>
          <w:p w14:paraId="2B51DE1C" w14:textId="77777777" w:rsidR="00000000" w:rsidRDefault="00E614A4">
            <w:pPr>
              <w:rPr>
                <w:rFonts w:eastAsia="Times New Roman"/>
                <w:sz w:val="20"/>
                <w:szCs w:val="20"/>
              </w:rPr>
            </w:pPr>
          </w:p>
        </w:tc>
        <w:tc>
          <w:tcPr>
            <w:tcW w:w="5" w:type="pct"/>
            <w:vAlign w:val="center"/>
            <w:hideMark/>
          </w:tcPr>
          <w:p w14:paraId="7EC2B335" w14:textId="77777777" w:rsidR="00000000" w:rsidRDefault="00E614A4">
            <w:pPr>
              <w:rPr>
                <w:rFonts w:eastAsia="Times New Roman"/>
                <w:sz w:val="20"/>
                <w:szCs w:val="20"/>
              </w:rPr>
            </w:pPr>
          </w:p>
        </w:tc>
        <w:tc>
          <w:tcPr>
            <w:tcW w:w="17" w:type="pct"/>
            <w:vAlign w:val="center"/>
            <w:hideMark/>
          </w:tcPr>
          <w:p w14:paraId="0E61ECB2" w14:textId="77777777" w:rsidR="00000000" w:rsidRDefault="00E614A4">
            <w:pPr>
              <w:rPr>
                <w:rFonts w:eastAsia="Times New Roman"/>
                <w:sz w:val="20"/>
                <w:szCs w:val="20"/>
              </w:rPr>
            </w:pPr>
          </w:p>
        </w:tc>
        <w:tc>
          <w:tcPr>
            <w:tcW w:w="5" w:type="pct"/>
            <w:vAlign w:val="center"/>
            <w:hideMark/>
          </w:tcPr>
          <w:p w14:paraId="5DC226A1" w14:textId="77777777" w:rsidR="00000000" w:rsidRDefault="00E614A4">
            <w:pPr>
              <w:rPr>
                <w:rFonts w:eastAsia="Times New Roman"/>
                <w:sz w:val="20"/>
                <w:szCs w:val="20"/>
              </w:rPr>
            </w:pPr>
          </w:p>
        </w:tc>
        <w:tc>
          <w:tcPr>
            <w:tcW w:w="50" w:type="pct"/>
            <w:vAlign w:val="center"/>
            <w:hideMark/>
          </w:tcPr>
          <w:p w14:paraId="7C50D0A4" w14:textId="77777777" w:rsidR="00000000" w:rsidRDefault="00E614A4">
            <w:pPr>
              <w:rPr>
                <w:rFonts w:eastAsia="Times New Roman"/>
                <w:sz w:val="20"/>
                <w:szCs w:val="20"/>
              </w:rPr>
            </w:pPr>
          </w:p>
        </w:tc>
        <w:tc>
          <w:tcPr>
            <w:tcW w:w="466" w:type="pct"/>
            <w:vAlign w:val="center"/>
            <w:hideMark/>
          </w:tcPr>
          <w:p w14:paraId="436121D5" w14:textId="77777777" w:rsidR="00000000" w:rsidRDefault="00E614A4">
            <w:pPr>
              <w:rPr>
                <w:rFonts w:eastAsia="Times New Roman"/>
                <w:sz w:val="20"/>
                <w:szCs w:val="20"/>
              </w:rPr>
            </w:pPr>
          </w:p>
        </w:tc>
        <w:tc>
          <w:tcPr>
            <w:tcW w:w="5" w:type="pct"/>
            <w:vAlign w:val="center"/>
            <w:hideMark/>
          </w:tcPr>
          <w:p w14:paraId="005BC4C5" w14:textId="77777777" w:rsidR="00000000" w:rsidRDefault="00E614A4">
            <w:pPr>
              <w:rPr>
                <w:rFonts w:eastAsia="Times New Roman"/>
                <w:sz w:val="20"/>
                <w:szCs w:val="20"/>
              </w:rPr>
            </w:pPr>
          </w:p>
        </w:tc>
      </w:tr>
      <w:tr w:rsidR="00000000" w14:paraId="7D29E5AB" w14:textId="77777777">
        <w:trPr>
          <w:divId w:val="166288463"/>
          <w:jc w:val="center"/>
        </w:trPr>
        <w:tc>
          <w:tcPr>
            <w:tcW w:w="0" w:type="auto"/>
            <w:gridSpan w:val="3"/>
            <w:vAlign w:val="center"/>
            <w:hideMark/>
          </w:tcPr>
          <w:p w14:paraId="01657321" w14:textId="77777777" w:rsidR="00000000" w:rsidRDefault="00E614A4">
            <w:pPr>
              <w:rPr>
                <w:rFonts w:eastAsia="Times New Roman"/>
                <w:sz w:val="20"/>
                <w:szCs w:val="20"/>
              </w:rPr>
            </w:pPr>
          </w:p>
        </w:tc>
        <w:tc>
          <w:tcPr>
            <w:tcW w:w="0" w:type="auto"/>
            <w:gridSpan w:val="3"/>
            <w:vAlign w:val="center"/>
            <w:hideMark/>
          </w:tcPr>
          <w:p w14:paraId="2BFE7BFA" w14:textId="77777777" w:rsidR="00000000" w:rsidRDefault="00E614A4">
            <w:pPr>
              <w:rPr>
                <w:rFonts w:eastAsia="Times New Roman"/>
                <w:sz w:val="20"/>
                <w:szCs w:val="20"/>
              </w:rPr>
            </w:pPr>
          </w:p>
        </w:tc>
        <w:tc>
          <w:tcPr>
            <w:tcW w:w="0" w:type="auto"/>
            <w:gridSpan w:val="3"/>
            <w:vAlign w:val="center"/>
            <w:hideMark/>
          </w:tcPr>
          <w:p w14:paraId="5CE6E822" w14:textId="77777777" w:rsidR="00000000" w:rsidRDefault="00E614A4">
            <w:pPr>
              <w:rPr>
                <w:rFonts w:eastAsia="Times New Roman"/>
                <w:sz w:val="20"/>
                <w:szCs w:val="20"/>
              </w:rPr>
            </w:pPr>
          </w:p>
        </w:tc>
        <w:tc>
          <w:tcPr>
            <w:tcW w:w="0" w:type="auto"/>
            <w:gridSpan w:val="3"/>
            <w:vAlign w:val="center"/>
            <w:hideMark/>
          </w:tcPr>
          <w:p w14:paraId="21643C2E" w14:textId="77777777" w:rsidR="00000000" w:rsidRDefault="00E614A4">
            <w:pPr>
              <w:rPr>
                <w:rFonts w:eastAsia="Times New Roman"/>
                <w:sz w:val="20"/>
                <w:szCs w:val="20"/>
              </w:rPr>
            </w:pPr>
          </w:p>
        </w:tc>
        <w:tc>
          <w:tcPr>
            <w:tcW w:w="0" w:type="auto"/>
            <w:gridSpan w:val="3"/>
            <w:vAlign w:val="center"/>
            <w:hideMark/>
          </w:tcPr>
          <w:p w14:paraId="1D656803" w14:textId="77777777" w:rsidR="00000000" w:rsidRDefault="00E614A4">
            <w:pPr>
              <w:rPr>
                <w:rFonts w:eastAsia="Times New Roman"/>
                <w:sz w:val="20"/>
                <w:szCs w:val="20"/>
              </w:rPr>
            </w:pPr>
          </w:p>
        </w:tc>
        <w:tc>
          <w:tcPr>
            <w:tcW w:w="0" w:type="auto"/>
            <w:gridSpan w:val="3"/>
            <w:vAlign w:val="center"/>
            <w:hideMark/>
          </w:tcPr>
          <w:p w14:paraId="5653F083" w14:textId="77777777" w:rsidR="00000000" w:rsidRDefault="00E614A4">
            <w:pPr>
              <w:rPr>
                <w:rFonts w:eastAsia="Times New Roman"/>
                <w:sz w:val="20"/>
                <w:szCs w:val="20"/>
              </w:rPr>
            </w:pPr>
          </w:p>
        </w:tc>
        <w:tc>
          <w:tcPr>
            <w:tcW w:w="0" w:type="auto"/>
            <w:gridSpan w:val="3"/>
            <w:vAlign w:val="center"/>
            <w:hideMark/>
          </w:tcPr>
          <w:p w14:paraId="6D3EBEFC" w14:textId="77777777" w:rsidR="00000000" w:rsidRDefault="00E614A4">
            <w:pPr>
              <w:rPr>
                <w:rFonts w:eastAsia="Times New Roman"/>
                <w:sz w:val="20"/>
                <w:szCs w:val="20"/>
              </w:rPr>
            </w:pPr>
          </w:p>
        </w:tc>
        <w:tc>
          <w:tcPr>
            <w:tcW w:w="0" w:type="auto"/>
            <w:gridSpan w:val="3"/>
            <w:vAlign w:val="center"/>
            <w:hideMark/>
          </w:tcPr>
          <w:p w14:paraId="1B31AAE2" w14:textId="77777777" w:rsidR="00000000" w:rsidRDefault="00E614A4">
            <w:pPr>
              <w:rPr>
                <w:rFonts w:eastAsia="Times New Roman"/>
                <w:sz w:val="20"/>
                <w:szCs w:val="20"/>
              </w:rPr>
            </w:pPr>
          </w:p>
        </w:tc>
        <w:tc>
          <w:tcPr>
            <w:tcW w:w="0" w:type="auto"/>
            <w:gridSpan w:val="3"/>
            <w:vAlign w:val="center"/>
            <w:hideMark/>
          </w:tcPr>
          <w:p w14:paraId="5B7551C7" w14:textId="77777777" w:rsidR="00000000" w:rsidRDefault="00E614A4">
            <w:pPr>
              <w:rPr>
                <w:rFonts w:eastAsia="Times New Roman"/>
                <w:sz w:val="20"/>
                <w:szCs w:val="20"/>
              </w:rPr>
            </w:pPr>
          </w:p>
        </w:tc>
        <w:tc>
          <w:tcPr>
            <w:tcW w:w="0" w:type="auto"/>
            <w:gridSpan w:val="3"/>
            <w:vAlign w:val="center"/>
            <w:hideMark/>
          </w:tcPr>
          <w:p w14:paraId="3ECF298B" w14:textId="77777777" w:rsidR="00000000" w:rsidRDefault="00E614A4">
            <w:pPr>
              <w:rPr>
                <w:rFonts w:eastAsia="Times New Roman"/>
                <w:sz w:val="20"/>
                <w:szCs w:val="20"/>
              </w:rPr>
            </w:pPr>
          </w:p>
        </w:tc>
        <w:tc>
          <w:tcPr>
            <w:tcW w:w="0" w:type="auto"/>
            <w:gridSpan w:val="3"/>
            <w:vAlign w:val="center"/>
            <w:hideMark/>
          </w:tcPr>
          <w:p w14:paraId="2C7982B4" w14:textId="77777777" w:rsidR="00000000" w:rsidRDefault="00E614A4">
            <w:pPr>
              <w:rPr>
                <w:rFonts w:eastAsia="Times New Roman"/>
                <w:sz w:val="20"/>
                <w:szCs w:val="20"/>
              </w:rPr>
            </w:pPr>
          </w:p>
        </w:tc>
        <w:tc>
          <w:tcPr>
            <w:tcW w:w="0" w:type="auto"/>
            <w:gridSpan w:val="3"/>
            <w:vAlign w:val="center"/>
            <w:hideMark/>
          </w:tcPr>
          <w:p w14:paraId="4C97F8A0" w14:textId="77777777" w:rsidR="00000000" w:rsidRDefault="00E614A4">
            <w:pPr>
              <w:rPr>
                <w:rFonts w:eastAsia="Times New Roman"/>
                <w:sz w:val="20"/>
                <w:szCs w:val="20"/>
              </w:rPr>
            </w:pPr>
          </w:p>
        </w:tc>
      </w:tr>
      <w:tr w:rsidR="00000000" w14:paraId="085989F2" w14:textId="77777777">
        <w:trPr>
          <w:divId w:val="166288463"/>
          <w:jc w:val="center"/>
        </w:trPr>
        <w:tc>
          <w:tcPr>
            <w:tcW w:w="0" w:type="auto"/>
            <w:gridSpan w:val="3"/>
            <w:tcMar>
              <w:top w:w="0" w:type="dxa"/>
              <w:left w:w="20" w:type="dxa"/>
              <w:bottom w:w="0" w:type="dxa"/>
              <w:right w:w="20" w:type="dxa"/>
            </w:tcMar>
            <w:vAlign w:val="center"/>
            <w:hideMark/>
          </w:tcPr>
          <w:p w14:paraId="4B5CBF44"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40226E24"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03E83E23"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7FA47D2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46178E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A696522" w14:textId="77777777" w:rsidR="00000000" w:rsidRDefault="00E614A4">
            <w:pPr>
              <w:rPr>
                <w:rFonts w:eastAsia="Times New Roman"/>
                <w:sz w:val="20"/>
                <w:szCs w:val="20"/>
              </w:rPr>
            </w:pPr>
          </w:p>
        </w:tc>
      </w:tr>
      <w:tr w:rsidR="00000000" w14:paraId="5B031AB3" w14:textId="77777777">
        <w:trPr>
          <w:divId w:val="166288463"/>
          <w:jc w:val="center"/>
        </w:trPr>
        <w:tc>
          <w:tcPr>
            <w:tcW w:w="0" w:type="auto"/>
            <w:gridSpan w:val="3"/>
            <w:shd w:val="clear" w:color="auto" w:fill="FFFFFF"/>
            <w:tcMar>
              <w:top w:w="30" w:type="dxa"/>
              <w:left w:w="20" w:type="dxa"/>
              <w:bottom w:w="30" w:type="dxa"/>
              <w:right w:w="20" w:type="dxa"/>
            </w:tcMar>
            <w:vAlign w:val="bottom"/>
            <w:hideMark/>
          </w:tcPr>
          <w:p w14:paraId="6E0DAC0E"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D8E7632"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D591F39"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0FBD59"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DFF20B"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F5593B9"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10E046"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F789C84"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011971E9"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833B828"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14:paraId="032CBF70"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6B8CFA7" w14:textId="77777777" w:rsidR="00000000" w:rsidRDefault="00E614A4">
            <w:pPr>
              <w:jc w:val="center"/>
              <w:rPr>
                <w:rFonts w:eastAsia="Times New Roman"/>
              </w:rPr>
            </w:pPr>
            <w:r>
              <w:rPr>
                <w:rFonts w:eastAsia="Times New Roman"/>
                <w:b/>
                <w:bCs/>
                <w:color w:val="000000"/>
                <w:sz w:val="16"/>
                <w:szCs w:val="16"/>
              </w:rPr>
              <w:t>% Variance</w:t>
            </w:r>
          </w:p>
        </w:tc>
      </w:tr>
      <w:tr w:rsidR="00000000" w14:paraId="51DFA609" w14:textId="77777777">
        <w:trPr>
          <w:divId w:val="166288463"/>
          <w:jc w:val="center"/>
        </w:trPr>
        <w:tc>
          <w:tcPr>
            <w:tcW w:w="0" w:type="auto"/>
            <w:gridSpan w:val="3"/>
            <w:shd w:val="clear" w:color="auto" w:fill="CCEEFF"/>
            <w:tcMar>
              <w:top w:w="30" w:type="dxa"/>
              <w:left w:w="245" w:type="dxa"/>
              <w:bottom w:w="30" w:type="dxa"/>
              <w:right w:w="20" w:type="dxa"/>
            </w:tcMar>
            <w:vAlign w:val="bottom"/>
            <w:hideMark/>
          </w:tcPr>
          <w:p w14:paraId="21243E7D" w14:textId="77777777" w:rsidR="00000000" w:rsidRDefault="00E614A4">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7E05C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AF3D0A" w14:textId="77777777" w:rsidR="00000000" w:rsidRDefault="00E614A4">
            <w:pPr>
              <w:jc w:val="right"/>
              <w:rPr>
                <w:rFonts w:eastAsia="Times New Roman"/>
              </w:rPr>
            </w:pPr>
            <w:r>
              <w:rPr>
                <w:rFonts w:eastAsia="Times New Roman"/>
                <w:color w:val="000000"/>
                <w:sz w:val="18"/>
                <w:szCs w:val="18"/>
              </w:rPr>
              <w:t>28,512 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C57B8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FD9A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EDDB1F" w14:textId="77777777" w:rsidR="00000000" w:rsidRDefault="00E614A4">
            <w:pPr>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FC0CFB"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E8AAF0E"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6A9CE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131F11" w14:textId="77777777" w:rsidR="00000000" w:rsidRDefault="00E614A4">
            <w:pPr>
              <w:jc w:val="right"/>
              <w:rPr>
                <w:rFonts w:eastAsia="Times New Roman"/>
              </w:rPr>
            </w:pPr>
            <w:r>
              <w:rPr>
                <w:rFonts w:eastAsia="Times New Roman"/>
                <w:color w:val="000000"/>
                <w:sz w:val="18"/>
                <w:szCs w:val="18"/>
              </w:rPr>
              <w:t>47,626 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9BA96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E2F7B"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304679" w14:textId="77777777" w:rsidR="00000000" w:rsidRDefault="00E614A4">
            <w:pPr>
              <w:jc w:val="right"/>
              <w:rPr>
                <w:rFonts w:eastAsia="Times New Roman"/>
              </w:rPr>
            </w:pPr>
            <w:r>
              <w:rPr>
                <w:rFonts w:eastAsia="Times New Roman"/>
                <w:color w:val="000000"/>
                <w:sz w:val="18"/>
                <w:szCs w:val="18"/>
              </w:rPr>
              <w:t>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0C39B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E0E1BCF"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4DAC3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D58A69" w14:textId="77777777" w:rsidR="00000000" w:rsidRDefault="00E614A4">
            <w:pPr>
              <w:jc w:val="right"/>
              <w:rPr>
                <w:rFonts w:eastAsia="Times New Roman"/>
              </w:rPr>
            </w:pPr>
            <w:r>
              <w:rPr>
                <w:rFonts w:eastAsia="Times New Roman"/>
                <w:color w:val="000000"/>
                <w:sz w:val="18"/>
                <w:szCs w:val="18"/>
              </w:rPr>
              <w:t>(19,114)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2BA77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5ACAC"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7E0DEF" w14:textId="77777777" w:rsidR="00000000" w:rsidRDefault="00E614A4">
            <w:pPr>
              <w:jc w:val="right"/>
              <w:rPr>
                <w:rFonts w:eastAsia="Times New Roman"/>
              </w:rPr>
            </w:pPr>
            <w:r>
              <w:rPr>
                <w:rFonts w:eastAsia="Times New Roman"/>
                <w:color w:val="000000"/>
                <w:sz w:val="18"/>
                <w:szCs w:val="18"/>
              </w:rPr>
              <w:t>(40.1)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E986A8" w14:textId="77777777" w:rsidR="00000000" w:rsidRDefault="00E614A4">
            <w:pPr>
              <w:jc w:val="right"/>
              <w:rPr>
                <w:rFonts w:eastAsia="Times New Roman"/>
              </w:rPr>
            </w:pPr>
            <w:r>
              <w:rPr>
                <w:rFonts w:eastAsia="Times New Roman"/>
                <w:color w:val="000000"/>
                <w:sz w:val="18"/>
                <w:szCs w:val="18"/>
              </w:rPr>
              <w:t>%</w:t>
            </w:r>
          </w:p>
        </w:tc>
      </w:tr>
      <w:tr w:rsidR="00000000" w14:paraId="1EBA3491" w14:textId="77777777">
        <w:trPr>
          <w:divId w:val="166288463"/>
          <w:jc w:val="center"/>
        </w:trPr>
        <w:tc>
          <w:tcPr>
            <w:tcW w:w="0" w:type="auto"/>
            <w:gridSpan w:val="3"/>
            <w:shd w:val="clear" w:color="auto" w:fill="FFFFFF"/>
            <w:tcMar>
              <w:top w:w="30" w:type="dxa"/>
              <w:left w:w="245" w:type="dxa"/>
              <w:bottom w:w="30" w:type="dxa"/>
              <w:right w:w="20" w:type="dxa"/>
            </w:tcMar>
            <w:vAlign w:val="bottom"/>
            <w:hideMark/>
          </w:tcPr>
          <w:p w14:paraId="0BF17A4B" w14:textId="77777777" w:rsidR="00000000" w:rsidRDefault="00E614A4">
            <w:pPr>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49ED4C9D" w14:textId="77777777" w:rsidR="00000000" w:rsidRDefault="00E614A4">
            <w:pPr>
              <w:jc w:val="right"/>
              <w:rPr>
                <w:rFonts w:eastAsia="Times New Roman"/>
              </w:rPr>
            </w:pPr>
            <w:r>
              <w:rPr>
                <w:rFonts w:eastAsia="Times New Roman"/>
                <w:color w:val="000000"/>
                <w:sz w:val="18"/>
                <w:szCs w:val="18"/>
              </w:rPr>
              <w:t>4,322 </w:t>
            </w:r>
          </w:p>
        </w:tc>
        <w:tc>
          <w:tcPr>
            <w:tcW w:w="0" w:type="auto"/>
            <w:shd w:val="clear" w:color="auto" w:fill="FFFFFF"/>
            <w:tcMar>
              <w:top w:w="30" w:type="dxa"/>
              <w:left w:w="0" w:type="dxa"/>
              <w:bottom w:w="30" w:type="dxa"/>
              <w:right w:w="20" w:type="dxa"/>
            </w:tcMar>
            <w:vAlign w:val="bottom"/>
            <w:hideMark/>
          </w:tcPr>
          <w:p w14:paraId="2FA0F3C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61EB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C46BFC" w14:textId="77777777" w:rsidR="00000000" w:rsidRDefault="00E614A4">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676F437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7B15EE"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0507B4" w14:textId="77777777" w:rsidR="00000000" w:rsidRDefault="00E614A4">
            <w:pPr>
              <w:jc w:val="right"/>
              <w:rPr>
                <w:rFonts w:eastAsia="Times New Roman"/>
              </w:rPr>
            </w:pPr>
            <w:r>
              <w:rPr>
                <w:rFonts w:eastAsia="Times New Roman"/>
                <w:color w:val="000000"/>
                <w:sz w:val="18"/>
                <w:szCs w:val="18"/>
              </w:rPr>
              <w:t>4,164 </w:t>
            </w:r>
          </w:p>
        </w:tc>
        <w:tc>
          <w:tcPr>
            <w:tcW w:w="0" w:type="auto"/>
            <w:shd w:val="clear" w:color="auto" w:fill="FFFFFF"/>
            <w:tcMar>
              <w:top w:w="30" w:type="dxa"/>
              <w:left w:w="0" w:type="dxa"/>
              <w:bottom w:w="30" w:type="dxa"/>
              <w:right w:w="20" w:type="dxa"/>
            </w:tcMar>
            <w:vAlign w:val="bottom"/>
            <w:hideMark/>
          </w:tcPr>
          <w:p w14:paraId="57055FB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64C8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225E03" w14:textId="77777777" w:rsidR="00000000" w:rsidRDefault="00E614A4">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6B7D6EC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10CD3F"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9EBFD5" w14:textId="77777777" w:rsidR="00000000" w:rsidRDefault="00E614A4">
            <w:pPr>
              <w:jc w:val="right"/>
              <w:rPr>
                <w:rFonts w:eastAsia="Times New Roman"/>
              </w:rPr>
            </w:pPr>
            <w:r>
              <w:rPr>
                <w:rFonts w:eastAsia="Times New Roman"/>
                <w:color w:val="000000"/>
                <w:sz w:val="18"/>
                <w:szCs w:val="18"/>
              </w:rPr>
              <w:t>158 </w:t>
            </w:r>
          </w:p>
        </w:tc>
        <w:tc>
          <w:tcPr>
            <w:tcW w:w="0" w:type="auto"/>
            <w:shd w:val="clear" w:color="auto" w:fill="FFFFFF"/>
            <w:tcMar>
              <w:top w:w="30" w:type="dxa"/>
              <w:left w:w="0" w:type="dxa"/>
              <w:bottom w:w="30" w:type="dxa"/>
              <w:right w:w="20" w:type="dxa"/>
            </w:tcMar>
            <w:vAlign w:val="bottom"/>
            <w:hideMark/>
          </w:tcPr>
          <w:p w14:paraId="1E320EF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5099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FE13B1" w14:textId="77777777" w:rsidR="00000000" w:rsidRDefault="00E614A4">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14:paraId="0B46305E" w14:textId="77777777" w:rsidR="00000000" w:rsidRDefault="00E614A4">
            <w:pPr>
              <w:jc w:val="right"/>
              <w:rPr>
                <w:rFonts w:eastAsia="Times New Roman"/>
              </w:rPr>
            </w:pPr>
            <w:r>
              <w:rPr>
                <w:rFonts w:eastAsia="Times New Roman"/>
                <w:color w:val="000000"/>
                <w:sz w:val="18"/>
                <w:szCs w:val="18"/>
              </w:rPr>
              <w:t>%</w:t>
            </w:r>
          </w:p>
        </w:tc>
      </w:tr>
      <w:tr w:rsidR="00000000" w14:paraId="5752F9EB" w14:textId="77777777">
        <w:trPr>
          <w:divId w:val="166288463"/>
          <w:jc w:val="center"/>
        </w:trPr>
        <w:tc>
          <w:tcPr>
            <w:tcW w:w="0" w:type="auto"/>
            <w:gridSpan w:val="3"/>
            <w:shd w:val="clear" w:color="auto" w:fill="CCEEFF"/>
            <w:tcMar>
              <w:top w:w="30" w:type="dxa"/>
              <w:left w:w="245" w:type="dxa"/>
              <w:bottom w:w="30" w:type="dxa"/>
              <w:right w:w="20" w:type="dxa"/>
            </w:tcMar>
            <w:vAlign w:val="bottom"/>
            <w:hideMark/>
          </w:tcPr>
          <w:p w14:paraId="687F6288" w14:textId="77777777" w:rsidR="00000000" w:rsidRDefault="00E614A4">
            <w:pPr>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14:paraId="79F3E38E" w14:textId="77777777" w:rsidR="00000000" w:rsidRDefault="00E614A4">
            <w:pPr>
              <w:jc w:val="right"/>
              <w:rPr>
                <w:rFonts w:eastAsia="Times New Roman"/>
              </w:rPr>
            </w:pPr>
            <w:r>
              <w:rPr>
                <w:rFonts w:eastAsia="Times New Roman"/>
                <w:color w:val="000000"/>
                <w:sz w:val="18"/>
                <w:szCs w:val="18"/>
              </w:rPr>
              <w:t>3,999 </w:t>
            </w:r>
          </w:p>
        </w:tc>
        <w:tc>
          <w:tcPr>
            <w:tcW w:w="0" w:type="auto"/>
            <w:shd w:val="clear" w:color="auto" w:fill="CCEEFF"/>
            <w:tcMar>
              <w:top w:w="30" w:type="dxa"/>
              <w:left w:w="0" w:type="dxa"/>
              <w:bottom w:w="30" w:type="dxa"/>
              <w:right w:w="20" w:type="dxa"/>
            </w:tcMar>
            <w:vAlign w:val="bottom"/>
            <w:hideMark/>
          </w:tcPr>
          <w:p w14:paraId="1C6DAAD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07F8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69546E" w14:textId="77777777" w:rsidR="00000000" w:rsidRDefault="00E614A4">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5AD8D98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C1CDFA9"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BD4046" w14:textId="77777777" w:rsidR="00000000" w:rsidRDefault="00E614A4">
            <w:pPr>
              <w:jc w:val="right"/>
              <w:rPr>
                <w:rFonts w:eastAsia="Times New Roman"/>
              </w:rPr>
            </w:pPr>
            <w:r>
              <w:rPr>
                <w:rFonts w:eastAsia="Times New Roman"/>
                <w:color w:val="000000"/>
                <w:sz w:val="18"/>
                <w:szCs w:val="18"/>
              </w:rPr>
              <w:t>5,958 </w:t>
            </w:r>
          </w:p>
        </w:tc>
        <w:tc>
          <w:tcPr>
            <w:tcW w:w="0" w:type="auto"/>
            <w:shd w:val="clear" w:color="auto" w:fill="CCEEFF"/>
            <w:tcMar>
              <w:top w:w="30" w:type="dxa"/>
              <w:left w:w="0" w:type="dxa"/>
              <w:bottom w:w="30" w:type="dxa"/>
              <w:right w:w="20" w:type="dxa"/>
            </w:tcMar>
            <w:vAlign w:val="bottom"/>
            <w:hideMark/>
          </w:tcPr>
          <w:p w14:paraId="195763C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C3C9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CD182A" w14:textId="77777777" w:rsidR="00000000" w:rsidRDefault="00E614A4">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14:paraId="5324DCA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319A88"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021F29" w14:textId="77777777" w:rsidR="00000000" w:rsidRDefault="00E614A4">
            <w:pPr>
              <w:jc w:val="right"/>
              <w:rPr>
                <w:rFonts w:eastAsia="Times New Roman"/>
              </w:rPr>
            </w:pPr>
            <w:r>
              <w:rPr>
                <w:rFonts w:eastAsia="Times New Roman"/>
                <w:color w:val="000000"/>
                <w:sz w:val="18"/>
                <w:szCs w:val="18"/>
              </w:rPr>
              <w:t>(1,959)</w:t>
            </w:r>
          </w:p>
        </w:tc>
        <w:tc>
          <w:tcPr>
            <w:tcW w:w="0" w:type="auto"/>
            <w:shd w:val="clear" w:color="auto" w:fill="CCEEFF"/>
            <w:tcMar>
              <w:top w:w="30" w:type="dxa"/>
              <w:left w:w="0" w:type="dxa"/>
              <w:bottom w:w="30" w:type="dxa"/>
              <w:right w:w="20" w:type="dxa"/>
            </w:tcMar>
            <w:vAlign w:val="bottom"/>
            <w:hideMark/>
          </w:tcPr>
          <w:p w14:paraId="167233E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CD2E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736FB6" w14:textId="77777777" w:rsidR="00000000" w:rsidRDefault="00E614A4">
            <w:pPr>
              <w:jc w:val="right"/>
              <w:rPr>
                <w:rFonts w:eastAsia="Times New Roman"/>
              </w:rPr>
            </w:pPr>
            <w:r>
              <w:rPr>
                <w:rFonts w:eastAsia="Times New Roman"/>
                <w:color w:val="000000"/>
                <w:sz w:val="18"/>
                <w:szCs w:val="18"/>
              </w:rPr>
              <w:t>(32.9)</w:t>
            </w:r>
          </w:p>
        </w:tc>
        <w:tc>
          <w:tcPr>
            <w:tcW w:w="0" w:type="auto"/>
            <w:shd w:val="clear" w:color="auto" w:fill="CCEEFF"/>
            <w:tcMar>
              <w:top w:w="30" w:type="dxa"/>
              <w:left w:w="0" w:type="dxa"/>
              <w:bottom w:w="30" w:type="dxa"/>
              <w:right w:w="20" w:type="dxa"/>
            </w:tcMar>
            <w:vAlign w:val="bottom"/>
            <w:hideMark/>
          </w:tcPr>
          <w:p w14:paraId="25916EC3" w14:textId="77777777" w:rsidR="00000000" w:rsidRDefault="00E614A4">
            <w:pPr>
              <w:jc w:val="right"/>
              <w:rPr>
                <w:rFonts w:eastAsia="Times New Roman"/>
              </w:rPr>
            </w:pPr>
            <w:r>
              <w:rPr>
                <w:rFonts w:eastAsia="Times New Roman"/>
                <w:color w:val="000000"/>
                <w:sz w:val="18"/>
                <w:szCs w:val="18"/>
              </w:rPr>
              <w:t>%</w:t>
            </w:r>
          </w:p>
        </w:tc>
      </w:tr>
      <w:tr w:rsidR="00000000" w14:paraId="1539BD64" w14:textId="77777777">
        <w:trPr>
          <w:divId w:val="166288463"/>
          <w:jc w:val="center"/>
        </w:trPr>
        <w:tc>
          <w:tcPr>
            <w:tcW w:w="0" w:type="auto"/>
            <w:gridSpan w:val="3"/>
            <w:vAlign w:val="center"/>
            <w:hideMark/>
          </w:tcPr>
          <w:p w14:paraId="254A865D" w14:textId="77777777" w:rsidR="00000000" w:rsidRDefault="00E614A4">
            <w:pPr>
              <w:jc w:val="right"/>
              <w:rPr>
                <w:rFonts w:eastAsia="Times New Roman"/>
              </w:rPr>
            </w:pPr>
          </w:p>
        </w:tc>
        <w:tc>
          <w:tcPr>
            <w:tcW w:w="0" w:type="auto"/>
            <w:gridSpan w:val="3"/>
            <w:vAlign w:val="center"/>
            <w:hideMark/>
          </w:tcPr>
          <w:p w14:paraId="37115708" w14:textId="77777777" w:rsidR="00000000" w:rsidRDefault="00E614A4">
            <w:pPr>
              <w:rPr>
                <w:rFonts w:eastAsia="Times New Roman"/>
                <w:sz w:val="20"/>
                <w:szCs w:val="20"/>
              </w:rPr>
            </w:pPr>
          </w:p>
        </w:tc>
        <w:tc>
          <w:tcPr>
            <w:tcW w:w="0" w:type="auto"/>
            <w:gridSpan w:val="3"/>
            <w:vAlign w:val="center"/>
            <w:hideMark/>
          </w:tcPr>
          <w:p w14:paraId="2F449F0E" w14:textId="77777777" w:rsidR="00000000" w:rsidRDefault="00E614A4">
            <w:pPr>
              <w:rPr>
                <w:rFonts w:eastAsia="Times New Roman"/>
                <w:sz w:val="20"/>
                <w:szCs w:val="20"/>
              </w:rPr>
            </w:pPr>
          </w:p>
        </w:tc>
        <w:tc>
          <w:tcPr>
            <w:tcW w:w="0" w:type="auto"/>
            <w:gridSpan w:val="3"/>
            <w:vAlign w:val="center"/>
            <w:hideMark/>
          </w:tcPr>
          <w:p w14:paraId="7696AB0F" w14:textId="77777777" w:rsidR="00000000" w:rsidRDefault="00E614A4">
            <w:pPr>
              <w:rPr>
                <w:rFonts w:eastAsia="Times New Roman"/>
                <w:sz w:val="20"/>
                <w:szCs w:val="20"/>
              </w:rPr>
            </w:pPr>
          </w:p>
        </w:tc>
        <w:tc>
          <w:tcPr>
            <w:tcW w:w="0" w:type="auto"/>
            <w:gridSpan w:val="3"/>
            <w:vAlign w:val="center"/>
            <w:hideMark/>
          </w:tcPr>
          <w:p w14:paraId="0D2D4986" w14:textId="77777777" w:rsidR="00000000" w:rsidRDefault="00E614A4">
            <w:pPr>
              <w:rPr>
                <w:rFonts w:eastAsia="Times New Roman"/>
                <w:sz w:val="20"/>
                <w:szCs w:val="20"/>
              </w:rPr>
            </w:pPr>
          </w:p>
        </w:tc>
        <w:tc>
          <w:tcPr>
            <w:tcW w:w="0" w:type="auto"/>
            <w:gridSpan w:val="3"/>
            <w:vAlign w:val="center"/>
            <w:hideMark/>
          </w:tcPr>
          <w:p w14:paraId="1D6A62E3" w14:textId="77777777" w:rsidR="00000000" w:rsidRDefault="00E614A4">
            <w:pPr>
              <w:rPr>
                <w:rFonts w:eastAsia="Times New Roman"/>
                <w:sz w:val="20"/>
                <w:szCs w:val="20"/>
              </w:rPr>
            </w:pPr>
          </w:p>
        </w:tc>
        <w:tc>
          <w:tcPr>
            <w:tcW w:w="0" w:type="auto"/>
            <w:gridSpan w:val="3"/>
            <w:vAlign w:val="center"/>
            <w:hideMark/>
          </w:tcPr>
          <w:p w14:paraId="156063B4" w14:textId="77777777" w:rsidR="00000000" w:rsidRDefault="00E614A4">
            <w:pPr>
              <w:rPr>
                <w:rFonts w:eastAsia="Times New Roman"/>
                <w:sz w:val="20"/>
                <w:szCs w:val="20"/>
              </w:rPr>
            </w:pPr>
          </w:p>
        </w:tc>
        <w:tc>
          <w:tcPr>
            <w:tcW w:w="0" w:type="auto"/>
            <w:gridSpan w:val="3"/>
            <w:vAlign w:val="center"/>
            <w:hideMark/>
          </w:tcPr>
          <w:p w14:paraId="2DDD9D93" w14:textId="77777777" w:rsidR="00000000" w:rsidRDefault="00E614A4">
            <w:pPr>
              <w:rPr>
                <w:rFonts w:eastAsia="Times New Roman"/>
                <w:sz w:val="20"/>
                <w:szCs w:val="20"/>
              </w:rPr>
            </w:pPr>
          </w:p>
        </w:tc>
        <w:tc>
          <w:tcPr>
            <w:tcW w:w="0" w:type="auto"/>
            <w:gridSpan w:val="3"/>
            <w:vAlign w:val="center"/>
            <w:hideMark/>
          </w:tcPr>
          <w:p w14:paraId="29F2D82F" w14:textId="77777777" w:rsidR="00000000" w:rsidRDefault="00E614A4">
            <w:pPr>
              <w:rPr>
                <w:rFonts w:eastAsia="Times New Roman"/>
                <w:sz w:val="20"/>
                <w:szCs w:val="20"/>
              </w:rPr>
            </w:pPr>
          </w:p>
        </w:tc>
        <w:tc>
          <w:tcPr>
            <w:tcW w:w="0" w:type="auto"/>
            <w:gridSpan w:val="3"/>
            <w:vAlign w:val="center"/>
            <w:hideMark/>
          </w:tcPr>
          <w:p w14:paraId="645C5D5C" w14:textId="77777777" w:rsidR="00000000" w:rsidRDefault="00E614A4">
            <w:pPr>
              <w:rPr>
                <w:rFonts w:eastAsia="Times New Roman"/>
                <w:sz w:val="20"/>
                <w:szCs w:val="20"/>
              </w:rPr>
            </w:pPr>
          </w:p>
        </w:tc>
        <w:tc>
          <w:tcPr>
            <w:tcW w:w="0" w:type="auto"/>
            <w:gridSpan w:val="3"/>
            <w:vAlign w:val="center"/>
            <w:hideMark/>
          </w:tcPr>
          <w:p w14:paraId="46768DE7" w14:textId="77777777" w:rsidR="00000000" w:rsidRDefault="00E614A4">
            <w:pPr>
              <w:rPr>
                <w:rFonts w:eastAsia="Times New Roman"/>
                <w:sz w:val="20"/>
                <w:szCs w:val="20"/>
              </w:rPr>
            </w:pPr>
          </w:p>
        </w:tc>
        <w:tc>
          <w:tcPr>
            <w:tcW w:w="0" w:type="auto"/>
            <w:gridSpan w:val="3"/>
            <w:vAlign w:val="center"/>
            <w:hideMark/>
          </w:tcPr>
          <w:p w14:paraId="4D2EBDF2" w14:textId="77777777" w:rsidR="00000000" w:rsidRDefault="00E614A4">
            <w:pPr>
              <w:rPr>
                <w:rFonts w:eastAsia="Times New Roman"/>
                <w:sz w:val="20"/>
                <w:szCs w:val="20"/>
              </w:rPr>
            </w:pPr>
          </w:p>
        </w:tc>
      </w:tr>
      <w:tr w:rsidR="00000000" w14:paraId="3812BA62" w14:textId="77777777">
        <w:trPr>
          <w:divId w:val="166288463"/>
          <w:jc w:val="center"/>
        </w:trPr>
        <w:tc>
          <w:tcPr>
            <w:tcW w:w="0" w:type="auto"/>
            <w:gridSpan w:val="3"/>
            <w:shd w:val="clear" w:color="auto" w:fill="FFFFFF"/>
            <w:tcMar>
              <w:top w:w="30" w:type="dxa"/>
              <w:left w:w="245" w:type="dxa"/>
              <w:bottom w:w="30" w:type="dxa"/>
              <w:right w:w="20" w:type="dxa"/>
            </w:tcMar>
            <w:vAlign w:val="bottom"/>
            <w:hideMark/>
          </w:tcPr>
          <w:p w14:paraId="63235BF3" w14:textId="77777777" w:rsidR="00000000" w:rsidRDefault="00E614A4">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5E8B6313" w14:textId="77777777" w:rsidR="00000000" w:rsidRDefault="00E614A4">
            <w:pPr>
              <w:jc w:val="right"/>
              <w:rPr>
                <w:rFonts w:eastAsia="Times New Roman"/>
              </w:rPr>
            </w:pPr>
            <w:r>
              <w:rPr>
                <w:rFonts w:eastAsia="Times New Roman"/>
                <w:color w:val="000000"/>
                <w:sz w:val="18"/>
                <w:szCs w:val="18"/>
              </w:rPr>
              <w:t>1,258 </w:t>
            </w:r>
          </w:p>
        </w:tc>
        <w:tc>
          <w:tcPr>
            <w:tcW w:w="0" w:type="auto"/>
            <w:shd w:val="clear" w:color="auto" w:fill="FFFFFF"/>
            <w:tcMar>
              <w:top w:w="30" w:type="dxa"/>
              <w:left w:w="0" w:type="dxa"/>
              <w:bottom w:w="30" w:type="dxa"/>
              <w:right w:w="20" w:type="dxa"/>
            </w:tcMar>
            <w:vAlign w:val="bottom"/>
            <w:hideMark/>
          </w:tcPr>
          <w:p w14:paraId="2464BC0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E102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0E0660" w14:textId="77777777" w:rsidR="00000000" w:rsidRDefault="00E614A4">
            <w:pPr>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25176DCA"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EDB9ADA"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D06714" w14:textId="77777777" w:rsidR="00000000" w:rsidRDefault="00E614A4">
            <w:pPr>
              <w:jc w:val="right"/>
              <w:rPr>
                <w:rFonts w:eastAsia="Times New Roman"/>
              </w:rPr>
            </w:pPr>
            <w:r>
              <w:rPr>
                <w:rFonts w:eastAsia="Times New Roman"/>
                <w:color w:val="000000"/>
                <w:sz w:val="18"/>
                <w:szCs w:val="18"/>
              </w:rPr>
              <w:t>2,860 </w:t>
            </w:r>
          </w:p>
        </w:tc>
        <w:tc>
          <w:tcPr>
            <w:tcW w:w="0" w:type="auto"/>
            <w:shd w:val="clear" w:color="auto" w:fill="FFFFFF"/>
            <w:tcMar>
              <w:top w:w="30" w:type="dxa"/>
              <w:left w:w="0" w:type="dxa"/>
              <w:bottom w:w="30" w:type="dxa"/>
              <w:right w:w="20" w:type="dxa"/>
            </w:tcMar>
            <w:vAlign w:val="bottom"/>
            <w:hideMark/>
          </w:tcPr>
          <w:p w14:paraId="6B0F217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48D3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2ADB95" w14:textId="77777777" w:rsidR="00000000" w:rsidRDefault="00E614A4">
            <w:pPr>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4D36EA7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ECD196A"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54D6F8" w14:textId="77777777" w:rsidR="00000000" w:rsidRDefault="00E614A4">
            <w:pPr>
              <w:jc w:val="right"/>
              <w:rPr>
                <w:rFonts w:eastAsia="Times New Roman"/>
              </w:rPr>
            </w:pPr>
            <w:r>
              <w:rPr>
                <w:rFonts w:eastAsia="Times New Roman"/>
                <w:color w:val="000000"/>
                <w:sz w:val="18"/>
                <w:szCs w:val="18"/>
              </w:rPr>
              <w:t>(1,602)</w:t>
            </w:r>
          </w:p>
        </w:tc>
        <w:tc>
          <w:tcPr>
            <w:tcW w:w="0" w:type="auto"/>
            <w:shd w:val="clear" w:color="auto" w:fill="FFFFFF"/>
            <w:tcMar>
              <w:top w:w="30" w:type="dxa"/>
              <w:left w:w="0" w:type="dxa"/>
              <w:bottom w:w="30" w:type="dxa"/>
              <w:right w:w="20" w:type="dxa"/>
            </w:tcMar>
            <w:vAlign w:val="bottom"/>
            <w:hideMark/>
          </w:tcPr>
          <w:p w14:paraId="2AC7AB4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3A68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9598C" w14:textId="77777777" w:rsidR="00000000" w:rsidRDefault="00E614A4">
            <w:pPr>
              <w:jc w:val="right"/>
              <w:rPr>
                <w:rFonts w:eastAsia="Times New Roman"/>
              </w:rPr>
            </w:pPr>
            <w:r>
              <w:rPr>
                <w:rFonts w:eastAsia="Times New Roman"/>
                <w:color w:val="000000"/>
                <w:sz w:val="18"/>
                <w:szCs w:val="18"/>
              </w:rPr>
              <w:t>(56.0)</w:t>
            </w:r>
          </w:p>
        </w:tc>
        <w:tc>
          <w:tcPr>
            <w:tcW w:w="0" w:type="auto"/>
            <w:shd w:val="clear" w:color="auto" w:fill="FFFFFF"/>
            <w:tcMar>
              <w:top w:w="30" w:type="dxa"/>
              <w:left w:w="0" w:type="dxa"/>
              <w:bottom w:w="30" w:type="dxa"/>
              <w:right w:w="20" w:type="dxa"/>
            </w:tcMar>
            <w:vAlign w:val="bottom"/>
            <w:hideMark/>
          </w:tcPr>
          <w:p w14:paraId="638D2008" w14:textId="77777777" w:rsidR="00000000" w:rsidRDefault="00E614A4">
            <w:pPr>
              <w:jc w:val="right"/>
              <w:rPr>
                <w:rFonts w:eastAsia="Times New Roman"/>
              </w:rPr>
            </w:pPr>
            <w:r>
              <w:rPr>
                <w:rFonts w:eastAsia="Times New Roman"/>
                <w:color w:val="000000"/>
                <w:sz w:val="18"/>
                <w:szCs w:val="18"/>
              </w:rPr>
              <w:t>%</w:t>
            </w:r>
          </w:p>
        </w:tc>
      </w:tr>
      <w:tr w:rsidR="00000000" w14:paraId="648DBDFA" w14:textId="77777777">
        <w:trPr>
          <w:divId w:val="166288463"/>
          <w:jc w:val="center"/>
        </w:trPr>
        <w:tc>
          <w:tcPr>
            <w:tcW w:w="0" w:type="auto"/>
            <w:gridSpan w:val="3"/>
            <w:shd w:val="clear" w:color="auto" w:fill="CCEEFF"/>
            <w:tcMar>
              <w:top w:w="30" w:type="dxa"/>
              <w:left w:w="245" w:type="dxa"/>
              <w:bottom w:w="30" w:type="dxa"/>
              <w:right w:w="20" w:type="dxa"/>
            </w:tcMar>
            <w:vAlign w:val="bottom"/>
            <w:hideMark/>
          </w:tcPr>
          <w:p w14:paraId="41851585" w14:textId="77777777" w:rsidR="00000000" w:rsidRDefault="00E614A4">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299779F1" w14:textId="77777777" w:rsidR="00000000" w:rsidRDefault="00E614A4">
            <w:pPr>
              <w:jc w:val="right"/>
              <w:rPr>
                <w:rFonts w:eastAsia="Times New Roman"/>
              </w:rPr>
            </w:pPr>
            <w:r>
              <w:rPr>
                <w:rFonts w:eastAsia="Times New Roman"/>
                <w:color w:val="000000"/>
                <w:sz w:val="18"/>
                <w:szCs w:val="18"/>
              </w:rPr>
              <w:t>615 </w:t>
            </w:r>
          </w:p>
        </w:tc>
        <w:tc>
          <w:tcPr>
            <w:tcW w:w="0" w:type="auto"/>
            <w:shd w:val="clear" w:color="auto" w:fill="CCEEFF"/>
            <w:tcMar>
              <w:top w:w="30" w:type="dxa"/>
              <w:left w:w="0" w:type="dxa"/>
              <w:bottom w:w="30" w:type="dxa"/>
              <w:right w:w="20" w:type="dxa"/>
            </w:tcMar>
            <w:vAlign w:val="bottom"/>
            <w:hideMark/>
          </w:tcPr>
          <w:p w14:paraId="332DD83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D4CC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07B6CD" w14:textId="77777777" w:rsidR="00000000" w:rsidRDefault="00E614A4">
            <w:pPr>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45FCB30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A6C458C"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B4BBF6" w14:textId="77777777" w:rsidR="00000000" w:rsidRDefault="00E614A4">
            <w:pPr>
              <w:jc w:val="right"/>
              <w:rPr>
                <w:rFonts w:eastAsia="Times New Roman"/>
              </w:rPr>
            </w:pPr>
            <w:r>
              <w:rPr>
                <w:rFonts w:eastAsia="Times New Roman"/>
                <w:color w:val="000000"/>
                <w:sz w:val="18"/>
                <w:szCs w:val="18"/>
              </w:rPr>
              <w:t>1,194 </w:t>
            </w:r>
          </w:p>
        </w:tc>
        <w:tc>
          <w:tcPr>
            <w:tcW w:w="0" w:type="auto"/>
            <w:shd w:val="clear" w:color="auto" w:fill="CCEEFF"/>
            <w:tcMar>
              <w:top w:w="30" w:type="dxa"/>
              <w:left w:w="0" w:type="dxa"/>
              <w:bottom w:w="30" w:type="dxa"/>
              <w:right w:w="20" w:type="dxa"/>
            </w:tcMar>
            <w:vAlign w:val="bottom"/>
            <w:hideMark/>
          </w:tcPr>
          <w:p w14:paraId="0E9BBDB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AA86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AEF08" w14:textId="77777777" w:rsidR="00000000" w:rsidRDefault="00E614A4">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14:paraId="2CA0AC32"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AFACD09"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98A80F" w14:textId="77777777" w:rsidR="00000000" w:rsidRDefault="00E614A4">
            <w:pPr>
              <w:jc w:val="right"/>
              <w:rPr>
                <w:rFonts w:eastAsia="Times New Roman"/>
              </w:rPr>
            </w:pPr>
            <w:r>
              <w:rPr>
                <w:rFonts w:eastAsia="Times New Roman"/>
                <w:color w:val="000000"/>
                <w:sz w:val="18"/>
                <w:szCs w:val="18"/>
              </w:rPr>
              <w:t>(579)</w:t>
            </w:r>
          </w:p>
        </w:tc>
        <w:tc>
          <w:tcPr>
            <w:tcW w:w="0" w:type="auto"/>
            <w:shd w:val="clear" w:color="auto" w:fill="CCEEFF"/>
            <w:tcMar>
              <w:top w:w="30" w:type="dxa"/>
              <w:left w:w="0" w:type="dxa"/>
              <w:bottom w:w="30" w:type="dxa"/>
              <w:right w:w="20" w:type="dxa"/>
            </w:tcMar>
            <w:vAlign w:val="bottom"/>
            <w:hideMark/>
          </w:tcPr>
          <w:p w14:paraId="657446D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CE04C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998D32" w14:textId="77777777" w:rsidR="00000000" w:rsidRDefault="00E614A4">
            <w:pPr>
              <w:jc w:val="right"/>
              <w:rPr>
                <w:rFonts w:eastAsia="Times New Roman"/>
              </w:rPr>
            </w:pPr>
            <w:r>
              <w:rPr>
                <w:rFonts w:eastAsia="Times New Roman"/>
                <w:color w:val="000000"/>
                <w:sz w:val="18"/>
                <w:szCs w:val="18"/>
              </w:rPr>
              <w:t>(48.5)</w:t>
            </w:r>
          </w:p>
        </w:tc>
        <w:tc>
          <w:tcPr>
            <w:tcW w:w="0" w:type="auto"/>
            <w:shd w:val="clear" w:color="auto" w:fill="CCEEFF"/>
            <w:tcMar>
              <w:top w:w="30" w:type="dxa"/>
              <w:left w:w="0" w:type="dxa"/>
              <w:bottom w:w="30" w:type="dxa"/>
              <w:right w:w="20" w:type="dxa"/>
            </w:tcMar>
            <w:vAlign w:val="bottom"/>
            <w:hideMark/>
          </w:tcPr>
          <w:p w14:paraId="67CAA7A1" w14:textId="77777777" w:rsidR="00000000" w:rsidRDefault="00E614A4">
            <w:pPr>
              <w:jc w:val="right"/>
              <w:rPr>
                <w:rFonts w:eastAsia="Times New Roman"/>
              </w:rPr>
            </w:pPr>
            <w:r>
              <w:rPr>
                <w:rFonts w:eastAsia="Times New Roman"/>
                <w:color w:val="000000"/>
                <w:sz w:val="18"/>
                <w:szCs w:val="18"/>
              </w:rPr>
              <w:t>%</w:t>
            </w:r>
          </w:p>
        </w:tc>
      </w:tr>
      <w:tr w:rsidR="00000000" w14:paraId="2B63C5EE" w14:textId="77777777">
        <w:trPr>
          <w:divId w:val="166288463"/>
          <w:jc w:val="center"/>
        </w:trPr>
        <w:tc>
          <w:tcPr>
            <w:tcW w:w="0" w:type="auto"/>
            <w:gridSpan w:val="3"/>
            <w:shd w:val="clear" w:color="auto" w:fill="FFFFFF"/>
            <w:tcMar>
              <w:top w:w="30" w:type="dxa"/>
              <w:left w:w="20" w:type="dxa"/>
              <w:bottom w:w="30" w:type="dxa"/>
              <w:right w:w="20" w:type="dxa"/>
            </w:tcMar>
            <w:vAlign w:val="bottom"/>
            <w:hideMark/>
          </w:tcPr>
          <w:p w14:paraId="2CBE0EA4" w14:textId="77777777" w:rsidR="00000000" w:rsidRDefault="00E614A4">
            <w:pPr>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4475D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6A28F3" w14:textId="77777777" w:rsidR="00000000" w:rsidRDefault="00E614A4">
            <w:pPr>
              <w:jc w:val="right"/>
              <w:rPr>
                <w:rFonts w:eastAsia="Times New Roman"/>
              </w:rPr>
            </w:pPr>
            <w:r>
              <w:rPr>
                <w:rFonts w:eastAsia="Times New Roman"/>
                <w:color w:val="000000"/>
                <w:sz w:val="18"/>
                <w:szCs w:val="18"/>
              </w:rPr>
              <w:t>38,706 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B1DCA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BAFFD"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4B6058" w14:textId="77777777" w:rsidR="00000000" w:rsidRDefault="00E614A4">
            <w:pPr>
              <w:jc w:val="right"/>
              <w:rPr>
                <w:rFonts w:eastAsia="Times New Roman"/>
              </w:rPr>
            </w:pPr>
            <w:r>
              <w:rPr>
                <w:rFonts w:eastAsia="Times New Roman"/>
                <w:color w:val="000000"/>
                <w:sz w:val="18"/>
                <w:szCs w:val="18"/>
              </w:rPr>
              <w:t>10.9 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BBC4D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27C5BA2"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D4074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2910AE" w14:textId="77777777" w:rsidR="00000000" w:rsidRDefault="00E614A4">
            <w:pPr>
              <w:jc w:val="right"/>
              <w:rPr>
                <w:rFonts w:eastAsia="Times New Roman"/>
              </w:rPr>
            </w:pPr>
            <w:r>
              <w:rPr>
                <w:rFonts w:eastAsia="Times New Roman"/>
                <w:color w:val="000000"/>
                <w:sz w:val="18"/>
                <w:szCs w:val="18"/>
              </w:rPr>
              <w:t>61,802 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71B8C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A94C5"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BA0151" w14:textId="77777777" w:rsidR="00000000" w:rsidRDefault="00E614A4">
            <w:pPr>
              <w:jc w:val="right"/>
              <w:rPr>
                <w:rFonts w:eastAsia="Times New Roman"/>
              </w:rPr>
            </w:pPr>
            <w:r>
              <w:rPr>
                <w:rFonts w:eastAsia="Times New Roman"/>
                <w:color w:val="000000"/>
                <w:sz w:val="18"/>
                <w:szCs w:val="18"/>
              </w:rPr>
              <w:t>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D1394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48FED47"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8EA05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AB45B6" w14:textId="77777777" w:rsidR="00000000" w:rsidRDefault="00E614A4">
            <w:pPr>
              <w:jc w:val="right"/>
              <w:rPr>
                <w:rFonts w:eastAsia="Times New Roman"/>
              </w:rPr>
            </w:pPr>
            <w:r>
              <w:rPr>
                <w:rFonts w:eastAsia="Times New Roman"/>
                <w:color w:val="000000"/>
                <w:sz w:val="18"/>
                <w:szCs w:val="18"/>
              </w:rPr>
              <w:t>(23,096)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9E31D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EB772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45D514" w14:textId="77777777" w:rsidR="00000000" w:rsidRDefault="00E614A4">
            <w:pPr>
              <w:jc w:val="right"/>
              <w:rPr>
                <w:rFonts w:eastAsia="Times New Roman"/>
              </w:rPr>
            </w:pPr>
            <w:r>
              <w:rPr>
                <w:rFonts w:eastAsia="Times New Roman"/>
                <w:color w:val="000000"/>
                <w:sz w:val="18"/>
                <w:szCs w:val="18"/>
              </w:rPr>
              <w:t>(37.4)</w:t>
            </w:r>
          </w:p>
        </w:tc>
        <w:tc>
          <w:tcPr>
            <w:tcW w:w="0" w:type="auto"/>
            <w:shd w:val="clear" w:color="auto" w:fill="FFFFFF"/>
            <w:tcMar>
              <w:top w:w="30" w:type="dxa"/>
              <w:left w:w="0" w:type="dxa"/>
              <w:bottom w:w="30" w:type="dxa"/>
              <w:right w:w="20" w:type="dxa"/>
            </w:tcMar>
            <w:vAlign w:val="bottom"/>
            <w:hideMark/>
          </w:tcPr>
          <w:p w14:paraId="400C1A8F" w14:textId="77777777" w:rsidR="00000000" w:rsidRDefault="00E614A4">
            <w:pPr>
              <w:jc w:val="right"/>
              <w:rPr>
                <w:rFonts w:eastAsia="Times New Roman"/>
              </w:rPr>
            </w:pPr>
            <w:r>
              <w:rPr>
                <w:rFonts w:eastAsia="Times New Roman"/>
                <w:color w:val="000000"/>
                <w:sz w:val="18"/>
                <w:szCs w:val="18"/>
              </w:rPr>
              <w:t>%</w:t>
            </w:r>
          </w:p>
        </w:tc>
      </w:tr>
    </w:tbl>
    <w:p w14:paraId="2DACF71B" w14:textId="77777777" w:rsidR="00000000" w:rsidRDefault="00E614A4">
      <w:pPr>
        <w:jc w:val="both"/>
        <w:divId w:val="1471559060"/>
        <w:rPr>
          <w:rFonts w:eastAsia="Times New Roman"/>
        </w:rPr>
      </w:pPr>
      <w:r>
        <w:rPr>
          <w:rFonts w:eastAsia="Times New Roman"/>
          <w:color w:val="000000"/>
          <w:sz w:val="20"/>
          <w:szCs w:val="20"/>
        </w:rPr>
        <w:t>Research and development expen</w:t>
      </w:r>
      <w:r>
        <w:rPr>
          <w:rFonts w:eastAsia="Times New Roman"/>
          <w:color w:val="000000"/>
          <w:sz w:val="20"/>
          <w:szCs w:val="20"/>
        </w:rPr>
        <w:t xml:space="preserve">ses decreased by $23.1 million, or 37.4%, for the year ended December 31, 2020 as compared to the year ended December 31, 2019. Employee costs decreased $19.1 million primarily due to lower headcount. Lease expense and </w:t>
      </w:r>
    </w:p>
    <w:p w14:paraId="5F9090C3" w14:textId="77777777" w:rsidR="00000000" w:rsidRDefault="00E614A4">
      <w:pPr>
        <w:jc w:val="center"/>
        <w:divId w:val="2098936398"/>
        <w:rPr>
          <w:rFonts w:eastAsia="Times New Roman"/>
        </w:rPr>
      </w:pPr>
      <w:r>
        <w:rPr>
          <w:rFonts w:eastAsia="Times New Roman"/>
          <w:color w:val="000000"/>
          <w:sz w:val="20"/>
          <w:szCs w:val="20"/>
        </w:rPr>
        <w:t>39</w:t>
      </w:r>
    </w:p>
    <w:p w14:paraId="480E6D65" w14:textId="77777777" w:rsidR="00000000" w:rsidRDefault="00E614A4">
      <w:pPr>
        <w:rPr>
          <w:rFonts w:eastAsia="Times New Roman"/>
        </w:rPr>
      </w:pPr>
      <w:r>
        <w:rPr>
          <w:rFonts w:eastAsia="Times New Roman"/>
        </w:rPr>
        <w:pict w14:anchorId="26930F85">
          <v:rect id="_x0000_i1067" style="width:0;height:1.5pt" o:hralign="center" o:hrstd="t" o:hr="t" fillcolor="#a0a0a0" stroked="f"/>
        </w:pict>
      </w:r>
    </w:p>
    <w:p w14:paraId="6C878C63" w14:textId="77777777" w:rsidR="00000000" w:rsidRDefault="00E614A4">
      <w:pPr>
        <w:divId w:val="172814772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721A3DC" w14:textId="77777777" w:rsidR="00000000" w:rsidRDefault="00E614A4">
      <w:pPr>
        <w:divId w:val="1118111600"/>
        <w:rPr>
          <w:rFonts w:eastAsia="Times New Roman"/>
        </w:rPr>
      </w:pPr>
    </w:p>
    <w:p w14:paraId="5097E5FE" w14:textId="77777777" w:rsidR="00000000" w:rsidRDefault="00E614A4">
      <w:pPr>
        <w:jc w:val="both"/>
        <w:divId w:val="2049180431"/>
        <w:rPr>
          <w:rFonts w:eastAsia="Times New Roman"/>
        </w:rPr>
      </w:pPr>
      <w:r>
        <w:rPr>
          <w:rFonts w:eastAsia="Times New Roman"/>
          <w:color w:val="000000"/>
          <w:sz w:val="20"/>
          <w:szCs w:val="20"/>
        </w:rPr>
        <w:t xml:space="preserve">depreciation decreased $2.0 million primarily as a result of various lease terminations and executed sublease agreements. Professional fees decreased $1.6 million primarily due to a decrease in consulting services. </w:t>
      </w:r>
    </w:p>
    <w:p w14:paraId="6E5F2E84" w14:textId="77777777" w:rsidR="00000000" w:rsidRDefault="00E614A4">
      <w:pPr>
        <w:jc w:val="both"/>
        <w:divId w:val="1746414215"/>
        <w:rPr>
          <w:rFonts w:eastAsia="Times New Roman"/>
        </w:rPr>
      </w:pPr>
      <w:r>
        <w:rPr>
          <w:rFonts w:eastAsia="Times New Roman"/>
          <w:color w:val="000000"/>
          <w:sz w:val="20"/>
          <w:szCs w:val="20"/>
        </w:rPr>
        <w:t>Research and development expenses for th</w:t>
      </w:r>
      <w:r>
        <w:rPr>
          <w:rFonts w:eastAsia="Times New Roman"/>
          <w:color w:val="000000"/>
          <w:sz w:val="20"/>
          <w:szCs w:val="20"/>
        </w:rPr>
        <w:t>e years ended December 31, 2019 and 2018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658"/>
        <w:gridCol w:w="38"/>
        <w:gridCol w:w="110"/>
        <w:gridCol w:w="683"/>
        <w:gridCol w:w="36"/>
        <w:gridCol w:w="36"/>
        <w:gridCol w:w="36"/>
        <w:gridCol w:w="36"/>
        <w:gridCol w:w="61"/>
        <w:gridCol w:w="614"/>
        <w:gridCol w:w="170"/>
        <w:gridCol w:w="36"/>
        <w:gridCol w:w="36"/>
        <w:gridCol w:w="36"/>
        <w:gridCol w:w="110"/>
        <w:gridCol w:w="683"/>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7462A318" w14:textId="77777777">
        <w:trPr>
          <w:divId w:val="1486900141"/>
          <w:jc w:val="center"/>
        </w:trPr>
        <w:tc>
          <w:tcPr>
            <w:tcW w:w="50" w:type="pct"/>
            <w:vAlign w:val="center"/>
            <w:hideMark/>
          </w:tcPr>
          <w:p w14:paraId="548877B6" w14:textId="77777777" w:rsidR="00000000" w:rsidRDefault="00E614A4">
            <w:pPr>
              <w:jc w:val="both"/>
              <w:rPr>
                <w:rFonts w:eastAsia="Times New Roman"/>
              </w:rPr>
            </w:pPr>
          </w:p>
        </w:tc>
        <w:tc>
          <w:tcPr>
            <w:tcW w:w="1681" w:type="pct"/>
            <w:vAlign w:val="center"/>
            <w:hideMark/>
          </w:tcPr>
          <w:p w14:paraId="12656167" w14:textId="77777777" w:rsidR="00000000" w:rsidRDefault="00E614A4">
            <w:pPr>
              <w:rPr>
                <w:rFonts w:eastAsia="Times New Roman"/>
                <w:sz w:val="20"/>
                <w:szCs w:val="20"/>
              </w:rPr>
            </w:pPr>
          </w:p>
        </w:tc>
        <w:tc>
          <w:tcPr>
            <w:tcW w:w="5" w:type="pct"/>
            <w:vAlign w:val="center"/>
            <w:hideMark/>
          </w:tcPr>
          <w:p w14:paraId="56566F8D" w14:textId="77777777" w:rsidR="00000000" w:rsidRDefault="00E614A4">
            <w:pPr>
              <w:rPr>
                <w:rFonts w:eastAsia="Times New Roman"/>
                <w:sz w:val="20"/>
                <w:szCs w:val="20"/>
              </w:rPr>
            </w:pPr>
          </w:p>
        </w:tc>
        <w:tc>
          <w:tcPr>
            <w:tcW w:w="50" w:type="pct"/>
            <w:vAlign w:val="center"/>
            <w:hideMark/>
          </w:tcPr>
          <w:p w14:paraId="4D026AD5" w14:textId="77777777" w:rsidR="00000000" w:rsidRDefault="00E614A4">
            <w:pPr>
              <w:rPr>
                <w:rFonts w:eastAsia="Times New Roman"/>
                <w:sz w:val="20"/>
                <w:szCs w:val="20"/>
              </w:rPr>
            </w:pPr>
          </w:p>
        </w:tc>
        <w:tc>
          <w:tcPr>
            <w:tcW w:w="465" w:type="pct"/>
            <w:vAlign w:val="center"/>
            <w:hideMark/>
          </w:tcPr>
          <w:p w14:paraId="70C95BD2" w14:textId="77777777" w:rsidR="00000000" w:rsidRDefault="00E614A4">
            <w:pPr>
              <w:rPr>
                <w:rFonts w:eastAsia="Times New Roman"/>
                <w:sz w:val="20"/>
                <w:szCs w:val="20"/>
              </w:rPr>
            </w:pPr>
          </w:p>
        </w:tc>
        <w:tc>
          <w:tcPr>
            <w:tcW w:w="5" w:type="pct"/>
            <w:vAlign w:val="center"/>
            <w:hideMark/>
          </w:tcPr>
          <w:p w14:paraId="77D47D73" w14:textId="77777777" w:rsidR="00000000" w:rsidRDefault="00E614A4">
            <w:pPr>
              <w:rPr>
                <w:rFonts w:eastAsia="Times New Roman"/>
                <w:sz w:val="20"/>
                <w:szCs w:val="20"/>
              </w:rPr>
            </w:pPr>
          </w:p>
        </w:tc>
        <w:tc>
          <w:tcPr>
            <w:tcW w:w="5" w:type="pct"/>
            <w:vAlign w:val="center"/>
            <w:hideMark/>
          </w:tcPr>
          <w:p w14:paraId="2DDD8FDA" w14:textId="77777777" w:rsidR="00000000" w:rsidRDefault="00E614A4">
            <w:pPr>
              <w:rPr>
                <w:rFonts w:eastAsia="Times New Roman"/>
                <w:sz w:val="20"/>
                <w:szCs w:val="20"/>
              </w:rPr>
            </w:pPr>
          </w:p>
        </w:tc>
        <w:tc>
          <w:tcPr>
            <w:tcW w:w="17" w:type="pct"/>
            <w:vAlign w:val="center"/>
            <w:hideMark/>
          </w:tcPr>
          <w:p w14:paraId="27E46767" w14:textId="77777777" w:rsidR="00000000" w:rsidRDefault="00E614A4">
            <w:pPr>
              <w:rPr>
                <w:rFonts w:eastAsia="Times New Roman"/>
                <w:sz w:val="20"/>
                <w:szCs w:val="20"/>
              </w:rPr>
            </w:pPr>
          </w:p>
        </w:tc>
        <w:tc>
          <w:tcPr>
            <w:tcW w:w="5" w:type="pct"/>
            <w:vAlign w:val="center"/>
            <w:hideMark/>
          </w:tcPr>
          <w:p w14:paraId="005F9FA8" w14:textId="77777777" w:rsidR="00000000" w:rsidRDefault="00E614A4">
            <w:pPr>
              <w:rPr>
                <w:rFonts w:eastAsia="Times New Roman"/>
                <w:sz w:val="20"/>
                <w:szCs w:val="20"/>
              </w:rPr>
            </w:pPr>
          </w:p>
        </w:tc>
        <w:tc>
          <w:tcPr>
            <w:tcW w:w="50" w:type="pct"/>
            <w:vAlign w:val="center"/>
            <w:hideMark/>
          </w:tcPr>
          <w:p w14:paraId="6F7C9D36" w14:textId="77777777" w:rsidR="00000000" w:rsidRDefault="00E614A4">
            <w:pPr>
              <w:rPr>
                <w:rFonts w:eastAsia="Times New Roman"/>
                <w:sz w:val="20"/>
                <w:szCs w:val="20"/>
              </w:rPr>
            </w:pPr>
          </w:p>
        </w:tc>
        <w:tc>
          <w:tcPr>
            <w:tcW w:w="465" w:type="pct"/>
            <w:vAlign w:val="center"/>
            <w:hideMark/>
          </w:tcPr>
          <w:p w14:paraId="1AA80EC4" w14:textId="77777777" w:rsidR="00000000" w:rsidRDefault="00E614A4">
            <w:pPr>
              <w:rPr>
                <w:rFonts w:eastAsia="Times New Roman"/>
                <w:sz w:val="20"/>
                <w:szCs w:val="20"/>
              </w:rPr>
            </w:pPr>
          </w:p>
        </w:tc>
        <w:tc>
          <w:tcPr>
            <w:tcW w:w="5" w:type="pct"/>
            <w:vAlign w:val="center"/>
            <w:hideMark/>
          </w:tcPr>
          <w:p w14:paraId="3C4B3784" w14:textId="77777777" w:rsidR="00000000" w:rsidRDefault="00E614A4">
            <w:pPr>
              <w:rPr>
                <w:rFonts w:eastAsia="Times New Roman"/>
                <w:sz w:val="20"/>
                <w:szCs w:val="20"/>
              </w:rPr>
            </w:pPr>
          </w:p>
        </w:tc>
        <w:tc>
          <w:tcPr>
            <w:tcW w:w="5" w:type="pct"/>
            <w:vAlign w:val="center"/>
            <w:hideMark/>
          </w:tcPr>
          <w:p w14:paraId="2C9D9347" w14:textId="77777777" w:rsidR="00000000" w:rsidRDefault="00E614A4">
            <w:pPr>
              <w:rPr>
                <w:rFonts w:eastAsia="Times New Roman"/>
                <w:sz w:val="20"/>
                <w:szCs w:val="20"/>
              </w:rPr>
            </w:pPr>
          </w:p>
        </w:tc>
        <w:tc>
          <w:tcPr>
            <w:tcW w:w="17" w:type="pct"/>
            <w:vAlign w:val="center"/>
            <w:hideMark/>
          </w:tcPr>
          <w:p w14:paraId="3427D9D8" w14:textId="77777777" w:rsidR="00000000" w:rsidRDefault="00E614A4">
            <w:pPr>
              <w:rPr>
                <w:rFonts w:eastAsia="Times New Roman"/>
                <w:sz w:val="20"/>
                <w:szCs w:val="20"/>
              </w:rPr>
            </w:pPr>
          </w:p>
        </w:tc>
        <w:tc>
          <w:tcPr>
            <w:tcW w:w="5" w:type="pct"/>
            <w:vAlign w:val="center"/>
            <w:hideMark/>
          </w:tcPr>
          <w:p w14:paraId="77DCFF25" w14:textId="77777777" w:rsidR="00000000" w:rsidRDefault="00E614A4">
            <w:pPr>
              <w:rPr>
                <w:rFonts w:eastAsia="Times New Roman"/>
                <w:sz w:val="20"/>
                <w:szCs w:val="20"/>
              </w:rPr>
            </w:pPr>
          </w:p>
        </w:tc>
        <w:tc>
          <w:tcPr>
            <w:tcW w:w="50" w:type="pct"/>
            <w:vAlign w:val="center"/>
            <w:hideMark/>
          </w:tcPr>
          <w:p w14:paraId="743519D0" w14:textId="77777777" w:rsidR="00000000" w:rsidRDefault="00E614A4">
            <w:pPr>
              <w:rPr>
                <w:rFonts w:eastAsia="Times New Roman"/>
                <w:sz w:val="20"/>
                <w:szCs w:val="20"/>
              </w:rPr>
            </w:pPr>
          </w:p>
        </w:tc>
        <w:tc>
          <w:tcPr>
            <w:tcW w:w="465" w:type="pct"/>
            <w:vAlign w:val="center"/>
            <w:hideMark/>
          </w:tcPr>
          <w:p w14:paraId="342C25A4" w14:textId="77777777" w:rsidR="00000000" w:rsidRDefault="00E614A4">
            <w:pPr>
              <w:rPr>
                <w:rFonts w:eastAsia="Times New Roman"/>
                <w:sz w:val="20"/>
                <w:szCs w:val="20"/>
              </w:rPr>
            </w:pPr>
          </w:p>
        </w:tc>
        <w:tc>
          <w:tcPr>
            <w:tcW w:w="5" w:type="pct"/>
            <w:vAlign w:val="center"/>
            <w:hideMark/>
          </w:tcPr>
          <w:p w14:paraId="1CACDFC5" w14:textId="77777777" w:rsidR="00000000" w:rsidRDefault="00E614A4">
            <w:pPr>
              <w:rPr>
                <w:rFonts w:eastAsia="Times New Roman"/>
                <w:sz w:val="20"/>
                <w:szCs w:val="20"/>
              </w:rPr>
            </w:pPr>
          </w:p>
        </w:tc>
        <w:tc>
          <w:tcPr>
            <w:tcW w:w="5" w:type="pct"/>
            <w:vAlign w:val="center"/>
            <w:hideMark/>
          </w:tcPr>
          <w:p w14:paraId="2F113E37" w14:textId="77777777" w:rsidR="00000000" w:rsidRDefault="00E614A4">
            <w:pPr>
              <w:rPr>
                <w:rFonts w:eastAsia="Times New Roman"/>
                <w:sz w:val="20"/>
                <w:szCs w:val="20"/>
              </w:rPr>
            </w:pPr>
          </w:p>
        </w:tc>
        <w:tc>
          <w:tcPr>
            <w:tcW w:w="17" w:type="pct"/>
            <w:vAlign w:val="center"/>
            <w:hideMark/>
          </w:tcPr>
          <w:p w14:paraId="438C9FEB" w14:textId="77777777" w:rsidR="00000000" w:rsidRDefault="00E614A4">
            <w:pPr>
              <w:rPr>
                <w:rFonts w:eastAsia="Times New Roman"/>
                <w:sz w:val="20"/>
                <w:szCs w:val="20"/>
              </w:rPr>
            </w:pPr>
          </w:p>
        </w:tc>
        <w:tc>
          <w:tcPr>
            <w:tcW w:w="5" w:type="pct"/>
            <w:vAlign w:val="center"/>
            <w:hideMark/>
          </w:tcPr>
          <w:p w14:paraId="04DFCF58" w14:textId="77777777" w:rsidR="00000000" w:rsidRDefault="00E614A4">
            <w:pPr>
              <w:rPr>
                <w:rFonts w:eastAsia="Times New Roman"/>
                <w:sz w:val="20"/>
                <w:szCs w:val="20"/>
              </w:rPr>
            </w:pPr>
          </w:p>
        </w:tc>
        <w:tc>
          <w:tcPr>
            <w:tcW w:w="50" w:type="pct"/>
            <w:vAlign w:val="center"/>
            <w:hideMark/>
          </w:tcPr>
          <w:p w14:paraId="192215B3" w14:textId="77777777" w:rsidR="00000000" w:rsidRDefault="00E614A4">
            <w:pPr>
              <w:rPr>
                <w:rFonts w:eastAsia="Times New Roman"/>
                <w:sz w:val="20"/>
                <w:szCs w:val="20"/>
              </w:rPr>
            </w:pPr>
          </w:p>
        </w:tc>
        <w:tc>
          <w:tcPr>
            <w:tcW w:w="465" w:type="pct"/>
            <w:vAlign w:val="center"/>
            <w:hideMark/>
          </w:tcPr>
          <w:p w14:paraId="4BA72661" w14:textId="77777777" w:rsidR="00000000" w:rsidRDefault="00E614A4">
            <w:pPr>
              <w:rPr>
                <w:rFonts w:eastAsia="Times New Roman"/>
                <w:sz w:val="20"/>
                <w:szCs w:val="20"/>
              </w:rPr>
            </w:pPr>
          </w:p>
        </w:tc>
        <w:tc>
          <w:tcPr>
            <w:tcW w:w="5" w:type="pct"/>
            <w:vAlign w:val="center"/>
            <w:hideMark/>
          </w:tcPr>
          <w:p w14:paraId="66783379" w14:textId="77777777" w:rsidR="00000000" w:rsidRDefault="00E614A4">
            <w:pPr>
              <w:rPr>
                <w:rFonts w:eastAsia="Times New Roman"/>
                <w:sz w:val="20"/>
                <w:szCs w:val="20"/>
              </w:rPr>
            </w:pPr>
          </w:p>
        </w:tc>
        <w:tc>
          <w:tcPr>
            <w:tcW w:w="5" w:type="pct"/>
            <w:vAlign w:val="center"/>
            <w:hideMark/>
          </w:tcPr>
          <w:p w14:paraId="2C5B99CD" w14:textId="77777777" w:rsidR="00000000" w:rsidRDefault="00E614A4">
            <w:pPr>
              <w:rPr>
                <w:rFonts w:eastAsia="Times New Roman"/>
                <w:sz w:val="20"/>
                <w:szCs w:val="20"/>
              </w:rPr>
            </w:pPr>
          </w:p>
        </w:tc>
        <w:tc>
          <w:tcPr>
            <w:tcW w:w="17" w:type="pct"/>
            <w:vAlign w:val="center"/>
            <w:hideMark/>
          </w:tcPr>
          <w:p w14:paraId="51281614" w14:textId="77777777" w:rsidR="00000000" w:rsidRDefault="00E614A4">
            <w:pPr>
              <w:rPr>
                <w:rFonts w:eastAsia="Times New Roman"/>
                <w:sz w:val="20"/>
                <w:szCs w:val="20"/>
              </w:rPr>
            </w:pPr>
          </w:p>
        </w:tc>
        <w:tc>
          <w:tcPr>
            <w:tcW w:w="5" w:type="pct"/>
            <w:vAlign w:val="center"/>
            <w:hideMark/>
          </w:tcPr>
          <w:p w14:paraId="09E3D77C" w14:textId="77777777" w:rsidR="00000000" w:rsidRDefault="00E614A4">
            <w:pPr>
              <w:rPr>
                <w:rFonts w:eastAsia="Times New Roman"/>
                <w:sz w:val="20"/>
                <w:szCs w:val="20"/>
              </w:rPr>
            </w:pPr>
          </w:p>
        </w:tc>
        <w:tc>
          <w:tcPr>
            <w:tcW w:w="50" w:type="pct"/>
            <w:vAlign w:val="center"/>
            <w:hideMark/>
          </w:tcPr>
          <w:p w14:paraId="04CE57D6" w14:textId="77777777" w:rsidR="00000000" w:rsidRDefault="00E614A4">
            <w:pPr>
              <w:rPr>
                <w:rFonts w:eastAsia="Times New Roman"/>
                <w:sz w:val="20"/>
                <w:szCs w:val="20"/>
              </w:rPr>
            </w:pPr>
          </w:p>
        </w:tc>
        <w:tc>
          <w:tcPr>
            <w:tcW w:w="465" w:type="pct"/>
            <w:vAlign w:val="center"/>
            <w:hideMark/>
          </w:tcPr>
          <w:p w14:paraId="7B0C7186" w14:textId="77777777" w:rsidR="00000000" w:rsidRDefault="00E614A4">
            <w:pPr>
              <w:rPr>
                <w:rFonts w:eastAsia="Times New Roman"/>
                <w:sz w:val="20"/>
                <w:szCs w:val="20"/>
              </w:rPr>
            </w:pPr>
          </w:p>
        </w:tc>
        <w:tc>
          <w:tcPr>
            <w:tcW w:w="5" w:type="pct"/>
            <w:vAlign w:val="center"/>
            <w:hideMark/>
          </w:tcPr>
          <w:p w14:paraId="276C1825" w14:textId="77777777" w:rsidR="00000000" w:rsidRDefault="00E614A4">
            <w:pPr>
              <w:rPr>
                <w:rFonts w:eastAsia="Times New Roman"/>
                <w:sz w:val="20"/>
                <w:szCs w:val="20"/>
              </w:rPr>
            </w:pPr>
          </w:p>
        </w:tc>
        <w:tc>
          <w:tcPr>
            <w:tcW w:w="5" w:type="pct"/>
            <w:vAlign w:val="center"/>
            <w:hideMark/>
          </w:tcPr>
          <w:p w14:paraId="78E6FDA8" w14:textId="77777777" w:rsidR="00000000" w:rsidRDefault="00E614A4">
            <w:pPr>
              <w:rPr>
                <w:rFonts w:eastAsia="Times New Roman"/>
                <w:sz w:val="20"/>
                <w:szCs w:val="20"/>
              </w:rPr>
            </w:pPr>
          </w:p>
        </w:tc>
        <w:tc>
          <w:tcPr>
            <w:tcW w:w="17" w:type="pct"/>
            <w:vAlign w:val="center"/>
            <w:hideMark/>
          </w:tcPr>
          <w:p w14:paraId="509E1B67" w14:textId="77777777" w:rsidR="00000000" w:rsidRDefault="00E614A4">
            <w:pPr>
              <w:rPr>
                <w:rFonts w:eastAsia="Times New Roman"/>
                <w:sz w:val="20"/>
                <w:szCs w:val="20"/>
              </w:rPr>
            </w:pPr>
          </w:p>
        </w:tc>
        <w:tc>
          <w:tcPr>
            <w:tcW w:w="5" w:type="pct"/>
            <w:vAlign w:val="center"/>
            <w:hideMark/>
          </w:tcPr>
          <w:p w14:paraId="5C8E248B" w14:textId="77777777" w:rsidR="00000000" w:rsidRDefault="00E614A4">
            <w:pPr>
              <w:rPr>
                <w:rFonts w:eastAsia="Times New Roman"/>
                <w:sz w:val="20"/>
                <w:szCs w:val="20"/>
              </w:rPr>
            </w:pPr>
          </w:p>
        </w:tc>
        <w:tc>
          <w:tcPr>
            <w:tcW w:w="50" w:type="pct"/>
            <w:vAlign w:val="center"/>
            <w:hideMark/>
          </w:tcPr>
          <w:p w14:paraId="541CD870" w14:textId="77777777" w:rsidR="00000000" w:rsidRDefault="00E614A4">
            <w:pPr>
              <w:rPr>
                <w:rFonts w:eastAsia="Times New Roman"/>
                <w:sz w:val="20"/>
                <w:szCs w:val="20"/>
              </w:rPr>
            </w:pPr>
          </w:p>
        </w:tc>
        <w:tc>
          <w:tcPr>
            <w:tcW w:w="466" w:type="pct"/>
            <w:vAlign w:val="center"/>
            <w:hideMark/>
          </w:tcPr>
          <w:p w14:paraId="71A828C3" w14:textId="77777777" w:rsidR="00000000" w:rsidRDefault="00E614A4">
            <w:pPr>
              <w:rPr>
                <w:rFonts w:eastAsia="Times New Roman"/>
                <w:sz w:val="20"/>
                <w:szCs w:val="20"/>
              </w:rPr>
            </w:pPr>
          </w:p>
        </w:tc>
        <w:tc>
          <w:tcPr>
            <w:tcW w:w="5" w:type="pct"/>
            <w:vAlign w:val="center"/>
            <w:hideMark/>
          </w:tcPr>
          <w:p w14:paraId="5B30A624" w14:textId="77777777" w:rsidR="00000000" w:rsidRDefault="00E614A4">
            <w:pPr>
              <w:rPr>
                <w:rFonts w:eastAsia="Times New Roman"/>
                <w:sz w:val="20"/>
                <w:szCs w:val="20"/>
              </w:rPr>
            </w:pPr>
          </w:p>
        </w:tc>
      </w:tr>
      <w:tr w:rsidR="00000000" w14:paraId="76D3B809" w14:textId="77777777">
        <w:trPr>
          <w:divId w:val="1486900141"/>
          <w:jc w:val="center"/>
        </w:trPr>
        <w:tc>
          <w:tcPr>
            <w:tcW w:w="0" w:type="auto"/>
            <w:gridSpan w:val="3"/>
            <w:vAlign w:val="center"/>
            <w:hideMark/>
          </w:tcPr>
          <w:p w14:paraId="0717BEC4" w14:textId="77777777" w:rsidR="00000000" w:rsidRDefault="00E614A4">
            <w:pPr>
              <w:rPr>
                <w:rFonts w:eastAsia="Times New Roman"/>
                <w:sz w:val="20"/>
                <w:szCs w:val="20"/>
              </w:rPr>
            </w:pPr>
          </w:p>
        </w:tc>
        <w:tc>
          <w:tcPr>
            <w:tcW w:w="0" w:type="auto"/>
            <w:gridSpan w:val="3"/>
            <w:vAlign w:val="center"/>
            <w:hideMark/>
          </w:tcPr>
          <w:p w14:paraId="34FE202C" w14:textId="77777777" w:rsidR="00000000" w:rsidRDefault="00E614A4">
            <w:pPr>
              <w:rPr>
                <w:rFonts w:eastAsia="Times New Roman"/>
                <w:sz w:val="20"/>
                <w:szCs w:val="20"/>
              </w:rPr>
            </w:pPr>
          </w:p>
        </w:tc>
        <w:tc>
          <w:tcPr>
            <w:tcW w:w="0" w:type="auto"/>
            <w:gridSpan w:val="3"/>
            <w:vAlign w:val="center"/>
            <w:hideMark/>
          </w:tcPr>
          <w:p w14:paraId="14250FF4" w14:textId="77777777" w:rsidR="00000000" w:rsidRDefault="00E614A4">
            <w:pPr>
              <w:rPr>
                <w:rFonts w:eastAsia="Times New Roman"/>
                <w:sz w:val="20"/>
                <w:szCs w:val="20"/>
              </w:rPr>
            </w:pPr>
          </w:p>
        </w:tc>
        <w:tc>
          <w:tcPr>
            <w:tcW w:w="0" w:type="auto"/>
            <w:gridSpan w:val="3"/>
            <w:vAlign w:val="center"/>
            <w:hideMark/>
          </w:tcPr>
          <w:p w14:paraId="6CE1C08E" w14:textId="77777777" w:rsidR="00000000" w:rsidRDefault="00E614A4">
            <w:pPr>
              <w:rPr>
                <w:rFonts w:eastAsia="Times New Roman"/>
                <w:sz w:val="20"/>
                <w:szCs w:val="20"/>
              </w:rPr>
            </w:pPr>
          </w:p>
        </w:tc>
        <w:tc>
          <w:tcPr>
            <w:tcW w:w="0" w:type="auto"/>
            <w:gridSpan w:val="3"/>
            <w:vAlign w:val="center"/>
            <w:hideMark/>
          </w:tcPr>
          <w:p w14:paraId="2BA4FB47" w14:textId="77777777" w:rsidR="00000000" w:rsidRDefault="00E614A4">
            <w:pPr>
              <w:rPr>
                <w:rFonts w:eastAsia="Times New Roman"/>
                <w:sz w:val="20"/>
                <w:szCs w:val="20"/>
              </w:rPr>
            </w:pPr>
          </w:p>
        </w:tc>
        <w:tc>
          <w:tcPr>
            <w:tcW w:w="0" w:type="auto"/>
            <w:gridSpan w:val="3"/>
            <w:vAlign w:val="center"/>
            <w:hideMark/>
          </w:tcPr>
          <w:p w14:paraId="734897A6" w14:textId="77777777" w:rsidR="00000000" w:rsidRDefault="00E614A4">
            <w:pPr>
              <w:rPr>
                <w:rFonts w:eastAsia="Times New Roman"/>
                <w:sz w:val="20"/>
                <w:szCs w:val="20"/>
              </w:rPr>
            </w:pPr>
          </w:p>
        </w:tc>
        <w:tc>
          <w:tcPr>
            <w:tcW w:w="0" w:type="auto"/>
            <w:gridSpan w:val="3"/>
            <w:vAlign w:val="center"/>
            <w:hideMark/>
          </w:tcPr>
          <w:p w14:paraId="42EEB8BC" w14:textId="77777777" w:rsidR="00000000" w:rsidRDefault="00E614A4">
            <w:pPr>
              <w:rPr>
                <w:rFonts w:eastAsia="Times New Roman"/>
                <w:sz w:val="20"/>
                <w:szCs w:val="20"/>
              </w:rPr>
            </w:pPr>
          </w:p>
        </w:tc>
        <w:tc>
          <w:tcPr>
            <w:tcW w:w="0" w:type="auto"/>
            <w:gridSpan w:val="3"/>
            <w:vAlign w:val="center"/>
            <w:hideMark/>
          </w:tcPr>
          <w:p w14:paraId="5B31E0D5" w14:textId="77777777" w:rsidR="00000000" w:rsidRDefault="00E614A4">
            <w:pPr>
              <w:rPr>
                <w:rFonts w:eastAsia="Times New Roman"/>
                <w:sz w:val="20"/>
                <w:szCs w:val="20"/>
              </w:rPr>
            </w:pPr>
          </w:p>
        </w:tc>
        <w:tc>
          <w:tcPr>
            <w:tcW w:w="0" w:type="auto"/>
            <w:gridSpan w:val="3"/>
            <w:vAlign w:val="center"/>
            <w:hideMark/>
          </w:tcPr>
          <w:p w14:paraId="238B31BC" w14:textId="77777777" w:rsidR="00000000" w:rsidRDefault="00E614A4">
            <w:pPr>
              <w:rPr>
                <w:rFonts w:eastAsia="Times New Roman"/>
                <w:sz w:val="20"/>
                <w:szCs w:val="20"/>
              </w:rPr>
            </w:pPr>
          </w:p>
        </w:tc>
        <w:tc>
          <w:tcPr>
            <w:tcW w:w="0" w:type="auto"/>
            <w:gridSpan w:val="3"/>
            <w:vAlign w:val="center"/>
            <w:hideMark/>
          </w:tcPr>
          <w:p w14:paraId="2DFFB16B" w14:textId="77777777" w:rsidR="00000000" w:rsidRDefault="00E614A4">
            <w:pPr>
              <w:rPr>
                <w:rFonts w:eastAsia="Times New Roman"/>
                <w:sz w:val="20"/>
                <w:szCs w:val="20"/>
              </w:rPr>
            </w:pPr>
          </w:p>
        </w:tc>
        <w:tc>
          <w:tcPr>
            <w:tcW w:w="0" w:type="auto"/>
            <w:gridSpan w:val="3"/>
            <w:vAlign w:val="center"/>
            <w:hideMark/>
          </w:tcPr>
          <w:p w14:paraId="45463195" w14:textId="77777777" w:rsidR="00000000" w:rsidRDefault="00E614A4">
            <w:pPr>
              <w:rPr>
                <w:rFonts w:eastAsia="Times New Roman"/>
                <w:sz w:val="20"/>
                <w:szCs w:val="20"/>
              </w:rPr>
            </w:pPr>
          </w:p>
        </w:tc>
        <w:tc>
          <w:tcPr>
            <w:tcW w:w="0" w:type="auto"/>
            <w:gridSpan w:val="3"/>
            <w:vAlign w:val="center"/>
            <w:hideMark/>
          </w:tcPr>
          <w:p w14:paraId="30E9078F" w14:textId="77777777" w:rsidR="00000000" w:rsidRDefault="00E614A4">
            <w:pPr>
              <w:rPr>
                <w:rFonts w:eastAsia="Times New Roman"/>
                <w:sz w:val="20"/>
                <w:szCs w:val="20"/>
              </w:rPr>
            </w:pPr>
          </w:p>
        </w:tc>
      </w:tr>
      <w:tr w:rsidR="00000000" w14:paraId="51E6EB55" w14:textId="77777777">
        <w:trPr>
          <w:divId w:val="1486900141"/>
          <w:jc w:val="center"/>
        </w:trPr>
        <w:tc>
          <w:tcPr>
            <w:tcW w:w="0" w:type="auto"/>
            <w:gridSpan w:val="3"/>
            <w:tcMar>
              <w:top w:w="0" w:type="dxa"/>
              <w:left w:w="20" w:type="dxa"/>
              <w:bottom w:w="0" w:type="dxa"/>
              <w:right w:w="20" w:type="dxa"/>
            </w:tcMar>
            <w:vAlign w:val="center"/>
            <w:hideMark/>
          </w:tcPr>
          <w:p w14:paraId="33482F3A"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73488495"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40133107"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3B4CBEC6"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A3F749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F699E33" w14:textId="77777777" w:rsidR="00000000" w:rsidRDefault="00E614A4">
            <w:pPr>
              <w:rPr>
                <w:rFonts w:eastAsia="Times New Roman"/>
                <w:sz w:val="20"/>
                <w:szCs w:val="20"/>
              </w:rPr>
            </w:pPr>
          </w:p>
        </w:tc>
      </w:tr>
      <w:tr w:rsidR="00000000" w14:paraId="41EEB1B7" w14:textId="77777777">
        <w:trPr>
          <w:divId w:val="1486900141"/>
          <w:jc w:val="center"/>
        </w:trPr>
        <w:tc>
          <w:tcPr>
            <w:tcW w:w="0" w:type="auto"/>
            <w:gridSpan w:val="3"/>
            <w:shd w:val="clear" w:color="auto" w:fill="FFFFFF"/>
            <w:tcMar>
              <w:top w:w="30" w:type="dxa"/>
              <w:left w:w="20" w:type="dxa"/>
              <w:bottom w:w="30" w:type="dxa"/>
              <w:right w:w="20" w:type="dxa"/>
            </w:tcMar>
            <w:vAlign w:val="bottom"/>
            <w:hideMark/>
          </w:tcPr>
          <w:p w14:paraId="22DF0FCC"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26DB882"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4C444C"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E4CEC1"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DCB654"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84B83CB" w14:textId="77777777" w:rsidR="00000000" w:rsidRDefault="00E614A4">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0BBCF7"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15D2EBD"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4ED6EEC9"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69384F7"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14:paraId="0460B972"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DB7095B" w14:textId="77777777" w:rsidR="00000000" w:rsidRDefault="00E614A4">
            <w:pPr>
              <w:jc w:val="center"/>
              <w:rPr>
                <w:rFonts w:eastAsia="Times New Roman"/>
              </w:rPr>
            </w:pPr>
            <w:r>
              <w:rPr>
                <w:rFonts w:eastAsia="Times New Roman"/>
                <w:b/>
                <w:bCs/>
                <w:color w:val="000000"/>
                <w:sz w:val="16"/>
                <w:szCs w:val="16"/>
              </w:rPr>
              <w:t>% Variance</w:t>
            </w:r>
          </w:p>
        </w:tc>
      </w:tr>
      <w:tr w:rsidR="00000000" w14:paraId="3E00E06A" w14:textId="77777777">
        <w:trPr>
          <w:divId w:val="1486900141"/>
          <w:jc w:val="center"/>
        </w:trPr>
        <w:tc>
          <w:tcPr>
            <w:tcW w:w="0" w:type="auto"/>
            <w:gridSpan w:val="3"/>
            <w:shd w:val="clear" w:color="auto" w:fill="CCEEFF"/>
            <w:tcMar>
              <w:top w:w="30" w:type="dxa"/>
              <w:left w:w="245" w:type="dxa"/>
              <w:bottom w:w="30" w:type="dxa"/>
              <w:right w:w="20" w:type="dxa"/>
            </w:tcMar>
            <w:vAlign w:val="bottom"/>
            <w:hideMark/>
          </w:tcPr>
          <w:p w14:paraId="7D248228" w14:textId="77777777" w:rsidR="00000000" w:rsidRDefault="00E614A4">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A2401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81095E" w14:textId="77777777" w:rsidR="00000000" w:rsidRDefault="00E614A4">
            <w:pPr>
              <w:jc w:val="right"/>
              <w:rPr>
                <w:rFonts w:eastAsia="Times New Roman"/>
              </w:rPr>
            </w:pPr>
            <w:r>
              <w:rPr>
                <w:rFonts w:eastAsia="Times New Roman"/>
                <w:color w:val="000000"/>
                <w:sz w:val="18"/>
                <w:szCs w:val="18"/>
              </w:rPr>
              <w:t>47,626 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514DB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F34FB"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40504F" w14:textId="77777777" w:rsidR="00000000" w:rsidRDefault="00E614A4">
            <w:pPr>
              <w:jc w:val="right"/>
              <w:rPr>
                <w:rFonts w:eastAsia="Times New Roman"/>
              </w:rPr>
            </w:pPr>
            <w:r>
              <w:rPr>
                <w:rFonts w:eastAsia="Times New Roman"/>
                <w:color w:val="000000"/>
                <w:sz w:val="18"/>
                <w:szCs w:val="18"/>
              </w:rPr>
              <w:t>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55B95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FB44C38"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DCE5B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65BAD5" w14:textId="77777777" w:rsidR="00000000" w:rsidRDefault="00E614A4">
            <w:pPr>
              <w:jc w:val="right"/>
              <w:rPr>
                <w:rFonts w:eastAsia="Times New Roman"/>
              </w:rPr>
            </w:pPr>
            <w:r>
              <w:rPr>
                <w:rFonts w:eastAsia="Times New Roman"/>
                <w:color w:val="000000"/>
                <w:sz w:val="18"/>
                <w:szCs w:val="18"/>
              </w:rPr>
              <w:t>60,490 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BD41F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775BF"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8CE6E5" w14:textId="77777777" w:rsidR="00000000" w:rsidRDefault="00E614A4">
            <w:pPr>
              <w:jc w:val="right"/>
              <w:rPr>
                <w:rFonts w:eastAsia="Times New Roman"/>
              </w:rPr>
            </w:pPr>
            <w:r>
              <w:rPr>
                <w:rFonts w:eastAsia="Times New Roman"/>
                <w:color w:val="000000"/>
                <w:sz w:val="18"/>
                <w:szCs w:val="18"/>
              </w:rPr>
              <w:t>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82B61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D911E9F"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509A6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40E0D9" w14:textId="77777777" w:rsidR="00000000" w:rsidRDefault="00E614A4">
            <w:pPr>
              <w:jc w:val="right"/>
              <w:rPr>
                <w:rFonts w:eastAsia="Times New Roman"/>
              </w:rPr>
            </w:pPr>
            <w:r>
              <w:rPr>
                <w:rFonts w:eastAsia="Times New Roman"/>
                <w:color w:val="000000"/>
                <w:sz w:val="18"/>
                <w:szCs w:val="18"/>
              </w:rPr>
              <w:t>(12,864)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FEC6D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EF01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EC5400" w14:textId="77777777" w:rsidR="00000000" w:rsidRDefault="00E614A4">
            <w:pPr>
              <w:jc w:val="right"/>
              <w:rPr>
                <w:rFonts w:eastAsia="Times New Roman"/>
              </w:rPr>
            </w:pPr>
            <w:r>
              <w:rPr>
                <w:rFonts w:eastAsia="Times New Roman"/>
                <w:color w:val="000000"/>
                <w:sz w:val="18"/>
                <w:szCs w:val="18"/>
              </w:rPr>
              <w:t>(21.3)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5F7B0F" w14:textId="77777777" w:rsidR="00000000" w:rsidRDefault="00E614A4">
            <w:pPr>
              <w:jc w:val="right"/>
              <w:rPr>
                <w:rFonts w:eastAsia="Times New Roman"/>
              </w:rPr>
            </w:pPr>
            <w:r>
              <w:rPr>
                <w:rFonts w:eastAsia="Times New Roman"/>
                <w:color w:val="000000"/>
                <w:sz w:val="18"/>
                <w:szCs w:val="18"/>
              </w:rPr>
              <w:t>%</w:t>
            </w:r>
          </w:p>
        </w:tc>
      </w:tr>
      <w:tr w:rsidR="00000000" w14:paraId="4F8326D4" w14:textId="77777777">
        <w:trPr>
          <w:divId w:val="1486900141"/>
          <w:jc w:val="center"/>
        </w:trPr>
        <w:tc>
          <w:tcPr>
            <w:tcW w:w="0" w:type="auto"/>
            <w:gridSpan w:val="3"/>
            <w:shd w:val="clear" w:color="auto" w:fill="FFFFFF"/>
            <w:tcMar>
              <w:top w:w="30" w:type="dxa"/>
              <w:left w:w="20" w:type="dxa"/>
              <w:bottom w:w="30" w:type="dxa"/>
              <w:right w:w="20" w:type="dxa"/>
            </w:tcMar>
            <w:vAlign w:val="bottom"/>
            <w:hideMark/>
          </w:tcPr>
          <w:p w14:paraId="42AE26E9" w14:textId="77777777" w:rsidR="00000000" w:rsidRDefault="00E614A4">
            <w:pPr>
              <w:divId w:val="536771112"/>
              <w:rPr>
                <w:rFonts w:eastAsia="Times New Roman"/>
              </w:rPr>
            </w:pPr>
            <w:r>
              <w:rPr>
                <w:rFonts w:eastAsia="Times New Roman"/>
                <w:color w:val="000000"/>
                <w:sz w:val="18"/>
                <w:szCs w:val="18"/>
              </w:rPr>
              <w:t>Lease expense and depreciatio</w:t>
            </w:r>
            <w:r>
              <w:rPr>
                <w:rFonts w:eastAsia="Times New Roman"/>
                <w:color w:val="000000"/>
                <w:sz w:val="18"/>
                <w:szCs w:val="18"/>
              </w:rPr>
              <w:t>n</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2E17A1C5" w14:textId="77777777" w:rsidR="00000000" w:rsidRDefault="00E614A4">
            <w:pPr>
              <w:jc w:val="right"/>
              <w:rPr>
                <w:rFonts w:eastAsia="Times New Roman"/>
              </w:rPr>
            </w:pPr>
            <w:r>
              <w:rPr>
                <w:rFonts w:eastAsia="Times New Roman"/>
                <w:color w:val="000000"/>
                <w:sz w:val="18"/>
                <w:szCs w:val="18"/>
              </w:rPr>
              <w:t>5,958 </w:t>
            </w:r>
          </w:p>
        </w:tc>
        <w:tc>
          <w:tcPr>
            <w:tcW w:w="0" w:type="auto"/>
            <w:shd w:val="clear" w:color="auto" w:fill="FFFFFF"/>
            <w:tcMar>
              <w:top w:w="30" w:type="dxa"/>
              <w:left w:w="0" w:type="dxa"/>
              <w:bottom w:w="30" w:type="dxa"/>
              <w:right w:w="20" w:type="dxa"/>
            </w:tcMar>
            <w:vAlign w:val="bottom"/>
            <w:hideMark/>
          </w:tcPr>
          <w:p w14:paraId="5BA5D65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C7DE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17E163" w14:textId="77777777" w:rsidR="00000000" w:rsidRDefault="00E614A4">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332E693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686F2B8"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1A35DD" w14:textId="77777777" w:rsidR="00000000" w:rsidRDefault="00E614A4">
            <w:pPr>
              <w:jc w:val="right"/>
              <w:rPr>
                <w:rFonts w:eastAsia="Times New Roman"/>
              </w:rPr>
            </w:pPr>
            <w:r>
              <w:rPr>
                <w:rFonts w:eastAsia="Times New Roman"/>
                <w:color w:val="000000"/>
                <w:sz w:val="18"/>
                <w:szCs w:val="18"/>
              </w:rPr>
              <w:t>7,057 </w:t>
            </w:r>
          </w:p>
        </w:tc>
        <w:tc>
          <w:tcPr>
            <w:tcW w:w="0" w:type="auto"/>
            <w:shd w:val="clear" w:color="auto" w:fill="FFFFFF"/>
            <w:tcMar>
              <w:top w:w="30" w:type="dxa"/>
              <w:left w:w="0" w:type="dxa"/>
              <w:bottom w:w="30" w:type="dxa"/>
              <w:right w:w="20" w:type="dxa"/>
            </w:tcMar>
            <w:vAlign w:val="bottom"/>
            <w:hideMark/>
          </w:tcPr>
          <w:p w14:paraId="529141E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9A32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56C36" w14:textId="77777777" w:rsidR="00000000" w:rsidRDefault="00E614A4">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7EE500F2"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623FFF"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3DEBAE" w14:textId="77777777" w:rsidR="00000000" w:rsidRDefault="00E614A4">
            <w:pPr>
              <w:jc w:val="right"/>
              <w:rPr>
                <w:rFonts w:eastAsia="Times New Roman"/>
              </w:rPr>
            </w:pPr>
            <w:r>
              <w:rPr>
                <w:rFonts w:eastAsia="Times New Roman"/>
                <w:color w:val="000000"/>
                <w:sz w:val="18"/>
                <w:szCs w:val="18"/>
              </w:rPr>
              <w:t>(1,099)</w:t>
            </w:r>
          </w:p>
        </w:tc>
        <w:tc>
          <w:tcPr>
            <w:tcW w:w="0" w:type="auto"/>
            <w:shd w:val="clear" w:color="auto" w:fill="FFFFFF"/>
            <w:tcMar>
              <w:top w:w="30" w:type="dxa"/>
              <w:left w:w="0" w:type="dxa"/>
              <w:bottom w:w="30" w:type="dxa"/>
              <w:right w:w="20" w:type="dxa"/>
            </w:tcMar>
            <w:vAlign w:val="bottom"/>
            <w:hideMark/>
          </w:tcPr>
          <w:p w14:paraId="28876E7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4C52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2D77A3" w14:textId="77777777" w:rsidR="00000000" w:rsidRDefault="00E614A4">
            <w:pPr>
              <w:jc w:val="right"/>
              <w:rPr>
                <w:rFonts w:eastAsia="Times New Roman"/>
              </w:rPr>
            </w:pPr>
            <w:r>
              <w:rPr>
                <w:rFonts w:eastAsia="Times New Roman"/>
                <w:color w:val="000000"/>
                <w:sz w:val="18"/>
                <w:szCs w:val="18"/>
              </w:rPr>
              <w:t>(15.6)</w:t>
            </w:r>
          </w:p>
        </w:tc>
        <w:tc>
          <w:tcPr>
            <w:tcW w:w="0" w:type="auto"/>
            <w:shd w:val="clear" w:color="auto" w:fill="FFFFFF"/>
            <w:tcMar>
              <w:top w:w="30" w:type="dxa"/>
              <w:left w:w="0" w:type="dxa"/>
              <w:bottom w:w="30" w:type="dxa"/>
              <w:right w:w="20" w:type="dxa"/>
            </w:tcMar>
            <w:vAlign w:val="bottom"/>
            <w:hideMark/>
          </w:tcPr>
          <w:p w14:paraId="655380DA" w14:textId="77777777" w:rsidR="00000000" w:rsidRDefault="00E614A4">
            <w:pPr>
              <w:jc w:val="right"/>
              <w:rPr>
                <w:rFonts w:eastAsia="Times New Roman"/>
              </w:rPr>
            </w:pPr>
            <w:r>
              <w:rPr>
                <w:rFonts w:eastAsia="Times New Roman"/>
                <w:color w:val="000000"/>
                <w:sz w:val="18"/>
                <w:szCs w:val="18"/>
              </w:rPr>
              <w:t>%</w:t>
            </w:r>
          </w:p>
        </w:tc>
      </w:tr>
      <w:tr w:rsidR="00000000" w14:paraId="29A3AADE" w14:textId="77777777">
        <w:trPr>
          <w:divId w:val="1486900141"/>
          <w:jc w:val="center"/>
        </w:trPr>
        <w:tc>
          <w:tcPr>
            <w:tcW w:w="0" w:type="auto"/>
            <w:gridSpan w:val="3"/>
            <w:shd w:val="clear" w:color="auto" w:fill="CCEEFF"/>
            <w:tcMar>
              <w:top w:w="30" w:type="dxa"/>
              <w:left w:w="245" w:type="dxa"/>
              <w:bottom w:w="30" w:type="dxa"/>
              <w:right w:w="20" w:type="dxa"/>
            </w:tcMar>
            <w:vAlign w:val="bottom"/>
            <w:hideMark/>
          </w:tcPr>
          <w:p w14:paraId="7575619D" w14:textId="77777777" w:rsidR="00000000" w:rsidRDefault="00E614A4">
            <w:pPr>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332EB2A1" w14:textId="77777777" w:rsidR="00000000" w:rsidRDefault="00E614A4">
            <w:pPr>
              <w:jc w:val="right"/>
              <w:rPr>
                <w:rFonts w:eastAsia="Times New Roman"/>
              </w:rPr>
            </w:pPr>
            <w:r>
              <w:rPr>
                <w:rFonts w:eastAsia="Times New Roman"/>
                <w:color w:val="000000"/>
                <w:sz w:val="18"/>
                <w:szCs w:val="18"/>
              </w:rPr>
              <w:t>4,164 </w:t>
            </w:r>
          </w:p>
        </w:tc>
        <w:tc>
          <w:tcPr>
            <w:tcW w:w="0" w:type="auto"/>
            <w:shd w:val="clear" w:color="auto" w:fill="CCEEFF"/>
            <w:tcMar>
              <w:top w:w="30" w:type="dxa"/>
              <w:left w:w="0" w:type="dxa"/>
              <w:bottom w:w="30" w:type="dxa"/>
              <w:right w:w="20" w:type="dxa"/>
            </w:tcMar>
            <w:vAlign w:val="bottom"/>
            <w:hideMark/>
          </w:tcPr>
          <w:p w14:paraId="2187A83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D757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A01924" w14:textId="77777777" w:rsidR="00000000" w:rsidRDefault="00E614A4">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02F15BD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05DE26A"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C3A7AC" w14:textId="77777777" w:rsidR="00000000" w:rsidRDefault="00E614A4">
            <w:pPr>
              <w:jc w:val="right"/>
              <w:rPr>
                <w:rFonts w:eastAsia="Times New Roman"/>
              </w:rPr>
            </w:pPr>
            <w:r>
              <w:rPr>
                <w:rFonts w:eastAsia="Times New Roman"/>
                <w:color w:val="000000"/>
                <w:sz w:val="18"/>
                <w:szCs w:val="18"/>
              </w:rPr>
              <w:t>5,057 </w:t>
            </w:r>
          </w:p>
        </w:tc>
        <w:tc>
          <w:tcPr>
            <w:tcW w:w="0" w:type="auto"/>
            <w:shd w:val="clear" w:color="auto" w:fill="CCEEFF"/>
            <w:tcMar>
              <w:top w:w="30" w:type="dxa"/>
              <w:left w:w="0" w:type="dxa"/>
              <w:bottom w:w="30" w:type="dxa"/>
              <w:right w:w="20" w:type="dxa"/>
            </w:tcMar>
            <w:vAlign w:val="bottom"/>
            <w:hideMark/>
          </w:tcPr>
          <w:p w14:paraId="69042D9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51D8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5B3FBA" w14:textId="77777777" w:rsidR="00000000" w:rsidRDefault="00E614A4">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13A8A16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745D127"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7596FD" w14:textId="77777777" w:rsidR="00000000" w:rsidRDefault="00E614A4">
            <w:pPr>
              <w:jc w:val="right"/>
              <w:rPr>
                <w:rFonts w:eastAsia="Times New Roman"/>
              </w:rPr>
            </w:pPr>
            <w:r>
              <w:rPr>
                <w:rFonts w:eastAsia="Times New Roman"/>
                <w:color w:val="000000"/>
                <w:sz w:val="18"/>
                <w:szCs w:val="18"/>
              </w:rPr>
              <w:t>(893)</w:t>
            </w:r>
          </w:p>
        </w:tc>
        <w:tc>
          <w:tcPr>
            <w:tcW w:w="0" w:type="auto"/>
            <w:shd w:val="clear" w:color="auto" w:fill="CCEEFF"/>
            <w:tcMar>
              <w:top w:w="30" w:type="dxa"/>
              <w:left w:w="0" w:type="dxa"/>
              <w:bottom w:w="30" w:type="dxa"/>
              <w:right w:w="20" w:type="dxa"/>
            </w:tcMar>
            <w:vAlign w:val="bottom"/>
            <w:hideMark/>
          </w:tcPr>
          <w:p w14:paraId="262E4F3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29D2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7360F1" w14:textId="77777777" w:rsidR="00000000" w:rsidRDefault="00E614A4">
            <w:pPr>
              <w:jc w:val="right"/>
              <w:rPr>
                <w:rFonts w:eastAsia="Times New Roman"/>
              </w:rPr>
            </w:pPr>
            <w:r>
              <w:rPr>
                <w:rFonts w:eastAsia="Times New Roman"/>
                <w:color w:val="000000"/>
                <w:sz w:val="18"/>
                <w:szCs w:val="18"/>
              </w:rPr>
              <w:t>(17.7)</w:t>
            </w:r>
          </w:p>
        </w:tc>
        <w:tc>
          <w:tcPr>
            <w:tcW w:w="0" w:type="auto"/>
            <w:shd w:val="clear" w:color="auto" w:fill="CCEEFF"/>
            <w:tcMar>
              <w:top w:w="30" w:type="dxa"/>
              <w:left w:w="0" w:type="dxa"/>
              <w:bottom w:w="30" w:type="dxa"/>
              <w:right w:w="20" w:type="dxa"/>
            </w:tcMar>
            <w:vAlign w:val="bottom"/>
            <w:hideMark/>
          </w:tcPr>
          <w:p w14:paraId="3B5AE8D9" w14:textId="77777777" w:rsidR="00000000" w:rsidRDefault="00E614A4">
            <w:pPr>
              <w:jc w:val="right"/>
              <w:rPr>
                <w:rFonts w:eastAsia="Times New Roman"/>
              </w:rPr>
            </w:pPr>
            <w:r>
              <w:rPr>
                <w:rFonts w:eastAsia="Times New Roman"/>
                <w:color w:val="000000"/>
                <w:sz w:val="18"/>
                <w:szCs w:val="18"/>
              </w:rPr>
              <w:t>%</w:t>
            </w:r>
          </w:p>
        </w:tc>
      </w:tr>
      <w:tr w:rsidR="00000000" w14:paraId="1E1BDDD7" w14:textId="77777777">
        <w:trPr>
          <w:divId w:val="1486900141"/>
          <w:jc w:val="center"/>
        </w:trPr>
        <w:tc>
          <w:tcPr>
            <w:tcW w:w="0" w:type="auto"/>
            <w:gridSpan w:val="3"/>
            <w:shd w:val="clear" w:color="auto" w:fill="FFFFFF"/>
            <w:tcMar>
              <w:top w:w="30" w:type="dxa"/>
              <w:left w:w="245" w:type="dxa"/>
              <w:bottom w:w="30" w:type="dxa"/>
              <w:right w:w="20" w:type="dxa"/>
            </w:tcMar>
            <w:vAlign w:val="bottom"/>
            <w:hideMark/>
          </w:tcPr>
          <w:p w14:paraId="06DEDEEB" w14:textId="77777777" w:rsidR="00000000" w:rsidRDefault="00E614A4">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2F1A8FCD" w14:textId="77777777" w:rsidR="00000000" w:rsidRDefault="00E614A4">
            <w:pPr>
              <w:jc w:val="right"/>
              <w:rPr>
                <w:rFonts w:eastAsia="Times New Roman"/>
              </w:rPr>
            </w:pPr>
            <w:r>
              <w:rPr>
                <w:rFonts w:eastAsia="Times New Roman"/>
                <w:color w:val="000000"/>
                <w:sz w:val="18"/>
                <w:szCs w:val="18"/>
              </w:rPr>
              <w:t>2,860 </w:t>
            </w:r>
          </w:p>
        </w:tc>
        <w:tc>
          <w:tcPr>
            <w:tcW w:w="0" w:type="auto"/>
            <w:shd w:val="clear" w:color="auto" w:fill="FFFFFF"/>
            <w:tcMar>
              <w:top w:w="30" w:type="dxa"/>
              <w:left w:w="0" w:type="dxa"/>
              <w:bottom w:w="30" w:type="dxa"/>
              <w:right w:w="20" w:type="dxa"/>
            </w:tcMar>
            <w:vAlign w:val="bottom"/>
            <w:hideMark/>
          </w:tcPr>
          <w:p w14:paraId="290B685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DB1C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8A34FF" w14:textId="77777777" w:rsidR="00000000" w:rsidRDefault="00E614A4">
            <w:pPr>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482017B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239C136"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B5FB46" w14:textId="77777777" w:rsidR="00000000" w:rsidRDefault="00E614A4">
            <w:pPr>
              <w:jc w:val="right"/>
              <w:rPr>
                <w:rFonts w:eastAsia="Times New Roman"/>
              </w:rPr>
            </w:pPr>
            <w:r>
              <w:rPr>
                <w:rFonts w:eastAsia="Times New Roman"/>
                <w:color w:val="000000"/>
                <w:sz w:val="18"/>
                <w:szCs w:val="18"/>
              </w:rPr>
              <w:t>2,668 </w:t>
            </w:r>
          </w:p>
        </w:tc>
        <w:tc>
          <w:tcPr>
            <w:tcW w:w="0" w:type="auto"/>
            <w:shd w:val="clear" w:color="auto" w:fill="FFFFFF"/>
            <w:tcMar>
              <w:top w:w="30" w:type="dxa"/>
              <w:left w:w="0" w:type="dxa"/>
              <w:bottom w:w="30" w:type="dxa"/>
              <w:right w:w="20" w:type="dxa"/>
            </w:tcMar>
            <w:vAlign w:val="bottom"/>
            <w:hideMark/>
          </w:tcPr>
          <w:p w14:paraId="7C75914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363B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5B80E" w14:textId="77777777" w:rsidR="00000000" w:rsidRDefault="00E614A4">
            <w:pPr>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6112B0A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0EC52A"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AEAA55" w14:textId="77777777" w:rsidR="00000000" w:rsidRDefault="00E614A4">
            <w:pPr>
              <w:jc w:val="right"/>
              <w:rPr>
                <w:rFonts w:eastAsia="Times New Roman"/>
              </w:rPr>
            </w:pPr>
            <w:r>
              <w:rPr>
                <w:rFonts w:eastAsia="Times New Roman"/>
                <w:color w:val="000000"/>
                <w:sz w:val="18"/>
                <w:szCs w:val="18"/>
              </w:rPr>
              <w:t>192 </w:t>
            </w:r>
          </w:p>
        </w:tc>
        <w:tc>
          <w:tcPr>
            <w:tcW w:w="0" w:type="auto"/>
            <w:shd w:val="clear" w:color="auto" w:fill="FFFFFF"/>
            <w:tcMar>
              <w:top w:w="30" w:type="dxa"/>
              <w:left w:w="0" w:type="dxa"/>
              <w:bottom w:w="30" w:type="dxa"/>
              <w:right w:w="20" w:type="dxa"/>
            </w:tcMar>
            <w:vAlign w:val="bottom"/>
            <w:hideMark/>
          </w:tcPr>
          <w:p w14:paraId="41C9630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EA0AA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A82241" w14:textId="77777777" w:rsidR="00000000" w:rsidRDefault="00E614A4">
            <w:pPr>
              <w:jc w:val="right"/>
              <w:rPr>
                <w:rFonts w:eastAsia="Times New Roman"/>
              </w:rPr>
            </w:pPr>
            <w:r>
              <w:rPr>
                <w:rFonts w:eastAsia="Times New Roman"/>
                <w:color w:val="000000"/>
                <w:sz w:val="18"/>
                <w:szCs w:val="18"/>
              </w:rPr>
              <w:t>7.2 </w:t>
            </w:r>
          </w:p>
        </w:tc>
        <w:tc>
          <w:tcPr>
            <w:tcW w:w="0" w:type="auto"/>
            <w:shd w:val="clear" w:color="auto" w:fill="FFFFFF"/>
            <w:tcMar>
              <w:top w:w="30" w:type="dxa"/>
              <w:left w:w="0" w:type="dxa"/>
              <w:bottom w:w="30" w:type="dxa"/>
              <w:right w:w="20" w:type="dxa"/>
            </w:tcMar>
            <w:vAlign w:val="bottom"/>
            <w:hideMark/>
          </w:tcPr>
          <w:p w14:paraId="7336F32C" w14:textId="77777777" w:rsidR="00000000" w:rsidRDefault="00E614A4">
            <w:pPr>
              <w:jc w:val="right"/>
              <w:rPr>
                <w:rFonts w:eastAsia="Times New Roman"/>
              </w:rPr>
            </w:pPr>
            <w:r>
              <w:rPr>
                <w:rFonts w:eastAsia="Times New Roman"/>
                <w:color w:val="000000"/>
                <w:sz w:val="18"/>
                <w:szCs w:val="18"/>
              </w:rPr>
              <w:t>%</w:t>
            </w:r>
          </w:p>
        </w:tc>
      </w:tr>
      <w:tr w:rsidR="00000000" w14:paraId="1496EA4C" w14:textId="77777777">
        <w:trPr>
          <w:divId w:val="1486900141"/>
          <w:jc w:val="center"/>
        </w:trPr>
        <w:tc>
          <w:tcPr>
            <w:tcW w:w="0" w:type="auto"/>
            <w:gridSpan w:val="3"/>
            <w:shd w:val="clear" w:color="auto" w:fill="CCEEFF"/>
            <w:tcMar>
              <w:top w:w="30" w:type="dxa"/>
              <w:left w:w="245" w:type="dxa"/>
              <w:bottom w:w="30" w:type="dxa"/>
              <w:right w:w="20" w:type="dxa"/>
            </w:tcMar>
            <w:vAlign w:val="bottom"/>
            <w:hideMark/>
          </w:tcPr>
          <w:p w14:paraId="2E1A4883" w14:textId="77777777" w:rsidR="00000000" w:rsidRDefault="00E614A4">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415CA766" w14:textId="77777777" w:rsidR="00000000" w:rsidRDefault="00E614A4">
            <w:pPr>
              <w:jc w:val="right"/>
              <w:rPr>
                <w:rFonts w:eastAsia="Times New Roman"/>
              </w:rPr>
            </w:pPr>
            <w:r>
              <w:rPr>
                <w:rFonts w:eastAsia="Times New Roman"/>
                <w:color w:val="000000"/>
                <w:sz w:val="18"/>
                <w:szCs w:val="18"/>
              </w:rPr>
              <w:t>1,194 </w:t>
            </w:r>
          </w:p>
        </w:tc>
        <w:tc>
          <w:tcPr>
            <w:tcW w:w="0" w:type="auto"/>
            <w:shd w:val="clear" w:color="auto" w:fill="CCEEFF"/>
            <w:tcMar>
              <w:top w:w="30" w:type="dxa"/>
              <w:left w:w="0" w:type="dxa"/>
              <w:bottom w:w="30" w:type="dxa"/>
              <w:right w:w="20" w:type="dxa"/>
            </w:tcMar>
            <w:vAlign w:val="bottom"/>
            <w:hideMark/>
          </w:tcPr>
          <w:p w14:paraId="1A8EDDC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F007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20F780" w14:textId="77777777" w:rsidR="00000000" w:rsidRDefault="00E614A4">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14:paraId="16C3942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816C3C0"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609010" w14:textId="77777777" w:rsidR="00000000" w:rsidRDefault="00E614A4">
            <w:pPr>
              <w:jc w:val="right"/>
              <w:rPr>
                <w:rFonts w:eastAsia="Times New Roman"/>
              </w:rPr>
            </w:pPr>
            <w:r>
              <w:rPr>
                <w:rFonts w:eastAsia="Times New Roman"/>
                <w:color w:val="000000"/>
                <w:sz w:val="18"/>
                <w:szCs w:val="18"/>
              </w:rPr>
              <w:t>1,707 </w:t>
            </w:r>
          </w:p>
        </w:tc>
        <w:tc>
          <w:tcPr>
            <w:tcW w:w="0" w:type="auto"/>
            <w:shd w:val="clear" w:color="auto" w:fill="CCEEFF"/>
            <w:tcMar>
              <w:top w:w="30" w:type="dxa"/>
              <w:left w:w="0" w:type="dxa"/>
              <w:bottom w:w="30" w:type="dxa"/>
              <w:right w:w="20" w:type="dxa"/>
            </w:tcMar>
            <w:vAlign w:val="bottom"/>
            <w:hideMark/>
          </w:tcPr>
          <w:p w14:paraId="2F83A48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4CC74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5097D" w14:textId="77777777" w:rsidR="00000000" w:rsidRDefault="00E614A4">
            <w:pPr>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bottom"/>
            <w:hideMark/>
          </w:tcPr>
          <w:p w14:paraId="5EC9EA6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3337EFE"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9B8181" w14:textId="77777777" w:rsidR="00000000" w:rsidRDefault="00E614A4">
            <w:pPr>
              <w:jc w:val="right"/>
              <w:rPr>
                <w:rFonts w:eastAsia="Times New Roman"/>
              </w:rPr>
            </w:pPr>
            <w:r>
              <w:rPr>
                <w:rFonts w:eastAsia="Times New Roman"/>
                <w:color w:val="000000"/>
                <w:sz w:val="18"/>
                <w:szCs w:val="18"/>
              </w:rPr>
              <w:t>(513)</w:t>
            </w:r>
          </w:p>
        </w:tc>
        <w:tc>
          <w:tcPr>
            <w:tcW w:w="0" w:type="auto"/>
            <w:shd w:val="clear" w:color="auto" w:fill="CCEEFF"/>
            <w:tcMar>
              <w:top w:w="30" w:type="dxa"/>
              <w:left w:w="0" w:type="dxa"/>
              <w:bottom w:w="30" w:type="dxa"/>
              <w:right w:w="20" w:type="dxa"/>
            </w:tcMar>
            <w:vAlign w:val="bottom"/>
            <w:hideMark/>
          </w:tcPr>
          <w:p w14:paraId="0DC42AA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50BA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BCEE59" w14:textId="77777777" w:rsidR="00000000" w:rsidRDefault="00E614A4">
            <w:pPr>
              <w:jc w:val="right"/>
              <w:rPr>
                <w:rFonts w:eastAsia="Times New Roman"/>
              </w:rPr>
            </w:pPr>
            <w:r>
              <w:rPr>
                <w:rFonts w:eastAsia="Times New Roman"/>
                <w:color w:val="000000"/>
                <w:sz w:val="18"/>
                <w:szCs w:val="18"/>
              </w:rPr>
              <w:t>(30.1)</w:t>
            </w:r>
          </w:p>
        </w:tc>
        <w:tc>
          <w:tcPr>
            <w:tcW w:w="0" w:type="auto"/>
            <w:shd w:val="clear" w:color="auto" w:fill="CCEEFF"/>
            <w:tcMar>
              <w:top w:w="30" w:type="dxa"/>
              <w:left w:w="0" w:type="dxa"/>
              <w:bottom w:w="30" w:type="dxa"/>
              <w:right w:w="20" w:type="dxa"/>
            </w:tcMar>
            <w:vAlign w:val="bottom"/>
            <w:hideMark/>
          </w:tcPr>
          <w:p w14:paraId="6A10764A" w14:textId="77777777" w:rsidR="00000000" w:rsidRDefault="00E614A4">
            <w:pPr>
              <w:jc w:val="right"/>
              <w:rPr>
                <w:rFonts w:eastAsia="Times New Roman"/>
              </w:rPr>
            </w:pPr>
            <w:r>
              <w:rPr>
                <w:rFonts w:eastAsia="Times New Roman"/>
                <w:color w:val="000000"/>
                <w:sz w:val="18"/>
                <w:szCs w:val="18"/>
              </w:rPr>
              <w:t>%</w:t>
            </w:r>
          </w:p>
        </w:tc>
      </w:tr>
      <w:tr w:rsidR="00000000" w14:paraId="0E9ACEC1" w14:textId="77777777">
        <w:trPr>
          <w:divId w:val="1486900141"/>
          <w:jc w:val="center"/>
        </w:trPr>
        <w:tc>
          <w:tcPr>
            <w:tcW w:w="0" w:type="auto"/>
            <w:gridSpan w:val="3"/>
            <w:shd w:val="clear" w:color="auto" w:fill="FFFFFF"/>
            <w:tcMar>
              <w:top w:w="30" w:type="dxa"/>
              <w:left w:w="20" w:type="dxa"/>
              <w:bottom w:w="30" w:type="dxa"/>
              <w:right w:w="20" w:type="dxa"/>
            </w:tcMar>
            <w:vAlign w:val="bottom"/>
            <w:hideMark/>
          </w:tcPr>
          <w:p w14:paraId="7CA73149" w14:textId="77777777" w:rsidR="00000000" w:rsidRDefault="00E614A4">
            <w:pPr>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1AA8E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CE17E8" w14:textId="77777777" w:rsidR="00000000" w:rsidRDefault="00E614A4">
            <w:pPr>
              <w:jc w:val="right"/>
              <w:rPr>
                <w:rFonts w:eastAsia="Times New Roman"/>
              </w:rPr>
            </w:pPr>
            <w:r>
              <w:rPr>
                <w:rFonts w:eastAsia="Times New Roman"/>
                <w:color w:val="000000"/>
                <w:sz w:val="18"/>
                <w:szCs w:val="18"/>
              </w:rPr>
              <w:t>61,802 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77FA6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DC9BD"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C1115A" w14:textId="77777777" w:rsidR="00000000" w:rsidRDefault="00E614A4">
            <w:pPr>
              <w:jc w:val="right"/>
              <w:rPr>
                <w:rFonts w:eastAsia="Times New Roman"/>
              </w:rPr>
            </w:pPr>
            <w:r>
              <w:rPr>
                <w:rFonts w:eastAsia="Times New Roman"/>
                <w:color w:val="000000"/>
                <w:sz w:val="18"/>
                <w:szCs w:val="18"/>
              </w:rPr>
              <w:t>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C3A4A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90775B"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3FAC0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B898AA" w14:textId="77777777" w:rsidR="00000000" w:rsidRDefault="00E614A4">
            <w:pPr>
              <w:jc w:val="right"/>
              <w:rPr>
                <w:rFonts w:eastAsia="Times New Roman"/>
              </w:rPr>
            </w:pPr>
            <w:r>
              <w:rPr>
                <w:rFonts w:eastAsia="Times New Roman"/>
                <w:color w:val="000000"/>
                <w:sz w:val="18"/>
                <w:szCs w:val="18"/>
              </w:rPr>
              <w:t>76,979 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C563B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0030F"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D20F2C" w14:textId="77777777" w:rsidR="00000000" w:rsidRDefault="00E614A4">
            <w:pPr>
              <w:jc w:val="right"/>
              <w:rPr>
                <w:rFonts w:eastAsia="Times New Roman"/>
              </w:rPr>
            </w:pPr>
            <w:r>
              <w:rPr>
                <w:rFonts w:eastAsia="Times New Roman"/>
                <w:color w:val="000000"/>
                <w:sz w:val="18"/>
                <w:szCs w:val="18"/>
              </w:rPr>
              <w:t>18.4 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9CD1B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26454D"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3D836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E7A804" w14:textId="77777777" w:rsidR="00000000" w:rsidRDefault="00E614A4">
            <w:pPr>
              <w:jc w:val="right"/>
              <w:rPr>
                <w:rFonts w:eastAsia="Times New Roman"/>
              </w:rPr>
            </w:pPr>
            <w:r>
              <w:rPr>
                <w:rFonts w:eastAsia="Times New Roman"/>
                <w:color w:val="000000"/>
                <w:sz w:val="18"/>
                <w:szCs w:val="18"/>
              </w:rPr>
              <w:t>(15,177)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257CD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41B3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046976" w14:textId="77777777" w:rsidR="00000000" w:rsidRDefault="00E614A4">
            <w:pPr>
              <w:jc w:val="right"/>
              <w:rPr>
                <w:rFonts w:eastAsia="Times New Roman"/>
              </w:rPr>
            </w:pPr>
            <w:r>
              <w:rPr>
                <w:rFonts w:eastAsia="Times New Roman"/>
                <w:color w:val="000000"/>
                <w:sz w:val="18"/>
                <w:szCs w:val="18"/>
              </w:rPr>
              <w:t>(19.7)</w:t>
            </w:r>
          </w:p>
        </w:tc>
        <w:tc>
          <w:tcPr>
            <w:tcW w:w="0" w:type="auto"/>
            <w:shd w:val="clear" w:color="auto" w:fill="FFFFFF"/>
            <w:tcMar>
              <w:top w:w="30" w:type="dxa"/>
              <w:left w:w="0" w:type="dxa"/>
              <w:bottom w:w="30" w:type="dxa"/>
              <w:right w:w="20" w:type="dxa"/>
            </w:tcMar>
            <w:vAlign w:val="bottom"/>
            <w:hideMark/>
          </w:tcPr>
          <w:p w14:paraId="744ED052" w14:textId="77777777" w:rsidR="00000000" w:rsidRDefault="00E614A4">
            <w:pPr>
              <w:jc w:val="right"/>
              <w:rPr>
                <w:rFonts w:eastAsia="Times New Roman"/>
              </w:rPr>
            </w:pPr>
            <w:r>
              <w:rPr>
                <w:rFonts w:eastAsia="Times New Roman"/>
                <w:color w:val="000000"/>
                <w:sz w:val="18"/>
                <w:szCs w:val="18"/>
              </w:rPr>
              <w:t>%</w:t>
            </w:r>
          </w:p>
        </w:tc>
      </w:tr>
    </w:tbl>
    <w:p w14:paraId="63FA8A6B" w14:textId="77777777" w:rsidR="00000000" w:rsidRDefault="00E614A4">
      <w:pPr>
        <w:jc w:val="both"/>
        <w:divId w:val="1472208758"/>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As discussed in </w:t>
      </w:r>
      <w:hyperlink r:id="rId12" w:anchor="s5B1B894228215AEEABBC1FE6C8EB010C" w:history="1">
        <w:r>
          <w:rPr>
            <w:rStyle w:val="a3"/>
            <w:rFonts w:eastAsia="Times New Roman"/>
            <w:i/>
            <w:iCs/>
            <w:sz w:val="16"/>
            <w:szCs w:val="16"/>
          </w:rPr>
          <w:t>Footnote 2</w:t>
        </w:r>
      </w:hyperlink>
      <w:r>
        <w:rPr>
          <w:rFonts w:eastAsia="Times New Roman"/>
          <w:i/>
          <w:iCs/>
          <w:color w:val="000000"/>
          <w:sz w:val="16"/>
          <w:szCs w:val="16"/>
        </w:rPr>
        <w:t xml:space="preserve">, Summary of Significant Accounting Policies, in our </w:t>
      </w:r>
      <w:hyperlink r:id="rId13" w:history="1">
        <w:r>
          <w:rPr>
            <w:rStyle w:val="a3"/>
            <w:rFonts w:eastAsia="Times New Roman"/>
            <w:i/>
            <w:iCs/>
            <w:sz w:val="16"/>
            <w:szCs w:val="16"/>
          </w:rPr>
          <w:t>2019 10-K</w:t>
        </w:r>
      </w:hyperlink>
      <w:r>
        <w:rPr>
          <w:rFonts w:eastAsia="Times New Roman"/>
          <w:i/>
          <w:iCs/>
          <w:color w:val="000000"/>
          <w:sz w:val="16"/>
          <w:szCs w:val="16"/>
        </w:rPr>
        <w:t xml:space="preserve">, we adopted ASC 842, Leases as of January 1, 2019. Lease expense and depreciation for the year ended December 31, 2019 is not comparable to the year ended December 31, 2018 due to </w:t>
      </w:r>
      <w:r>
        <w:rPr>
          <w:rFonts w:eastAsia="Times New Roman"/>
          <w:i/>
          <w:iCs/>
          <w:color w:val="000000"/>
          <w:sz w:val="16"/>
          <w:szCs w:val="16"/>
        </w:rPr>
        <w:t>our adoption of ASC 842.</w:t>
      </w:r>
    </w:p>
    <w:p w14:paraId="1D9D0F94" w14:textId="77777777" w:rsidR="00000000" w:rsidRDefault="00E614A4">
      <w:pPr>
        <w:jc w:val="both"/>
        <w:divId w:val="17046661"/>
        <w:rPr>
          <w:rFonts w:eastAsia="Times New Roman"/>
        </w:rPr>
      </w:pPr>
      <w:r>
        <w:rPr>
          <w:rFonts w:eastAsia="Times New Roman"/>
          <w:color w:val="000000"/>
          <w:sz w:val="20"/>
          <w:szCs w:val="20"/>
        </w:rPr>
        <w:t>Research and development expenses decreased by $15.2 million, or 19.7%, for the year ended December 31, 2019 as compared to the year ended December 31, 2018. Employee costs decreased $12.9 million due to reduced headcount and restr</w:t>
      </w:r>
      <w:r>
        <w:rPr>
          <w:rFonts w:eastAsia="Times New Roman"/>
          <w:color w:val="000000"/>
          <w:sz w:val="20"/>
          <w:szCs w:val="20"/>
        </w:rPr>
        <w:t xml:space="preserve">ucturing efforts as discussed in </w:t>
      </w:r>
      <w:hyperlink w:anchor="ided6989bcc374020961c421c465250ee_190" w:history="1">
        <w:r>
          <w:rPr>
            <w:rStyle w:val="a3"/>
            <w:rFonts w:eastAsia="Times New Roman"/>
            <w:sz w:val="20"/>
            <w:szCs w:val="20"/>
          </w:rPr>
          <w:t>Footnote 14</w:t>
        </w:r>
      </w:hyperlink>
      <w:r>
        <w:rPr>
          <w:rFonts w:eastAsia="Times New Roman"/>
          <w:color w:val="000000"/>
          <w:sz w:val="20"/>
          <w:szCs w:val="20"/>
        </w:rPr>
        <w:t xml:space="preserve">, </w:t>
      </w:r>
      <w:r>
        <w:rPr>
          <w:rFonts w:eastAsia="Times New Roman"/>
          <w:i/>
          <w:iCs/>
          <w:color w:val="000000"/>
          <w:sz w:val="20"/>
          <w:szCs w:val="20"/>
        </w:rPr>
        <w:t>Organizational Restructuring</w:t>
      </w:r>
      <w:r>
        <w:rPr>
          <w:rFonts w:eastAsia="Times New Roman"/>
          <w:color w:val="000000"/>
          <w:sz w:val="20"/>
          <w:szCs w:val="20"/>
        </w:rPr>
        <w:t>. Lease expense and depreciation decreased $1.1 million as a result of various lease terminations and decreased depreciati</w:t>
      </w:r>
      <w:r>
        <w:rPr>
          <w:rFonts w:eastAsia="Times New Roman"/>
          <w:color w:val="000000"/>
          <w:sz w:val="20"/>
          <w:szCs w:val="20"/>
        </w:rPr>
        <w:t xml:space="preserve">on expense as various assets reached the end of their depreciable lives. Technology costs decreased $0.9 million due to certain license expenses that are now included in selling and marketing expense. </w:t>
      </w:r>
    </w:p>
    <w:p w14:paraId="2D6B590A" w14:textId="77777777" w:rsidR="00000000" w:rsidRDefault="00E614A4">
      <w:pPr>
        <w:jc w:val="both"/>
        <w:divId w:val="637952581"/>
        <w:rPr>
          <w:rFonts w:eastAsia="Times New Roman"/>
        </w:rPr>
      </w:pPr>
      <w:r>
        <w:rPr>
          <w:rFonts w:eastAsia="Times New Roman"/>
          <w:b/>
          <w:bCs/>
          <w:i/>
          <w:iCs/>
          <w:color w:val="000000"/>
          <w:sz w:val="20"/>
          <w:szCs w:val="20"/>
        </w:rPr>
        <w:t>General and Administrative</w:t>
      </w:r>
    </w:p>
    <w:p w14:paraId="0A4397EC" w14:textId="77777777" w:rsidR="00000000" w:rsidRDefault="00E614A4">
      <w:pPr>
        <w:jc w:val="both"/>
        <w:divId w:val="612440588"/>
        <w:rPr>
          <w:rFonts w:eastAsia="Times New Roman"/>
        </w:rPr>
      </w:pPr>
      <w:r>
        <w:rPr>
          <w:rFonts w:eastAsia="Times New Roman"/>
          <w:color w:val="000000"/>
          <w:sz w:val="20"/>
          <w:szCs w:val="20"/>
        </w:rPr>
        <w:t xml:space="preserve">General and administrative </w:t>
      </w:r>
      <w:r>
        <w:rPr>
          <w:rFonts w:eastAsia="Times New Roman"/>
          <w:color w:val="000000"/>
          <w:sz w:val="20"/>
          <w:szCs w:val="20"/>
        </w:rPr>
        <w:t>expenses consist primarily of employee costs including salaries, benefits, stock-based compensation and other related costs, and related expenses for executive management, finance, human capital, legal and other administrative functions, as well as profess</w:t>
      </w:r>
      <w:r>
        <w:rPr>
          <w:rFonts w:eastAsia="Times New Roman"/>
          <w:color w:val="000000"/>
          <w:sz w:val="20"/>
          <w:szCs w:val="20"/>
        </w:rPr>
        <w:t>ional fees, overhead, including allocated overhead, which is comprised of lease expense and other facilities-related costs, depreciation expense related to general purpose equipment and software, and expenses incurred for other general corporate purposes.</w:t>
      </w:r>
    </w:p>
    <w:p w14:paraId="5E27F08E" w14:textId="77777777" w:rsidR="00000000" w:rsidRDefault="00E614A4">
      <w:pPr>
        <w:jc w:val="both"/>
        <w:divId w:val="1606616424"/>
        <w:rPr>
          <w:rFonts w:eastAsia="Times New Roman"/>
        </w:rPr>
      </w:pPr>
      <w:r>
        <w:rPr>
          <w:rFonts w:eastAsia="Times New Roman"/>
          <w:color w:val="000000"/>
          <w:sz w:val="20"/>
          <w:szCs w:val="20"/>
        </w:rPr>
        <w:t>General and administrative expenses for the years ended December 31, 2020 and 2019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07285969" w14:textId="77777777">
        <w:trPr>
          <w:divId w:val="1001465061"/>
          <w:jc w:val="center"/>
        </w:trPr>
        <w:tc>
          <w:tcPr>
            <w:tcW w:w="50" w:type="pct"/>
            <w:vAlign w:val="center"/>
            <w:hideMark/>
          </w:tcPr>
          <w:p w14:paraId="3D445DCA" w14:textId="77777777" w:rsidR="00000000" w:rsidRDefault="00E614A4">
            <w:pPr>
              <w:jc w:val="both"/>
              <w:rPr>
                <w:rFonts w:eastAsia="Times New Roman"/>
              </w:rPr>
            </w:pPr>
          </w:p>
        </w:tc>
        <w:tc>
          <w:tcPr>
            <w:tcW w:w="1681" w:type="pct"/>
            <w:vAlign w:val="center"/>
            <w:hideMark/>
          </w:tcPr>
          <w:p w14:paraId="02CEDEEF" w14:textId="77777777" w:rsidR="00000000" w:rsidRDefault="00E614A4">
            <w:pPr>
              <w:rPr>
                <w:rFonts w:eastAsia="Times New Roman"/>
                <w:sz w:val="20"/>
                <w:szCs w:val="20"/>
              </w:rPr>
            </w:pPr>
          </w:p>
        </w:tc>
        <w:tc>
          <w:tcPr>
            <w:tcW w:w="5" w:type="pct"/>
            <w:vAlign w:val="center"/>
            <w:hideMark/>
          </w:tcPr>
          <w:p w14:paraId="554B346A" w14:textId="77777777" w:rsidR="00000000" w:rsidRDefault="00E614A4">
            <w:pPr>
              <w:rPr>
                <w:rFonts w:eastAsia="Times New Roman"/>
                <w:sz w:val="20"/>
                <w:szCs w:val="20"/>
              </w:rPr>
            </w:pPr>
          </w:p>
        </w:tc>
        <w:tc>
          <w:tcPr>
            <w:tcW w:w="50" w:type="pct"/>
            <w:vAlign w:val="center"/>
            <w:hideMark/>
          </w:tcPr>
          <w:p w14:paraId="4126AC30" w14:textId="77777777" w:rsidR="00000000" w:rsidRDefault="00E614A4">
            <w:pPr>
              <w:rPr>
                <w:rFonts w:eastAsia="Times New Roman"/>
                <w:sz w:val="20"/>
                <w:szCs w:val="20"/>
              </w:rPr>
            </w:pPr>
          </w:p>
        </w:tc>
        <w:tc>
          <w:tcPr>
            <w:tcW w:w="465" w:type="pct"/>
            <w:vAlign w:val="center"/>
            <w:hideMark/>
          </w:tcPr>
          <w:p w14:paraId="03A88A94" w14:textId="77777777" w:rsidR="00000000" w:rsidRDefault="00E614A4">
            <w:pPr>
              <w:rPr>
                <w:rFonts w:eastAsia="Times New Roman"/>
                <w:sz w:val="20"/>
                <w:szCs w:val="20"/>
              </w:rPr>
            </w:pPr>
          </w:p>
        </w:tc>
        <w:tc>
          <w:tcPr>
            <w:tcW w:w="5" w:type="pct"/>
            <w:vAlign w:val="center"/>
            <w:hideMark/>
          </w:tcPr>
          <w:p w14:paraId="73D8FAC6" w14:textId="77777777" w:rsidR="00000000" w:rsidRDefault="00E614A4">
            <w:pPr>
              <w:rPr>
                <w:rFonts w:eastAsia="Times New Roman"/>
                <w:sz w:val="20"/>
                <w:szCs w:val="20"/>
              </w:rPr>
            </w:pPr>
          </w:p>
        </w:tc>
        <w:tc>
          <w:tcPr>
            <w:tcW w:w="5" w:type="pct"/>
            <w:vAlign w:val="center"/>
            <w:hideMark/>
          </w:tcPr>
          <w:p w14:paraId="661961CF" w14:textId="77777777" w:rsidR="00000000" w:rsidRDefault="00E614A4">
            <w:pPr>
              <w:rPr>
                <w:rFonts w:eastAsia="Times New Roman"/>
                <w:sz w:val="20"/>
                <w:szCs w:val="20"/>
              </w:rPr>
            </w:pPr>
          </w:p>
        </w:tc>
        <w:tc>
          <w:tcPr>
            <w:tcW w:w="17" w:type="pct"/>
            <w:vAlign w:val="center"/>
            <w:hideMark/>
          </w:tcPr>
          <w:p w14:paraId="76CA20FB" w14:textId="77777777" w:rsidR="00000000" w:rsidRDefault="00E614A4">
            <w:pPr>
              <w:rPr>
                <w:rFonts w:eastAsia="Times New Roman"/>
                <w:sz w:val="20"/>
                <w:szCs w:val="20"/>
              </w:rPr>
            </w:pPr>
          </w:p>
        </w:tc>
        <w:tc>
          <w:tcPr>
            <w:tcW w:w="5" w:type="pct"/>
            <w:vAlign w:val="center"/>
            <w:hideMark/>
          </w:tcPr>
          <w:p w14:paraId="436034C5" w14:textId="77777777" w:rsidR="00000000" w:rsidRDefault="00E614A4">
            <w:pPr>
              <w:rPr>
                <w:rFonts w:eastAsia="Times New Roman"/>
                <w:sz w:val="20"/>
                <w:szCs w:val="20"/>
              </w:rPr>
            </w:pPr>
          </w:p>
        </w:tc>
        <w:tc>
          <w:tcPr>
            <w:tcW w:w="50" w:type="pct"/>
            <w:vAlign w:val="center"/>
            <w:hideMark/>
          </w:tcPr>
          <w:p w14:paraId="5CD53F82" w14:textId="77777777" w:rsidR="00000000" w:rsidRDefault="00E614A4">
            <w:pPr>
              <w:rPr>
                <w:rFonts w:eastAsia="Times New Roman"/>
                <w:sz w:val="20"/>
                <w:szCs w:val="20"/>
              </w:rPr>
            </w:pPr>
          </w:p>
        </w:tc>
        <w:tc>
          <w:tcPr>
            <w:tcW w:w="465" w:type="pct"/>
            <w:vAlign w:val="center"/>
            <w:hideMark/>
          </w:tcPr>
          <w:p w14:paraId="7BF2452D" w14:textId="77777777" w:rsidR="00000000" w:rsidRDefault="00E614A4">
            <w:pPr>
              <w:rPr>
                <w:rFonts w:eastAsia="Times New Roman"/>
                <w:sz w:val="20"/>
                <w:szCs w:val="20"/>
              </w:rPr>
            </w:pPr>
          </w:p>
        </w:tc>
        <w:tc>
          <w:tcPr>
            <w:tcW w:w="5" w:type="pct"/>
            <w:vAlign w:val="center"/>
            <w:hideMark/>
          </w:tcPr>
          <w:p w14:paraId="1854BF38" w14:textId="77777777" w:rsidR="00000000" w:rsidRDefault="00E614A4">
            <w:pPr>
              <w:rPr>
                <w:rFonts w:eastAsia="Times New Roman"/>
                <w:sz w:val="20"/>
                <w:szCs w:val="20"/>
              </w:rPr>
            </w:pPr>
          </w:p>
        </w:tc>
        <w:tc>
          <w:tcPr>
            <w:tcW w:w="5" w:type="pct"/>
            <w:vAlign w:val="center"/>
            <w:hideMark/>
          </w:tcPr>
          <w:p w14:paraId="0638822B" w14:textId="77777777" w:rsidR="00000000" w:rsidRDefault="00E614A4">
            <w:pPr>
              <w:rPr>
                <w:rFonts w:eastAsia="Times New Roman"/>
                <w:sz w:val="20"/>
                <w:szCs w:val="20"/>
              </w:rPr>
            </w:pPr>
          </w:p>
        </w:tc>
        <w:tc>
          <w:tcPr>
            <w:tcW w:w="17" w:type="pct"/>
            <w:vAlign w:val="center"/>
            <w:hideMark/>
          </w:tcPr>
          <w:p w14:paraId="40E64F4A" w14:textId="77777777" w:rsidR="00000000" w:rsidRDefault="00E614A4">
            <w:pPr>
              <w:rPr>
                <w:rFonts w:eastAsia="Times New Roman"/>
                <w:sz w:val="20"/>
                <w:szCs w:val="20"/>
              </w:rPr>
            </w:pPr>
          </w:p>
        </w:tc>
        <w:tc>
          <w:tcPr>
            <w:tcW w:w="5" w:type="pct"/>
            <w:vAlign w:val="center"/>
            <w:hideMark/>
          </w:tcPr>
          <w:p w14:paraId="5E7C8F0A" w14:textId="77777777" w:rsidR="00000000" w:rsidRDefault="00E614A4">
            <w:pPr>
              <w:rPr>
                <w:rFonts w:eastAsia="Times New Roman"/>
                <w:sz w:val="20"/>
                <w:szCs w:val="20"/>
              </w:rPr>
            </w:pPr>
          </w:p>
        </w:tc>
        <w:tc>
          <w:tcPr>
            <w:tcW w:w="50" w:type="pct"/>
            <w:vAlign w:val="center"/>
            <w:hideMark/>
          </w:tcPr>
          <w:p w14:paraId="6B886592" w14:textId="77777777" w:rsidR="00000000" w:rsidRDefault="00E614A4">
            <w:pPr>
              <w:rPr>
                <w:rFonts w:eastAsia="Times New Roman"/>
                <w:sz w:val="20"/>
                <w:szCs w:val="20"/>
              </w:rPr>
            </w:pPr>
          </w:p>
        </w:tc>
        <w:tc>
          <w:tcPr>
            <w:tcW w:w="465" w:type="pct"/>
            <w:vAlign w:val="center"/>
            <w:hideMark/>
          </w:tcPr>
          <w:p w14:paraId="6AAD844D" w14:textId="77777777" w:rsidR="00000000" w:rsidRDefault="00E614A4">
            <w:pPr>
              <w:rPr>
                <w:rFonts w:eastAsia="Times New Roman"/>
                <w:sz w:val="20"/>
                <w:szCs w:val="20"/>
              </w:rPr>
            </w:pPr>
          </w:p>
        </w:tc>
        <w:tc>
          <w:tcPr>
            <w:tcW w:w="5" w:type="pct"/>
            <w:vAlign w:val="center"/>
            <w:hideMark/>
          </w:tcPr>
          <w:p w14:paraId="1DB97E54" w14:textId="77777777" w:rsidR="00000000" w:rsidRDefault="00E614A4">
            <w:pPr>
              <w:rPr>
                <w:rFonts w:eastAsia="Times New Roman"/>
                <w:sz w:val="20"/>
                <w:szCs w:val="20"/>
              </w:rPr>
            </w:pPr>
          </w:p>
        </w:tc>
        <w:tc>
          <w:tcPr>
            <w:tcW w:w="5" w:type="pct"/>
            <w:vAlign w:val="center"/>
            <w:hideMark/>
          </w:tcPr>
          <w:p w14:paraId="703015C2" w14:textId="77777777" w:rsidR="00000000" w:rsidRDefault="00E614A4">
            <w:pPr>
              <w:rPr>
                <w:rFonts w:eastAsia="Times New Roman"/>
                <w:sz w:val="20"/>
                <w:szCs w:val="20"/>
              </w:rPr>
            </w:pPr>
          </w:p>
        </w:tc>
        <w:tc>
          <w:tcPr>
            <w:tcW w:w="17" w:type="pct"/>
            <w:vAlign w:val="center"/>
            <w:hideMark/>
          </w:tcPr>
          <w:p w14:paraId="7FBFAAFC" w14:textId="77777777" w:rsidR="00000000" w:rsidRDefault="00E614A4">
            <w:pPr>
              <w:rPr>
                <w:rFonts w:eastAsia="Times New Roman"/>
                <w:sz w:val="20"/>
                <w:szCs w:val="20"/>
              </w:rPr>
            </w:pPr>
          </w:p>
        </w:tc>
        <w:tc>
          <w:tcPr>
            <w:tcW w:w="5" w:type="pct"/>
            <w:vAlign w:val="center"/>
            <w:hideMark/>
          </w:tcPr>
          <w:p w14:paraId="770F7AF5" w14:textId="77777777" w:rsidR="00000000" w:rsidRDefault="00E614A4">
            <w:pPr>
              <w:rPr>
                <w:rFonts w:eastAsia="Times New Roman"/>
                <w:sz w:val="20"/>
                <w:szCs w:val="20"/>
              </w:rPr>
            </w:pPr>
          </w:p>
        </w:tc>
        <w:tc>
          <w:tcPr>
            <w:tcW w:w="50" w:type="pct"/>
            <w:vAlign w:val="center"/>
            <w:hideMark/>
          </w:tcPr>
          <w:p w14:paraId="27ECFB1F" w14:textId="77777777" w:rsidR="00000000" w:rsidRDefault="00E614A4">
            <w:pPr>
              <w:rPr>
                <w:rFonts w:eastAsia="Times New Roman"/>
                <w:sz w:val="20"/>
                <w:szCs w:val="20"/>
              </w:rPr>
            </w:pPr>
          </w:p>
        </w:tc>
        <w:tc>
          <w:tcPr>
            <w:tcW w:w="465" w:type="pct"/>
            <w:vAlign w:val="center"/>
            <w:hideMark/>
          </w:tcPr>
          <w:p w14:paraId="496AA050" w14:textId="77777777" w:rsidR="00000000" w:rsidRDefault="00E614A4">
            <w:pPr>
              <w:rPr>
                <w:rFonts w:eastAsia="Times New Roman"/>
                <w:sz w:val="20"/>
                <w:szCs w:val="20"/>
              </w:rPr>
            </w:pPr>
          </w:p>
        </w:tc>
        <w:tc>
          <w:tcPr>
            <w:tcW w:w="5" w:type="pct"/>
            <w:vAlign w:val="center"/>
            <w:hideMark/>
          </w:tcPr>
          <w:p w14:paraId="1A9504EA" w14:textId="77777777" w:rsidR="00000000" w:rsidRDefault="00E614A4">
            <w:pPr>
              <w:rPr>
                <w:rFonts w:eastAsia="Times New Roman"/>
                <w:sz w:val="20"/>
                <w:szCs w:val="20"/>
              </w:rPr>
            </w:pPr>
          </w:p>
        </w:tc>
        <w:tc>
          <w:tcPr>
            <w:tcW w:w="5" w:type="pct"/>
            <w:vAlign w:val="center"/>
            <w:hideMark/>
          </w:tcPr>
          <w:p w14:paraId="61EA5567" w14:textId="77777777" w:rsidR="00000000" w:rsidRDefault="00E614A4">
            <w:pPr>
              <w:rPr>
                <w:rFonts w:eastAsia="Times New Roman"/>
                <w:sz w:val="20"/>
                <w:szCs w:val="20"/>
              </w:rPr>
            </w:pPr>
          </w:p>
        </w:tc>
        <w:tc>
          <w:tcPr>
            <w:tcW w:w="17" w:type="pct"/>
            <w:vAlign w:val="center"/>
            <w:hideMark/>
          </w:tcPr>
          <w:p w14:paraId="75DB4CCC" w14:textId="77777777" w:rsidR="00000000" w:rsidRDefault="00E614A4">
            <w:pPr>
              <w:rPr>
                <w:rFonts w:eastAsia="Times New Roman"/>
                <w:sz w:val="20"/>
                <w:szCs w:val="20"/>
              </w:rPr>
            </w:pPr>
          </w:p>
        </w:tc>
        <w:tc>
          <w:tcPr>
            <w:tcW w:w="5" w:type="pct"/>
            <w:vAlign w:val="center"/>
            <w:hideMark/>
          </w:tcPr>
          <w:p w14:paraId="791E1C07" w14:textId="77777777" w:rsidR="00000000" w:rsidRDefault="00E614A4">
            <w:pPr>
              <w:rPr>
                <w:rFonts w:eastAsia="Times New Roman"/>
                <w:sz w:val="20"/>
                <w:szCs w:val="20"/>
              </w:rPr>
            </w:pPr>
          </w:p>
        </w:tc>
        <w:tc>
          <w:tcPr>
            <w:tcW w:w="50" w:type="pct"/>
            <w:vAlign w:val="center"/>
            <w:hideMark/>
          </w:tcPr>
          <w:p w14:paraId="1326245E" w14:textId="77777777" w:rsidR="00000000" w:rsidRDefault="00E614A4">
            <w:pPr>
              <w:rPr>
                <w:rFonts w:eastAsia="Times New Roman"/>
                <w:sz w:val="20"/>
                <w:szCs w:val="20"/>
              </w:rPr>
            </w:pPr>
          </w:p>
        </w:tc>
        <w:tc>
          <w:tcPr>
            <w:tcW w:w="465" w:type="pct"/>
            <w:vAlign w:val="center"/>
            <w:hideMark/>
          </w:tcPr>
          <w:p w14:paraId="394DEC50" w14:textId="77777777" w:rsidR="00000000" w:rsidRDefault="00E614A4">
            <w:pPr>
              <w:rPr>
                <w:rFonts w:eastAsia="Times New Roman"/>
                <w:sz w:val="20"/>
                <w:szCs w:val="20"/>
              </w:rPr>
            </w:pPr>
          </w:p>
        </w:tc>
        <w:tc>
          <w:tcPr>
            <w:tcW w:w="5" w:type="pct"/>
            <w:vAlign w:val="center"/>
            <w:hideMark/>
          </w:tcPr>
          <w:p w14:paraId="7D6F7B72" w14:textId="77777777" w:rsidR="00000000" w:rsidRDefault="00E614A4">
            <w:pPr>
              <w:rPr>
                <w:rFonts w:eastAsia="Times New Roman"/>
                <w:sz w:val="20"/>
                <w:szCs w:val="20"/>
              </w:rPr>
            </w:pPr>
          </w:p>
        </w:tc>
        <w:tc>
          <w:tcPr>
            <w:tcW w:w="5" w:type="pct"/>
            <w:vAlign w:val="center"/>
            <w:hideMark/>
          </w:tcPr>
          <w:p w14:paraId="38DFC212" w14:textId="77777777" w:rsidR="00000000" w:rsidRDefault="00E614A4">
            <w:pPr>
              <w:rPr>
                <w:rFonts w:eastAsia="Times New Roman"/>
                <w:sz w:val="20"/>
                <w:szCs w:val="20"/>
              </w:rPr>
            </w:pPr>
          </w:p>
        </w:tc>
        <w:tc>
          <w:tcPr>
            <w:tcW w:w="17" w:type="pct"/>
            <w:vAlign w:val="center"/>
            <w:hideMark/>
          </w:tcPr>
          <w:p w14:paraId="7B24F78A" w14:textId="77777777" w:rsidR="00000000" w:rsidRDefault="00E614A4">
            <w:pPr>
              <w:rPr>
                <w:rFonts w:eastAsia="Times New Roman"/>
                <w:sz w:val="20"/>
                <w:szCs w:val="20"/>
              </w:rPr>
            </w:pPr>
          </w:p>
        </w:tc>
        <w:tc>
          <w:tcPr>
            <w:tcW w:w="5" w:type="pct"/>
            <w:vAlign w:val="center"/>
            <w:hideMark/>
          </w:tcPr>
          <w:p w14:paraId="54396284" w14:textId="77777777" w:rsidR="00000000" w:rsidRDefault="00E614A4">
            <w:pPr>
              <w:rPr>
                <w:rFonts w:eastAsia="Times New Roman"/>
                <w:sz w:val="20"/>
                <w:szCs w:val="20"/>
              </w:rPr>
            </w:pPr>
          </w:p>
        </w:tc>
        <w:tc>
          <w:tcPr>
            <w:tcW w:w="50" w:type="pct"/>
            <w:vAlign w:val="center"/>
            <w:hideMark/>
          </w:tcPr>
          <w:p w14:paraId="388545AF" w14:textId="77777777" w:rsidR="00000000" w:rsidRDefault="00E614A4">
            <w:pPr>
              <w:rPr>
                <w:rFonts w:eastAsia="Times New Roman"/>
                <w:sz w:val="20"/>
                <w:szCs w:val="20"/>
              </w:rPr>
            </w:pPr>
          </w:p>
        </w:tc>
        <w:tc>
          <w:tcPr>
            <w:tcW w:w="466" w:type="pct"/>
            <w:vAlign w:val="center"/>
            <w:hideMark/>
          </w:tcPr>
          <w:p w14:paraId="6BCF1B58" w14:textId="77777777" w:rsidR="00000000" w:rsidRDefault="00E614A4">
            <w:pPr>
              <w:rPr>
                <w:rFonts w:eastAsia="Times New Roman"/>
                <w:sz w:val="20"/>
                <w:szCs w:val="20"/>
              </w:rPr>
            </w:pPr>
          </w:p>
        </w:tc>
        <w:tc>
          <w:tcPr>
            <w:tcW w:w="5" w:type="pct"/>
            <w:vAlign w:val="center"/>
            <w:hideMark/>
          </w:tcPr>
          <w:p w14:paraId="0358F7D5" w14:textId="77777777" w:rsidR="00000000" w:rsidRDefault="00E614A4">
            <w:pPr>
              <w:rPr>
                <w:rFonts w:eastAsia="Times New Roman"/>
                <w:sz w:val="20"/>
                <w:szCs w:val="20"/>
              </w:rPr>
            </w:pPr>
          </w:p>
        </w:tc>
      </w:tr>
      <w:tr w:rsidR="00000000" w14:paraId="0665A39E" w14:textId="77777777">
        <w:trPr>
          <w:divId w:val="1001465061"/>
          <w:jc w:val="center"/>
        </w:trPr>
        <w:tc>
          <w:tcPr>
            <w:tcW w:w="0" w:type="auto"/>
            <w:gridSpan w:val="3"/>
            <w:vAlign w:val="center"/>
            <w:hideMark/>
          </w:tcPr>
          <w:p w14:paraId="31FAB902" w14:textId="77777777" w:rsidR="00000000" w:rsidRDefault="00E614A4">
            <w:pPr>
              <w:rPr>
                <w:rFonts w:eastAsia="Times New Roman"/>
                <w:sz w:val="20"/>
                <w:szCs w:val="20"/>
              </w:rPr>
            </w:pPr>
          </w:p>
        </w:tc>
        <w:tc>
          <w:tcPr>
            <w:tcW w:w="0" w:type="auto"/>
            <w:gridSpan w:val="3"/>
            <w:vAlign w:val="center"/>
            <w:hideMark/>
          </w:tcPr>
          <w:p w14:paraId="7A984D7A" w14:textId="77777777" w:rsidR="00000000" w:rsidRDefault="00E614A4">
            <w:pPr>
              <w:rPr>
                <w:rFonts w:eastAsia="Times New Roman"/>
                <w:sz w:val="20"/>
                <w:szCs w:val="20"/>
              </w:rPr>
            </w:pPr>
          </w:p>
        </w:tc>
        <w:tc>
          <w:tcPr>
            <w:tcW w:w="0" w:type="auto"/>
            <w:gridSpan w:val="3"/>
            <w:vAlign w:val="center"/>
            <w:hideMark/>
          </w:tcPr>
          <w:p w14:paraId="3FE133A9" w14:textId="77777777" w:rsidR="00000000" w:rsidRDefault="00E614A4">
            <w:pPr>
              <w:rPr>
                <w:rFonts w:eastAsia="Times New Roman"/>
                <w:sz w:val="20"/>
                <w:szCs w:val="20"/>
              </w:rPr>
            </w:pPr>
          </w:p>
        </w:tc>
        <w:tc>
          <w:tcPr>
            <w:tcW w:w="0" w:type="auto"/>
            <w:gridSpan w:val="3"/>
            <w:vAlign w:val="center"/>
            <w:hideMark/>
          </w:tcPr>
          <w:p w14:paraId="3D87BB6D" w14:textId="77777777" w:rsidR="00000000" w:rsidRDefault="00E614A4">
            <w:pPr>
              <w:rPr>
                <w:rFonts w:eastAsia="Times New Roman"/>
                <w:sz w:val="20"/>
                <w:szCs w:val="20"/>
              </w:rPr>
            </w:pPr>
          </w:p>
        </w:tc>
        <w:tc>
          <w:tcPr>
            <w:tcW w:w="0" w:type="auto"/>
            <w:gridSpan w:val="3"/>
            <w:vAlign w:val="center"/>
            <w:hideMark/>
          </w:tcPr>
          <w:p w14:paraId="1B2E270E" w14:textId="77777777" w:rsidR="00000000" w:rsidRDefault="00E614A4">
            <w:pPr>
              <w:rPr>
                <w:rFonts w:eastAsia="Times New Roman"/>
                <w:sz w:val="20"/>
                <w:szCs w:val="20"/>
              </w:rPr>
            </w:pPr>
          </w:p>
        </w:tc>
        <w:tc>
          <w:tcPr>
            <w:tcW w:w="0" w:type="auto"/>
            <w:gridSpan w:val="3"/>
            <w:vAlign w:val="center"/>
            <w:hideMark/>
          </w:tcPr>
          <w:p w14:paraId="549D117C" w14:textId="77777777" w:rsidR="00000000" w:rsidRDefault="00E614A4">
            <w:pPr>
              <w:rPr>
                <w:rFonts w:eastAsia="Times New Roman"/>
                <w:sz w:val="20"/>
                <w:szCs w:val="20"/>
              </w:rPr>
            </w:pPr>
          </w:p>
        </w:tc>
        <w:tc>
          <w:tcPr>
            <w:tcW w:w="0" w:type="auto"/>
            <w:gridSpan w:val="3"/>
            <w:vAlign w:val="center"/>
            <w:hideMark/>
          </w:tcPr>
          <w:p w14:paraId="28B4B43D" w14:textId="77777777" w:rsidR="00000000" w:rsidRDefault="00E614A4">
            <w:pPr>
              <w:rPr>
                <w:rFonts w:eastAsia="Times New Roman"/>
                <w:sz w:val="20"/>
                <w:szCs w:val="20"/>
              </w:rPr>
            </w:pPr>
          </w:p>
        </w:tc>
        <w:tc>
          <w:tcPr>
            <w:tcW w:w="0" w:type="auto"/>
            <w:gridSpan w:val="3"/>
            <w:vAlign w:val="center"/>
            <w:hideMark/>
          </w:tcPr>
          <w:p w14:paraId="37735B1B" w14:textId="77777777" w:rsidR="00000000" w:rsidRDefault="00E614A4">
            <w:pPr>
              <w:rPr>
                <w:rFonts w:eastAsia="Times New Roman"/>
                <w:sz w:val="20"/>
                <w:szCs w:val="20"/>
              </w:rPr>
            </w:pPr>
          </w:p>
        </w:tc>
        <w:tc>
          <w:tcPr>
            <w:tcW w:w="0" w:type="auto"/>
            <w:gridSpan w:val="3"/>
            <w:vAlign w:val="center"/>
            <w:hideMark/>
          </w:tcPr>
          <w:p w14:paraId="5F7AF791" w14:textId="77777777" w:rsidR="00000000" w:rsidRDefault="00E614A4">
            <w:pPr>
              <w:rPr>
                <w:rFonts w:eastAsia="Times New Roman"/>
                <w:sz w:val="20"/>
                <w:szCs w:val="20"/>
              </w:rPr>
            </w:pPr>
          </w:p>
        </w:tc>
        <w:tc>
          <w:tcPr>
            <w:tcW w:w="0" w:type="auto"/>
            <w:gridSpan w:val="3"/>
            <w:vAlign w:val="center"/>
            <w:hideMark/>
          </w:tcPr>
          <w:p w14:paraId="0B7870F0" w14:textId="77777777" w:rsidR="00000000" w:rsidRDefault="00E614A4">
            <w:pPr>
              <w:rPr>
                <w:rFonts w:eastAsia="Times New Roman"/>
                <w:sz w:val="20"/>
                <w:szCs w:val="20"/>
              </w:rPr>
            </w:pPr>
          </w:p>
        </w:tc>
        <w:tc>
          <w:tcPr>
            <w:tcW w:w="0" w:type="auto"/>
            <w:gridSpan w:val="3"/>
            <w:vAlign w:val="center"/>
            <w:hideMark/>
          </w:tcPr>
          <w:p w14:paraId="269152F3" w14:textId="77777777" w:rsidR="00000000" w:rsidRDefault="00E614A4">
            <w:pPr>
              <w:rPr>
                <w:rFonts w:eastAsia="Times New Roman"/>
                <w:sz w:val="20"/>
                <w:szCs w:val="20"/>
              </w:rPr>
            </w:pPr>
          </w:p>
        </w:tc>
        <w:tc>
          <w:tcPr>
            <w:tcW w:w="0" w:type="auto"/>
            <w:gridSpan w:val="3"/>
            <w:vAlign w:val="center"/>
            <w:hideMark/>
          </w:tcPr>
          <w:p w14:paraId="3027EAC0" w14:textId="77777777" w:rsidR="00000000" w:rsidRDefault="00E614A4">
            <w:pPr>
              <w:rPr>
                <w:rFonts w:eastAsia="Times New Roman"/>
                <w:sz w:val="20"/>
                <w:szCs w:val="20"/>
              </w:rPr>
            </w:pPr>
          </w:p>
        </w:tc>
      </w:tr>
      <w:tr w:rsidR="00000000" w14:paraId="7ED8187F" w14:textId="77777777">
        <w:trPr>
          <w:divId w:val="1001465061"/>
          <w:jc w:val="center"/>
        </w:trPr>
        <w:tc>
          <w:tcPr>
            <w:tcW w:w="0" w:type="auto"/>
            <w:gridSpan w:val="3"/>
            <w:tcMar>
              <w:top w:w="0" w:type="dxa"/>
              <w:left w:w="20" w:type="dxa"/>
              <w:bottom w:w="0" w:type="dxa"/>
              <w:right w:w="20" w:type="dxa"/>
            </w:tcMar>
            <w:vAlign w:val="center"/>
            <w:hideMark/>
          </w:tcPr>
          <w:p w14:paraId="04428C0A"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0803127C"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78E8D105"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16A7B2F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A88806C"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1B383E8" w14:textId="77777777" w:rsidR="00000000" w:rsidRDefault="00E614A4">
            <w:pPr>
              <w:rPr>
                <w:rFonts w:eastAsia="Times New Roman"/>
                <w:sz w:val="20"/>
                <w:szCs w:val="20"/>
              </w:rPr>
            </w:pPr>
          </w:p>
        </w:tc>
      </w:tr>
      <w:tr w:rsidR="00000000" w14:paraId="5B336F10" w14:textId="77777777">
        <w:trPr>
          <w:divId w:val="1001465061"/>
          <w:jc w:val="center"/>
        </w:trPr>
        <w:tc>
          <w:tcPr>
            <w:tcW w:w="0" w:type="auto"/>
            <w:gridSpan w:val="3"/>
            <w:shd w:val="clear" w:color="auto" w:fill="FFFFFF"/>
            <w:tcMar>
              <w:top w:w="30" w:type="dxa"/>
              <w:left w:w="20" w:type="dxa"/>
              <w:bottom w:w="30" w:type="dxa"/>
              <w:right w:w="20" w:type="dxa"/>
            </w:tcMar>
            <w:vAlign w:val="bottom"/>
            <w:hideMark/>
          </w:tcPr>
          <w:p w14:paraId="4330A956"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DD22FB"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93CFC1"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395C70C"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021073"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E3DAD45"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2D1152"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EFE6E25"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01D48F49"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2899126"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14:paraId="02925067"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23319F" w14:textId="77777777" w:rsidR="00000000" w:rsidRDefault="00E614A4">
            <w:pPr>
              <w:jc w:val="center"/>
              <w:rPr>
                <w:rFonts w:eastAsia="Times New Roman"/>
              </w:rPr>
            </w:pPr>
            <w:r>
              <w:rPr>
                <w:rFonts w:eastAsia="Times New Roman"/>
                <w:b/>
                <w:bCs/>
                <w:color w:val="000000"/>
                <w:sz w:val="16"/>
                <w:szCs w:val="16"/>
              </w:rPr>
              <w:t>% Variance</w:t>
            </w:r>
          </w:p>
        </w:tc>
      </w:tr>
      <w:tr w:rsidR="00000000" w14:paraId="0E64574D" w14:textId="77777777">
        <w:trPr>
          <w:divId w:val="1001465061"/>
          <w:jc w:val="center"/>
        </w:trPr>
        <w:tc>
          <w:tcPr>
            <w:tcW w:w="0" w:type="auto"/>
            <w:gridSpan w:val="3"/>
            <w:shd w:val="clear" w:color="auto" w:fill="CCEEFF"/>
            <w:tcMar>
              <w:top w:w="30" w:type="dxa"/>
              <w:left w:w="245" w:type="dxa"/>
              <w:bottom w:w="30" w:type="dxa"/>
              <w:right w:w="20" w:type="dxa"/>
            </w:tcMar>
            <w:vAlign w:val="bottom"/>
            <w:hideMark/>
          </w:tcPr>
          <w:p w14:paraId="5F38A289" w14:textId="77777777" w:rsidR="00000000" w:rsidRDefault="00E614A4">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C046E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6DADD0" w14:textId="77777777" w:rsidR="00000000" w:rsidRDefault="00E614A4">
            <w:pPr>
              <w:jc w:val="right"/>
              <w:rPr>
                <w:rFonts w:eastAsia="Times New Roman"/>
              </w:rPr>
            </w:pPr>
            <w:r>
              <w:rPr>
                <w:rFonts w:eastAsia="Times New Roman"/>
                <w:color w:val="000000"/>
                <w:sz w:val="18"/>
                <w:szCs w:val="18"/>
              </w:rPr>
              <w:t>28,205 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B1FBD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79443"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9FC5C7" w14:textId="77777777" w:rsidR="00000000" w:rsidRDefault="00E614A4">
            <w:pPr>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732B7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A56B18B"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E6085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DC0D69" w14:textId="77777777" w:rsidR="00000000" w:rsidRDefault="00E614A4">
            <w:pPr>
              <w:jc w:val="right"/>
              <w:rPr>
                <w:rFonts w:eastAsia="Times New Roman"/>
              </w:rPr>
            </w:pPr>
            <w:r>
              <w:rPr>
                <w:rFonts w:eastAsia="Times New Roman"/>
                <w:color w:val="000000"/>
                <w:sz w:val="18"/>
                <w:szCs w:val="18"/>
              </w:rPr>
              <w:t>34,435 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FB5A6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6D7A2"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4B5BFB" w14:textId="77777777" w:rsidR="00000000" w:rsidRDefault="00E614A4">
            <w:pPr>
              <w:jc w:val="right"/>
              <w:rPr>
                <w:rFonts w:eastAsia="Times New Roman"/>
              </w:rPr>
            </w:pPr>
            <w:r>
              <w:rPr>
                <w:rFonts w:eastAsia="Times New Roman"/>
                <w:color w:val="000000"/>
                <w:sz w:val="18"/>
                <w:szCs w:val="18"/>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14AF3B"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935ECD"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A8955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754322" w14:textId="77777777" w:rsidR="00000000" w:rsidRDefault="00E614A4">
            <w:pPr>
              <w:jc w:val="right"/>
              <w:rPr>
                <w:rFonts w:eastAsia="Times New Roman"/>
              </w:rPr>
            </w:pPr>
            <w:r>
              <w:rPr>
                <w:rFonts w:eastAsia="Times New Roman"/>
                <w:color w:val="000000"/>
                <w:sz w:val="18"/>
                <w:szCs w:val="18"/>
              </w:rPr>
              <w:t>(6,230)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9D28D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3E65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188094" w14:textId="77777777" w:rsidR="00000000" w:rsidRDefault="00E614A4">
            <w:pPr>
              <w:jc w:val="right"/>
              <w:rPr>
                <w:rFonts w:eastAsia="Times New Roman"/>
              </w:rPr>
            </w:pPr>
            <w:r>
              <w:rPr>
                <w:rFonts w:eastAsia="Times New Roman"/>
                <w:color w:val="000000"/>
                <w:sz w:val="18"/>
                <w:szCs w:val="18"/>
              </w:rPr>
              <w:t>(18.1)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0999F6" w14:textId="77777777" w:rsidR="00000000" w:rsidRDefault="00E614A4">
            <w:pPr>
              <w:jc w:val="right"/>
              <w:rPr>
                <w:rFonts w:eastAsia="Times New Roman"/>
              </w:rPr>
            </w:pPr>
            <w:r>
              <w:rPr>
                <w:rFonts w:eastAsia="Times New Roman"/>
                <w:color w:val="000000"/>
                <w:sz w:val="18"/>
                <w:szCs w:val="18"/>
              </w:rPr>
              <w:t>%</w:t>
            </w:r>
          </w:p>
        </w:tc>
      </w:tr>
      <w:tr w:rsidR="00000000" w14:paraId="7FD65840" w14:textId="77777777">
        <w:trPr>
          <w:divId w:val="1001465061"/>
          <w:jc w:val="center"/>
        </w:trPr>
        <w:tc>
          <w:tcPr>
            <w:tcW w:w="0" w:type="auto"/>
            <w:gridSpan w:val="3"/>
            <w:shd w:val="clear" w:color="auto" w:fill="FFFFFF"/>
            <w:tcMar>
              <w:top w:w="30" w:type="dxa"/>
              <w:left w:w="245" w:type="dxa"/>
              <w:bottom w:w="30" w:type="dxa"/>
              <w:right w:w="20" w:type="dxa"/>
            </w:tcMar>
            <w:vAlign w:val="bottom"/>
            <w:hideMark/>
          </w:tcPr>
          <w:p w14:paraId="3A75CBC9" w14:textId="77777777" w:rsidR="00000000" w:rsidRDefault="00E614A4">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5417BB4E" w14:textId="77777777" w:rsidR="00000000" w:rsidRDefault="00E614A4">
            <w:pPr>
              <w:jc w:val="right"/>
              <w:rPr>
                <w:rFonts w:eastAsia="Times New Roman"/>
              </w:rPr>
            </w:pPr>
            <w:r>
              <w:rPr>
                <w:rFonts w:eastAsia="Times New Roman"/>
                <w:color w:val="000000"/>
                <w:sz w:val="18"/>
                <w:szCs w:val="18"/>
              </w:rPr>
              <w:t>12,922 </w:t>
            </w:r>
          </w:p>
        </w:tc>
        <w:tc>
          <w:tcPr>
            <w:tcW w:w="0" w:type="auto"/>
            <w:shd w:val="clear" w:color="auto" w:fill="FFFFFF"/>
            <w:tcMar>
              <w:top w:w="30" w:type="dxa"/>
              <w:left w:w="0" w:type="dxa"/>
              <w:bottom w:w="30" w:type="dxa"/>
              <w:right w:w="20" w:type="dxa"/>
            </w:tcMar>
            <w:vAlign w:val="bottom"/>
            <w:hideMark/>
          </w:tcPr>
          <w:p w14:paraId="2D797EA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C5B9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521C39" w14:textId="77777777" w:rsidR="00000000" w:rsidRDefault="00E614A4">
            <w:pPr>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14:paraId="0D11A049"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83EC172"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9023B5" w14:textId="77777777" w:rsidR="00000000" w:rsidRDefault="00E614A4">
            <w:pPr>
              <w:jc w:val="right"/>
              <w:rPr>
                <w:rFonts w:eastAsia="Times New Roman"/>
              </w:rPr>
            </w:pPr>
            <w:r>
              <w:rPr>
                <w:rFonts w:eastAsia="Times New Roman"/>
                <w:color w:val="000000"/>
                <w:sz w:val="18"/>
                <w:szCs w:val="18"/>
              </w:rPr>
              <w:t>18,385 </w:t>
            </w:r>
          </w:p>
        </w:tc>
        <w:tc>
          <w:tcPr>
            <w:tcW w:w="0" w:type="auto"/>
            <w:shd w:val="clear" w:color="auto" w:fill="FFFFFF"/>
            <w:tcMar>
              <w:top w:w="30" w:type="dxa"/>
              <w:left w:w="0" w:type="dxa"/>
              <w:bottom w:w="30" w:type="dxa"/>
              <w:right w:w="20" w:type="dxa"/>
            </w:tcMar>
            <w:vAlign w:val="bottom"/>
            <w:hideMark/>
          </w:tcPr>
          <w:p w14:paraId="26B6A2C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0A0B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715057" w14:textId="77777777" w:rsidR="00000000" w:rsidRDefault="00E614A4">
            <w:pPr>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2023C94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7ECD6E6"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FCFAEF" w14:textId="77777777" w:rsidR="00000000" w:rsidRDefault="00E614A4">
            <w:pPr>
              <w:jc w:val="right"/>
              <w:rPr>
                <w:rFonts w:eastAsia="Times New Roman"/>
              </w:rPr>
            </w:pPr>
            <w:r>
              <w:rPr>
                <w:rFonts w:eastAsia="Times New Roman"/>
                <w:color w:val="000000"/>
                <w:sz w:val="18"/>
                <w:szCs w:val="18"/>
              </w:rPr>
              <w:t>(5,463)</w:t>
            </w:r>
          </w:p>
        </w:tc>
        <w:tc>
          <w:tcPr>
            <w:tcW w:w="0" w:type="auto"/>
            <w:shd w:val="clear" w:color="auto" w:fill="FFFFFF"/>
            <w:tcMar>
              <w:top w:w="30" w:type="dxa"/>
              <w:left w:w="0" w:type="dxa"/>
              <w:bottom w:w="30" w:type="dxa"/>
              <w:right w:w="20" w:type="dxa"/>
            </w:tcMar>
            <w:vAlign w:val="bottom"/>
            <w:hideMark/>
          </w:tcPr>
          <w:p w14:paraId="4B33AAA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7481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5C917" w14:textId="77777777" w:rsidR="00000000" w:rsidRDefault="00E614A4">
            <w:pPr>
              <w:jc w:val="right"/>
              <w:rPr>
                <w:rFonts w:eastAsia="Times New Roman"/>
              </w:rPr>
            </w:pPr>
            <w:r>
              <w:rPr>
                <w:rFonts w:eastAsia="Times New Roman"/>
                <w:color w:val="000000"/>
                <w:sz w:val="18"/>
                <w:szCs w:val="18"/>
              </w:rPr>
              <w:t>(29.7)</w:t>
            </w:r>
          </w:p>
        </w:tc>
        <w:tc>
          <w:tcPr>
            <w:tcW w:w="0" w:type="auto"/>
            <w:shd w:val="clear" w:color="auto" w:fill="FFFFFF"/>
            <w:tcMar>
              <w:top w:w="30" w:type="dxa"/>
              <w:left w:w="0" w:type="dxa"/>
              <w:bottom w:w="30" w:type="dxa"/>
              <w:right w:w="20" w:type="dxa"/>
            </w:tcMar>
            <w:vAlign w:val="bottom"/>
            <w:hideMark/>
          </w:tcPr>
          <w:p w14:paraId="17004150" w14:textId="77777777" w:rsidR="00000000" w:rsidRDefault="00E614A4">
            <w:pPr>
              <w:jc w:val="right"/>
              <w:rPr>
                <w:rFonts w:eastAsia="Times New Roman"/>
              </w:rPr>
            </w:pPr>
            <w:r>
              <w:rPr>
                <w:rFonts w:eastAsia="Times New Roman"/>
                <w:color w:val="000000"/>
                <w:sz w:val="18"/>
                <w:szCs w:val="18"/>
              </w:rPr>
              <w:t>%</w:t>
            </w:r>
          </w:p>
        </w:tc>
      </w:tr>
      <w:tr w:rsidR="00000000" w14:paraId="3BC5193E" w14:textId="77777777">
        <w:trPr>
          <w:divId w:val="1001465061"/>
          <w:jc w:val="center"/>
        </w:trPr>
        <w:tc>
          <w:tcPr>
            <w:tcW w:w="0" w:type="auto"/>
            <w:gridSpan w:val="3"/>
            <w:shd w:val="clear" w:color="auto" w:fill="CCEEFF"/>
            <w:tcMar>
              <w:top w:w="30" w:type="dxa"/>
              <w:left w:w="245" w:type="dxa"/>
              <w:bottom w:w="30" w:type="dxa"/>
              <w:right w:w="20" w:type="dxa"/>
            </w:tcMar>
            <w:vAlign w:val="bottom"/>
            <w:hideMark/>
          </w:tcPr>
          <w:p w14:paraId="5D04864F" w14:textId="77777777" w:rsidR="00000000" w:rsidRDefault="00E614A4">
            <w:pPr>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14:paraId="11A176AB" w14:textId="77777777" w:rsidR="00000000" w:rsidRDefault="00E614A4">
            <w:pPr>
              <w:jc w:val="right"/>
              <w:rPr>
                <w:rFonts w:eastAsia="Times New Roman"/>
              </w:rPr>
            </w:pPr>
            <w:r>
              <w:rPr>
                <w:rFonts w:eastAsia="Times New Roman"/>
                <w:color w:val="000000"/>
                <w:sz w:val="18"/>
                <w:szCs w:val="18"/>
              </w:rPr>
              <w:t>2,114 </w:t>
            </w:r>
          </w:p>
        </w:tc>
        <w:tc>
          <w:tcPr>
            <w:tcW w:w="0" w:type="auto"/>
            <w:shd w:val="clear" w:color="auto" w:fill="CCEEFF"/>
            <w:tcMar>
              <w:top w:w="30" w:type="dxa"/>
              <w:left w:w="0" w:type="dxa"/>
              <w:bottom w:w="30" w:type="dxa"/>
              <w:right w:w="20" w:type="dxa"/>
            </w:tcMar>
            <w:vAlign w:val="bottom"/>
            <w:hideMark/>
          </w:tcPr>
          <w:p w14:paraId="7A523C2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ADA0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EAC5A9" w14:textId="77777777" w:rsidR="00000000" w:rsidRDefault="00E614A4">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4EADC80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BE06486"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7D65A8" w14:textId="77777777" w:rsidR="00000000" w:rsidRDefault="00E614A4">
            <w:pPr>
              <w:jc w:val="right"/>
              <w:rPr>
                <w:rFonts w:eastAsia="Times New Roman"/>
              </w:rPr>
            </w:pPr>
            <w:r>
              <w:rPr>
                <w:rFonts w:eastAsia="Times New Roman"/>
                <w:color w:val="000000"/>
                <w:sz w:val="18"/>
                <w:szCs w:val="18"/>
              </w:rPr>
              <w:t>2,491 </w:t>
            </w:r>
          </w:p>
        </w:tc>
        <w:tc>
          <w:tcPr>
            <w:tcW w:w="0" w:type="auto"/>
            <w:shd w:val="clear" w:color="auto" w:fill="CCEEFF"/>
            <w:tcMar>
              <w:top w:w="30" w:type="dxa"/>
              <w:left w:w="0" w:type="dxa"/>
              <w:bottom w:w="30" w:type="dxa"/>
              <w:right w:w="20" w:type="dxa"/>
            </w:tcMar>
            <w:vAlign w:val="bottom"/>
            <w:hideMark/>
          </w:tcPr>
          <w:p w14:paraId="67B1DD5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4F70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055F4B" w14:textId="77777777" w:rsidR="00000000" w:rsidRDefault="00E614A4">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2625B05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EAC942"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379FAC" w14:textId="77777777" w:rsidR="00000000" w:rsidRDefault="00E614A4">
            <w:pPr>
              <w:jc w:val="right"/>
              <w:rPr>
                <w:rFonts w:eastAsia="Times New Roman"/>
              </w:rPr>
            </w:pPr>
            <w:r>
              <w:rPr>
                <w:rFonts w:eastAsia="Times New Roman"/>
                <w:color w:val="000000"/>
                <w:sz w:val="18"/>
                <w:szCs w:val="18"/>
              </w:rPr>
              <w:t>(377)</w:t>
            </w:r>
          </w:p>
        </w:tc>
        <w:tc>
          <w:tcPr>
            <w:tcW w:w="0" w:type="auto"/>
            <w:shd w:val="clear" w:color="auto" w:fill="CCEEFF"/>
            <w:tcMar>
              <w:top w:w="30" w:type="dxa"/>
              <w:left w:w="0" w:type="dxa"/>
              <w:bottom w:w="30" w:type="dxa"/>
              <w:right w:w="20" w:type="dxa"/>
            </w:tcMar>
            <w:vAlign w:val="bottom"/>
            <w:hideMark/>
          </w:tcPr>
          <w:p w14:paraId="50F57A4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FD13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EB6296" w14:textId="77777777" w:rsidR="00000000" w:rsidRDefault="00E614A4">
            <w:pPr>
              <w:jc w:val="right"/>
              <w:rPr>
                <w:rFonts w:eastAsia="Times New Roman"/>
              </w:rPr>
            </w:pPr>
            <w:r>
              <w:rPr>
                <w:rFonts w:eastAsia="Times New Roman"/>
                <w:color w:val="000000"/>
                <w:sz w:val="18"/>
                <w:szCs w:val="18"/>
              </w:rPr>
              <w:t>(15.1)</w:t>
            </w:r>
          </w:p>
        </w:tc>
        <w:tc>
          <w:tcPr>
            <w:tcW w:w="0" w:type="auto"/>
            <w:shd w:val="clear" w:color="auto" w:fill="CCEEFF"/>
            <w:tcMar>
              <w:top w:w="30" w:type="dxa"/>
              <w:left w:w="0" w:type="dxa"/>
              <w:bottom w:w="30" w:type="dxa"/>
              <w:right w:w="20" w:type="dxa"/>
            </w:tcMar>
            <w:vAlign w:val="bottom"/>
            <w:hideMark/>
          </w:tcPr>
          <w:p w14:paraId="5331E258" w14:textId="77777777" w:rsidR="00000000" w:rsidRDefault="00E614A4">
            <w:pPr>
              <w:jc w:val="right"/>
              <w:rPr>
                <w:rFonts w:eastAsia="Times New Roman"/>
              </w:rPr>
            </w:pPr>
            <w:r>
              <w:rPr>
                <w:rFonts w:eastAsia="Times New Roman"/>
                <w:color w:val="000000"/>
                <w:sz w:val="18"/>
                <w:szCs w:val="18"/>
              </w:rPr>
              <w:t>%</w:t>
            </w:r>
          </w:p>
        </w:tc>
      </w:tr>
      <w:tr w:rsidR="00000000" w14:paraId="2BBF9B53" w14:textId="77777777">
        <w:trPr>
          <w:divId w:val="1001465061"/>
          <w:jc w:val="center"/>
        </w:trPr>
        <w:tc>
          <w:tcPr>
            <w:tcW w:w="0" w:type="auto"/>
            <w:gridSpan w:val="3"/>
            <w:shd w:val="clear" w:color="auto" w:fill="FFFFFF"/>
            <w:tcMar>
              <w:top w:w="30" w:type="dxa"/>
              <w:left w:w="245" w:type="dxa"/>
              <w:bottom w:w="30" w:type="dxa"/>
              <w:right w:w="20" w:type="dxa"/>
            </w:tcMar>
            <w:vAlign w:val="bottom"/>
            <w:hideMark/>
          </w:tcPr>
          <w:p w14:paraId="1366401C" w14:textId="77777777" w:rsidR="00000000" w:rsidRDefault="00E614A4">
            <w:pPr>
              <w:rPr>
                <w:rFonts w:eastAsia="Times New Roman"/>
              </w:rPr>
            </w:pPr>
            <w:r>
              <w:rPr>
                <w:rFonts w:eastAsia="Times New Roman"/>
                <w:color w:val="000000"/>
                <w:sz w:val="18"/>
                <w:szCs w:val="18"/>
              </w:rPr>
              <w:t>Bad debt expense</w:t>
            </w:r>
          </w:p>
        </w:tc>
        <w:tc>
          <w:tcPr>
            <w:tcW w:w="0" w:type="auto"/>
            <w:gridSpan w:val="2"/>
            <w:shd w:val="clear" w:color="auto" w:fill="FFFFFF"/>
            <w:tcMar>
              <w:top w:w="30" w:type="dxa"/>
              <w:left w:w="20" w:type="dxa"/>
              <w:bottom w:w="30" w:type="dxa"/>
              <w:right w:w="0" w:type="dxa"/>
            </w:tcMar>
            <w:vAlign w:val="bottom"/>
            <w:hideMark/>
          </w:tcPr>
          <w:p w14:paraId="54B62AD1" w14:textId="77777777" w:rsidR="00000000" w:rsidRDefault="00E614A4">
            <w:pPr>
              <w:jc w:val="right"/>
              <w:rPr>
                <w:rFonts w:eastAsia="Times New Roman"/>
              </w:rPr>
            </w:pPr>
            <w:r>
              <w:rPr>
                <w:rFonts w:eastAsia="Times New Roman"/>
                <w:color w:val="000000"/>
                <w:sz w:val="18"/>
                <w:szCs w:val="18"/>
              </w:rPr>
              <w:t>1,693 </w:t>
            </w:r>
          </w:p>
        </w:tc>
        <w:tc>
          <w:tcPr>
            <w:tcW w:w="0" w:type="auto"/>
            <w:shd w:val="clear" w:color="auto" w:fill="FFFFFF"/>
            <w:tcMar>
              <w:top w:w="30" w:type="dxa"/>
              <w:left w:w="0" w:type="dxa"/>
              <w:bottom w:w="30" w:type="dxa"/>
              <w:right w:w="20" w:type="dxa"/>
            </w:tcMar>
            <w:vAlign w:val="bottom"/>
            <w:hideMark/>
          </w:tcPr>
          <w:p w14:paraId="6B957A0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834A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945FB" w14:textId="77777777" w:rsidR="00000000" w:rsidRDefault="00E614A4">
            <w:pPr>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734EA16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A939429"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A7C055" w14:textId="77777777" w:rsidR="00000000" w:rsidRDefault="00E614A4">
            <w:pPr>
              <w:jc w:val="right"/>
              <w:rPr>
                <w:rFonts w:eastAsia="Times New Roman"/>
              </w:rPr>
            </w:pPr>
            <w:r>
              <w:rPr>
                <w:rFonts w:eastAsia="Times New Roman"/>
                <w:color w:val="000000"/>
                <w:sz w:val="18"/>
                <w:szCs w:val="18"/>
              </w:rPr>
              <w:t>727 </w:t>
            </w:r>
          </w:p>
        </w:tc>
        <w:tc>
          <w:tcPr>
            <w:tcW w:w="0" w:type="auto"/>
            <w:shd w:val="clear" w:color="auto" w:fill="FFFFFF"/>
            <w:tcMar>
              <w:top w:w="30" w:type="dxa"/>
              <w:left w:w="0" w:type="dxa"/>
              <w:bottom w:w="30" w:type="dxa"/>
              <w:right w:w="20" w:type="dxa"/>
            </w:tcMar>
            <w:vAlign w:val="bottom"/>
            <w:hideMark/>
          </w:tcPr>
          <w:p w14:paraId="108A7C1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8022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06A287" w14:textId="77777777" w:rsidR="00000000" w:rsidRDefault="00E614A4">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bottom"/>
            <w:hideMark/>
          </w:tcPr>
          <w:p w14:paraId="2095D628"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F459074"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C37667" w14:textId="77777777" w:rsidR="00000000" w:rsidRDefault="00E614A4">
            <w:pPr>
              <w:jc w:val="right"/>
              <w:rPr>
                <w:rFonts w:eastAsia="Times New Roman"/>
              </w:rPr>
            </w:pPr>
            <w:r>
              <w:rPr>
                <w:rFonts w:eastAsia="Times New Roman"/>
                <w:color w:val="000000"/>
                <w:sz w:val="18"/>
                <w:szCs w:val="18"/>
              </w:rPr>
              <w:t>966 </w:t>
            </w:r>
          </w:p>
        </w:tc>
        <w:tc>
          <w:tcPr>
            <w:tcW w:w="0" w:type="auto"/>
            <w:shd w:val="clear" w:color="auto" w:fill="FFFFFF"/>
            <w:tcMar>
              <w:top w:w="30" w:type="dxa"/>
              <w:left w:w="0" w:type="dxa"/>
              <w:bottom w:w="30" w:type="dxa"/>
              <w:right w:w="20" w:type="dxa"/>
            </w:tcMar>
            <w:vAlign w:val="bottom"/>
            <w:hideMark/>
          </w:tcPr>
          <w:p w14:paraId="57A2131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3A36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61D51C" w14:textId="77777777" w:rsidR="00000000" w:rsidRDefault="00E614A4">
            <w:pPr>
              <w:jc w:val="right"/>
              <w:rPr>
                <w:rFonts w:eastAsia="Times New Roman"/>
              </w:rPr>
            </w:pPr>
            <w:r>
              <w:rPr>
                <w:rFonts w:eastAsia="Times New Roman"/>
                <w:color w:val="000000"/>
                <w:sz w:val="18"/>
                <w:szCs w:val="18"/>
              </w:rPr>
              <w:t>132.9 </w:t>
            </w:r>
          </w:p>
        </w:tc>
        <w:tc>
          <w:tcPr>
            <w:tcW w:w="0" w:type="auto"/>
            <w:shd w:val="clear" w:color="auto" w:fill="FFFFFF"/>
            <w:tcMar>
              <w:top w:w="30" w:type="dxa"/>
              <w:left w:w="0" w:type="dxa"/>
              <w:bottom w:w="30" w:type="dxa"/>
              <w:right w:w="20" w:type="dxa"/>
            </w:tcMar>
            <w:vAlign w:val="bottom"/>
            <w:hideMark/>
          </w:tcPr>
          <w:p w14:paraId="37394959" w14:textId="77777777" w:rsidR="00000000" w:rsidRDefault="00E614A4">
            <w:pPr>
              <w:jc w:val="right"/>
              <w:rPr>
                <w:rFonts w:eastAsia="Times New Roman"/>
              </w:rPr>
            </w:pPr>
            <w:r>
              <w:rPr>
                <w:rFonts w:eastAsia="Times New Roman"/>
                <w:color w:val="000000"/>
                <w:sz w:val="18"/>
                <w:szCs w:val="18"/>
              </w:rPr>
              <w:t>%</w:t>
            </w:r>
          </w:p>
        </w:tc>
      </w:tr>
      <w:tr w:rsidR="00000000" w14:paraId="75138348" w14:textId="77777777">
        <w:trPr>
          <w:divId w:val="1001465061"/>
          <w:jc w:val="center"/>
        </w:trPr>
        <w:tc>
          <w:tcPr>
            <w:tcW w:w="0" w:type="auto"/>
            <w:gridSpan w:val="3"/>
            <w:vAlign w:val="center"/>
            <w:hideMark/>
          </w:tcPr>
          <w:p w14:paraId="70B67745" w14:textId="77777777" w:rsidR="00000000" w:rsidRDefault="00E614A4">
            <w:pPr>
              <w:jc w:val="right"/>
              <w:rPr>
                <w:rFonts w:eastAsia="Times New Roman"/>
              </w:rPr>
            </w:pPr>
          </w:p>
        </w:tc>
        <w:tc>
          <w:tcPr>
            <w:tcW w:w="0" w:type="auto"/>
            <w:gridSpan w:val="3"/>
            <w:vAlign w:val="center"/>
            <w:hideMark/>
          </w:tcPr>
          <w:p w14:paraId="230A9425" w14:textId="77777777" w:rsidR="00000000" w:rsidRDefault="00E614A4">
            <w:pPr>
              <w:rPr>
                <w:rFonts w:eastAsia="Times New Roman"/>
                <w:sz w:val="20"/>
                <w:szCs w:val="20"/>
              </w:rPr>
            </w:pPr>
          </w:p>
        </w:tc>
        <w:tc>
          <w:tcPr>
            <w:tcW w:w="0" w:type="auto"/>
            <w:gridSpan w:val="3"/>
            <w:vAlign w:val="center"/>
            <w:hideMark/>
          </w:tcPr>
          <w:p w14:paraId="67E20F81" w14:textId="77777777" w:rsidR="00000000" w:rsidRDefault="00E614A4">
            <w:pPr>
              <w:rPr>
                <w:rFonts w:eastAsia="Times New Roman"/>
                <w:sz w:val="20"/>
                <w:szCs w:val="20"/>
              </w:rPr>
            </w:pPr>
          </w:p>
        </w:tc>
        <w:tc>
          <w:tcPr>
            <w:tcW w:w="0" w:type="auto"/>
            <w:gridSpan w:val="3"/>
            <w:vAlign w:val="center"/>
            <w:hideMark/>
          </w:tcPr>
          <w:p w14:paraId="6679AD50" w14:textId="77777777" w:rsidR="00000000" w:rsidRDefault="00E614A4">
            <w:pPr>
              <w:rPr>
                <w:rFonts w:eastAsia="Times New Roman"/>
                <w:sz w:val="20"/>
                <w:szCs w:val="20"/>
              </w:rPr>
            </w:pPr>
          </w:p>
        </w:tc>
        <w:tc>
          <w:tcPr>
            <w:tcW w:w="0" w:type="auto"/>
            <w:gridSpan w:val="3"/>
            <w:vAlign w:val="center"/>
            <w:hideMark/>
          </w:tcPr>
          <w:p w14:paraId="64FAD404" w14:textId="77777777" w:rsidR="00000000" w:rsidRDefault="00E614A4">
            <w:pPr>
              <w:rPr>
                <w:rFonts w:eastAsia="Times New Roman"/>
                <w:sz w:val="20"/>
                <w:szCs w:val="20"/>
              </w:rPr>
            </w:pPr>
          </w:p>
        </w:tc>
        <w:tc>
          <w:tcPr>
            <w:tcW w:w="0" w:type="auto"/>
            <w:gridSpan w:val="3"/>
            <w:vAlign w:val="center"/>
            <w:hideMark/>
          </w:tcPr>
          <w:p w14:paraId="05A48442" w14:textId="77777777" w:rsidR="00000000" w:rsidRDefault="00E614A4">
            <w:pPr>
              <w:rPr>
                <w:rFonts w:eastAsia="Times New Roman"/>
                <w:sz w:val="20"/>
                <w:szCs w:val="20"/>
              </w:rPr>
            </w:pPr>
          </w:p>
        </w:tc>
        <w:tc>
          <w:tcPr>
            <w:tcW w:w="0" w:type="auto"/>
            <w:gridSpan w:val="3"/>
            <w:vAlign w:val="center"/>
            <w:hideMark/>
          </w:tcPr>
          <w:p w14:paraId="1372938C" w14:textId="77777777" w:rsidR="00000000" w:rsidRDefault="00E614A4">
            <w:pPr>
              <w:rPr>
                <w:rFonts w:eastAsia="Times New Roman"/>
                <w:sz w:val="20"/>
                <w:szCs w:val="20"/>
              </w:rPr>
            </w:pPr>
          </w:p>
        </w:tc>
        <w:tc>
          <w:tcPr>
            <w:tcW w:w="0" w:type="auto"/>
            <w:gridSpan w:val="3"/>
            <w:vAlign w:val="center"/>
            <w:hideMark/>
          </w:tcPr>
          <w:p w14:paraId="2D9324D9" w14:textId="77777777" w:rsidR="00000000" w:rsidRDefault="00E614A4">
            <w:pPr>
              <w:rPr>
                <w:rFonts w:eastAsia="Times New Roman"/>
                <w:sz w:val="20"/>
                <w:szCs w:val="20"/>
              </w:rPr>
            </w:pPr>
          </w:p>
        </w:tc>
        <w:tc>
          <w:tcPr>
            <w:tcW w:w="0" w:type="auto"/>
            <w:gridSpan w:val="3"/>
            <w:vAlign w:val="center"/>
            <w:hideMark/>
          </w:tcPr>
          <w:p w14:paraId="00F95B26" w14:textId="77777777" w:rsidR="00000000" w:rsidRDefault="00E614A4">
            <w:pPr>
              <w:rPr>
                <w:rFonts w:eastAsia="Times New Roman"/>
                <w:sz w:val="20"/>
                <w:szCs w:val="20"/>
              </w:rPr>
            </w:pPr>
          </w:p>
        </w:tc>
        <w:tc>
          <w:tcPr>
            <w:tcW w:w="0" w:type="auto"/>
            <w:gridSpan w:val="3"/>
            <w:vAlign w:val="center"/>
            <w:hideMark/>
          </w:tcPr>
          <w:p w14:paraId="792A6AC3" w14:textId="77777777" w:rsidR="00000000" w:rsidRDefault="00E614A4">
            <w:pPr>
              <w:rPr>
                <w:rFonts w:eastAsia="Times New Roman"/>
                <w:sz w:val="20"/>
                <w:szCs w:val="20"/>
              </w:rPr>
            </w:pPr>
          </w:p>
        </w:tc>
        <w:tc>
          <w:tcPr>
            <w:tcW w:w="0" w:type="auto"/>
            <w:gridSpan w:val="3"/>
            <w:vAlign w:val="center"/>
            <w:hideMark/>
          </w:tcPr>
          <w:p w14:paraId="6B4EB040" w14:textId="77777777" w:rsidR="00000000" w:rsidRDefault="00E614A4">
            <w:pPr>
              <w:rPr>
                <w:rFonts w:eastAsia="Times New Roman"/>
                <w:sz w:val="20"/>
                <w:szCs w:val="20"/>
              </w:rPr>
            </w:pPr>
          </w:p>
        </w:tc>
        <w:tc>
          <w:tcPr>
            <w:tcW w:w="0" w:type="auto"/>
            <w:gridSpan w:val="3"/>
            <w:vAlign w:val="center"/>
            <w:hideMark/>
          </w:tcPr>
          <w:p w14:paraId="44CC84E8" w14:textId="77777777" w:rsidR="00000000" w:rsidRDefault="00E614A4">
            <w:pPr>
              <w:rPr>
                <w:rFonts w:eastAsia="Times New Roman"/>
                <w:sz w:val="20"/>
                <w:szCs w:val="20"/>
              </w:rPr>
            </w:pPr>
          </w:p>
        </w:tc>
      </w:tr>
      <w:tr w:rsidR="00000000" w14:paraId="603BF2BA" w14:textId="77777777">
        <w:trPr>
          <w:divId w:val="1001465061"/>
          <w:jc w:val="center"/>
        </w:trPr>
        <w:tc>
          <w:tcPr>
            <w:tcW w:w="0" w:type="auto"/>
            <w:gridSpan w:val="3"/>
            <w:shd w:val="clear" w:color="auto" w:fill="CCEEFF"/>
            <w:tcMar>
              <w:top w:w="30" w:type="dxa"/>
              <w:left w:w="245" w:type="dxa"/>
              <w:bottom w:w="30" w:type="dxa"/>
              <w:right w:w="20" w:type="dxa"/>
            </w:tcMar>
            <w:vAlign w:val="bottom"/>
            <w:hideMark/>
          </w:tcPr>
          <w:p w14:paraId="08A05A8B" w14:textId="77777777" w:rsidR="00000000" w:rsidRDefault="00E614A4">
            <w:pPr>
              <w:rPr>
                <w:rFonts w:eastAsia="Times New Roman"/>
              </w:rPr>
            </w:pPr>
            <w:r>
              <w:rPr>
                <w:rFonts w:eastAsia="Times New Roman"/>
                <w:color w:val="000000"/>
                <w:sz w:val="18"/>
                <w:szCs w:val="18"/>
              </w:rPr>
              <w:t xml:space="preserve">Transition services agreement </w:t>
            </w:r>
          </w:p>
        </w:tc>
        <w:tc>
          <w:tcPr>
            <w:tcW w:w="0" w:type="auto"/>
            <w:gridSpan w:val="2"/>
            <w:shd w:val="clear" w:color="auto" w:fill="CCEEFF"/>
            <w:tcMar>
              <w:top w:w="30" w:type="dxa"/>
              <w:left w:w="20" w:type="dxa"/>
              <w:bottom w:w="30" w:type="dxa"/>
              <w:right w:w="0" w:type="dxa"/>
            </w:tcMar>
            <w:vAlign w:val="bottom"/>
            <w:hideMark/>
          </w:tcPr>
          <w:p w14:paraId="0ABE43D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3E460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27FF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C3403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83DEB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702FC2C"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91161A" w14:textId="77777777" w:rsidR="00000000" w:rsidRDefault="00E614A4">
            <w:pPr>
              <w:jc w:val="right"/>
              <w:rPr>
                <w:rFonts w:eastAsia="Times New Roman"/>
              </w:rPr>
            </w:pPr>
            <w:r>
              <w:rPr>
                <w:rFonts w:eastAsia="Times New Roman"/>
                <w:color w:val="000000"/>
                <w:sz w:val="18"/>
                <w:szCs w:val="18"/>
              </w:rPr>
              <w:t>667 </w:t>
            </w:r>
          </w:p>
        </w:tc>
        <w:tc>
          <w:tcPr>
            <w:tcW w:w="0" w:type="auto"/>
            <w:shd w:val="clear" w:color="auto" w:fill="CCEEFF"/>
            <w:tcMar>
              <w:top w:w="30" w:type="dxa"/>
              <w:left w:w="0" w:type="dxa"/>
              <w:bottom w:w="30" w:type="dxa"/>
              <w:right w:w="20" w:type="dxa"/>
            </w:tcMar>
            <w:vAlign w:val="bottom"/>
            <w:hideMark/>
          </w:tcPr>
          <w:p w14:paraId="0109AF8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E82F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3F44F" w14:textId="77777777" w:rsidR="00000000" w:rsidRDefault="00E614A4">
            <w:pPr>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07905C5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32F65B"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21D3DA" w14:textId="77777777" w:rsidR="00000000" w:rsidRDefault="00E614A4">
            <w:pPr>
              <w:jc w:val="right"/>
              <w:rPr>
                <w:rFonts w:eastAsia="Times New Roman"/>
              </w:rPr>
            </w:pPr>
            <w:r>
              <w:rPr>
                <w:rFonts w:eastAsia="Times New Roman"/>
                <w:color w:val="000000"/>
                <w:sz w:val="18"/>
                <w:szCs w:val="18"/>
              </w:rPr>
              <w:t>(667)</w:t>
            </w:r>
          </w:p>
        </w:tc>
        <w:tc>
          <w:tcPr>
            <w:tcW w:w="0" w:type="auto"/>
            <w:shd w:val="clear" w:color="auto" w:fill="CCEEFF"/>
            <w:tcMar>
              <w:top w:w="30" w:type="dxa"/>
              <w:left w:w="0" w:type="dxa"/>
              <w:bottom w:w="30" w:type="dxa"/>
              <w:right w:w="20" w:type="dxa"/>
            </w:tcMar>
            <w:vAlign w:val="bottom"/>
            <w:hideMark/>
          </w:tcPr>
          <w:p w14:paraId="3AC9476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457B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6BF08" w14:textId="77777777" w:rsidR="00000000" w:rsidRDefault="00E614A4">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14:paraId="11BB79CA" w14:textId="77777777" w:rsidR="00000000" w:rsidRDefault="00E614A4">
            <w:pPr>
              <w:jc w:val="right"/>
              <w:rPr>
                <w:rFonts w:eastAsia="Times New Roman"/>
              </w:rPr>
            </w:pPr>
            <w:r>
              <w:rPr>
                <w:rFonts w:eastAsia="Times New Roman"/>
                <w:color w:val="000000"/>
                <w:sz w:val="18"/>
                <w:szCs w:val="18"/>
              </w:rPr>
              <w:t>%</w:t>
            </w:r>
          </w:p>
        </w:tc>
      </w:tr>
      <w:tr w:rsidR="00000000" w14:paraId="1485BAE2" w14:textId="77777777">
        <w:trPr>
          <w:divId w:val="1001465061"/>
          <w:jc w:val="center"/>
        </w:trPr>
        <w:tc>
          <w:tcPr>
            <w:tcW w:w="0" w:type="auto"/>
            <w:gridSpan w:val="3"/>
            <w:shd w:val="clear" w:color="auto" w:fill="FFFFFF"/>
            <w:tcMar>
              <w:top w:w="30" w:type="dxa"/>
              <w:left w:w="245" w:type="dxa"/>
              <w:bottom w:w="30" w:type="dxa"/>
              <w:right w:w="20" w:type="dxa"/>
            </w:tcMar>
            <w:vAlign w:val="bottom"/>
            <w:hideMark/>
          </w:tcPr>
          <w:p w14:paraId="76DBBA2F" w14:textId="77777777" w:rsidR="00000000" w:rsidRDefault="00E614A4">
            <w:pPr>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14:paraId="66829D80" w14:textId="77777777" w:rsidR="00000000" w:rsidRDefault="00E614A4">
            <w:pPr>
              <w:jc w:val="right"/>
              <w:rPr>
                <w:rFonts w:eastAsia="Times New Roman"/>
              </w:rPr>
            </w:pPr>
            <w:r>
              <w:rPr>
                <w:rFonts w:eastAsia="Times New Roman"/>
                <w:color w:val="000000"/>
                <w:sz w:val="18"/>
                <w:szCs w:val="18"/>
              </w:rPr>
              <w:t>10,849 </w:t>
            </w:r>
          </w:p>
        </w:tc>
        <w:tc>
          <w:tcPr>
            <w:tcW w:w="0" w:type="auto"/>
            <w:shd w:val="clear" w:color="auto" w:fill="FFFFFF"/>
            <w:tcMar>
              <w:top w:w="30" w:type="dxa"/>
              <w:left w:w="0" w:type="dxa"/>
              <w:bottom w:w="30" w:type="dxa"/>
              <w:right w:w="20" w:type="dxa"/>
            </w:tcMar>
            <w:vAlign w:val="bottom"/>
            <w:hideMark/>
          </w:tcPr>
          <w:p w14:paraId="3BE11E3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51720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08A61" w14:textId="77777777" w:rsidR="00000000" w:rsidRDefault="00E614A4">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14:paraId="6D196D2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37E2B32"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4BDA88" w14:textId="77777777" w:rsidR="00000000" w:rsidRDefault="00E614A4">
            <w:pPr>
              <w:jc w:val="right"/>
              <w:rPr>
                <w:rFonts w:eastAsia="Times New Roman"/>
              </w:rPr>
            </w:pPr>
            <w:r>
              <w:rPr>
                <w:rFonts w:eastAsia="Times New Roman"/>
                <w:color w:val="000000"/>
                <w:sz w:val="18"/>
                <w:szCs w:val="18"/>
              </w:rPr>
              <w:t>9,714 </w:t>
            </w:r>
          </w:p>
        </w:tc>
        <w:tc>
          <w:tcPr>
            <w:tcW w:w="0" w:type="auto"/>
            <w:shd w:val="clear" w:color="auto" w:fill="FFFFFF"/>
            <w:tcMar>
              <w:top w:w="30" w:type="dxa"/>
              <w:left w:w="0" w:type="dxa"/>
              <w:bottom w:w="30" w:type="dxa"/>
              <w:right w:w="20" w:type="dxa"/>
            </w:tcMar>
            <w:vAlign w:val="bottom"/>
            <w:hideMark/>
          </w:tcPr>
          <w:p w14:paraId="6B0B642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F0B3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2DC9A4" w14:textId="77777777" w:rsidR="00000000" w:rsidRDefault="00E614A4">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14:paraId="4A9D8D2B"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93D7660"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F30CDA" w14:textId="77777777" w:rsidR="00000000" w:rsidRDefault="00E614A4">
            <w:pPr>
              <w:jc w:val="right"/>
              <w:rPr>
                <w:rFonts w:eastAsia="Times New Roman"/>
              </w:rPr>
            </w:pPr>
            <w:r>
              <w:rPr>
                <w:rFonts w:eastAsia="Times New Roman"/>
                <w:color w:val="000000"/>
                <w:sz w:val="18"/>
                <w:szCs w:val="18"/>
              </w:rPr>
              <w:t>1,135 </w:t>
            </w:r>
          </w:p>
        </w:tc>
        <w:tc>
          <w:tcPr>
            <w:tcW w:w="0" w:type="auto"/>
            <w:shd w:val="clear" w:color="auto" w:fill="FFFFFF"/>
            <w:tcMar>
              <w:top w:w="30" w:type="dxa"/>
              <w:left w:w="0" w:type="dxa"/>
              <w:bottom w:w="30" w:type="dxa"/>
              <w:right w:w="20" w:type="dxa"/>
            </w:tcMar>
            <w:vAlign w:val="bottom"/>
            <w:hideMark/>
          </w:tcPr>
          <w:p w14:paraId="3840E81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41BC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7AC3A9" w14:textId="77777777" w:rsidR="00000000" w:rsidRDefault="00E614A4">
            <w:pPr>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bottom"/>
            <w:hideMark/>
          </w:tcPr>
          <w:p w14:paraId="3BB11BD6" w14:textId="77777777" w:rsidR="00000000" w:rsidRDefault="00E614A4">
            <w:pPr>
              <w:jc w:val="right"/>
              <w:rPr>
                <w:rFonts w:eastAsia="Times New Roman"/>
              </w:rPr>
            </w:pPr>
            <w:r>
              <w:rPr>
                <w:rFonts w:eastAsia="Times New Roman"/>
                <w:color w:val="000000"/>
                <w:sz w:val="18"/>
                <w:szCs w:val="18"/>
              </w:rPr>
              <w:t>%</w:t>
            </w:r>
          </w:p>
        </w:tc>
      </w:tr>
      <w:tr w:rsidR="00000000" w14:paraId="2E8BA282" w14:textId="77777777">
        <w:trPr>
          <w:divId w:val="1001465061"/>
          <w:jc w:val="center"/>
        </w:trPr>
        <w:tc>
          <w:tcPr>
            <w:tcW w:w="0" w:type="auto"/>
            <w:gridSpan w:val="3"/>
            <w:shd w:val="clear" w:color="auto" w:fill="CCEEFF"/>
            <w:tcMar>
              <w:top w:w="30" w:type="dxa"/>
              <w:left w:w="20" w:type="dxa"/>
              <w:bottom w:w="30" w:type="dxa"/>
              <w:right w:w="20" w:type="dxa"/>
            </w:tcMar>
            <w:vAlign w:val="bottom"/>
            <w:hideMark/>
          </w:tcPr>
          <w:p w14:paraId="695F3748" w14:textId="77777777" w:rsidR="00000000" w:rsidRDefault="00E614A4">
            <w:pPr>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D8B46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8E8953" w14:textId="77777777" w:rsidR="00000000" w:rsidRDefault="00E614A4">
            <w:pPr>
              <w:jc w:val="right"/>
              <w:rPr>
                <w:rFonts w:eastAsia="Times New Roman"/>
              </w:rPr>
            </w:pPr>
            <w:r>
              <w:rPr>
                <w:rFonts w:eastAsia="Times New Roman"/>
                <w:color w:val="000000"/>
                <w:sz w:val="18"/>
                <w:szCs w:val="18"/>
              </w:rPr>
              <w:t>55,783 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36F2D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E2892"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375169" w14:textId="77777777" w:rsidR="00000000" w:rsidRDefault="00E614A4">
            <w:pPr>
              <w:jc w:val="right"/>
              <w:rPr>
                <w:rFonts w:eastAsia="Times New Roman"/>
              </w:rPr>
            </w:pPr>
            <w:r>
              <w:rPr>
                <w:rFonts w:eastAsia="Times New Roman"/>
                <w:color w:val="000000"/>
                <w:sz w:val="18"/>
                <w:szCs w:val="18"/>
              </w:rPr>
              <w:t>15.7 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3B2A5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5D36B52"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C9195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DDA520" w14:textId="77777777" w:rsidR="00000000" w:rsidRDefault="00E614A4">
            <w:pPr>
              <w:jc w:val="right"/>
              <w:rPr>
                <w:rFonts w:eastAsia="Times New Roman"/>
              </w:rPr>
            </w:pPr>
            <w:r>
              <w:rPr>
                <w:rFonts w:eastAsia="Times New Roman"/>
                <w:color w:val="000000"/>
                <w:sz w:val="18"/>
                <w:szCs w:val="18"/>
              </w:rPr>
              <w:t>66,419 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148EE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AD1F7"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15C45A" w14:textId="77777777" w:rsidR="00000000" w:rsidRDefault="00E614A4">
            <w:pPr>
              <w:jc w:val="right"/>
              <w:rPr>
                <w:rFonts w:eastAsia="Times New Roman"/>
              </w:rPr>
            </w:pPr>
            <w:r>
              <w:rPr>
                <w:rFonts w:eastAsia="Times New Roman"/>
                <w:color w:val="000000"/>
                <w:sz w:val="18"/>
                <w:szCs w:val="18"/>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1A7F72"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980E95"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743F9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B99A44" w14:textId="77777777" w:rsidR="00000000" w:rsidRDefault="00E614A4">
            <w:pPr>
              <w:jc w:val="right"/>
              <w:rPr>
                <w:rFonts w:eastAsia="Times New Roman"/>
              </w:rPr>
            </w:pPr>
            <w:r>
              <w:rPr>
                <w:rFonts w:eastAsia="Times New Roman"/>
                <w:color w:val="000000"/>
                <w:sz w:val="18"/>
                <w:szCs w:val="18"/>
              </w:rPr>
              <w:t>(10,636)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6004F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A23A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27C8C3" w14:textId="77777777" w:rsidR="00000000" w:rsidRDefault="00E614A4">
            <w:pPr>
              <w:jc w:val="right"/>
              <w:rPr>
                <w:rFonts w:eastAsia="Times New Roman"/>
              </w:rPr>
            </w:pPr>
            <w:r>
              <w:rPr>
                <w:rFonts w:eastAsia="Times New Roman"/>
                <w:color w:val="000000"/>
                <w:sz w:val="18"/>
                <w:szCs w:val="18"/>
              </w:rPr>
              <w:t>(16.0)</w:t>
            </w:r>
          </w:p>
        </w:tc>
        <w:tc>
          <w:tcPr>
            <w:tcW w:w="0" w:type="auto"/>
            <w:shd w:val="clear" w:color="auto" w:fill="CCEEFF"/>
            <w:tcMar>
              <w:top w:w="30" w:type="dxa"/>
              <w:left w:w="0" w:type="dxa"/>
              <w:bottom w:w="30" w:type="dxa"/>
              <w:right w:w="20" w:type="dxa"/>
            </w:tcMar>
            <w:vAlign w:val="bottom"/>
            <w:hideMark/>
          </w:tcPr>
          <w:p w14:paraId="7D4DD905" w14:textId="77777777" w:rsidR="00000000" w:rsidRDefault="00E614A4">
            <w:pPr>
              <w:jc w:val="right"/>
              <w:rPr>
                <w:rFonts w:eastAsia="Times New Roman"/>
              </w:rPr>
            </w:pPr>
            <w:r>
              <w:rPr>
                <w:rFonts w:eastAsia="Times New Roman"/>
                <w:color w:val="000000"/>
                <w:sz w:val="18"/>
                <w:szCs w:val="18"/>
              </w:rPr>
              <w:t>%</w:t>
            </w:r>
          </w:p>
        </w:tc>
      </w:tr>
    </w:tbl>
    <w:p w14:paraId="3DE61B49" w14:textId="77777777" w:rsidR="00000000" w:rsidRDefault="00E614A4">
      <w:pPr>
        <w:jc w:val="both"/>
        <w:divId w:val="2026859164"/>
        <w:rPr>
          <w:rFonts w:eastAsia="Times New Roman"/>
        </w:rPr>
      </w:pPr>
      <w:r>
        <w:rPr>
          <w:rFonts w:eastAsia="Times New Roman"/>
          <w:color w:val="000000"/>
          <w:sz w:val="20"/>
          <w:szCs w:val="20"/>
        </w:rPr>
        <w:t>General and administrative expenses decreased by $10.6 million, or 16.0%, for the year ended December 3</w:t>
      </w:r>
      <w:r>
        <w:rPr>
          <w:rFonts w:eastAsia="Times New Roman"/>
          <w:color w:val="000000"/>
          <w:sz w:val="20"/>
          <w:szCs w:val="20"/>
        </w:rPr>
        <w:t>1, 2020 as compared to the year ended December 31, 2019. Employee costs decreased $6.2 million primarily due to $3.3 million in severance costs for certain executives who exited in 2019, as well as lower headcount and a decrease in stock-based compensation</w:t>
      </w:r>
      <w:r>
        <w:rPr>
          <w:rFonts w:eastAsia="Times New Roman"/>
          <w:color w:val="000000"/>
          <w:sz w:val="20"/>
          <w:szCs w:val="20"/>
        </w:rPr>
        <w:t xml:space="preserve"> expense. Professional fees decreased $5.5 million primarily due to reduced audit and legal fees in 2020 as compared to 2019, and fees related to the issuance of Common Stock and warrants in 2019. These decreases were offset by an increase in bad debt expe</w:t>
      </w:r>
      <w:r>
        <w:rPr>
          <w:rFonts w:eastAsia="Times New Roman"/>
          <w:color w:val="000000"/>
          <w:sz w:val="20"/>
          <w:szCs w:val="20"/>
        </w:rPr>
        <w:t>nse of $1.0 million primarily due to increased reserves related to customers impacted by the current economic environment.</w:t>
      </w:r>
    </w:p>
    <w:p w14:paraId="3FB192FD" w14:textId="77777777" w:rsidR="00000000" w:rsidRDefault="00E614A4">
      <w:pPr>
        <w:jc w:val="both"/>
        <w:divId w:val="229656251"/>
        <w:rPr>
          <w:rFonts w:eastAsia="Times New Roman"/>
        </w:rPr>
      </w:pPr>
      <w:r>
        <w:rPr>
          <w:rFonts w:eastAsia="Times New Roman"/>
          <w:color w:val="000000"/>
          <w:sz w:val="20"/>
          <w:szCs w:val="20"/>
        </w:rPr>
        <w:t>General and administrative expenses for the years ended December 31, 2019 and 2018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14:paraId="032392BA" w14:textId="77777777">
        <w:trPr>
          <w:divId w:val="2107462514"/>
          <w:jc w:val="center"/>
        </w:trPr>
        <w:tc>
          <w:tcPr>
            <w:tcW w:w="50" w:type="pct"/>
            <w:vAlign w:val="center"/>
            <w:hideMark/>
          </w:tcPr>
          <w:p w14:paraId="1A60DB17" w14:textId="77777777" w:rsidR="00000000" w:rsidRDefault="00E614A4">
            <w:pPr>
              <w:jc w:val="both"/>
              <w:rPr>
                <w:rFonts w:eastAsia="Times New Roman"/>
              </w:rPr>
            </w:pPr>
          </w:p>
        </w:tc>
        <w:tc>
          <w:tcPr>
            <w:tcW w:w="1681" w:type="pct"/>
            <w:vAlign w:val="center"/>
            <w:hideMark/>
          </w:tcPr>
          <w:p w14:paraId="10C1B968" w14:textId="77777777" w:rsidR="00000000" w:rsidRDefault="00E614A4">
            <w:pPr>
              <w:rPr>
                <w:rFonts w:eastAsia="Times New Roman"/>
                <w:sz w:val="20"/>
                <w:szCs w:val="20"/>
              </w:rPr>
            </w:pPr>
          </w:p>
        </w:tc>
        <w:tc>
          <w:tcPr>
            <w:tcW w:w="5" w:type="pct"/>
            <w:vAlign w:val="center"/>
            <w:hideMark/>
          </w:tcPr>
          <w:p w14:paraId="72F27929" w14:textId="77777777" w:rsidR="00000000" w:rsidRDefault="00E614A4">
            <w:pPr>
              <w:rPr>
                <w:rFonts w:eastAsia="Times New Roman"/>
                <w:sz w:val="20"/>
                <w:szCs w:val="20"/>
              </w:rPr>
            </w:pPr>
          </w:p>
        </w:tc>
        <w:tc>
          <w:tcPr>
            <w:tcW w:w="50" w:type="pct"/>
            <w:vAlign w:val="center"/>
            <w:hideMark/>
          </w:tcPr>
          <w:p w14:paraId="5B1F0471" w14:textId="77777777" w:rsidR="00000000" w:rsidRDefault="00E614A4">
            <w:pPr>
              <w:rPr>
                <w:rFonts w:eastAsia="Times New Roman"/>
                <w:sz w:val="20"/>
                <w:szCs w:val="20"/>
              </w:rPr>
            </w:pPr>
          </w:p>
        </w:tc>
        <w:tc>
          <w:tcPr>
            <w:tcW w:w="465" w:type="pct"/>
            <w:vAlign w:val="center"/>
            <w:hideMark/>
          </w:tcPr>
          <w:p w14:paraId="4FFA4847" w14:textId="77777777" w:rsidR="00000000" w:rsidRDefault="00E614A4">
            <w:pPr>
              <w:rPr>
                <w:rFonts w:eastAsia="Times New Roman"/>
                <w:sz w:val="20"/>
                <w:szCs w:val="20"/>
              </w:rPr>
            </w:pPr>
          </w:p>
        </w:tc>
        <w:tc>
          <w:tcPr>
            <w:tcW w:w="5" w:type="pct"/>
            <w:vAlign w:val="center"/>
            <w:hideMark/>
          </w:tcPr>
          <w:p w14:paraId="4FB3B4D8" w14:textId="77777777" w:rsidR="00000000" w:rsidRDefault="00E614A4">
            <w:pPr>
              <w:rPr>
                <w:rFonts w:eastAsia="Times New Roman"/>
                <w:sz w:val="20"/>
                <w:szCs w:val="20"/>
              </w:rPr>
            </w:pPr>
          </w:p>
        </w:tc>
        <w:tc>
          <w:tcPr>
            <w:tcW w:w="5" w:type="pct"/>
            <w:vAlign w:val="center"/>
            <w:hideMark/>
          </w:tcPr>
          <w:p w14:paraId="3C2D8F45" w14:textId="77777777" w:rsidR="00000000" w:rsidRDefault="00E614A4">
            <w:pPr>
              <w:rPr>
                <w:rFonts w:eastAsia="Times New Roman"/>
                <w:sz w:val="20"/>
                <w:szCs w:val="20"/>
              </w:rPr>
            </w:pPr>
          </w:p>
        </w:tc>
        <w:tc>
          <w:tcPr>
            <w:tcW w:w="17" w:type="pct"/>
            <w:vAlign w:val="center"/>
            <w:hideMark/>
          </w:tcPr>
          <w:p w14:paraId="3ADE2AE0" w14:textId="77777777" w:rsidR="00000000" w:rsidRDefault="00E614A4">
            <w:pPr>
              <w:rPr>
                <w:rFonts w:eastAsia="Times New Roman"/>
                <w:sz w:val="20"/>
                <w:szCs w:val="20"/>
              </w:rPr>
            </w:pPr>
          </w:p>
        </w:tc>
        <w:tc>
          <w:tcPr>
            <w:tcW w:w="5" w:type="pct"/>
            <w:vAlign w:val="center"/>
            <w:hideMark/>
          </w:tcPr>
          <w:p w14:paraId="781FA0EC" w14:textId="77777777" w:rsidR="00000000" w:rsidRDefault="00E614A4">
            <w:pPr>
              <w:rPr>
                <w:rFonts w:eastAsia="Times New Roman"/>
                <w:sz w:val="20"/>
                <w:szCs w:val="20"/>
              </w:rPr>
            </w:pPr>
          </w:p>
        </w:tc>
        <w:tc>
          <w:tcPr>
            <w:tcW w:w="50" w:type="pct"/>
            <w:vAlign w:val="center"/>
            <w:hideMark/>
          </w:tcPr>
          <w:p w14:paraId="706D7DDC" w14:textId="77777777" w:rsidR="00000000" w:rsidRDefault="00E614A4">
            <w:pPr>
              <w:rPr>
                <w:rFonts w:eastAsia="Times New Roman"/>
                <w:sz w:val="20"/>
                <w:szCs w:val="20"/>
              </w:rPr>
            </w:pPr>
          </w:p>
        </w:tc>
        <w:tc>
          <w:tcPr>
            <w:tcW w:w="465" w:type="pct"/>
            <w:vAlign w:val="center"/>
            <w:hideMark/>
          </w:tcPr>
          <w:p w14:paraId="33825224" w14:textId="77777777" w:rsidR="00000000" w:rsidRDefault="00E614A4">
            <w:pPr>
              <w:rPr>
                <w:rFonts w:eastAsia="Times New Roman"/>
                <w:sz w:val="20"/>
                <w:szCs w:val="20"/>
              </w:rPr>
            </w:pPr>
          </w:p>
        </w:tc>
        <w:tc>
          <w:tcPr>
            <w:tcW w:w="5" w:type="pct"/>
            <w:vAlign w:val="center"/>
            <w:hideMark/>
          </w:tcPr>
          <w:p w14:paraId="2995F43D" w14:textId="77777777" w:rsidR="00000000" w:rsidRDefault="00E614A4">
            <w:pPr>
              <w:rPr>
                <w:rFonts w:eastAsia="Times New Roman"/>
                <w:sz w:val="20"/>
                <w:szCs w:val="20"/>
              </w:rPr>
            </w:pPr>
          </w:p>
        </w:tc>
        <w:tc>
          <w:tcPr>
            <w:tcW w:w="5" w:type="pct"/>
            <w:vAlign w:val="center"/>
            <w:hideMark/>
          </w:tcPr>
          <w:p w14:paraId="78C794BC" w14:textId="77777777" w:rsidR="00000000" w:rsidRDefault="00E614A4">
            <w:pPr>
              <w:rPr>
                <w:rFonts w:eastAsia="Times New Roman"/>
                <w:sz w:val="20"/>
                <w:szCs w:val="20"/>
              </w:rPr>
            </w:pPr>
          </w:p>
        </w:tc>
        <w:tc>
          <w:tcPr>
            <w:tcW w:w="17" w:type="pct"/>
            <w:vAlign w:val="center"/>
            <w:hideMark/>
          </w:tcPr>
          <w:p w14:paraId="1BA1E291" w14:textId="77777777" w:rsidR="00000000" w:rsidRDefault="00E614A4">
            <w:pPr>
              <w:rPr>
                <w:rFonts w:eastAsia="Times New Roman"/>
                <w:sz w:val="20"/>
                <w:szCs w:val="20"/>
              </w:rPr>
            </w:pPr>
          </w:p>
        </w:tc>
        <w:tc>
          <w:tcPr>
            <w:tcW w:w="5" w:type="pct"/>
            <w:vAlign w:val="center"/>
            <w:hideMark/>
          </w:tcPr>
          <w:p w14:paraId="2C7D884E" w14:textId="77777777" w:rsidR="00000000" w:rsidRDefault="00E614A4">
            <w:pPr>
              <w:rPr>
                <w:rFonts w:eastAsia="Times New Roman"/>
                <w:sz w:val="20"/>
                <w:szCs w:val="20"/>
              </w:rPr>
            </w:pPr>
          </w:p>
        </w:tc>
        <w:tc>
          <w:tcPr>
            <w:tcW w:w="50" w:type="pct"/>
            <w:vAlign w:val="center"/>
            <w:hideMark/>
          </w:tcPr>
          <w:p w14:paraId="66E2D194" w14:textId="77777777" w:rsidR="00000000" w:rsidRDefault="00E614A4">
            <w:pPr>
              <w:rPr>
                <w:rFonts w:eastAsia="Times New Roman"/>
                <w:sz w:val="20"/>
                <w:szCs w:val="20"/>
              </w:rPr>
            </w:pPr>
          </w:p>
        </w:tc>
        <w:tc>
          <w:tcPr>
            <w:tcW w:w="465" w:type="pct"/>
            <w:vAlign w:val="center"/>
            <w:hideMark/>
          </w:tcPr>
          <w:p w14:paraId="268F1247" w14:textId="77777777" w:rsidR="00000000" w:rsidRDefault="00E614A4">
            <w:pPr>
              <w:rPr>
                <w:rFonts w:eastAsia="Times New Roman"/>
                <w:sz w:val="20"/>
                <w:szCs w:val="20"/>
              </w:rPr>
            </w:pPr>
          </w:p>
        </w:tc>
        <w:tc>
          <w:tcPr>
            <w:tcW w:w="5" w:type="pct"/>
            <w:vAlign w:val="center"/>
            <w:hideMark/>
          </w:tcPr>
          <w:p w14:paraId="59BCFCC4" w14:textId="77777777" w:rsidR="00000000" w:rsidRDefault="00E614A4">
            <w:pPr>
              <w:rPr>
                <w:rFonts w:eastAsia="Times New Roman"/>
                <w:sz w:val="20"/>
                <w:szCs w:val="20"/>
              </w:rPr>
            </w:pPr>
          </w:p>
        </w:tc>
        <w:tc>
          <w:tcPr>
            <w:tcW w:w="5" w:type="pct"/>
            <w:vAlign w:val="center"/>
            <w:hideMark/>
          </w:tcPr>
          <w:p w14:paraId="4239D647" w14:textId="77777777" w:rsidR="00000000" w:rsidRDefault="00E614A4">
            <w:pPr>
              <w:rPr>
                <w:rFonts w:eastAsia="Times New Roman"/>
                <w:sz w:val="20"/>
                <w:szCs w:val="20"/>
              </w:rPr>
            </w:pPr>
          </w:p>
        </w:tc>
        <w:tc>
          <w:tcPr>
            <w:tcW w:w="17" w:type="pct"/>
            <w:vAlign w:val="center"/>
            <w:hideMark/>
          </w:tcPr>
          <w:p w14:paraId="3FDE2AEC" w14:textId="77777777" w:rsidR="00000000" w:rsidRDefault="00E614A4">
            <w:pPr>
              <w:rPr>
                <w:rFonts w:eastAsia="Times New Roman"/>
                <w:sz w:val="20"/>
                <w:szCs w:val="20"/>
              </w:rPr>
            </w:pPr>
          </w:p>
        </w:tc>
        <w:tc>
          <w:tcPr>
            <w:tcW w:w="5" w:type="pct"/>
            <w:vAlign w:val="center"/>
            <w:hideMark/>
          </w:tcPr>
          <w:p w14:paraId="4921845D" w14:textId="77777777" w:rsidR="00000000" w:rsidRDefault="00E614A4">
            <w:pPr>
              <w:rPr>
                <w:rFonts w:eastAsia="Times New Roman"/>
                <w:sz w:val="20"/>
                <w:szCs w:val="20"/>
              </w:rPr>
            </w:pPr>
          </w:p>
        </w:tc>
        <w:tc>
          <w:tcPr>
            <w:tcW w:w="50" w:type="pct"/>
            <w:vAlign w:val="center"/>
            <w:hideMark/>
          </w:tcPr>
          <w:p w14:paraId="25DFBB74" w14:textId="77777777" w:rsidR="00000000" w:rsidRDefault="00E614A4">
            <w:pPr>
              <w:rPr>
                <w:rFonts w:eastAsia="Times New Roman"/>
                <w:sz w:val="20"/>
                <w:szCs w:val="20"/>
              </w:rPr>
            </w:pPr>
          </w:p>
        </w:tc>
        <w:tc>
          <w:tcPr>
            <w:tcW w:w="465" w:type="pct"/>
            <w:vAlign w:val="center"/>
            <w:hideMark/>
          </w:tcPr>
          <w:p w14:paraId="1327188D" w14:textId="77777777" w:rsidR="00000000" w:rsidRDefault="00E614A4">
            <w:pPr>
              <w:rPr>
                <w:rFonts w:eastAsia="Times New Roman"/>
                <w:sz w:val="20"/>
                <w:szCs w:val="20"/>
              </w:rPr>
            </w:pPr>
          </w:p>
        </w:tc>
        <w:tc>
          <w:tcPr>
            <w:tcW w:w="5" w:type="pct"/>
            <w:vAlign w:val="center"/>
            <w:hideMark/>
          </w:tcPr>
          <w:p w14:paraId="5DE590AB" w14:textId="77777777" w:rsidR="00000000" w:rsidRDefault="00E614A4">
            <w:pPr>
              <w:rPr>
                <w:rFonts w:eastAsia="Times New Roman"/>
                <w:sz w:val="20"/>
                <w:szCs w:val="20"/>
              </w:rPr>
            </w:pPr>
          </w:p>
        </w:tc>
        <w:tc>
          <w:tcPr>
            <w:tcW w:w="5" w:type="pct"/>
            <w:vAlign w:val="center"/>
            <w:hideMark/>
          </w:tcPr>
          <w:p w14:paraId="4AEBD9D8" w14:textId="77777777" w:rsidR="00000000" w:rsidRDefault="00E614A4">
            <w:pPr>
              <w:rPr>
                <w:rFonts w:eastAsia="Times New Roman"/>
                <w:sz w:val="20"/>
                <w:szCs w:val="20"/>
              </w:rPr>
            </w:pPr>
          </w:p>
        </w:tc>
        <w:tc>
          <w:tcPr>
            <w:tcW w:w="17" w:type="pct"/>
            <w:vAlign w:val="center"/>
            <w:hideMark/>
          </w:tcPr>
          <w:p w14:paraId="5511189F" w14:textId="77777777" w:rsidR="00000000" w:rsidRDefault="00E614A4">
            <w:pPr>
              <w:rPr>
                <w:rFonts w:eastAsia="Times New Roman"/>
                <w:sz w:val="20"/>
                <w:szCs w:val="20"/>
              </w:rPr>
            </w:pPr>
          </w:p>
        </w:tc>
        <w:tc>
          <w:tcPr>
            <w:tcW w:w="5" w:type="pct"/>
            <w:vAlign w:val="center"/>
            <w:hideMark/>
          </w:tcPr>
          <w:p w14:paraId="0BEA6DD9" w14:textId="77777777" w:rsidR="00000000" w:rsidRDefault="00E614A4">
            <w:pPr>
              <w:rPr>
                <w:rFonts w:eastAsia="Times New Roman"/>
                <w:sz w:val="20"/>
                <w:szCs w:val="20"/>
              </w:rPr>
            </w:pPr>
          </w:p>
        </w:tc>
        <w:tc>
          <w:tcPr>
            <w:tcW w:w="50" w:type="pct"/>
            <w:vAlign w:val="center"/>
            <w:hideMark/>
          </w:tcPr>
          <w:p w14:paraId="3B84C864" w14:textId="77777777" w:rsidR="00000000" w:rsidRDefault="00E614A4">
            <w:pPr>
              <w:rPr>
                <w:rFonts w:eastAsia="Times New Roman"/>
                <w:sz w:val="20"/>
                <w:szCs w:val="20"/>
              </w:rPr>
            </w:pPr>
          </w:p>
        </w:tc>
        <w:tc>
          <w:tcPr>
            <w:tcW w:w="465" w:type="pct"/>
            <w:vAlign w:val="center"/>
            <w:hideMark/>
          </w:tcPr>
          <w:p w14:paraId="700884C2" w14:textId="77777777" w:rsidR="00000000" w:rsidRDefault="00E614A4">
            <w:pPr>
              <w:rPr>
                <w:rFonts w:eastAsia="Times New Roman"/>
                <w:sz w:val="20"/>
                <w:szCs w:val="20"/>
              </w:rPr>
            </w:pPr>
          </w:p>
        </w:tc>
        <w:tc>
          <w:tcPr>
            <w:tcW w:w="5" w:type="pct"/>
            <w:vAlign w:val="center"/>
            <w:hideMark/>
          </w:tcPr>
          <w:p w14:paraId="11D9FDEA" w14:textId="77777777" w:rsidR="00000000" w:rsidRDefault="00E614A4">
            <w:pPr>
              <w:rPr>
                <w:rFonts w:eastAsia="Times New Roman"/>
                <w:sz w:val="20"/>
                <w:szCs w:val="20"/>
              </w:rPr>
            </w:pPr>
          </w:p>
        </w:tc>
        <w:tc>
          <w:tcPr>
            <w:tcW w:w="5" w:type="pct"/>
            <w:vAlign w:val="center"/>
            <w:hideMark/>
          </w:tcPr>
          <w:p w14:paraId="72EEC229" w14:textId="77777777" w:rsidR="00000000" w:rsidRDefault="00E614A4">
            <w:pPr>
              <w:rPr>
                <w:rFonts w:eastAsia="Times New Roman"/>
                <w:sz w:val="20"/>
                <w:szCs w:val="20"/>
              </w:rPr>
            </w:pPr>
          </w:p>
        </w:tc>
        <w:tc>
          <w:tcPr>
            <w:tcW w:w="17" w:type="pct"/>
            <w:vAlign w:val="center"/>
            <w:hideMark/>
          </w:tcPr>
          <w:p w14:paraId="4C9B9C06" w14:textId="77777777" w:rsidR="00000000" w:rsidRDefault="00E614A4">
            <w:pPr>
              <w:rPr>
                <w:rFonts w:eastAsia="Times New Roman"/>
                <w:sz w:val="20"/>
                <w:szCs w:val="20"/>
              </w:rPr>
            </w:pPr>
          </w:p>
        </w:tc>
        <w:tc>
          <w:tcPr>
            <w:tcW w:w="5" w:type="pct"/>
            <w:vAlign w:val="center"/>
            <w:hideMark/>
          </w:tcPr>
          <w:p w14:paraId="08BD7936" w14:textId="77777777" w:rsidR="00000000" w:rsidRDefault="00E614A4">
            <w:pPr>
              <w:rPr>
                <w:rFonts w:eastAsia="Times New Roman"/>
                <w:sz w:val="20"/>
                <w:szCs w:val="20"/>
              </w:rPr>
            </w:pPr>
          </w:p>
        </w:tc>
        <w:tc>
          <w:tcPr>
            <w:tcW w:w="50" w:type="pct"/>
            <w:vAlign w:val="center"/>
            <w:hideMark/>
          </w:tcPr>
          <w:p w14:paraId="67DFB6BA" w14:textId="77777777" w:rsidR="00000000" w:rsidRDefault="00E614A4">
            <w:pPr>
              <w:rPr>
                <w:rFonts w:eastAsia="Times New Roman"/>
                <w:sz w:val="20"/>
                <w:szCs w:val="20"/>
              </w:rPr>
            </w:pPr>
          </w:p>
        </w:tc>
        <w:tc>
          <w:tcPr>
            <w:tcW w:w="466" w:type="pct"/>
            <w:vAlign w:val="center"/>
            <w:hideMark/>
          </w:tcPr>
          <w:p w14:paraId="0C71DA8F" w14:textId="77777777" w:rsidR="00000000" w:rsidRDefault="00E614A4">
            <w:pPr>
              <w:rPr>
                <w:rFonts w:eastAsia="Times New Roman"/>
                <w:sz w:val="20"/>
                <w:szCs w:val="20"/>
              </w:rPr>
            </w:pPr>
          </w:p>
        </w:tc>
        <w:tc>
          <w:tcPr>
            <w:tcW w:w="5" w:type="pct"/>
            <w:vAlign w:val="center"/>
            <w:hideMark/>
          </w:tcPr>
          <w:p w14:paraId="06DA6363" w14:textId="77777777" w:rsidR="00000000" w:rsidRDefault="00E614A4">
            <w:pPr>
              <w:rPr>
                <w:rFonts w:eastAsia="Times New Roman"/>
                <w:sz w:val="20"/>
                <w:szCs w:val="20"/>
              </w:rPr>
            </w:pPr>
          </w:p>
        </w:tc>
      </w:tr>
      <w:tr w:rsidR="00000000" w14:paraId="67F41EC5" w14:textId="77777777">
        <w:trPr>
          <w:divId w:val="2107462514"/>
          <w:jc w:val="center"/>
        </w:trPr>
        <w:tc>
          <w:tcPr>
            <w:tcW w:w="0" w:type="auto"/>
            <w:gridSpan w:val="3"/>
            <w:vAlign w:val="center"/>
            <w:hideMark/>
          </w:tcPr>
          <w:p w14:paraId="06C0A12C" w14:textId="77777777" w:rsidR="00000000" w:rsidRDefault="00E614A4">
            <w:pPr>
              <w:rPr>
                <w:rFonts w:eastAsia="Times New Roman"/>
                <w:sz w:val="20"/>
                <w:szCs w:val="20"/>
              </w:rPr>
            </w:pPr>
          </w:p>
        </w:tc>
        <w:tc>
          <w:tcPr>
            <w:tcW w:w="0" w:type="auto"/>
            <w:gridSpan w:val="3"/>
            <w:vAlign w:val="center"/>
            <w:hideMark/>
          </w:tcPr>
          <w:p w14:paraId="26F3BFEC" w14:textId="77777777" w:rsidR="00000000" w:rsidRDefault="00E614A4">
            <w:pPr>
              <w:rPr>
                <w:rFonts w:eastAsia="Times New Roman"/>
                <w:sz w:val="20"/>
                <w:szCs w:val="20"/>
              </w:rPr>
            </w:pPr>
          </w:p>
        </w:tc>
        <w:tc>
          <w:tcPr>
            <w:tcW w:w="0" w:type="auto"/>
            <w:gridSpan w:val="3"/>
            <w:vAlign w:val="center"/>
            <w:hideMark/>
          </w:tcPr>
          <w:p w14:paraId="70168E46" w14:textId="77777777" w:rsidR="00000000" w:rsidRDefault="00E614A4">
            <w:pPr>
              <w:rPr>
                <w:rFonts w:eastAsia="Times New Roman"/>
                <w:sz w:val="20"/>
                <w:szCs w:val="20"/>
              </w:rPr>
            </w:pPr>
          </w:p>
        </w:tc>
        <w:tc>
          <w:tcPr>
            <w:tcW w:w="0" w:type="auto"/>
            <w:gridSpan w:val="3"/>
            <w:vAlign w:val="center"/>
            <w:hideMark/>
          </w:tcPr>
          <w:p w14:paraId="2C5D0450" w14:textId="77777777" w:rsidR="00000000" w:rsidRDefault="00E614A4">
            <w:pPr>
              <w:rPr>
                <w:rFonts w:eastAsia="Times New Roman"/>
                <w:sz w:val="20"/>
                <w:szCs w:val="20"/>
              </w:rPr>
            </w:pPr>
          </w:p>
        </w:tc>
        <w:tc>
          <w:tcPr>
            <w:tcW w:w="0" w:type="auto"/>
            <w:gridSpan w:val="3"/>
            <w:vAlign w:val="center"/>
            <w:hideMark/>
          </w:tcPr>
          <w:p w14:paraId="077B2A16" w14:textId="77777777" w:rsidR="00000000" w:rsidRDefault="00E614A4">
            <w:pPr>
              <w:rPr>
                <w:rFonts w:eastAsia="Times New Roman"/>
                <w:sz w:val="20"/>
                <w:szCs w:val="20"/>
              </w:rPr>
            </w:pPr>
          </w:p>
        </w:tc>
        <w:tc>
          <w:tcPr>
            <w:tcW w:w="0" w:type="auto"/>
            <w:gridSpan w:val="3"/>
            <w:vAlign w:val="center"/>
            <w:hideMark/>
          </w:tcPr>
          <w:p w14:paraId="1B0A4A3D" w14:textId="77777777" w:rsidR="00000000" w:rsidRDefault="00E614A4">
            <w:pPr>
              <w:rPr>
                <w:rFonts w:eastAsia="Times New Roman"/>
                <w:sz w:val="20"/>
                <w:szCs w:val="20"/>
              </w:rPr>
            </w:pPr>
          </w:p>
        </w:tc>
        <w:tc>
          <w:tcPr>
            <w:tcW w:w="0" w:type="auto"/>
            <w:gridSpan w:val="3"/>
            <w:vAlign w:val="center"/>
            <w:hideMark/>
          </w:tcPr>
          <w:p w14:paraId="74CEBB22" w14:textId="77777777" w:rsidR="00000000" w:rsidRDefault="00E614A4">
            <w:pPr>
              <w:rPr>
                <w:rFonts w:eastAsia="Times New Roman"/>
                <w:sz w:val="20"/>
                <w:szCs w:val="20"/>
              </w:rPr>
            </w:pPr>
          </w:p>
        </w:tc>
        <w:tc>
          <w:tcPr>
            <w:tcW w:w="0" w:type="auto"/>
            <w:gridSpan w:val="3"/>
            <w:vAlign w:val="center"/>
            <w:hideMark/>
          </w:tcPr>
          <w:p w14:paraId="39EDF14D" w14:textId="77777777" w:rsidR="00000000" w:rsidRDefault="00E614A4">
            <w:pPr>
              <w:rPr>
                <w:rFonts w:eastAsia="Times New Roman"/>
                <w:sz w:val="20"/>
                <w:szCs w:val="20"/>
              </w:rPr>
            </w:pPr>
          </w:p>
        </w:tc>
        <w:tc>
          <w:tcPr>
            <w:tcW w:w="0" w:type="auto"/>
            <w:gridSpan w:val="3"/>
            <w:vAlign w:val="center"/>
            <w:hideMark/>
          </w:tcPr>
          <w:p w14:paraId="784EEAD0" w14:textId="77777777" w:rsidR="00000000" w:rsidRDefault="00E614A4">
            <w:pPr>
              <w:rPr>
                <w:rFonts w:eastAsia="Times New Roman"/>
                <w:sz w:val="20"/>
                <w:szCs w:val="20"/>
              </w:rPr>
            </w:pPr>
          </w:p>
        </w:tc>
        <w:tc>
          <w:tcPr>
            <w:tcW w:w="0" w:type="auto"/>
            <w:gridSpan w:val="3"/>
            <w:vAlign w:val="center"/>
            <w:hideMark/>
          </w:tcPr>
          <w:p w14:paraId="06933796" w14:textId="77777777" w:rsidR="00000000" w:rsidRDefault="00E614A4">
            <w:pPr>
              <w:rPr>
                <w:rFonts w:eastAsia="Times New Roman"/>
                <w:sz w:val="20"/>
                <w:szCs w:val="20"/>
              </w:rPr>
            </w:pPr>
          </w:p>
        </w:tc>
        <w:tc>
          <w:tcPr>
            <w:tcW w:w="0" w:type="auto"/>
            <w:gridSpan w:val="3"/>
            <w:vAlign w:val="center"/>
            <w:hideMark/>
          </w:tcPr>
          <w:p w14:paraId="58C81915" w14:textId="77777777" w:rsidR="00000000" w:rsidRDefault="00E614A4">
            <w:pPr>
              <w:rPr>
                <w:rFonts w:eastAsia="Times New Roman"/>
                <w:sz w:val="20"/>
                <w:szCs w:val="20"/>
              </w:rPr>
            </w:pPr>
          </w:p>
        </w:tc>
        <w:tc>
          <w:tcPr>
            <w:tcW w:w="0" w:type="auto"/>
            <w:gridSpan w:val="3"/>
            <w:vAlign w:val="center"/>
            <w:hideMark/>
          </w:tcPr>
          <w:p w14:paraId="0F771F30" w14:textId="77777777" w:rsidR="00000000" w:rsidRDefault="00E614A4">
            <w:pPr>
              <w:rPr>
                <w:rFonts w:eastAsia="Times New Roman"/>
                <w:sz w:val="20"/>
                <w:szCs w:val="20"/>
              </w:rPr>
            </w:pPr>
          </w:p>
        </w:tc>
      </w:tr>
      <w:tr w:rsidR="00000000" w14:paraId="21441D5D" w14:textId="77777777">
        <w:trPr>
          <w:divId w:val="2107462514"/>
          <w:jc w:val="center"/>
        </w:trPr>
        <w:tc>
          <w:tcPr>
            <w:tcW w:w="0" w:type="auto"/>
            <w:gridSpan w:val="3"/>
            <w:tcMar>
              <w:top w:w="0" w:type="dxa"/>
              <w:left w:w="20" w:type="dxa"/>
              <w:bottom w:w="0" w:type="dxa"/>
              <w:right w:w="20" w:type="dxa"/>
            </w:tcMar>
            <w:vAlign w:val="center"/>
            <w:hideMark/>
          </w:tcPr>
          <w:p w14:paraId="1B4D5D76"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02072EF2" w14:textId="77777777" w:rsidR="00000000" w:rsidRDefault="00E614A4">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68A09A6E"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745167B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204F50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339F3A0" w14:textId="77777777" w:rsidR="00000000" w:rsidRDefault="00E614A4">
            <w:pPr>
              <w:rPr>
                <w:rFonts w:eastAsia="Times New Roman"/>
                <w:sz w:val="20"/>
                <w:szCs w:val="20"/>
              </w:rPr>
            </w:pPr>
          </w:p>
        </w:tc>
      </w:tr>
      <w:tr w:rsidR="00000000" w14:paraId="433EFE78" w14:textId="77777777">
        <w:trPr>
          <w:divId w:val="2107462514"/>
          <w:jc w:val="center"/>
        </w:trPr>
        <w:tc>
          <w:tcPr>
            <w:tcW w:w="0" w:type="auto"/>
            <w:gridSpan w:val="3"/>
            <w:shd w:val="clear" w:color="auto" w:fill="FFFFFF"/>
            <w:tcMar>
              <w:top w:w="30" w:type="dxa"/>
              <w:left w:w="20" w:type="dxa"/>
              <w:bottom w:w="30" w:type="dxa"/>
              <w:right w:w="20" w:type="dxa"/>
            </w:tcMar>
            <w:vAlign w:val="bottom"/>
            <w:hideMark/>
          </w:tcPr>
          <w:p w14:paraId="4D274343"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64C504E"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B1C0E9"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6429F29"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E0ACAE"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A4D5F4E" w14:textId="77777777" w:rsidR="00000000" w:rsidRDefault="00E614A4">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4E3A36" w14:textId="77777777" w:rsidR="00000000" w:rsidRDefault="00E614A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51BDB4C" w14:textId="77777777" w:rsidR="00000000" w:rsidRDefault="00E614A4">
            <w:pPr>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38B8B67F"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13DEF58" w14:textId="77777777" w:rsidR="00000000" w:rsidRDefault="00E614A4">
            <w:pPr>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14:paraId="6013C833"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F4466F" w14:textId="77777777" w:rsidR="00000000" w:rsidRDefault="00E614A4">
            <w:pPr>
              <w:jc w:val="center"/>
              <w:rPr>
                <w:rFonts w:eastAsia="Times New Roman"/>
              </w:rPr>
            </w:pPr>
            <w:r>
              <w:rPr>
                <w:rFonts w:eastAsia="Times New Roman"/>
                <w:b/>
                <w:bCs/>
                <w:color w:val="000000"/>
                <w:sz w:val="16"/>
                <w:szCs w:val="16"/>
              </w:rPr>
              <w:t>% Variance</w:t>
            </w:r>
          </w:p>
        </w:tc>
      </w:tr>
      <w:tr w:rsidR="00000000" w14:paraId="2B90ABF5" w14:textId="77777777">
        <w:trPr>
          <w:divId w:val="2107462514"/>
          <w:jc w:val="center"/>
        </w:trPr>
        <w:tc>
          <w:tcPr>
            <w:tcW w:w="0" w:type="auto"/>
            <w:gridSpan w:val="3"/>
            <w:shd w:val="clear" w:color="auto" w:fill="CCEEFF"/>
            <w:tcMar>
              <w:top w:w="30" w:type="dxa"/>
              <w:left w:w="245" w:type="dxa"/>
              <w:bottom w:w="30" w:type="dxa"/>
              <w:right w:w="20" w:type="dxa"/>
            </w:tcMar>
            <w:vAlign w:val="bottom"/>
            <w:hideMark/>
          </w:tcPr>
          <w:p w14:paraId="62B51C08" w14:textId="77777777" w:rsidR="00000000" w:rsidRDefault="00E614A4">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0141F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4C5927" w14:textId="77777777" w:rsidR="00000000" w:rsidRDefault="00E614A4">
            <w:pPr>
              <w:jc w:val="right"/>
              <w:rPr>
                <w:rFonts w:eastAsia="Times New Roman"/>
              </w:rPr>
            </w:pPr>
            <w:r>
              <w:rPr>
                <w:rFonts w:eastAsia="Times New Roman"/>
                <w:color w:val="000000"/>
                <w:sz w:val="18"/>
                <w:szCs w:val="18"/>
              </w:rPr>
              <w:t>34,435 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04FE6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01845"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CFF604" w14:textId="77777777" w:rsidR="00000000" w:rsidRDefault="00E614A4">
            <w:pPr>
              <w:jc w:val="right"/>
              <w:rPr>
                <w:rFonts w:eastAsia="Times New Roman"/>
              </w:rPr>
            </w:pPr>
            <w:r>
              <w:rPr>
                <w:rFonts w:eastAsia="Times New Roman"/>
                <w:color w:val="000000"/>
                <w:sz w:val="18"/>
                <w:szCs w:val="18"/>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1DE75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D4015E6"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94DB9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BA1CAD" w14:textId="77777777" w:rsidR="00000000" w:rsidRDefault="00E614A4">
            <w:pPr>
              <w:jc w:val="right"/>
              <w:rPr>
                <w:rFonts w:eastAsia="Times New Roman"/>
              </w:rPr>
            </w:pPr>
            <w:r>
              <w:rPr>
                <w:rFonts w:eastAsia="Times New Roman"/>
                <w:color w:val="000000"/>
                <w:sz w:val="18"/>
                <w:szCs w:val="18"/>
              </w:rPr>
              <w:t>38,094 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EB28B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59E5D"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19443C" w14:textId="77777777" w:rsidR="00000000" w:rsidRDefault="00E614A4">
            <w:pPr>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5B5B3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1C7D16F" w14:textId="77777777" w:rsidR="00000000" w:rsidRDefault="00E614A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BA687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476318" w14:textId="77777777" w:rsidR="00000000" w:rsidRDefault="00E614A4">
            <w:pPr>
              <w:jc w:val="right"/>
              <w:rPr>
                <w:rFonts w:eastAsia="Times New Roman"/>
              </w:rPr>
            </w:pPr>
            <w:r>
              <w:rPr>
                <w:rFonts w:eastAsia="Times New Roman"/>
                <w:color w:val="000000"/>
                <w:sz w:val="18"/>
                <w:szCs w:val="18"/>
              </w:rPr>
              <w:t>(3,659)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B167D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9479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6C7DAA" w14:textId="77777777" w:rsidR="00000000" w:rsidRDefault="00E614A4">
            <w:pPr>
              <w:jc w:val="right"/>
              <w:rPr>
                <w:rFonts w:eastAsia="Times New Roman"/>
              </w:rPr>
            </w:pPr>
            <w:r>
              <w:rPr>
                <w:rFonts w:eastAsia="Times New Roman"/>
                <w:color w:val="000000"/>
                <w:sz w:val="18"/>
                <w:szCs w:val="18"/>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1DCEBA" w14:textId="77777777" w:rsidR="00000000" w:rsidRDefault="00E614A4">
            <w:pPr>
              <w:jc w:val="right"/>
              <w:rPr>
                <w:rFonts w:eastAsia="Times New Roman"/>
              </w:rPr>
            </w:pPr>
            <w:r>
              <w:rPr>
                <w:rFonts w:eastAsia="Times New Roman"/>
                <w:color w:val="000000"/>
                <w:sz w:val="18"/>
                <w:szCs w:val="18"/>
              </w:rPr>
              <w:t>%</w:t>
            </w:r>
          </w:p>
        </w:tc>
      </w:tr>
      <w:tr w:rsidR="00000000" w14:paraId="0D38A3D7" w14:textId="77777777">
        <w:trPr>
          <w:divId w:val="2107462514"/>
          <w:jc w:val="center"/>
        </w:trPr>
        <w:tc>
          <w:tcPr>
            <w:tcW w:w="0" w:type="auto"/>
            <w:gridSpan w:val="3"/>
            <w:shd w:val="clear" w:color="auto" w:fill="FFFFFF"/>
            <w:tcMar>
              <w:top w:w="30" w:type="dxa"/>
              <w:left w:w="245" w:type="dxa"/>
              <w:bottom w:w="30" w:type="dxa"/>
              <w:right w:w="20" w:type="dxa"/>
            </w:tcMar>
            <w:vAlign w:val="bottom"/>
            <w:hideMark/>
          </w:tcPr>
          <w:p w14:paraId="6821AF8B" w14:textId="77777777" w:rsidR="00000000" w:rsidRDefault="00E614A4">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6F5843A8" w14:textId="77777777" w:rsidR="00000000" w:rsidRDefault="00E614A4">
            <w:pPr>
              <w:jc w:val="right"/>
              <w:rPr>
                <w:rFonts w:eastAsia="Times New Roman"/>
              </w:rPr>
            </w:pPr>
            <w:r>
              <w:rPr>
                <w:rFonts w:eastAsia="Times New Roman"/>
                <w:color w:val="000000"/>
                <w:sz w:val="18"/>
                <w:szCs w:val="18"/>
              </w:rPr>
              <w:t>18,385 </w:t>
            </w:r>
          </w:p>
        </w:tc>
        <w:tc>
          <w:tcPr>
            <w:tcW w:w="0" w:type="auto"/>
            <w:shd w:val="clear" w:color="auto" w:fill="FFFFFF"/>
            <w:tcMar>
              <w:top w:w="30" w:type="dxa"/>
              <w:left w:w="0" w:type="dxa"/>
              <w:bottom w:w="30" w:type="dxa"/>
              <w:right w:w="20" w:type="dxa"/>
            </w:tcMar>
            <w:vAlign w:val="bottom"/>
            <w:hideMark/>
          </w:tcPr>
          <w:p w14:paraId="28286DE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D2A1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144870" w14:textId="77777777" w:rsidR="00000000" w:rsidRDefault="00E614A4">
            <w:pPr>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2B2BBE3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82E03ED"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5965CE" w14:textId="77777777" w:rsidR="00000000" w:rsidRDefault="00E614A4">
            <w:pPr>
              <w:jc w:val="right"/>
              <w:rPr>
                <w:rFonts w:eastAsia="Times New Roman"/>
              </w:rPr>
            </w:pPr>
            <w:r>
              <w:rPr>
                <w:rFonts w:eastAsia="Times New Roman"/>
                <w:color w:val="000000"/>
                <w:sz w:val="18"/>
                <w:szCs w:val="18"/>
              </w:rPr>
              <w:t>21,528 </w:t>
            </w:r>
          </w:p>
        </w:tc>
        <w:tc>
          <w:tcPr>
            <w:tcW w:w="0" w:type="auto"/>
            <w:shd w:val="clear" w:color="auto" w:fill="FFFFFF"/>
            <w:tcMar>
              <w:top w:w="30" w:type="dxa"/>
              <w:left w:w="0" w:type="dxa"/>
              <w:bottom w:w="30" w:type="dxa"/>
              <w:right w:w="20" w:type="dxa"/>
            </w:tcMar>
            <w:vAlign w:val="bottom"/>
            <w:hideMark/>
          </w:tcPr>
          <w:p w14:paraId="08A346F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6FF6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E0BB55" w14:textId="77777777" w:rsidR="00000000" w:rsidRDefault="00E614A4">
            <w:pPr>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14:paraId="6A7F663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4826BD5"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6FA845" w14:textId="77777777" w:rsidR="00000000" w:rsidRDefault="00E614A4">
            <w:pPr>
              <w:jc w:val="right"/>
              <w:rPr>
                <w:rFonts w:eastAsia="Times New Roman"/>
              </w:rPr>
            </w:pPr>
            <w:r>
              <w:rPr>
                <w:rFonts w:eastAsia="Times New Roman"/>
                <w:color w:val="000000"/>
                <w:sz w:val="18"/>
                <w:szCs w:val="18"/>
              </w:rPr>
              <w:t>(3,143)</w:t>
            </w:r>
          </w:p>
        </w:tc>
        <w:tc>
          <w:tcPr>
            <w:tcW w:w="0" w:type="auto"/>
            <w:shd w:val="clear" w:color="auto" w:fill="FFFFFF"/>
            <w:tcMar>
              <w:top w:w="30" w:type="dxa"/>
              <w:left w:w="0" w:type="dxa"/>
              <w:bottom w:w="30" w:type="dxa"/>
              <w:right w:w="20" w:type="dxa"/>
            </w:tcMar>
            <w:vAlign w:val="bottom"/>
            <w:hideMark/>
          </w:tcPr>
          <w:p w14:paraId="7897030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C2AF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E81BB7" w14:textId="77777777" w:rsidR="00000000" w:rsidRDefault="00E614A4">
            <w:pPr>
              <w:jc w:val="right"/>
              <w:rPr>
                <w:rFonts w:eastAsia="Times New Roman"/>
              </w:rPr>
            </w:pPr>
            <w:r>
              <w:rPr>
                <w:rFonts w:eastAsia="Times New Roman"/>
                <w:color w:val="000000"/>
                <w:sz w:val="18"/>
                <w:szCs w:val="18"/>
              </w:rPr>
              <w:t>(14.6)</w:t>
            </w:r>
          </w:p>
        </w:tc>
        <w:tc>
          <w:tcPr>
            <w:tcW w:w="0" w:type="auto"/>
            <w:shd w:val="clear" w:color="auto" w:fill="FFFFFF"/>
            <w:tcMar>
              <w:top w:w="30" w:type="dxa"/>
              <w:left w:w="0" w:type="dxa"/>
              <w:bottom w:w="30" w:type="dxa"/>
              <w:right w:w="20" w:type="dxa"/>
            </w:tcMar>
            <w:vAlign w:val="bottom"/>
            <w:hideMark/>
          </w:tcPr>
          <w:p w14:paraId="597C3636" w14:textId="77777777" w:rsidR="00000000" w:rsidRDefault="00E614A4">
            <w:pPr>
              <w:jc w:val="right"/>
              <w:rPr>
                <w:rFonts w:eastAsia="Times New Roman"/>
              </w:rPr>
            </w:pPr>
            <w:r>
              <w:rPr>
                <w:rFonts w:eastAsia="Times New Roman"/>
                <w:color w:val="000000"/>
                <w:sz w:val="18"/>
                <w:szCs w:val="18"/>
              </w:rPr>
              <w:t>%</w:t>
            </w:r>
          </w:p>
        </w:tc>
      </w:tr>
      <w:tr w:rsidR="00000000" w14:paraId="0B1A1CFA" w14:textId="77777777">
        <w:trPr>
          <w:divId w:val="2107462514"/>
          <w:jc w:val="center"/>
        </w:trPr>
        <w:tc>
          <w:tcPr>
            <w:tcW w:w="0" w:type="auto"/>
            <w:gridSpan w:val="3"/>
            <w:shd w:val="clear" w:color="auto" w:fill="CCEEFF"/>
            <w:tcMar>
              <w:top w:w="30" w:type="dxa"/>
              <w:left w:w="20" w:type="dxa"/>
              <w:bottom w:w="30" w:type="dxa"/>
              <w:right w:w="20" w:type="dxa"/>
            </w:tcMar>
            <w:vAlign w:val="bottom"/>
            <w:hideMark/>
          </w:tcPr>
          <w:p w14:paraId="50F22A00" w14:textId="77777777" w:rsidR="00000000" w:rsidRDefault="00E614A4">
            <w:pPr>
              <w:divId w:val="11227268"/>
              <w:rPr>
                <w:rFonts w:eastAsia="Times New Roman"/>
              </w:rPr>
            </w:pPr>
            <w:r>
              <w:rPr>
                <w:rFonts w:eastAsia="Times New Roman"/>
                <w:color w:val="000000"/>
                <w:sz w:val="18"/>
                <w:szCs w:val="18"/>
              </w:rPr>
              <w:t>Lease expense and depreciatio</w:t>
            </w:r>
            <w:r>
              <w:rPr>
                <w:rFonts w:eastAsia="Times New Roman"/>
                <w:color w:val="000000"/>
                <w:sz w:val="18"/>
                <w:szCs w:val="18"/>
              </w:rPr>
              <w:t>n</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754212FF" w14:textId="77777777" w:rsidR="00000000" w:rsidRDefault="00E614A4">
            <w:pPr>
              <w:jc w:val="right"/>
              <w:rPr>
                <w:rFonts w:eastAsia="Times New Roman"/>
              </w:rPr>
            </w:pPr>
            <w:r>
              <w:rPr>
                <w:rFonts w:eastAsia="Times New Roman"/>
                <w:color w:val="000000"/>
                <w:sz w:val="18"/>
                <w:szCs w:val="18"/>
              </w:rPr>
              <w:t>2,491 </w:t>
            </w:r>
          </w:p>
        </w:tc>
        <w:tc>
          <w:tcPr>
            <w:tcW w:w="0" w:type="auto"/>
            <w:shd w:val="clear" w:color="auto" w:fill="CCEEFF"/>
            <w:tcMar>
              <w:top w:w="30" w:type="dxa"/>
              <w:left w:w="0" w:type="dxa"/>
              <w:bottom w:w="30" w:type="dxa"/>
              <w:right w:w="20" w:type="dxa"/>
            </w:tcMar>
            <w:vAlign w:val="bottom"/>
            <w:hideMark/>
          </w:tcPr>
          <w:p w14:paraId="02DFA80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E549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3FC6E0" w14:textId="77777777" w:rsidR="00000000" w:rsidRDefault="00E614A4">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74BD5BA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734063"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79DA87" w14:textId="77777777" w:rsidR="00000000" w:rsidRDefault="00E614A4">
            <w:pPr>
              <w:jc w:val="right"/>
              <w:rPr>
                <w:rFonts w:eastAsia="Times New Roman"/>
              </w:rPr>
            </w:pPr>
            <w:r>
              <w:rPr>
                <w:rFonts w:eastAsia="Times New Roman"/>
                <w:color w:val="000000"/>
                <w:sz w:val="18"/>
                <w:szCs w:val="18"/>
              </w:rPr>
              <w:t>3,711 </w:t>
            </w:r>
          </w:p>
        </w:tc>
        <w:tc>
          <w:tcPr>
            <w:tcW w:w="0" w:type="auto"/>
            <w:shd w:val="clear" w:color="auto" w:fill="CCEEFF"/>
            <w:tcMar>
              <w:top w:w="30" w:type="dxa"/>
              <w:left w:w="0" w:type="dxa"/>
              <w:bottom w:w="30" w:type="dxa"/>
              <w:right w:w="20" w:type="dxa"/>
            </w:tcMar>
            <w:vAlign w:val="bottom"/>
            <w:hideMark/>
          </w:tcPr>
          <w:p w14:paraId="14C1283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172A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08E109" w14:textId="77777777" w:rsidR="00000000" w:rsidRDefault="00E614A4">
            <w:pPr>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7CAE0B1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BEC055D"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968771" w14:textId="77777777" w:rsidR="00000000" w:rsidRDefault="00E614A4">
            <w:pPr>
              <w:jc w:val="right"/>
              <w:rPr>
                <w:rFonts w:eastAsia="Times New Roman"/>
              </w:rPr>
            </w:pPr>
            <w:r>
              <w:rPr>
                <w:rFonts w:eastAsia="Times New Roman"/>
                <w:color w:val="000000"/>
                <w:sz w:val="18"/>
                <w:szCs w:val="18"/>
              </w:rPr>
              <w:t>(1,220)</w:t>
            </w:r>
          </w:p>
        </w:tc>
        <w:tc>
          <w:tcPr>
            <w:tcW w:w="0" w:type="auto"/>
            <w:shd w:val="clear" w:color="auto" w:fill="CCEEFF"/>
            <w:tcMar>
              <w:top w:w="30" w:type="dxa"/>
              <w:left w:w="0" w:type="dxa"/>
              <w:bottom w:w="30" w:type="dxa"/>
              <w:right w:w="20" w:type="dxa"/>
            </w:tcMar>
            <w:vAlign w:val="bottom"/>
            <w:hideMark/>
          </w:tcPr>
          <w:p w14:paraId="71D6DEE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32307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B0CE5" w14:textId="77777777" w:rsidR="00000000" w:rsidRDefault="00E614A4">
            <w:pPr>
              <w:jc w:val="right"/>
              <w:rPr>
                <w:rFonts w:eastAsia="Times New Roman"/>
              </w:rPr>
            </w:pPr>
            <w:r>
              <w:rPr>
                <w:rFonts w:eastAsia="Times New Roman"/>
                <w:color w:val="000000"/>
                <w:sz w:val="18"/>
                <w:szCs w:val="18"/>
              </w:rPr>
              <w:t>(32.9)</w:t>
            </w:r>
          </w:p>
        </w:tc>
        <w:tc>
          <w:tcPr>
            <w:tcW w:w="0" w:type="auto"/>
            <w:shd w:val="clear" w:color="auto" w:fill="CCEEFF"/>
            <w:tcMar>
              <w:top w:w="30" w:type="dxa"/>
              <w:left w:w="0" w:type="dxa"/>
              <w:bottom w:w="30" w:type="dxa"/>
              <w:right w:w="20" w:type="dxa"/>
            </w:tcMar>
            <w:vAlign w:val="bottom"/>
            <w:hideMark/>
          </w:tcPr>
          <w:p w14:paraId="1EAA6CBC" w14:textId="77777777" w:rsidR="00000000" w:rsidRDefault="00E614A4">
            <w:pPr>
              <w:jc w:val="right"/>
              <w:rPr>
                <w:rFonts w:eastAsia="Times New Roman"/>
              </w:rPr>
            </w:pPr>
            <w:r>
              <w:rPr>
                <w:rFonts w:eastAsia="Times New Roman"/>
                <w:color w:val="000000"/>
                <w:sz w:val="18"/>
                <w:szCs w:val="18"/>
              </w:rPr>
              <w:t>%</w:t>
            </w:r>
          </w:p>
        </w:tc>
      </w:tr>
      <w:tr w:rsidR="00000000" w14:paraId="2E60EADC" w14:textId="77777777">
        <w:trPr>
          <w:divId w:val="2107462514"/>
          <w:jc w:val="center"/>
        </w:trPr>
        <w:tc>
          <w:tcPr>
            <w:tcW w:w="0" w:type="auto"/>
            <w:gridSpan w:val="3"/>
            <w:shd w:val="clear" w:color="auto" w:fill="FFFFFF"/>
            <w:tcMar>
              <w:top w:w="30" w:type="dxa"/>
              <w:left w:w="245" w:type="dxa"/>
              <w:bottom w:w="30" w:type="dxa"/>
              <w:right w:w="20" w:type="dxa"/>
            </w:tcMar>
            <w:vAlign w:val="bottom"/>
            <w:hideMark/>
          </w:tcPr>
          <w:p w14:paraId="03D64A89" w14:textId="77777777" w:rsidR="00000000" w:rsidRDefault="00E614A4">
            <w:pPr>
              <w:rPr>
                <w:rFonts w:eastAsia="Times New Roman"/>
              </w:rPr>
            </w:pPr>
            <w:r>
              <w:rPr>
                <w:rFonts w:eastAsia="Times New Roman"/>
                <w:color w:val="000000"/>
                <w:sz w:val="18"/>
                <w:szCs w:val="18"/>
              </w:rPr>
              <w:t xml:space="preserve">Transition services agreement </w:t>
            </w:r>
          </w:p>
        </w:tc>
        <w:tc>
          <w:tcPr>
            <w:tcW w:w="0" w:type="auto"/>
            <w:gridSpan w:val="2"/>
            <w:shd w:val="clear" w:color="auto" w:fill="FFFFFF"/>
            <w:tcMar>
              <w:top w:w="30" w:type="dxa"/>
              <w:left w:w="20" w:type="dxa"/>
              <w:bottom w:w="30" w:type="dxa"/>
              <w:right w:w="0" w:type="dxa"/>
            </w:tcMar>
            <w:vAlign w:val="bottom"/>
            <w:hideMark/>
          </w:tcPr>
          <w:p w14:paraId="4EF62796" w14:textId="77777777" w:rsidR="00000000" w:rsidRDefault="00E614A4">
            <w:pPr>
              <w:jc w:val="right"/>
              <w:rPr>
                <w:rFonts w:eastAsia="Times New Roman"/>
              </w:rPr>
            </w:pPr>
            <w:r>
              <w:rPr>
                <w:rFonts w:eastAsia="Times New Roman"/>
                <w:color w:val="000000"/>
                <w:sz w:val="18"/>
                <w:szCs w:val="18"/>
              </w:rPr>
              <w:t>667 </w:t>
            </w:r>
          </w:p>
        </w:tc>
        <w:tc>
          <w:tcPr>
            <w:tcW w:w="0" w:type="auto"/>
            <w:shd w:val="clear" w:color="auto" w:fill="FFFFFF"/>
            <w:tcMar>
              <w:top w:w="30" w:type="dxa"/>
              <w:left w:w="0" w:type="dxa"/>
              <w:bottom w:w="30" w:type="dxa"/>
              <w:right w:w="20" w:type="dxa"/>
            </w:tcMar>
            <w:vAlign w:val="bottom"/>
            <w:hideMark/>
          </w:tcPr>
          <w:p w14:paraId="545979B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F1B4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541CF" w14:textId="77777777" w:rsidR="00000000" w:rsidRDefault="00E614A4">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bottom"/>
            <w:hideMark/>
          </w:tcPr>
          <w:p w14:paraId="5F1AA10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BA15D7F"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8C8896" w14:textId="77777777" w:rsidR="00000000" w:rsidRDefault="00E614A4">
            <w:pPr>
              <w:jc w:val="right"/>
              <w:rPr>
                <w:rFonts w:eastAsia="Times New Roman"/>
              </w:rPr>
            </w:pPr>
            <w:r>
              <w:rPr>
                <w:rFonts w:eastAsia="Times New Roman"/>
                <w:color w:val="000000"/>
                <w:sz w:val="18"/>
                <w:szCs w:val="18"/>
              </w:rPr>
              <w:t>9,035 </w:t>
            </w:r>
          </w:p>
        </w:tc>
        <w:tc>
          <w:tcPr>
            <w:tcW w:w="0" w:type="auto"/>
            <w:shd w:val="clear" w:color="auto" w:fill="FFFFFF"/>
            <w:tcMar>
              <w:top w:w="30" w:type="dxa"/>
              <w:left w:w="0" w:type="dxa"/>
              <w:bottom w:w="30" w:type="dxa"/>
              <w:right w:w="20" w:type="dxa"/>
            </w:tcMar>
            <w:vAlign w:val="bottom"/>
            <w:hideMark/>
          </w:tcPr>
          <w:p w14:paraId="6260A5D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7815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BA1569" w14:textId="77777777" w:rsidR="00000000" w:rsidRDefault="00E614A4">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14:paraId="2DD4546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5B7E065"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2853C4" w14:textId="77777777" w:rsidR="00000000" w:rsidRDefault="00E614A4">
            <w:pPr>
              <w:jc w:val="right"/>
              <w:rPr>
                <w:rFonts w:eastAsia="Times New Roman"/>
              </w:rPr>
            </w:pPr>
            <w:r>
              <w:rPr>
                <w:rFonts w:eastAsia="Times New Roman"/>
                <w:color w:val="000000"/>
                <w:sz w:val="18"/>
                <w:szCs w:val="18"/>
              </w:rPr>
              <w:t>(8,368)</w:t>
            </w:r>
          </w:p>
        </w:tc>
        <w:tc>
          <w:tcPr>
            <w:tcW w:w="0" w:type="auto"/>
            <w:shd w:val="clear" w:color="auto" w:fill="FFFFFF"/>
            <w:tcMar>
              <w:top w:w="30" w:type="dxa"/>
              <w:left w:w="0" w:type="dxa"/>
              <w:bottom w:w="30" w:type="dxa"/>
              <w:right w:w="20" w:type="dxa"/>
            </w:tcMar>
            <w:vAlign w:val="bottom"/>
            <w:hideMark/>
          </w:tcPr>
          <w:p w14:paraId="38224E3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F367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78A289" w14:textId="77777777" w:rsidR="00000000" w:rsidRDefault="00E614A4">
            <w:pPr>
              <w:jc w:val="right"/>
              <w:rPr>
                <w:rFonts w:eastAsia="Times New Roman"/>
              </w:rPr>
            </w:pPr>
            <w:r>
              <w:rPr>
                <w:rFonts w:eastAsia="Times New Roman"/>
                <w:color w:val="000000"/>
                <w:sz w:val="18"/>
                <w:szCs w:val="18"/>
              </w:rPr>
              <w:t>(92.6)</w:t>
            </w:r>
          </w:p>
        </w:tc>
        <w:tc>
          <w:tcPr>
            <w:tcW w:w="0" w:type="auto"/>
            <w:shd w:val="clear" w:color="auto" w:fill="FFFFFF"/>
            <w:tcMar>
              <w:top w:w="30" w:type="dxa"/>
              <w:left w:w="0" w:type="dxa"/>
              <w:bottom w:w="30" w:type="dxa"/>
              <w:right w:w="20" w:type="dxa"/>
            </w:tcMar>
            <w:vAlign w:val="bottom"/>
            <w:hideMark/>
          </w:tcPr>
          <w:p w14:paraId="6600238E" w14:textId="77777777" w:rsidR="00000000" w:rsidRDefault="00E614A4">
            <w:pPr>
              <w:jc w:val="right"/>
              <w:rPr>
                <w:rFonts w:eastAsia="Times New Roman"/>
              </w:rPr>
            </w:pPr>
            <w:r>
              <w:rPr>
                <w:rFonts w:eastAsia="Times New Roman"/>
                <w:color w:val="000000"/>
                <w:sz w:val="18"/>
                <w:szCs w:val="18"/>
              </w:rPr>
              <w:t>%</w:t>
            </w:r>
          </w:p>
        </w:tc>
      </w:tr>
      <w:tr w:rsidR="00000000" w14:paraId="4D93BFD1" w14:textId="77777777">
        <w:trPr>
          <w:divId w:val="2107462514"/>
          <w:jc w:val="center"/>
        </w:trPr>
        <w:tc>
          <w:tcPr>
            <w:tcW w:w="0" w:type="auto"/>
            <w:gridSpan w:val="3"/>
            <w:vAlign w:val="center"/>
            <w:hideMark/>
          </w:tcPr>
          <w:p w14:paraId="571EBF74" w14:textId="77777777" w:rsidR="00000000" w:rsidRDefault="00E614A4">
            <w:pPr>
              <w:jc w:val="right"/>
              <w:rPr>
                <w:rFonts w:eastAsia="Times New Roman"/>
              </w:rPr>
            </w:pPr>
          </w:p>
        </w:tc>
        <w:tc>
          <w:tcPr>
            <w:tcW w:w="0" w:type="auto"/>
            <w:gridSpan w:val="3"/>
            <w:vAlign w:val="center"/>
            <w:hideMark/>
          </w:tcPr>
          <w:p w14:paraId="51A3B48F" w14:textId="77777777" w:rsidR="00000000" w:rsidRDefault="00E614A4">
            <w:pPr>
              <w:rPr>
                <w:rFonts w:eastAsia="Times New Roman"/>
                <w:sz w:val="20"/>
                <w:szCs w:val="20"/>
              </w:rPr>
            </w:pPr>
          </w:p>
        </w:tc>
        <w:tc>
          <w:tcPr>
            <w:tcW w:w="0" w:type="auto"/>
            <w:gridSpan w:val="3"/>
            <w:vAlign w:val="center"/>
            <w:hideMark/>
          </w:tcPr>
          <w:p w14:paraId="1052AF9D" w14:textId="77777777" w:rsidR="00000000" w:rsidRDefault="00E614A4">
            <w:pPr>
              <w:rPr>
                <w:rFonts w:eastAsia="Times New Roman"/>
                <w:sz w:val="20"/>
                <w:szCs w:val="20"/>
              </w:rPr>
            </w:pPr>
          </w:p>
        </w:tc>
        <w:tc>
          <w:tcPr>
            <w:tcW w:w="0" w:type="auto"/>
            <w:gridSpan w:val="3"/>
            <w:vAlign w:val="center"/>
            <w:hideMark/>
          </w:tcPr>
          <w:p w14:paraId="4F27CF75" w14:textId="77777777" w:rsidR="00000000" w:rsidRDefault="00E614A4">
            <w:pPr>
              <w:rPr>
                <w:rFonts w:eastAsia="Times New Roman"/>
                <w:sz w:val="20"/>
                <w:szCs w:val="20"/>
              </w:rPr>
            </w:pPr>
          </w:p>
        </w:tc>
        <w:tc>
          <w:tcPr>
            <w:tcW w:w="0" w:type="auto"/>
            <w:gridSpan w:val="3"/>
            <w:vAlign w:val="center"/>
            <w:hideMark/>
          </w:tcPr>
          <w:p w14:paraId="454EA8E6" w14:textId="77777777" w:rsidR="00000000" w:rsidRDefault="00E614A4">
            <w:pPr>
              <w:rPr>
                <w:rFonts w:eastAsia="Times New Roman"/>
                <w:sz w:val="20"/>
                <w:szCs w:val="20"/>
              </w:rPr>
            </w:pPr>
          </w:p>
        </w:tc>
        <w:tc>
          <w:tcPr>
            <w:tcW w:w="0" w:type="auto"/>
            <w:gridSpan w:val="3"/>
            <w:vAlign w:val="center"/>
            <w:hideMark/>
          </w:tcPr>
          <w:p w14:paraId="75B260E2" w14:textId="77777777" w:rsidR="00000000" w:rsidRDefault="00E614A4">
            <w:pPr>
              <w:rPr>
                <w:rFonts w:eastAsia="Times New Roman"/>
                <w:sz w:val="20"/>
                <w:szCs w:val="20"/>
              </w:rPr>
            </w:pPr>
          </w:p>
        </w:tc>
        <w:tc>
          <w:tcPr>
            <w:tcW w:w="0" w:type="auto"/>
            <w:gridSpan w:val="3"/>
            <w:vAlign w:val="center"/>
            <w:hideMark/>
          </w:tcPr>
          <w:p w14:paraId="573BBC6E" w14:textId="77777777" w:rsidR="00000000" w:rsidRDefault="00E614A4">
            <w:pPr>
              <w:rPr>
                <w:rFonts w:eastAsia="Times New Roman"/>
                <w:sz w:val="20"/>
                <w:szCs w:val="20"/>
              </w:rPr>
            </w:pPr>
          </w:p>
        </w:tc>
        <w:tc>
          <w:tcPr>
            <w:tcW w:w="0" w:type="auto"/>
            <w:gridSpan w:val="3"/>
            <w:vAlign w:val="center"/>
            <w:hideMark/>
          </w:tcPr>
          <w:p w14:paraId="29B8AB64" w14:textId="77777777" w:rsidR="00000000" w:rsidRDefault="00E614A4">
            <w:pPr>
              <w:rPr>
                <w:rFonts w:eastAsia="Times New Roman"/>
                <w:sz w:val="20"/>
                <w:szCs w:val="20"/>
              </w:rPr>
            </w:pPr>
          </w:p>
        </w:tc>
        <w:tc>
          <w:tcPr>
            <w:tcW w:w="0" w:type="auto"/>
            <w:gridSpan w:val="3"/>
            <w:vAlign w:val="center"/>
            <w:hideMark/>
          </w:tcPr>
          <w:p w14:paraId="2C93F698" w14:textId="77777777" w:rsidR="00000000" w:rsidRDefault="00E614A4">
            <w:pPr>
              <w:rPr>
                <w:rFonts w:eastAsia="Times New Roman"/>
                <w:sz w:val="20"/>
                <w:szCs w:val="20"/>
              </w:rPr>
            </w:pPr>
          </w:p>
        </w:tc>
        <w:tc>
          <w:tcPr>
            <w:tcW w:w="0" w:type="auto"/>
            <w:gridSpan w:val="3"/>
            <w:vAlign w:val="center"/>
            <w:hideMark/>
          </w:tcPr>
          <w:p w14:paraId="4367E1D6" w14:textId="77777777" w:rsidR="00000000" w:rsidRDefault="00E614A4">
            <w:pPr>
              <w:rPr>
                <w:rFonts w:eastAsia="Times New Roman"/>
                <w:sz w:val="20"/>
                <w:szCs w:val="20"/>
              </w:rPr>
            </w:pPr>
          </w:p>
        </w:tc>
        <w:tc>
          <w:tcPr>
            <w:tcW w:w="0" w:type="auto"/>
            <w:gridSpan w:val="3"/>
            <w:vAlign w:val="center"/>
            <w:hideMark/>
          </w:tcPr>
          <w:p w14:paraId="034FA690" w14:textId="77777777" w:rsidR="00000000" w:rsidRDefault="00E614A4">
            <w:pPr>
              <w:rPr>
                <w:rFonts w:eastAsia="Times New Roman"/>
                <w:sz w:val="20"/>
                <w:szCs w:val="20"/>
              </w:rPr>
            </w:pPr>
          </w:p>
        </w:tc>
        <w:tc>
          <w:tcPr>
            <w:tcW w:w="0" w:type="auto"/>
            <w:gridSpan w:val="3"/>
            <w:vAlign w:val="center"/>
            <w:hideMark/>
          </w:tcPr>
          <w:p w14:paraId="21B5914B" w14:textId="77777777" w:rsidR="00000000" w:rsidRDefault="00E614A4">
            <w:pPr>
              <w:rPr>
                <w:rFonts w:eastAsia="Times New Roman"/>
                <w:sz w:val="20"/>
                <w:szCs w:val="20"/>
              </w:rPr>
            </w:pPr>
          </w:p>
        </w:tc>
      </w:tr>
      <w:tr w:rsidR="00000000" w14:paraId="13F1F5A0" w14:textId="77777777">
        <w:trPr>
          <w:divId w:val="2107462514"/>
          <w:jc w:val="center"/>
        </w:trPr>
        <w:tc>
          <w:tcPr>
            <w:tcW w:w="0" w:type="auto"/>
            <w:gridSpan w:val="3"/>
            <w:shd w:val="clear" w:color="auto" w:fill="CCEEFF"/>
            <w:tcMar>
              <w:top w:w="30" w:type="dxa"/>
              <w:left w:w="245" w:type="dxa"/>
              <w:bottom w:w="30" w:type="dxa"/>
              <w:right w:w="20" w:type="dxa"/>
            </w:tcMar>
            <w:vAlign w:val="bottom"/>
            <w:hideMark/>
          </w:tcPr>
          <w:p w14:paraId="3832900A" w14:textId="77777777" w:rsidR="00000000" w:rsidRDefault="00E614A4">
            <w:pPr>
              <w:rPr>
                <w:rFonts w:eastAsia="Times New Roman"/>
              </w:rPr>
            </w:pPr>
            <w:r>
              <w:rPr>
                <w:rFonts w:eastAsia="Times New Roman"/>
                <w:color w:val="000000"/>
                <w:sz w:val="18"/>
                <w:szCs w:val="18"/>
              </w:rPr>
              <w:t>Bad debt expense</w:t>
            </w:r>
          </w:p>
        </w:tc>
        <w:tc>
          <w:tcPr>
            <w:tcW w:w="0" w:type="auto"/>
            <w:gridSpan w:val="2"/>
            <w:shd w:val="clear" w:color="auto" w:fill="CCEEFF"/>
            <w:tcMar>
              <w:top w:w="30" w:type="dxa"/>
              <w:left w:w="20" w:type="dxa"/>
              <w:bottom w:w="30" w:type="dxa"/>
              <w:right w:w="0" w:type="dxa"/>
            </w:tcMar>
            <w:vAlign w:val="bottom"/>
            <w:hideMark/>
          </w:tcPr>
          <w:p w14:paraId="06CCA4AE" w14:textId="77777777" w:rsidR="00000000" w:rsidRDefault="00E614A4">
            <w:pPr>
              <w:jc w:val="right"/>
              <w:rPr>
                <w:rFonts w:eastAsia="Times New Roman"/>
              </w:rPr>
            </w:pPr>
            <w:r>
              <w:rPr>
                <w:rFonts w:eastAsia="Times New Roman"/>
                <w:color w:val="000000"/>
                <w:sz w:val="18"/>
                <w:szCs w:val="18"/>
              </w:rPr>
              <w:t>727 </w:t>
            </w:r>
          </w:p>
        </w:tc>
        <w:tc>
          <w:tcPr>
            <w:tcW w:w="0" w:type="auto"/>
            <w:shd w:val="clear" w:color="auto" w:fill="CCEEFF"/>
            <w:tcMar>
              <w:top w:w="30" w:type="dxa"/>
              <w:left w:w="0" w:type="dxa"/>
              <w:bottom w:w="30" w:type="dxa"/>
              <w:right w:w="20" w:type="dxa"/>
            </w:tcMar>
            <w:vAlign w:val="bottom"/>
            <w:hideMark/>
          </w:tcPr>
          <w:p w14:paraId="73D660E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078E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3A060F" w14:textId="77777777" w:rsidR="00000000" w:rsidRDefault="00E614A4">
            <w:pPr>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210761B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3D7CE8"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EDA3AD" w14:textId="77777777" w:rsidR="00000000" w:rsidRDefault="00E614A4">
            <w:pPr>
              <w:jc w:val="right"/>
              <w:rPr>
                <w:rFonts w:eastAsia="Times New Roman"/>
              </w:rPr>
            </w:pPr>
            <w:r>
              <w:rPr>
                <w:rFonts w:eastAsia="Times New Roman"/>
                <w:color w:val="000000"/>
                <w:sz w:val="18"/>
                <w:szCs w:val="18"/>
              </w:rPr>
              <w:t>966 </w:t>
            </w:r>
          </w:p>
        </w:tc>
        <w:tc>
          <w:tcPr>
            <w:tcW w:w="0" w:type="auto"/>
            <w:shd w:val="clear" w:color="auto" w:fill="CCEEFF"/>
            <w:tcMar>
              <w:top w:w="30" w:type="dxa"/>
              <w:left w:w="0" w:type="dxa"/>
              <w:bottom w:w="30" w:type="dxa"/>
              <w:right w:w="20" w:type="dxa"/>
            </w:tcMar>
            <w:vAlign w:val="bottom"/>
            <w:hideMark/>
          </w:tcPr>
          <w:p w14:paraId="2FAD040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16F9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A3D4C4" w14:textId="77777777" w:rsidR="00000000" w:rsidRDefault="00E614A4">
            <w:pPr>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5B26514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808BDBF"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6447FE" w14:textId="77777777" w:rsidR="00000000" w:rsidRDefault="00E614A4">
            <w:pPr>
              <w:jc w:val="right"/>
              <w:rPr>
                <w:rFonts w:eastAsia="Times New Roman"/>
              </w:rPr>
            </w:pPr>
            <w:r>
              <w:rPr>
                <w:rFonts w:eastAsia="Times New Roman"/>
                <w:color w:val="000000"/>
                <w:sz w:val="18"/>
                <w:szCs w:val="18"/>
              </w:rPr>
              <w:t>(239)</w:t>
            </w:r>
          </w:p>
        </w:tc>
        <w:tc>
          <w:tcPr>
            <w:tcW w:w="0" w:type="auto"/>
            <w:shd w:val="clear" w:color="auto" w:fill="CCEEFF"/>
            <w:tcMar>
              <w:top w:w="30" w:type="dxa"/>
              <w:left w:w="0" w:type="dxa"/>
              <w:bottom w:w="30" w:type="dxa"/>
              <w:right w:w="20" w:type="dxa"/>
            </w:tcMar>
            <w:vAlign w:val="bottom"/>
            <w:hideMark/>
          </w:tcPr>
          <w:p w14:paraId="4C2A9B9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EB74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B1CED" w14:textId="77777777" w:rsidR="00000000" w:rsidRDefault="00E614A4">
            <w:pPr>
              <w:jc w:val="right"/>
              <w:rPr>
                <w:rFonts w:eastAsia="Times New Roman"/>
              </w:rPr>
            </w:pPr>
            <w:r>
              <w:rPr>
                <w:rFonts w:eastAsia="Times New Roman"/>
                <w:color w:val="000000"/>
                <w:sz w:val="18"/>
                <w:szCs w:val="18"/>
              </w:rPr>
              <w:t>(24.7)</w:t>
            </w:r>
          </w:p>
        </w:tc>
        <w:tc>
          <w:tcPr>
            <w:tcW w:w="0" w:type="auto"/>
            <w:shd w:val="clear" w:color="auto" w:fill="CCEEFF"/>
            <w:tcMar>
              <w:top w:w="30" w:type="dxa"/>
              <w:left w:w="0" w:type="dxa"/>
              <w:bottom w:w="30" w:type="dxa"/>
              <w:right w:w="20" w:type="dxa"/>
            </w:tcMar>
            <w:vAlign w:val="bottom"/>
            <w:hideMark/>
          </w:tcPr>
          <w:p w14:paraId="6EC19805" w14:textId="77777777" w:rsidR="00000000" w:rsidRDefault="00E614A4">
            <w:pPr>
              <w:jc w:val="right"/>
              <w:rPr>
                <w:rFonts w:eastAsia="Times New Roman"/>
              </w:rPr>
            </w:pPr>
            <w:r>
              <w:rPr>
                <w:rFonts w:eastAsia="Times New Roman"/>
                <w:color w:val="000000"/>
                <w:sz w:val="18"/>
                <w:szCs w:val="18"/>
              </w:rPr>
              <w:t>%</w:t>
            </w:r>
          </w:p>
        </w:tc>
      </w:tr>
      <w:tr w:rsidR="00000000" w14:paraId="403FDD8E" w14:textId="77777777">
        <w:trPr>
          <w:divId w:val="2107462514"/>
          <w:jc w:val="center"/>
        </w:trPr>
        <w:tc>
          <w:tcPr>
            <w:tcW w:w="0" w:type="auto"/>
            <w:gridSpan w:val="3"/>
            <w:vAlign w:val="center"/>
            <w:hideMark/>
          </w:tcPr>
          <w:p w14:paraId="4468ADB4" w14:textId="77777777" w:rsidR="00000000" w:rsidRDefault="00E614A4">
            <w:pPr>
              <w:jc w:val="right"/>
              <w:rPr>
                <w:rFonts w:eastAsia="Times New Roman"/>
              </w:rPr>
            </w:pPr>
          </w:p>
        </w:tc>
        <w:tc>
          <w:tcPr>
            <w:tcW w:w="0" w:type="auto"/>
            <w:gridSpan w:val="3"/>
            <w:vAlign w:val="center"/>
            <w:hideMark/>
          </w:tcPr>
          <w:p w14:paraId="7EDC9D2A" w14:textId="77777777" w:rsidR="00000000" w:rsidRDefault="00E614A4">
            <w:pPr>
              <w:rPr>
                <w:rFonts w:eastAsia="Times New Roman"/>
                <w:sz w:val="20"/>
                <w:szCs w:val="20"/>
              </w:rPr>
            </w:pPr>
          </w:p>
        </w:tc>
        <w:tc>
          <w:tcPr>
            <w:tcW w:w="0" w:type="auto"/>
            <w:gridSpan w:val="3"/>
            <w:vAlign w:val="center"/>
            <w:hideMark/>
          </w:tcPr>
          <w:p w14:paraId="70865F19" w14:textId="77777777" w:rsidR="00000000" w:rsidRDefault="00E614A4">
            <w:pPr>
              <w:rPr>
                <w:rFonts w:eastAsia="Times New Roman"/>
                <w:sz w:val="20"/>
                <w:szCs w:val="20"/>
              </w:rPr>
            </w:pPr>
          </w:p>
        </w:tc>
        <w:tc>
          <w:tcPr>
            <w:tcW w:w="0" w:type="auto"/>
            <w:gridSpan w:val="3"/>
            <w:vAlign w:val="center"/>
            <w:hideMark/>
          </w:tcPr>
          <w:p w14:paraId="6DFB323F" w14:textId="77777777" w:rsidR="00000000" w:rsidRDefault="00E614A4">
            <w:pPr>
              <w:rPr>
                <w:rFonts w:eastAsia="Times New Roman"/>
                <w:sz w:val="20"/>
                <w:szCs w:val="20"/>
              </w:rPr>
            </w:pPr>
          </w:p>
        </w:tc>
        <w:tc>
          <w:tcPr>
            <w:tcW w:w="0" w:type="auto"/>
            <w:gridSpan w:val="3"/>
            <w:vAlign w:val="center"/>
            <w:hideMark/>
          </w:tcPr>
          <w:p w14:paraId="58C397F1" w14:textId="77777777" w:rsidR="00000000" w:rsidRDefault="00E614A4">
            <w:pPr>
              <w:rPr>
                <w:rFonts w:eastAsia="Times New Roman"/>
                <w:sz w:val="20"/>
                <w:szCs w:val="20"/>
              </w:rPr>
            </w:pPr>
          </w:p>
        </w:tc>
        <w:tc>
          <w:tcPr>
            <w:tcW w:w="0" w:type="auto"/>
            <w:gridSpan w:val="3"/>
            <w:vAlign w:val="center"/>
            <w:hideMark/>
          </w:tcPr>
          <w:p w14:paraId="62A8D888" w14:textId="77777777" w:rsidR="00000000" w:rsidRDefault="00E614A4">
            <w:pPr>
              <w:rPr>
                <w:rFonts w:eastAsia="Times New Roman"/>
                <w:sz w:val="20"/>
                <w:szCs w:val="20"/>
              </w:rPr>
            </w:pPr>
          </w:p>
        </w:tc>
        <w:tc>
          <w:tcPr>
            <w:tcW w:w="0" w:type="auto"/>
            <w:gridSpan w:val="3"/>
            <w:vAlign w:val="center"/>
            <w:hideMark/>
          </w:tcPr>
          <w:p w14:paraId="0287CD66" w14:textId="77777777" w:rsidR="00000000" w:rsidRDefault="00E614A4">
            <w:pPr>
              <w:rPr>
                <w:rFonts w:eastAsia="Times New Roman"/>
                <w:sz w:val="20"/>
                <w:szCs w:val="20"/>
              </w:rPr>
            </w:pPr>
          </w:p>
        </w:tc>
        <w:tc>
          <w:tcPr>
            <w:tcW w:w="0" w:type="auto"/>
            <w:gridSpan w:val="3"/>
            <w:vAlign w:val="center"/>
            <w:hideMark/>
          </w:tcPr>
          <w:p w14:paraId="2EDF7C6D" w14:textId="77777777" w:rsidR="00000000" w:rsidRDefault="00E614A4">
            <w:pPr>
              <w:rPr>
                <w:rFonts w:eastAsia="Times New Roman"/>
                <w:sz w:val="20"/>
                <w:szCs w:val="20"/>
              </w:rPr>
            </w:pPr>
          </w:p>
        </w:tc>
        <w:tc>
          <w:tcPr>
            <w:tcW w:w="0" w:type="auto"/>
            <w:gridSpan w:val="3"/>
            <w:vAlign w:val="center"/>
            <w:hideMark/>
          </w:tcPr>
          <w:p w14:paraId="4EB5282F" w14:textId="77777777" w:rsidR="00000000" w:rsidRDefault="00E614A4">
            <w:pPr>
              <w:rPr>
                <w:rFonts w:eastAsia="Times New Roman"/>
                <w:sz w:val="20"/>
                <w:szCs w:val="20"/>
              </w:rPr>
            </w:pPr>
          </w:p>
        </w:tc>
        <w:tc>
          <w:tcPr>
            <w:tcW w:w="0" w:type="auto"/>
            <w:gridSpan w:val="3"/>
            <w:vAlign w:val="center"/>
            <w:hideMark/>
          </w:tcPr>
          <w:p w14:paraId="16D3619A" w14:textId="77777777" w:rsidR="00000000" w:rsidRDefault="00E614A4">
            <w:pPr>
              <w:rPr>
                <w:rFonts w:eastAsia="Times New Roman"/>
                <w:sz w:val="20"/>
                <w:szCs w:val="20"/>
              </w:rPr>
            </w:pPr>
          </w:p>
        </w:tc>
        <w:tc>
          <w:tcPr>
            <w:tcW w:w="0" w:type="auto"/>
            <w:gridSpan w:val="3"/>
            <w:vAlign w:val="center"/>
            <w:hideMark/>
          </w:tcPr>
          <w:p w14:paraId="46541235" w14:textId="77777777" w:rsidR="00000000" w:rsidRDefault="00E614A4">
            <w:pPr>
              <w:rPr>
                <w:rFonts w:eastAsia="Times New Roman"/>
                <w:sz w:val="20"/>
                <w:szCs w:val="20"/>
              </w:rPr>
            </w:pPr>
          </w:p>
        </w:tc>
        <w:tc>
          <w:tcPr>
            <w:tcW w:w="0" w:type="auto"/>
            <w:gridSpan w:val="3"/>
            <w:vAlign w:val="center"/>
            <w:hideMark/>
          </w:tcPr>
          <w:p w14:paraId="224B5D1D" w14:textId="77777777" w:rsidR="00000000" w:rsidRDefault="00E614A4">
            <w:pPr>
              <w:rPr>
                <w:rFonts w:eastAsia="Times New Roman"/>
                <w:sz w:val="20"/>
                <w:szCs w:val="20"/>
              </w:rPr>
            </w:pPr>
          </w:p>
        </w:tc>
      </w:tr>
      <w:tr w:rsidR="00000000" w14:paraId="4F58B0BB" w14:textId="77777777">
        <w:trPr>
          <w:divId w:val="2107462514"/>
          <w:jc w:val="center"/>
        </w:trPr>
        <w:tc>
          <w:tcPr>
            <w:tcW w:w="0" w:type="auto"/>
            <w:gridSpan w:val="3"/>
            <w:shd w:val="clear" w:color="auto" w:fill="FFFFFF"/>
            <w:tcMar>
              <w:top w:w="30" w:type="dxa"/>
              <w:left w:w="245" w:type="dxa"/>
              <w:bottom w:w="30" w:type="dxa"/>
              <w:right w:w="20" w:type="dxa"/>
            </w:tcMar>
            <w:vAlign w:val="bottom"/>
            <w:hideMark/>
          </w:tcPr>
          <w:p w14:paraId="6D235704" w14:textId="77777777" w:rsidR="00000000" w:rsidRDefault="00E614A4">
            <w:pPr>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14:paraId="7FCE2AC3" w14:textId="77777777" w:rsidR="00000000" w:rsidRDefault="00E614A4">
            <w:pPr>
              <w:jc w:val="right"/>
              <w:rPr>
                <w:rFonts w:eastAsia="Times New Roman"/>
              </w:rPr>
            </w:pPr>
            <w:r>
              <w:rPr>
                <w:rFonts w:eastAsia="Times New Roman"/>
                <w:color w:val="000000"/>
                <w:sz w:val="18"/>
                <w:szCs w:val="18"/>
              </w:rPr>
              <w:t>9,714 </w:t>
            </w:r>
          </w:p>
        </w:tc>
        <w:tc>
          <w:tcPr>
            <w:tcW w:w="0" w:type="auto"/>
            <w:shd w:val="clear" w:color="auto" w:fill="FFFFFF"/>
            <w:tcMar>
              <w:top w:w="30" w:type="dxa"/>
              <w:left w:w="0" w:type="dxa"/>
              <w:bottom w:w="30" w:type="dxa"/>
              <w:right w:w="20" w:type="dxa"/>
            </w:tcMar>
            <w:vAlign w:val="bottom"/>
            <w:hideMark/>
          </w:tcPr>
          <w:p w14:paraId="234B73D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8332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BF71E0" w14:textId="77777777" w:rsidR="00000000" w:rsidRDefault="00E614A4">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14:paraId="1E80913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550BC88"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5D9269" w14:textId="77777777" w:rsidR="00000000" w:rsidRDefault="00E614A4">
            <w:pPr>
              <w:jc w:val="right"/>
              <w:rPr>
                <w:rFonts w:eastAsia="Times New Roman"/>
              </w:rPr>
            </w:pPr>
            <w:r>
              <w:rPr>
                <w:rFonts w:eastAsia="Times New Roman"/>
                <w:color w:val="000000"/>
                <w:sz w:val="18"/>
                <w:szCs w:val="18"/>
              </w:rPr>
              <w:t>11,201 </w:t>
            </w:r>
          </w:p>
        </w:tc>
        <w:tc>
          <w:tcPr>
            <w:tcW w:w="0" w:type="auto"/>
            <w:shd w:val="clear" w:color="auto" w:fill="FFFFFF"/>
            <w:tcMar>
              <w:top w:w="30" w:type="dxa"/>
              <w:left w:w="0" w:type="dxa"/>
              <w:bottom w:w="30" w:type="dxa"/>
              <w:right w:w="20" w:type="dxa"/>
            </w:tcMar>
            <w:vAlign w:val="bottom"/>
            <w:hideMark/>
          </w:tcPr>
          <w:p w14:paraId="31C69A4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9E20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01C60C" w14:textId="77777777" w:rsidR="00000000" w:rsidRDefault="00E614A4">
            <w:pPr>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14:paraId="2E176C1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39B5F63"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A7446A" w14:textId="77777777" w:rsidR="00000000" w:rsidRDefault="00E614A4">
            <w:pPr>
              <w:jc w:val="right"/>
              <w:rPr>
                <w:rFonts w:eastAsia="Times New Roman"/>
              </w:rPr>
            </w:pPr>
            <w:r>
              <w:rPr>
                <w:rFonts w:eastAsia="Times New Roman"/>
                <w:color w:val="000000"/>
                <w:sz w:val="18"/>
                <w:szCs w:val="18"/>
              </w:rPr>
              <w:t>(1,487)</w:t>
            </w:r>
          </w:p>
        </w:tc>
        <w:tc>
          <w:tcPr>
            <w:tcW w:w="0" w:type="auto"/>
            <w:shd w:val="clear" w:color="auto" w:fill="FFFFFF"/>
            <w:tcMar>
              <w:top w:w="30" w:type="dxa"/>
              <w:left w:w="0" w:type="dxa"/>
              <w:bottom w:w="30" w:type="dxa"/>
              <w:right w:w="20" w:type="dxa"/>
            </w:tcMar>
            <w:vAlign w:val="bottom"/>
            <w:hideMark/>
          </w:tcPr>
          <w:p w14:paraId="4DF85C1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2BAE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F9C946" w14:textId="77777777" w:rsidR="00000000" w:rsidRDefault="00E614A4">
            <w:pPr>
              <w:jc w:val="right"/>
              <w:rPr>
                <w:rFonts w:eastAsia="Times New Roman"/>
              </w:rPr>
            </w:pPr>
            <w:r>
              <w:rPr>
                <w:rFonts w:eastAsia="Times New Roman"/>
                <w:color w:val="000000"/>
                <w:sz w:val="18"/>
                <w:szCs w:val="18"/>
              </w:rPr>
              <w:t>(13.3)</w:t>
            </w:r>
          </w:p>
        </w:tc>
        <w:tc>
          <w:tcPr>
            <w:tcW w:w="0" w:type="auto"/>
            <w:shd w:val="clear" w:color="auto" w:fill="FFFFFF"/>
            <w:tcMar>
              <w:top w:w="30" w:type="dxa"/>
              <w:left w:w="0" w:type="dxa"/>
              <w:bottom w:w="30" w:type="dxa"/>
              <w:right w:w="20" w:type="dxa"/>
            </w:tcMar>
            <w:vAlign w:val="bottom"/>
            <w:hideMark/>
          </w:tcPr>
          <w:p w14:paraId="3EAB5E98" w14:textId="77777777" w:rsidR="00000000" w:rsidRDefault="00E614A4">
            <w:pPr>
              <w:jc w:val="right"/>
              <w:rPr>
                <w:rFonts w:eastAsia="Times New Roman"/>
              </w:rPr>
            </w:pPr>
            <w:r>
              <w:rPr>
                <w:rFonts w:eastAsia="Times New Roman"/>
                <w:color w:val="000000"/>
                <w:sz w:val="18"/>
                <w:szCs w:val="18"/>
              </w:rPr>
              <w:t>%</w:t>
            </w:r>
          </w:p>
        </w:tc>
      </w:tr>
      <w:tr w:rsidR="00000000" w14:paraId="70A309F5" w14:textId="77777777">
        <w:trPr>
          <w:divId w:val="2107462514"/>
          <w:jc w:val="center"/>
        </w:trPr>
        <w:tc>
          <w:tcPr>
            <w:tcW w:w="0" w:type="auto"/>
            <w:gridSpan w:val="3"/>
            <w:shd w:val="clear" w:color="auto" w:fill="CCEEFF"/>
            <w:tcMar>
              <w:top w:w="30" w:type="dxa"/>
              <w:left w:w="20" w:type="dxa"/>
              <w:bottom w:w="30" w:type="dxa"/>
              <w:right w:w="20" w:type="dxa"/>
            </w:tcMar>
            <w:vAlign w:val="bottom"/>
            <w:hideMark/>
          </w:tcPr>
          <w:p w14:paraId="1880C2AA" w14:textId="77777777" w:rsidR="00000000" w:rsidRDefault="00E614A4">
            <w:pPr>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B8A73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F47A78" w14:textId="77777777" w:rsidR="00000000" w:rsidRDefault="00E614A4">
            <w:pPr>
              <w:jc w:val="right"/>
              <w:rPr>
                <w:rFonts w:eastAsia="Times New Roman"/>
              </w:rPr>
            </w:pPr>
            <w:r>
              <w:rPr>
                <w:rFonts w:eastAsia="Times New Roman"/>
                <w:color w:val="000000"/>
                <w:sz w:val="18"/>
                <w:szCs w:val="18"/>
              </w:rPr>
              <w:t>66,419 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0B26F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35FC5"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DDFAAF" w14:textId="77777777" w:rsidR="00000000" w:rsidRDefault="00E614A4">
            <w:pPr>
              <w:jc w:val="right"/>
              <w:rPr>
                <w:rFonts w:eastAsia="Times New Roman"/>
              </w:rPr>
            </w:pPr>
            <w:r>
              <w:rPr>
                <w:rFonts w:eastAsia="Times New Roman"/>
                <w:color w:val="000000"/>
                <w:sz w:val="18"/>
                <w:szCs w:val="18"/>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E6D78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5E81D1A"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B1695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229128" w14:textId="77777777" w:rsidR="00000000" w:rsidRDefault="00E614A4">
            <w:pPr>
              <w:jc w:val="right"/>
              <w:rPr>
                <w:rFonts w:eastAsia="Times New Roman"/>
              </w:rPr>
            </w:pPr>
            <w:r>
              <w:rPr>
                <w:rFonts w:eastAsia="Times New Roman"/>
                <w:color w:val="000000"/>
                <w:sz w:val="18"/>
                <w:szCs w:val="18"/>
              </w:rPr>
              <w:t>84,535 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279CF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DD698" w14:textId="77777777" w:rsidR="00000000" w:rsidRDefault="00E614A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DE72C3" w14:textId="77777777" w:rsidR="00000000" w:rsidRDefault="00E614A4">
            <w:pPr>
              <w:jc w:val="right"/>
              <w:rPr>
                <w:rFonts w:eastAsia="Times New Roman"/>
              </w:rPr>
            </w:pPr>
            <w:r>
              <w:rPr>
                <w:rFonts w:eastAsia="Times New Roman"/>
                <w:color w:val="000000"/>
                <w:sz w:val="18"/>
                <w:szCs w:val="18"/>
              </w:rPr>
              <w:t>20.2 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E5924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328CBA4" w14:textId="77777777" w:rsidR="00000000" w:rsidRDefault="00E614A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19082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5A9524" w14:textId="77777777" w:rsidR="00000000" w:rsidRDefault="00E614A4">
            <w:pPr>
              <w:jc w:val="right"/>
              <w:rPr>
                <w:rFonts w:eastAsia="Times New Roman"/>
              </w:rPr>
            </w:pPr>
            <w:r>
              <w:rPr>
                <w:rFonts w:eastAsia="Times New Roman"/>
                <w:color w:val="000000"/>
                <w:sz w:val="18"/>
                <w:szCs w:val="18"/>
              </w:rPr>
              <w:t>(18,116)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184FC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A87D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FA6CE4" w14:textId="77777777" w:rsidR="00000000" w:rsidRDefault="00E614A4">
            <w:pPr>
              <w:jc w:val="right"/>
              <w:rPr>
                <w:rFonts w:eastAsia="Times New Roman"/>
              </w:rPr>
            </w:pPr>
            <w:r>
              <w:rPr>
                <w:rFonts w:eastAsia="Times New Roman"/>
                <w:color w:val="000000"/>
                <w:sz w:val="18"/>
                <w:szCs w:val="18"/>
              </w:rPr>
              <w:t>(21.4)</w:t>
            </w:r>
          </w:p>
        </w:tc>
        <w:tc>
          <w:tcPr>
            <w:tcW w:w="0" w:type="auto"/>
            <w:shd w:val="clear" w:color="auto" w:fill="CCEEFF"/>
            <w:tcMar>
              <w:top w:w="30" w:type="dxa"/>
              <w:left w:w="0" w:type="dxa"/>
              <w:bottom w:w="30" w:type="dxa"/>
              <w:right w:w="20" w:type="dxa"/>
            </w:tcMar>
            <w:vAlign w:val="bottom"/>
            <w:hideMark/>
          </w:tcPr>
          <w:p w14:paraId="033057C0" w14:textId="77777777" w:rsidR="00000000" w:rsidRDefault="00E614A4">
            <w:pPr>
              <w:jc w:val="right"/>
              <w:rPr>
                <w:rFonts w:eastAsia="Times New Roman"/>
              </w:rPr>
            </w:pPr>
            <w:r>
              <w:rPr>
                <w:rFonts w:eastAsia="Times New Roman"/>
                <w:color w:val="000000"/>
                <w:sz w:val="18"/>
                <w:szCs w:val="18"/>
              </w:rPr>
              <w:t>%</w:t>
            </w:r>
          </w:p>
        </w:tc>
      </w:tr>
    </w:tbl>
    <w:p w14:paraId="39C1F876" w14:textId="77777777" w:rsidR="00000000" w:rsidRDefault="00E614A4">
      <w:pPr>
        <w:jc w:val="both"/>
        <w:divId w:val="1723870137"/>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As discussed in </w:t>
      </w:r>
      <w:hyperlink r:id="rId14" w:anchor="s5B1B894228215AEEABBC1FE6C8EB010C" w:history="1">
        <w:r>
          <w:rPr>
            <w:rStyle w:val="a3"/>
            <w:rFonts w:eastAsia="Times New Roman"/>
            <w:i/>
            <w:iCs/>
            <w:sz w:val="16"/>
            <w:szCs w:val="16"/>
          </w:rPr>
          <w:t>Footnote 2</w:t>
        </w:r>
      </w:hyperlink>
      <w:r>
        <w:rPr>
          <w:rFonts w:eastAsia="Times New Roman"/>
          <w:i/>
          <w:iCs/>
          <w:color w:val="000000"/>
          <w:sz w:val="16"/>
          <w:szCs w:val="16"/>
        </w:rPr>
        <w:t xml:space="preserve">, Summary of Significant Accounting Policies, in our </w:t>
      </w:r>
      <w:hyperlink r:id="rId15" w:history="1">
        <w:r>
          <w:rPr>
            <w:rStyle w:val="a3"/>
            <w:rFonts w:eastAsia="Times New Roman"/>
            <w:i/>
            <w:iCs/>
            <w:sz w:val="16"/>
            <w:szCs w:val="16"/>
          </w:rPr>
          <w:t>2019 10-K</w:t>
        </w:r>
      </w:hyperlink>
      <w:r>
        <w:rPr>
          <w:rFonts w:eastAsia="Times New Roman"/>
          <w:i/>
          <w:iCs/>
          <w:color w:val="000000"/>
          <w:sz w:val="16"/>
          <w:szCs w:val="16"/>
        </w:rPr>
        <w:t>, we adopted ASC 842, Leases as of January 1, 2019. Lease expense and depreciation for the year ended December 31, 2019 is not comparable</w:t>
      </w:r>
      <w:r>
        <w:rPr>
          <w:rFonts w:eastAsia="Times New Roman"/>
          <w:i/>
          <w:iCs/>
          <w:color w:val="000000"/>
          <w:sz w:val="16"/>
          <w:szCs w:val="16"/>
        </w:rPr>
        <w:t xml:space="preserve"> to the year ended December 31, 2018 due to our adoption of ASC 842.</w:t>
      </w:r>
    </w:p>
    <w:p w14:paraId="6165AC65" w14:textId="77777777" w:rsidR="00000000" w:rsidRDefault="00E614A4">
      <w:pPr>
        <w:jc w:val="center"/>
        <w:divId w:val="1645575354"/>
        <w:rPr>
          <w:rFonts w:eastAsia="Times New Roman"/>
        </w:rPr>
      </w:pPr>
      <w:r>
        <w:rPr>
          <w:rFonts w:eastAsia="Times New Roman"/>
          <w:color w:val="000000"/>
          <w:sz w:val="20"/>
          <w:szCs w:val="20"/>
        </w:rPr>
        <w:t>40</w:t>
      </w:r>
    </w:p>
    <w:p w14:paraId="14937D41" w14:textId="77777777" w:rsidR="00000000" w:rsidRDefault="00E614A4">
      <w:pPr>
        <w:rPr>
          <w:rFonts w:eastAsia="Times New Roman"/>
        </w:rPr>
      </w:pPr>
      <w:r>
        <w:rPr>
          <w:rFonts w:eastAsia="Times New Roman"/>
        </w:rPr>
        <w:pict w14:anchorId="72C72161">
          <v:rect id="_x0000_i1068" style="width:0;height:1.5pt" o:hralign="center" o:hrstd="t" o:hr="t" fillcolor="#a0a0a0" stroked="f"/>
        </w:pict>
      </w:r>
    </w:p>
    <w:p w14:paraId="7938E2ED" w14:textId="77777777" w:rsidR="00000000" w:rsidRDefault="00E614A4">
      <w:pPr>
        <w:divId w:val="1972249847"/>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666A6C5" w14:textId="77777777" w:rsidR="00000000" w:rsidRDefault="00E614A4">
      <w:pPr>
        <w:divId w:val="607857606"/>
        <w:rPr>
          <w:rFonts w:eastAsia="Times New Roman"/>
        </w:rPr>
      </w:pPr>
    </w:p>
    <w:p w14:paraId="7B189307" w14:textId="77777777" w:rsidR="00000000" w:rsidRDefault="00E614A4">
      <w:pPr>
        <w:jc w:val="both"/>
        <w:divId w:val="2122650553"/>
        <w:rPr>
          <w:rFonts w:eastAsia="Times New Roman"/>
        </w:rPr>
      </w:pPr>
      <w:r>
        <w:rPr>
          <w:rFonts w:eastAsia="Times New Roman"/>
          <w:color w:val="000000"/>
          <w:sz w:val="20"/>
          <w:szCs w:val="20"/>
        </w:rPr>
        <w:t xml:space="preserve">General and </w:t>
      </w:r>
      <w:r>
        <w:rPr>
          <w:rFonts w:eastAsia="Times New Roman"/>
          <w:color w:val="000000"/>
          <w:sz w:val="20"/>
          <w:szCs w:val="20"/>
        </w:rPr>
        <w:t>administrative expenses decreased by $18.1 million, or 21.4%, for the year ended December 31, 2019 as compared to the year ended December 31, 2018. The decrease was largely attributable to a reduction in transition services agreement costs, employee costs,</w:t>
      </w:r>
      <w:r>
        <w:rPr>
          <w:rFonts w:eastAsia="Times New Roman"/>
          <w:color w:val="000000"/>
          <w:sz w:val="20"/>
          <w:szCs w:val="20"/>
        </w:rPr>
        <w:t xml:space="preserve"> professional fees and lease depreciation expense. Transition services agreement costs decreased $8.4 million as a result of the termination of a three-year transition services agreement. Employee costs decreased primarily due to reduced headcount and rest</w:t>
      </w:r>
      <w:r>
        <w:rPr>
          <w:rFonts w:eastAsia="Times New Roman"/>
          <w:color w:val="000000"/>
          <w:sz w:val="20"/>
          <w:szCs w:val="20"/>
        </w:rPr>
        <w:t xml:space="preserve">ructuring efforts as discussed in </w:t>
      </w:r>
      <w:hyperlink w:anchor="ided6989bcc374020961c421c465250ee_190" w:history="1">
        <w:r>
          <w:rPr>
            <w:rStyle w:val="a3"/>
            <w:rFonts w:eastAsia="Times New Roman"/>
            <w:sz w:val="20"/>
            <w:szCs w:val="20"/>
          </w:rPr>
          <w:t>Footnote 14</w:t>
        </w:r>
      </w:hyperlink>
      <w:r>
        <w:rPr>
          <w:rFonts w:eastAsia="Times New Roman"/>
          <w:color w:val="000000"/>
          <w:sz w:val="20"/>
          <w:szCs w:val="20"/>
        </w:rPr>
        <w:t xml:space="preserve">, </w:t>
      </w:r>
      <w:r>
        <w:rPr>
          <w:rFonts w:eastAsia="Times New Roman"/>
          <w:i/>
          <w:iCs/>
          <w:color w:val="000000"/>
          <w:sz w:val="20"/>
          <w:szCs w:val="20"/>
        </w:rPr>
        <w:t>Organizational Restructuring</w:t>
      </w:r>
      <w:r>
        <w:rPr>
          <w:rFonts w:eastAsia="Times New Roman"/>
          <w:color w:val="000000"/>
          <w:sz w:val="20"/>
          <w:szCs w:val="20"/>
        </w:rPr>
        <w:t>, partially offset by a $3.3 million increase in severance expense related to the departure of certain executives in 2019. Professional fees decreased $3.1 million as a result of lower audit and compliance costs, offset by transaction costs associated with</w:t>
      </w:r>
      <w:r>
        <w:rPr>
          <w:rFonts w:eastAsia="Times New Roman"/>
          <w:color w:val="000000"/>
          <w:sz w:val="20"/>
          <w:szCs w:val="20"/>
        </w:rPr>
        <w:t xml:space="preserve"> the sale of shares of Common Stock and warrants in June 2019. Lease expense and depreciation decreased $1.2 million as a result of decreased depreciation expense as various assets reached the end of their depreciable lives and decreased lease expense from</w:t>
      </w:r>
      <w:r>
        <w:rPr>
          <w:rFonts w:eastAsia="Times New Roman"/>
          <w:color w:val="000000"/>
          <w:sz w:val="20"/>
          <w:szCs w:val="20"/>
        </w:rPr>
        <w:t xml:space="preserve"> various lease terminations and executed sublease agreements.</w:t>
      </w:r>
    </w:p>
    <w:p w14:paraId="78CD6DF9" w14:textId="77777777" w:rsidR="00000000" w:rsidRDefault="00E614A4">
      <w:pPr>
        <w:jc w:val="both"/>
        <w:divId w:val="1069886857"/>
        <w:rPr>
          <w:rFonts w:eastAsia="Times New Roman"/>
        </w:rPr>
      </w:pPr>
      <w:r>
        <w:rPr>
          <w:rFonts w:eastAsia="Times New Roman"/>
          <w:b/>
          <w:bCs/>
          <w:i/>
          <w:iCs/>
          <w:color w:val="000000"/>
          <w:sz w:val="20"/>
          <w:szCs w:val="20"/>
        </w:rPr>
        <w:t>Amortization of Intangible Assets</w:t>
      </w:r>
    </w:p>
    <w:p w14:paraId="7C00E22A" w14:textId="77777777" w:rsidR="00000000" w:rsidRDefault="00E614A4">
      <w:pPr>
        <w:jc w:val="both"/>
        <w:divId w:val="60100382"/>
        <w:rPr>
          <w:rFonts w:eastAsia="Times New Roman"/>
        </w:rPr>
      </w:pPr>
      <w:r>
        <w:rPr>
          <w:rFonts w:eastAsia="Times New Roman"/>
          <w:color w:val="000000"/>
          <w:sz w:val="20"/>
          <w:szCs w:val="20"/>
        </w:rPr>
        <w:t>Amortization expense consists of charges related to the amortization of intangible assets associated with acquisitions, primarily our Rentrak merger in which we</w:t>
      </w:r>
      <w:r>
        <w:rPr>
          <w:rFonts w:eastAsia="Times New Roman"/>
          <w:color w:val="000000"/>
          <w:sz w:val="20"/>
          <w:szCs w:val="20"/>
        </w:rPr>
        <w:t xml:space="preserve"> acquired $170.3 million of finite-lived intangible assets. Amortization of intangible assets decreased by $2.9 million, or 9.5%, for 2020 as compared to 2019 due to the impairment of an intangible asset as described below. Amortization of intangible asset</w:t>
      </w:r>
      <w:r>
        <w:rPr>
          <w:rFonts w:eastAsia="Times New Roman"/>
          <w:color w:val="000000"/>
          <w:sz w:val="20"/>
          <w:szCs w:val="20"/>
        </w:rPr>
        <w:t xml:space="preserve">s decreased by $2.8 million, or 8.5%, for 2019 as compared to 2018 due to the impairment of an intangible asset as described below. </w:t>
      </w:r>
    </w:p>
    <w:p w14:paraId="48F15713" w14:textId="77777777" w:rsidR="00000000" w:rsidRDefault="00E614A4">
      <w:pPr>
        <w:jc w:val="both"/>
        <w:divId w:val="1983801172"/>
        <w:rPr>
          <w:rFonts w:eastAsia="Times New Roman"/>
        </w:rPr>
      </w:pPr>
      <w:r>
        <w:rPr>
          <w:rFonts w:eastAsia="Times New Roman"/>
          <w:b/>
          <w:bCs/>
          <w:i/>
          <w:iCs/>
          <w:color w:val="000000"/>
          <w:sz w:val="20"/>
          <w:szCs w:val="20"/>
        </w:rPr>
        <w:t>Impairment of Right-of-use and Long-lived Assets</w:t>
      </w:r>
    </w:p>
    <w:p w14:paraId="6DA64A71" w14:textId="77777777" w:rsidR="00000000" w:rsidRDefault="00E614A4">
      <w:pPr>
        <w:jc w:val="both"/>
        <w:divId w:val="939407445"/>
        <w:rPr>
          <w:rFonts w:eastAsia="Times New Roman"/>
        </w:rPr>
      </w:pPr>
      <w:r>
        <w:rPr>
          <w:rFonts w:eastAsia="Times New Roman"/>
          <w:color w:val="000000"/>
          <w:sz w:val="20"/>
          <w:szCs w:val="20"/>
        </w:rPr>
        <w:t>In 2020, we recorded a $4.7 million impairment charge related to our facil</w:t>
      </w:r>
      <w:r>
        <w:rPr>
          <w:rFonts w:eastAsia="Times New Roman"/>
          <w:color w:val="000000"/>
          <w:sz w:val="20"/>
          <w:szCs w:val="20"/>
        </w:rPr>
        <w:t>ity lease right-of-use assets and associated leasehold improvements for certain properties on the market for sublease. The impairment charge was driven by changes in our projected undiscounted cash flows for certain properties, primarily as a result of cha</w:t>
      </w:r>
      <w:r>
        <w:rPr>
          <w:rFonts w:eastAsia="Times New Roman"/>
          <w:color w:val="000000"/>
          <w:sz w:val="20"/>
          <w:szCs w:val="20"/>
        </w:rPr>
        <w:t>nges in the real estate market related to the COVID-19 pandemic, that led to an increase in the estimated marketing time and a reduction of expected receipts.</w:t>
      </w:r>
    </w:p>
    <w:p w14:paraId="1F82C963" w14:textId="77777777" w:rsidR="00000000" w:rsidRDefault="00E614A4">
      <w:pPr>
        <w:jc w:val="both"/>
        <w:divId w:val="539979935"/>
        <w:rPr>
          <w:rFonts w:eastAsia="Times New Roman"/>
        </w:rPr>
      </w:pPr>
      <w:r>
        <w:rPr>
          <w:rFonts w:eastAsia="Times New Roman"/>
          <w:b/>
          <w:bCs/>
          <w:i/>
          <w:iCs/>
          <w:color w:val="000000"/>
          <w:sz w:val="20"/>
          <w:szCs w:val="20"/>
        </w:rPr>
        <w:t>Impairment of Goodwill and Intangible Asset</w:t>
      </w:r>
    </w:p>
    <w:p w14:paraId="7774AA03" w14:textId="77777777" w:rsidR="00000000" w:rsidRDefault="00E614A4">
      <w:pPr>
        <w:jc w:val="both"/>
        <w:divId w:val="477040492"/>
        <w:rPr>
          <w:rFonts w:eastAsia="Times New Roman"/>
        </w:rPr>
      </w:pPr>
      <w:r>
        <w:rPr>
          <w:rFonts w:eastAsia="Times New Roman"/>
          <w:color w:val="000000"/>
          <w:sz w:val="20"/>
          <w:szCs w:val="20"/>
        </w:rPr>
        <w:t>In 2019, as a result of a sustained decline in our st</w:t>
      </w:r>
      <w:r>
        <w:rPr>
          <w:rFonts w:eastAsia="Times New Roman"/>
          <w:color w:val="000000"/>
          <w:sz w:val="20"/>
          <w:szCs w:val="20"/>
        </w:rPr>
        <w:t>ock price and market capitalization, changes in management, and lower revenue, among other factors, we performed an interim impairment review of our goodwill and long-lived assets. Our reporting unit did not pass the goodwill impairment test, and as a resu</w:t>
      </w:r>
      <w:r>
        <w:rPr>
          <w:rFonts w:eastAsia="Times New Roman"/>
          <w:color w:val="000000"/>
          <w:sz w:val="20"/>
          <w:szCs w:val="20"/>
        </w:rPr>
        <w:t>lt we recorded a $224.3 million impairment charge.</w:t>
      </w:r>
    </w:p>
    <w:p w14:paraId="51AB2721" w14:textId="77777777" w:rsidR="00000000" w:rsidRDefault="00E614A4">
      <w:pPr>
        <w:jc w:val="both"/>
        <w:divId w:val="727344575"/>
        <w:rPr>
          <w:rFonts w:eastAsia="Times New Roman"/>
        </w:rPr>
      </w:pPr>
      <w:r>
        <w:rPr>
          <w:rFonts w:eastAsia="Times New Roman"/>
          <w:color w:val="000000"/>
          <w:sz w:val="20"/>
          <w:szCs w:val="20"/>
        </w:rPr>
        <w:t>We also recorded an impairment charge related to our strategic alliance intangible asset during 2019. Changes in our projected revenue in certain non-U.S. geographic markets due to the changing internation</w:t>
      </w:r>
      <w:r>
        <w:rPr>
          <w:rFonts w:eastAsia="Times New Roman"/>
          <w:color w:val="000000"/>
          <w:sz w:val="20"/>
          <w:szCs w:val="20"/>
        </w:rPr>
        <w:t xml:space="preserve">al competitive landscape as well as significant reductions in international staffing, resulted in a change in our long-term view of the viability of the intangible asset. As such, our assessment yielded that the benefit of the strategic alliance would not </w:t>
      </w:r>
      <w:r>
        <w:rPr>
          <w:rFonts w:eastAsia="Times New Roman"/>
          <w:color w:val="000000"/>
          <w:sz w:val="20"/>
          <w:szCs w:val="20"/>
        </w:rPr>
        <w:t>be realized. The fair value of the strategic alliance intangible asset was estimated using an income approach, resulting in an impairment charge for the full carrying value of the long-lived asset of $17.3 million. While this was a non-cash charge, it redu</w:t>
      </w:r>
      <w:r>
        <w:rPr>
          <w:rFonts w:eastAsia="Times New Roman"/>
          <w:color w:val="000000"/>
          <w:sz w:val="20"/>
          <w:szCs w:val="20"/>
        </w:rPr>
        <w:t xml:space="preserve">ced amortization expense by approximately $3.0 million on an annualized basis. </w:t>
      </w:r>
    </w:p>
    <w:p w14:paraId="2E090883" w14:textId="77777777" w:rsidR="00000000" w:rsidRDefault="00E614A4">
      <w:pPr>
        <w:jc w:val="both"/>
        <w:divId w:val="1910453632"/>
        <w:rPr>
          <w:rFonts w:eastAsia="Times New Roman"/>
        </w:rPr>
      </w:pPr>
      <w:r>
        <w:rPr>
          <w:rFonts w:eastAsia="Times New Roman"/>
          <w:color w:val="000000"/>
          <w:sz w:val="20"/>
          <w:szCs w:val="20"/>
        </w:rPr>
        <w:t xml:space="preserve">For further information refer to </w:t>
      </w:r>
      <w:hyperlink w:anchor="ided6989bcc374020961c421c465250ee_154"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 xml:space="preserve">Goodwill and Intangible Assets </w:t>
      </w:r>
      <w:r>
        <w:rPr>
          <w:rFonts w:eastAsia="Times New Roman"/>
          <w:color w:val="000000"/>
          <w:sz w:val="20"/>
          <w:szCs w:val="20"/>
        </w:rPr>
        <w:t>and</w:t>
      </w:r>
      <w:r>
        <w:rPr>
          <w:rFonts w:eastAsia="Times New Roman"/>
          <w:i/>
          <w:iCs/>
          <w:color w:val="000000"/>
          <w:sz w:val="20"/>
          <w:szCs w:val="20"/>
        </w:rPr>
        <w:t xml:space="preserve"> </w:t>
      </w:r>
      <w:hyperlink w:anchor="ided6989bcc374020961c421c465250ee_70" w:history="1">
        <w:r>
          <w:rPr>
            <w:rStyle w:val="a3"/>
            <w:rFonts w:eastAsia="Times New Roman"/>
            <w:sz w:val="20"/>
            <w:szCs w:val="20"/>
          </w:rPr>
          <w:t>Item 7</w:t>
        </w:r>
      </w:hyperlink>
      <w:r>
        <w:rPr>
          <w:rFonts w:eastAsia="Times New Roman"/>
          <w:i/>
          <w:iCs/>
          <w:color w:val="000000"/>
          <w:sz w:val="20"/>
          <w:szCs w:val="20"/>
        </w:rPr>
        <w:t>, Critical Accounting Policies</w:t>
      </w:r>
      <w:r>
        <w:rPr>
          <w:rFonts w:eastAsia="Times New Roman"/>
          <w:color w:val="000000"/>
          <w:sz w:val="20"/>
          <w:szCs w:val="20"/>
        </w:rPr>
        <w:t xml:space="preserve">. </w:t>
      </w:r>
    </w:p>
    <w:p w14:paraId="2B98562B" w14:textId="77777777" w:rsidR="00000000" w:rsidRDefault="00E614A4">
      <w:pPr>
        <w:jc w:val="both"/>
        <w:divId w:val="2146965180"/>
        <w:rPr>
          <w:rFonts w:eastAsia="Times New Roman"/>
        </w:rPr>
      </w:pPr>
      <w:r>
        <w:rPr>
          <w:rFonts w:eastAsia="Times New Roman"/>
          <w:b/>
          <w:bCs/>
          <w:i/>
          <w:iCs/>
          <w:color w:val="000000"/>
          <w:sz w:val="20"/>
          <w:szCs w:val="20"/>
        </w:rPr>
        <w:t>Investigation and Audit Related</w:t>
      </w:r>
    </w:p>
    <w:p w14:paraId="0E2E7B87" w14:textId="77777777" w:rsidR="00000000" w:rsidRDefault="00E614A4">
      <w:pPr>
        <w:jc w:val="both"/>
        <w:divId w:val="673144731"/>
        <w:rPr>
          <w:rFonts w:eastAsia="Times New Roman"/>
        </w:rPr>
      </w:pPr>
      <w:r>
        <w:rPr>
          <w:rFonts w:eastAsia="Times New Roman"/>
          <w:color w:val="000000"/>
          <w:sz w:val="20"/>
          <w:szCs w:val="20"/>
        </w:rPr>
        <w:t>Investigation and audit related expenses were $4.3 million and $38.3 million for the years ended December 31, 2019 and 2018, r</w:t>
      </w:r>
      <w:r>
        <w:rPr>
          <w:rFonts w:eastAsia="Times New Roman"/>
          <w:color w:val="000000"/>
          <w:sz w:val="20"/>
          <w:szCs w:val="20"/>
        </w:rPr>
        <w:t>espectively. No similar costs were incurred during the year ended December 31, 2020. Investigation expenses include professional fees associated with legal and forensic accounting services rendered in connection with the previously disclosed internal Audit</w:t>
      </w:r>
      <w:r>
        <w:rPr>
          <w:rFonts w:eastAsia="Times New Roman"/>
          <w:color w:val="000000"/>
          <w:sz w:val="20"/>
          <w:szCs w:val="20"/>
        </w:rPr>
        <w:t xml:space="preserve"> Committee investigation into matters related to the Company's revenue recognition practices, disclosures, internal controls, corporate culture and employment practices prior to 2017. Audit related expenses consist of professional fees associated with acco</w:t>
      </w:r>
      <w:r>
        <w:rPr>
          <w:rFonts w:eastAsia="Times New Roman"/>
          <w:color w:val="000000"/>
          <w:sz w:val="20"/>
          <w:szCs w:val="20"/>
        </w:rPr>
        <w:t>unting related consulting services and external auditor fees associated with the audit of our Consolidated Financial Statements for the prior years. Litigation related expenses include legal fees associated with various lawsuits or investigations, includin</w:t>
      </w:r>
      <w:r>
        <w:rPr>
          <w:rFonts w:eastAsia="Times New Roman"/>
          <w:color w:val="000000"/>
          <w:sz w:val="20"/>
          <w:szCs w:val="20"/>
        </w:rPr>
        <w:t>g those initiated either directly or indirectly as a result of the Audit Committee's investigation. The decrease in investigation and audit related expenses in 2019 as compared to 2018 was due to the conclusion of the Audit Committee investigation and mult</w:t>
      </w:r>
      <w:r>
        <w:rPr>
          <w:rFonts w:eastAsia="Times New Roman"/>
          <w:color w:val="000000"/>
          <w:sz w:val="20"/>
          <w:szCs w:val="20"/>
        </w:rPr>
        <w:t>i-year audit in 2018, as well as the resolution of related legal proceedings. We resolved the related SEC investigation in September 2019, and as such, incurred no investigation and audit related expenses during 2020.</w:t>
      </w:r>
    </w:p>
    <w:p w14:paraId="28459D98" w14:textId="77777777" w:rsidR="00000000" w:rsidRDefault="00E614A4">
      <w:pPr>
        <w:jc w:val="both"/>
        <w:divId w:val="1457865946"/>
        <w:rPr>
          <w:rFonts w:eastAsia="Times New Roman"/>
        </w:rPr>
      </w:pPr>
      <w:r>
        <w:rPr>
          <w:rFonts w:eastAsia="Times New Roman"/>
          <w:b/>
          <w:bCs/>
          <w:i/>
          <w:iCs/>
          <w:color w:val="000000"/>
          <w:sz w:val="20"/>
          <w:szCs w:val="20"/>
        </w:rPr>
        <w:t>Restructuring</w:t>
      </w:r>
    </w:p>
    <w:p w14:paraId="11BBA8DD" w14:textId="77777777" w:rsidR="00000000" w:rsidRDefault="00E614A4">
      <w:pPr>
        <w:jc w:val="both"/>
        <w:divId w:val="1995522806"/>
        <w:rPr>
          <w:rFonts w:eastAsia="Times New Roman"/>
        </w:rPr>
      </w:pPr>
      <w:r>
        <w:rPr>
          <w:rFonts w:eastAsia="Times New Roman"/>
          <w:color w:val="000000"/>
          <w:sz w:val="20"/>
          <w:szCs w:val="20"/>
        </w:rPr>
        <w:t>We incurred restructurin</w:t>
      </w:r>
      <w:r>
        <w:rPr>
          <w:rFonts w:eastAsia="Times New Roman"/>
          <w:color w:val="000000"/>
          <w:sz w:val="20"/>
          <w:szCs w:val="20"/>
        </w:rPr>
        <w:t>g expenses of $3.3 million and $11.8 million for the years ended December 31, 2019 and 2018, respectively, related to significant reductions in headcount and reorganization of our business. No such expenses were incurred during 2020.</w:t>
      </w:r>
    </w:p>
    <w:p w14:paraId="6749D530" w14:textId="77777777" w:rsidR="00000000" w:rsidRDefault="00E614A4">
      <w:pPr>
        <w:jc w:val="both"/>
        <w:divId w:val="1796751222"/>
        <w:rPr>
          <w:rFonts w:eastAsia="Times New Roman"/>
        </w:rPr>
      </w:pPr>
      <w:r>
        <w:rPr>
          <w:rFonts w:eastAsia="Times New Roman"/>
          <w:color w:val="000000"/>
          <w:sz w:val="20"/>
          <w:szCs w:val="20"/>
        </w:rPr>
        <w:t>For further informatio</w:t>
      </w:r>
      <w:r>
        <w:rPr>
          <w:rFonts w:eastAsia="Times New Roman"/>
          <w:color w:val="000000"/>
          <w:sz w:val="20"/>
          <w:szCs w:val="20"/>
        </w:rPr>
        <w:t xml:space="preserve">n refer to </w:t>
      </w:r>
      <w:hyperlink w:anchor="ided6989bcc374020961c421c465250ee_190" w:history="1">
        <w:r>
          <w:rPr>
            <w:rStyle w:val="a3"/>
            <w:rFonts w:eastAsia="Times New Roman"/>
            <w:sz w:val="20"/>
            <w:szCs w:val="20"/>
          </w:rPr>
          <w:t>Footnote 14</w:t>
        </w:r>
      </w:hyperlink>
      <w:r>
        <w:rPr>
          <w:rFonts w:eastAsia="Times New Roman"/>
          <w:color w:val="000000"/>
          <w:sz w:val="20"/>
          <w:szCs w:val="20"/>
        </w:rPr>
        <w:t xml:space="preserve">, </w:t>
      </w:r>
      <w:r>
        <w:rPr>
          <w:rFonts w:eastAsia="Times New Roman"/>
          <w:i/>
          <w:iCs/>
          <w:color w:val="000000"/>
          <w:sz w:val="20"/>
          <w:szCs w:val="20"/>
        </w:rPr>
        <w:t>Organizational Restructuring.</w:t>
      </w:r>
    </w:p>
    <w:p w14:paraId="16848767" w14:textId="77777777" w:rsidR="00000000" w:rsidRDefault="00E614A4">
      <w:pPr>
        <w:jc w:val="center"/>
        <w:divId w:val="974528689"/>
        <w:rPr>
          <w:rFonts w:eastAsia="Times New Roman"/>
        </w:rPr>
      </w:pPr>
      <w:r>
        <w:rPr>
          <w:rFonts w:eastAsia="Times New Roman"/>
          <w:color w:val="000000"/>
          <w:sz w:val="20"/>
          <w:szCs w:val="20"/>
        </w:rPr>
        <w:t>41</w:t>
      </w:r>
    </w:p>
    <w:p w14:paraId="754B42A5" w14:textId="77777777" w:rsidR="00000000" w:rsidRDefault="00E614A4">
      <w:pPr>
        <w:rPr>
          <w:rFonts w:eastAsia="Times New Roman"/>
        </w:rPr>
      </w:pPr>
      <w:r>
        <w:rPr>
          <w:rFonts w:eastAsia="Times New Roman"/>
        </w:rPr>
        <w:pict w14:anchorId="5C586BB1">
          <v:rect id="_x0000_i1069" style="width:0;height:1.5pt" o:hralign="center" o:hrstd="t" o:hr="t" fillcolor="#a0a0a0" stroked="f"/>
        </w:pict>
      </w:r>
    </w:p>
    <w:p w14:paraId="6348B80A" w14:textId="77777777" w:rsidR="00000000" w:rsidRDefault="00E614A4">
      <w:pPr>
        <w:divId w:val="96489523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7C93A76" w14:textId="77777777" w:rsidR="00000000" w:rsidRDefault="00E614A4">
      <w:pPr>
        <w:divId w:val="185945931"/>
        <w:rPr>
          <w:rFonts w:eastAsia="Times New Roman"/>
        </w:rPr>
      </w:pPr>
    </w:p>
    <w:p w14:paraId="7DD4B11B" w14:textId="77777777" w:rsidR="00000000" w:rsidRDefault="00E614A4">
      <w:pPr>
        <w:jc w:val="both"/>
        <w:divId w:val="349186872"/>
        <w:rPr>
          <w:rFonts w:eastAsia="Times New Roman"/>
        </w:rPr>
      </w:pPr>
      <w:r>
        <w:rPr>
          <w:rFonts w:eastAsia="Times New Roman"/>
          <w:b/>
          <w:bCs/>
          <w:i/>
          <w:iCs/>
          <w:color w:val="000000"/>
          <w:sz w:val="20"/>
          <w:szCs w:val="20"/>
        </w:rPr>
        <w:t>Settlement of Litigation, Net</w:t>
      </w:r>
    </w:p>
    <w:p w14:paraId="639B5CE8" w14:textId="77777777" w:rsidR="00000000" w:rsidRDefault="00E614A4">
      <w:pPr>
        <w:jc w:val="both"/>
        <w:divId w:val="287900421"/>
        <w:rPr>
          <w:rFonts w:eastAsia="Times New Roman"/>
        </w:rPr>
      </w:pPr>
      <w:r>
        <w:rPr>
          <w:rFonts w:eastAsia="Times New Roman"/>
          <w:color w:val="000000"/>
          <w:sz w:val="20"/>
          <w:szCs w:val="20"/>
        </w:rPr>
        <w:t>Settlement of litigation, net consists of gains and losses from the settlement of various litigation matters. The $2.9 million net settlement of litigation expense for 2019 relates to the conclusion of the SEC investigation. A civil monetary penalty of $5.</w:t>
      </w:r>
      <w:r>
        <w:rPr>
          <w:rFonts w:eastAsia="Times New Roman"/>
          <w:color w:val="000000"/>
          <w:sz w:val="20"/>
          <w:szCs w:val="20"/>
        </w:rPr>
        <w:t>0 million payable to the SEC was offset by a clawback of $2.1 million from our former CEO, Serge Matta. The $5.3 million net settlement of litigation expense for 2018 relates to the settlement and final resolution of a prior federal securities class action</w:t>
      </w:r>
      <w:r>
        <w:rPr>
          <w:rFonts w:eastAsia="Times New Roman"/>
          <w:color w:val="000000"/>
          <w:sz w:val="20"/>
          <w:szCs w:val="20"/>
        </w:rPr>
        <w:t xml:space="preserve"> and shareholder derivative actions.</w:t>
      </w:r>
    </w:p>
    <w:p w14:paraId="5A48131C" w14:textId="77777777" w:rsidR="00000000" w:rsidRDefault="00E614A4">
      <w:pPr>
        <w:jc w:val="both"/>
        <w:divId w:val="1374159872"/>
        <w:rPr>
          <w:rFonts w:eastAsia="Times New Roman"/>
        </w:rPr>
      </w:pPr>
      <w:r>
        <w:rPr>
          <w:rFonts w:eastAsia="Times New Roman"/>
          <w:b/>
          <w:bCs/>
          <w:i/>
          <w:iCs/>
          <w:color w:val="000000"/>
          <w:sz w:val="20"/>
          <w:szCs w:val="20"/>
        </w:rPr>
        <w:t>Interest Expense, Net</w:t>
      </w:r>
    </w:p>
    <w:p w14:paraId="1A12096B" w14:textId="77777777" w:rsidR="00000000" w:rsidRDefault="00E614A4">
      <w:pPr>
        <w:jc w:val="both"/>
        <w:divId w:val="141196357"/>
        <w:rPr>
          <w:rFonts w:eastAsia="Times New Roman"/>
        </w:rPr>
      </w:pPr>
      <w:r>
        <w:rPr>
          <w:rFonts w:eastAsia="Times New Roman"/>
          <w:color w:val="000000"/>
          <w:sz w:val="20"/>
          <w:szCs w:val="20"/>
        </w:rPr>
        <w:t xml:space="preserve">Interest expense, net consists of interest income and interest expense. Interest income primarily consists of interest earned from our cash and cash equivalent balances and imputed interest on our </w:t>
      </w:r>
      <w:r>
        <w:rPr>
          <w:rFonts w:eastAsia="Times New Roman"/>
          <w:color w:val="000000"/>
          <w:sz w:val="20"/>
          <w:szCs w:val="20"/>
        </w:rPr>
        <w:t>minimum commitment agreements with WPP. Interest expense primarily relates to interest on our Notes, our Secured Term Note and our finance leases of computer equipment and automobiles.</w:t>
      </w:r>
    </w:p>
    <w:p w14:paraId="41000518" w14:textId="77777777" w:rsidR="00000000" w:rsidRDefault="00E614A4">
      <w:pPr>
        <w:jc w:val="both"/>
        <w:divId w:val="5208452"/>
        <w:rPr>
          <w:rFonts w:eastAsia="Times New Roman"/>
        </w:rPr>
      </w:pPr>
      <w:r>
        <w:rPr>
          <w:rFonts w:eastAsia="Times New Roman"/>
          <w:color w:val="000000"/>
          <w:sz w:val="20"/>
          <w:szCs w:val="20"/>
        </w:rPr>
        <w:t>Interest expense, net, increased $4.3 million during 2020 to $35.8 mill</w:t>
      </w:r>
      <w:r>
        <w:rPr>
          <w:rFonts w:eastAsia="Times New Roman"/>
          <w:color w:val="000000"/>
          <w:sz w:val="20"/>
          <w:szCs w:val="20"/>
        </w:rPr>
        <w:t>ion as compared to $31.5 million in 2019. Interest expense increased in 2020 primarily as a result of the interest rate reset feature on the Notes, and the issuance of the Secured Term Note in December 2019.</w:t>
      </w:r>
    </w:p>
    <w:p w14:paraId="38D03E8A" w14:textId="77777777" w:rsidR="00000000" w:rsidRDefault="00E614A4">
      <w:pPr>
        <w:jc w:val="both"/>
        <w:divId w:val="1946422090"/>
        <w:rPr>
          <w:rFonts w:eastAsia="Times New Roman"/>
        </w:rPr>
      </w:pPr>
      <w:r>
        <w:rPr>
          <w:rFonts w:eastAsia="Times New Roman"/>
          <w:color w:val="000000"/>
          <w:sz w:val="20"/>
          <w:szCs w:val="20"/>
        </w:rPr>
        <w:t>Interest expense, net, increased $15.1 million d</w:t>
      </w:r>
      <w:r>
        <w:rPr>
          <w:rFonts w:eastAsia="Times New Roman"/>
          <w:color w:val="000000"/>
          <w:sz w:val="20"/>
          <w:szCs w:val="20"/>
        </w:rPr>
        <w:t>uring 2019 to $31.5 million as compared to $16.5 million in 2018. Interest expense increased in 2019 primarily as a result of the interest rate reset feature on the Notes.</w:t>
      </w:r>
    </w:p>
    <w:p w14:paraId="27FBFF4A" w14:textId="77777777" w:rsidR="00000000" w:rsidRDefault="00E614A4">
      <w:pPr>
        <w:jc w:val="both"/>
        <w:divId w:val="271936622"/>
        <w:rPr>
          <w:rFonts w:eastAsia="Times New Roman"/>
        </w:rPr>
      </w:pPr>
      <w:r>
        <w:rPr>
          <w:rFonts w:eastAsia="Times New Roman"/>
          <w:color w:val="000000"/>
          <w:sz w:val="20"/>
          <w:szCs w:val="20"/>
        </w:rPr>
        <w:t xml:space="preserve">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w:t>
      </w:r>
      <w:r>
        <w:rPr>
          <w:rFonts w:eastAsia="Times New Roman"/>
          <w:i/>
          <w:iCs/>
          <w:color w:val="000000"/>
          <w:sz w:val="20"/>
          <w:szCs w:val="20"/>
        </w:rPr>
        <w:t xml:space="preserve">t </w:t>
      </w:r>
      <w:r>
        <w:rPr>
          <w:rFonts w:eastAsia="Times New Roman"/>
          <w:color w:val="000000"/>
          <w:sz w:val="20"/>
          <w:szCs w:val="20"/>
        </w:rPr>
        <w:t>for information on the interest rate reset feature.</w:t>
      </w:r>
    </w:p>
    <w:p w14:paraId="097D747B" w14:textId="77777777" w:rsidR="00000000" w:rsidRDefault="00E614A4">
      <w:pPr>
        <w:jc w:val="both"/>
        <w:divId w:val="1892111999"/>
        <w:rPr>
          <w:rFonts w:eastAsia="Times New Roman"/>
        </w:rPr>
      </w:pPr>
      <w:r>
        <w:rPr>
          <w:rFonts w:eastAsia="Times New Roman"/>
          <w:b/>
          <w:bCs/>
          <w:i/>
          <w:iCs/>
          <w:color w:val="000000"/>
          <w:sz w:val="20"/>
          <w:szCs w:val="20"/>
        </w:rPr>
        <w:t>Other Income (Expense), Net</w:t>
      </w:r>
    </w:p>
    <w:p w14:paraId="2CEA47CF" w14:textId="77777777" w:rsidR="00000000" w:rsidRDefault="00E614A4">
      <w:pPr>
        <w:jc w:val="both"/>
        <w:divId w:val="1764061340"/>
        <w:rPr>
          <w:rFonts w:eastAsia="Times New Roman"/>
        </w:rPr>
      </w:pPr>
      <w:r>
        <w:rPr>
          <w:rFonts w:eastAsia="Times New Roman"/>
          <w:color w:val="000000"/>
          <w:sz w:val="20"/>
          <w:szCs w:val="20"/>
        </w:rPr>
        <w:t xml:space="preserve">Other income (expense), net represents income and expenses incurred that are generally not recurring in nature or are not part of our normal operations. </w:t>
      </w:r>
    </w:p>
    <w:p w14:paraId="32D1A1B9" w14:textId="77777777" w:rsidR="00000000" w:rsidRDefault="00E614A4">
      <w:pPr>
        <w:jc w:val="both"/>
        <w:divId w:val="952663708"/>
        <w:rPr>
          <w:rFonts w:eastAsia="Times New Roman"/>
        </w:rPr>
      </w:pPr>
      <w:r>
        <w:rPr>
          <w:rFonts w:eastAsia="Times New Roman"/>
          <w:color w:val="000000"/>
          <w:sz w:val="20"/>
          <w:szCs w:val="20"/>
        </w:rPr>
        <w:t>Income from transiti</w:t>
      </w:r>
      <w:r>
        <w:rPr>
          <w:rFonts w:eastAsia="Times New Roman"/>
          <w:color w:val="000000"/>
          <w:sz w:val="20"/>
          <w:szCs w:val="20"/>
        </w:rPr>
        <w:t>on services represents reimbursement of costs incurred under the Digital Analytix transition services agreement, which expired in 2019, and is offset as expense in cost of revenues and general and administrative expenses.</w:t>
      </w:r>
    </w:p>
    <w:p w14:paraId="2F3601A9" w14:textId="77777777" w:rsidR="00000000" w:rsidRDefault="00E614A4">
      <w:pPr>
        <w:jc w:val="both"/>
        <w:divId w:val="1591894202"/>
        <w:rPr>
          <w:rFonts w:eastAsia="Times New Roman"/>
        </w:rPr>
      </w:pPr>
      <w:r>
        <w:rPr>
          <w:rFonts w:eastAsia="Times New Roman"/>
          <w:color w:val="000000"/>
          <w:sz w:val="20"/>
          <w:szCs w:val="20"/>
        </w:rPr>
        <w:t>The following is a summary of othe</w:t>
      </w:r>
      <w:r>
        <w:rPr>
          <w:rFonts w:eastAsia="Times New Roman"/>
          <w:color w:val="000000"/>
          <w:sz w:val="20"/>
          <w:szCs w:val="20"/>
        </w:rPr>
        <w:t>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4685"/>
        <w:gridCol w:w="37"/>
        <w:gridCol w:w="110"/>
        <w:gridCol w:w="964"/>
        <w:gridCol w:w="36"/>
        <w:gridCol w:w="36"/>
        <w:gridCol w:w="36"/>
        <w:gridCol w:w="36"/>
        <w:gridCol w:w="110"/>
        <w:gridCol w:w="964"/>
        <w:gridCol w:w="36"/>
        <w:gridCol w:w="36"/>
        <w:gridCol w:w="36"/>
        <w:gridCol w:w="36"/>
        <w:gridCol w:w="110"/>
        <w:gridCol w:w="964"/>
        <w:gridCol w:w="36"/>
      </w:tblGrid>
      <w:tr w:rsidR="00000000" w14:paraId="68DB2D56" w14:textId="77777777">
        <w:trPr>
          <w:divId w:val="1510170518"/>
        </w:trPr>
        <w:tc>
          <w:tcPr>
            <w:tcW w:w="50" w:type="pct"/>
            <w:vAlign w:val="center"/>
            <w:hideMark/>
          </w:tcPr>
          <w:p w14:paraId="45EA86DD" w14:textId="77777777" w:rsidR="00000000" w:rsidRDefault="00E614A4">
            <w:pPr>
              <w:jc w:val="both"/>
              <w:rPr>
                <w:rFonts w:eastAsia="Times New Roman"/>
              </w:rPr>
            </w:pPr>
          </w:p>
        </w:tc>
        <w:tc>
          <w:tcPr>
            <w:tcW w:w="2868" w:type="pct"/>
            <w:vAlign w:val="center"/>
            <w:hideMark/>
          </w:tcPr>
          <w:p w14:paraId="5144974A" w14:textId="77777777" w:rsidR="00000000" w:rsidRDefault="00E614A4">
            <w:pPr>
              <w:rPr>
                <w:rFonts w:eastAsia="Times New Roman"/>
                <w:sz w:val="20"/>
                <w:szCs w:val="20"/>
              </w:rPr>
            </w:pPr>
          </w:p>
        </w:tc>
        <w:tc>
          <w:tcPr>
            <w:tcW w:w="5" w:type="pct"/>
            <w:vAlign w:val="center"/>
            <w:hideMark/>
          </w:tcPr>
          <w:p w14:paraId="4F6CC4E7" w14:textId="77777777" w:rsidR="00000000" w:rsidRDefault="00E614A4">
            <w:pPr>
              <w:rPr>
                <w:rFonts w:eastAsia="Times New Roman"/>
                <w:sz w:val="20"/>
                <w:szCs w:val="20"/>
              </w:rPr>
            </w:pPr>
          </w:p>
        </w:tc>
        <w:tc>
          <w:tcPr>
            <w:tcW w:w="50" w:type="pct"/>
            <w:vAlign w:val="center"/>
            <w:hideMark/>
          </w:tcPr>
          <w:p w14:paraId="1ACAB5A6" w14:textId="77777777" w:rsidR="00000000" w:rsidRDefault="00E614A4">
            <w:pPr>
              <w:rPr>
                <w:rFonts w:eastAsia="Times New Roman"/>
                <w:sz w:val="20"/>
                <w:szCs w:val="20"/>
              </w:rPr>
            </w:pPr>
          </w:p>
        </w:tc>
        <w:tc>
          <w:tcPr>
            <w:tcW w:w="618" w:type="pct"/>
            <w:vAlign w:val="center"/>
            <w:hideMark/>
          </w:tcPr>
          <w:p w14:paraId="6DA77213" w14:textId="77777777" w:rsidR="00000000" w:rsidRDefault="00E614A4">
            <w:pPr>
              <w:rPr>
                <w:rFonts w:eastAsia="Times New Roman"/>
                <w:sz w:val="20"/>
                <w:szCs w:val="20"/>
              </w:rPr>
            </w:pPr>
          </w:p>
        </w:tc>
        <w:tc>
          <w:tcPr>
            <w:tcW w:w="5" w:type="pct"/>
            <w:vAlign w:val="center"/>
            <w:hideMark/>
          </w:tcPr>
          <w:p w14:paraId="4BD03BC3" w14:textId="77777777" w:rsidR="00000000" w:rsidRDefault="00E614A4">
            <w:pPr>
              <w:rPr>
                <w:rFonts w:eastAsia="Times New Roman"/>
                <w:sz w:val="20"/>
                <w:szCs w:val="20"/>
              </w:rPr>
            </w:pPr>
          </w:p>
        </w:tc>
        <w:tc>
          <w:tcPr>
            <w:tcW w:w="5" w:type="pct"/>
            <w:vAlign w:val="center"/>
            <w:hideMark/>
          </w:tcPr>
          <w:p w14:paraId="0E91813C" w14:textId="77777777" w:rsidR="00000000" w:rsidRDefault="00E614A4">
            <w:pPr>
              <w:rPr>
                <w:rFonts w:eastAsia="Times New Roman"/>
                <w:sz w:val="20"/>
                <w:szCs w:val="20"/>
              </w:rPr>
            </w:pPr>
          </w:p>
        </w:tc>
        <w:tc>
          <w:tcPr>
            <w:tcW w:w="17" w:type="pct"/>
            <w:vAlign w:val="center"/>
            <w:hideMark/>
          </w:tcPr>
          <w:p w14:paraId="7F1782A8" w14:textId="77777777" w:rsidR="00000000" w:rsidRDefault="00E614A4">
            <w:pPr>
              <w:rPr>
                <w:rFonts w:eastAsia="Times New Roman"/>
                <w:sz w:val="20"/>
                <w:szCs w:val="20"/>
              </w:rPr>
            </w:pPr>
          </w:p>
        </w:tc>
        <w:tc>
          <w:tcPr>
            <w:tcW w:w="5" w:type="pct"/>
            <w:vAlign w:val="center"/>
            <w:hideMark/>
          </w:tcPr>
          <w:p w14:paraId="43FC5926" w14:textId="77777777" w:rsidR="00000000" w:rsidRDefault="00E614A4">
            <w:pPr>
              <w:rPr>
                <w:rFonts w:eastAsia="Times New Roman"/>
                <w:sz w:val="20"/>
                <w:szCs w:val="20"/>
              </w:rPr>
            </w:pPr>
          </w:p>
        </w:tc>
        <w:tc>
          <w:tcPr>
            <w:tcW w:w="50" w:type="pct"/>
            <w:vAlign w:val="center"/>
            <w:hideMark/>
          </w:tcPr>
          <w:p w14:paraId="42F4D2DB" w14:textId="77777777" w:rsidR="00000000" w:rsidRDefault="00E614A4">
            <w:pPr>
              <w:rPr>
                <w:rFonts w:eastAsia="Times New Roman"/>
                <w:sz w:val="20"/>
                <w:szCs w:val="20"/>
              </w:rPr>
            </w:pPr>
          </w:p>
        </w:tc>
        <w:tc>
          <w:tcPr>
            <w:tcW w:w="618" w:type="pct"/>
            <w:vAlign w:val="center"/>
            <w:hideMark/>
          </w:tcPr>
          <w:p w14:paraId="454A0369" w14:textId="77777777" w:rsidR="00000000" w:rsidRDefault="00E614A4">
            <w:pPr>
              <w:rPr>
                <w:rFonts w:eastAsia="Times New Roman"/>
                <w:sz w:val="20"/>
                <w:szCs w:val="20"/>
              </w:rPr>
            </w:pPr>
          </w:p>
        </w:tc>
        <w:tc>
          <w:tcPr>
            <w:tcW w:w="5" w:type="pct"/>
            <w:vAlign w:val="center"/>
            <w:hideMark/>
          </w:tcPr>
          <w:p w14:paraId="4371A38B" w14:textId="77777777" w:rsidR="00000000" w:rsidRDefault="00E614A4">
            <w:pPr>
              <w:rPr>
                <w:rFonts w:eastAsia="Times New Roman"/>
                <w:sz w:val="20"/>
                <w:szCs w:val="20"/>
              </w:rPr>
            </w:pPr>
          </w:p>
        </w:tc>
        <w:tc>
          <w:tcPr>
            <w:tcW w:w="5" w:type="pct"/>
            <w:vAlign w:val="center"/>
            <w:hideMark/>
          </w:tcPr>
          <w:p w14:paraId="799BE183" w14:textId="77777777" w:rsidR="00000000" w:rsidRDefault="00E614A4">
            <w:pPr>
              <w:rPr>
                <w:rFonts w:eastAsia="Times New Roman"/>
                <w:sz w:val="20"/>
                <w:szCs w:val="20"/>
              </w:rPr>
            </w:pPr>
          </w:p>
        </w:tc>
        <w:tc>
          <w:tcPr>
            <w:tcW w:w="17" w:type="pct"/>
            <w:vAlign w:val="center"/>
            <w:hideMark/>
          </w:tcPr>
          <w:p w14:paraId="6C274C82" w14:textId="77777777" w:rsidR="00000000" w:rsidRDefault="00E614A4">
            <w:pPr>
              <w:rPr>
                <w:rFonts w:eastAsia="Times New Roman"/>
                <w:sz w:val="20"/>
                <w:szCs w:val="20"/>
              </w:rPr>
            </w:pPr>
          </w:p>
        </w:tc>
        <w:tc>
          <w:tcPr>
            <w:tcW w:w="5" w:type="pct"/>
            <w:vAlign w:val="center"/>
            <w:hideMark/>
          </w:tcPr>
          <w:p w14:paraId="3AAF030D" w14:textId="77777777" w:rsidR="00000000" w:rsidRDefault="00E614A4">
            <w:pPr>
              <w:rPr>
                <w:rFonts w:eastAsia="Times New Roman"/>
                <w:sz w:val="20"/>
                <w:szCs w:val="20"/>
              </w:rPr>
            </w:pPr>
          </w:p>
        </w:tc>
        <w:tc>
          <w:tcPr>
            <w:tcW w:w="50" w:type="pct"/>
            <w:vAlign w:val="center"/>
            <w:hideMark/>
          </w:tcPr>
          <w:p w14:paraId="6714CBE2" w14:textId="77777777" w:rsidR="00000000" w:rsidRDefault="00E614A4">
            <w:pPr>
              <w:rPr>
                <w:rFonts w:eastAsia="Times New Roman"/>
                <w:sz w:val="20"/>
                <w:szCs w:val="20"/>
              </w:rPr>
            </w:pPr>
          </w:p>
        </w:tc>
        <w:tc>
          <w:tcPr>
            <w:tcW w:w="618" w:type="pct"/>
            <w:vAlign w:val="center"/>
            <w:hideMark/>
          </w:tcPr>
          <w:p w14:paraId="23DE85DA" w14:textId="77777777" w:rsidR="00000000" w:rsidRDefault="00E614A4">
            <w:pPr>
              <w:rPr>
                <w:rFonts w:eastAsia="Times New Roman"/>
                <w:sz w:val="20"/>
                <w:szCs w:val="20"/>
              </w:rPr>
            </w:pPr>
          </w:p>
        </w:tc>
        <w:tc>
          <w:tcPr>
            <w:tcW w:w="5" w:type="pct"/>
            <w:vAlign w:val="center"/>
            <w:hideMark/>
          </w:tcPr>
          <w:p w14:paraId="2AC1D37D" w14:textId="77777777" w:rsidR="00000000" w:rsidRDefault="00E614A4">
            <w:pPr>
              <w:rPr>
                <w:rFonts w:eastAsia="Times New Roman"/>
                <w:sz w:val="20"/>
                <w:szCs w:val="20"/>
              </w:rPr>
            </w:pPr>
          </w:p>
        </w:tc>
      </w:tr>
      <w:tr w:rsidR="00000000" w14:paraId="41F51080" w14:textId="77777777">
        <w:trPr>
          <w:divId w:val="1510170518"/>
        </w:trPr>
        <w:tc>
          <w:tcPr>
            <w:tcW w:w="0" w:type="auto"/>
            <w:gridSpan w:val="3"/>
            <w:tcMar>
              <w:top w:w="30" w:type="dxa"/>
              <w:left w:w="20" w:type="dxa"/>
              <w:bottom w:w="30" w:type="dxa"/>
              <w:right w:w="20" w:type="dxa"/>
            </w:tcMar>
            <w:vAlign w:val="bottom"/>
            <w:hideMark/>
          </w:tcPr>
          <w:p w14:paraId="3B672EA9" w14:textId="77777777" w:rsidR="00000000" w:rsidRDefault="00E614A4">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0075CAE3"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4AF38D8D" w14:textId="77777777">
        <w:trPr>
          <w:divId w:val="1510170518"/>
        </w:trPr>
        <w:tc>
          <w:tcPr>
            <w:tcW w:w="0" w:type="auto"/>
            <w:gridSpan w:val="3"/>
            <w:tcMar>
              <w:top w:w="30" w:type="dxa"/>
              <w:left w:w="20" w:type="dxa"/>
              <w:bottom w:w="30" w:type="dxa"/>
              <w:right w:w="20" w:type="dxa"/>
            </w:tcMar>
            <w:vAlign w:val="bottom"/>
            <w:hideMark/>
          </w:tcPr>
          <w:p w14:paraId="7186D484"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C93C556"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C0657F9"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69BC3C"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1566F5EF"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F584C7" w14:textId="77777777" w:rsidR="00000000" w:rsidRDefault="00E614A4">
            <w:pPr>
              <w:jc w:val="center"/>
              <w:rPr>
                <w:rFonts w:eastAsia="Times New Roman"/>
              </w:rPr>
            </w:pPr>
            <w:r>
              <w:rPr>
                <w:rFonts w:eastAsia="Times New Roman"/>
                <w:b/>
                <w:bCs/>
                <w:color w:val="000000"/>
                <w:sz w:val="16"/>
                <w:szCs w:val="16"/>
              </w:rPr>
              <w:t>2018</w:t>
            </w:r>
          </w:p>
        </w:tc>
      </w:tr>
      <w:tr w:rsidR="00000000" w14:paraId="282C2F6D" w14:textId="77777777">
        <w:trPr>
          <w:divId w:val="1510170518"/>
        </w:trPr>
        <w:tc>
          <w:tcPr>
            <w:tcW w:w="0" w:type="auto"/>
            <w:gridSpan w:val="3"/>
            <w:shd w:val="clear" w:color="auto" w:fill="CCEEFF"/>
            <w:tcMar>
              <w:top w:w="30" w:type="dxa"/>
              <w:left w:w="20" w:type="dxa"/>
              <w:bottom w:w="30" w:type="dxa"/>
              <w:right w:w="20" w:type="dxa"/>
            </w:tcMar>
            <w:hideMark/>
          </w:tcPr>
          <w:p w14:paraId="7C8A2A18" w14:textId="77777777" w:rsidR="00000000" w:rsidRDefault="00E614A4">
            <w:pPr>
              <w:rPr>
                <w:rFonts w:eastAsia="Times New Roman"/>
              </w:rPr>
            </w:pPr>
            <w:r>
              <w:rPr>
                <w:rFonts w:eastAsia="Times New Roman"/>
                <w:color w:val="000000"/>
                <w:sz w:val="18"/>
                <w:szCs w:val="18"/>
              </w:rPr>
              <w:t>Change in fair value of financing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7DCCA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223A0F" w14:textId="77777777" w:rsidR="00000000" w:rsidRDefault="00E614A4">
            <w:pPr>
              <w:jc w:val="right"/>
              <w:rPr>
                <w:rFonts w:eastAsia="Times New Roman"/>
              </w:rPr>
            </w:pPr>
            <w:r>
              <w:rPr>
                <w:rFonts w:eastAsia="Times New Roman"/>
                <w:color w:val="000000"/>
                <w:sz w:val="18"/>
                <w:szCs w:val="18"/>
              </w:rPr>
              <w:t>10,287 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19F4D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1C592"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95757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C820CA" w14:textId="77777777" w:rsidR="00000000" w:rsidRDefault="00E614A4">
            <w:pPr>
              <w:jc w:val="right"/>
              <w:rPr>
                <w:rFonts w:eastAsia="Times New Roman"/>
              </w:rPr>
            </w:pPr>
            <w:r>
              <w:rPr>
                <w:rFonts w:eastAsia="Times New Roman"/>
                <w:color w:val="000000"/>
                <w:sz w:val="18"/>
                <w:szCs w:val="18"/>
              </w:rPr>
              <w:t>5,100 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9E8E9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13ED0"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6377B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F53209" w14:textId="77777777" w:rsidR="00000000" w:rsidRDefault="00E614A4">
            <w:pPr>
              <w:jc w:val="right"/>
              <w:rPr>
                <w:rFonts w:eastAsia="Times New Roman"/>
              </w:rPr>
            </w:pPr>
            <w:r>
              <w:rPr>
                <w:rFonts w:eastAsia="Times New Roman"/>
                <w:color w:val="000000"/>
                <w:sz w:val="18"/>
                <w:szCs w:val="18"/>
              </w:rPr>
              <w:t>(14,226)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8D7773" w14:textId="77777777" w:rsidR="00000000" w:rsidRDefault="00E614A4">
            <w:pPr>
              <w:jc w:val="right"/>
              <w:rPr>
                <w:rFonts w:eastAsia="Times New Roman"/>
              </w:rPr>
            </w:pPr>
          </w:p>
        </w:tc>
      </w:tr>
      <w:tr w:rsidR="00000000" w14:paraId="349E5554" w14:textId="77777777">
        <w:trPr>
          <w:divId w:val="1510170518"/>
        </w:trPr>
        <w:tc>
          <w:tcPr>
            <w:tcW w:w="0" w:type="auto"/>
            <w:gridSpan w:val="3"/>
            <w:shd w:val="clear" w:color="auto" w:fill="FFFFFF"/>
            <w:tcMar>
              <w:top w:w="30" w:type="dxa"/>
              <w:left w:w="20" w:type="dxa"/>
              <w:bottom w:w="30" w:type="dxa"/>
              <w:right w:w="20" w:type="dxa"/>
            </w:tcMar>
            <w:hideMark/>
          </w:tcPr>
          <w:p w14:paraId="4224285D" w14:textId="77777777" w:rsidR="00000000" w:rsidRDefault="00E614A4">
            <w:pPr>
              <w:rPr>
                <w:rFonts w:eastAsia="Times New Roman"/>
              </w:rPr>
            </w:pPr>
            <w:r>
              <w:rPr>
                <w:rFonts w:eastAsia="Times New Roman"/>
                <w:color w:val="000000"/>
                <w:sz w:val="18"/>
                <w:szCs w:val="18"/>
              </w:rPr>
              <w:t>Change in fair value of warrants liability</w:t>
            </w:r>
          </w:p>
        </w:tc>
        <w:tc>
          <w:tcPr>
            <w:tcW w:w="0" w:type="auto"/>
            <w:gridSpan w:val="2"/>
            <w:shd w:val="clear" w:color="auto" w:fill="FFFFFF"/>
            <w:tcMar>
              <w:top w:w="30" w:type="dxa"/>
              <w:left w:w="20" w:type="dxa"/>
              <w:bottom w:w="30" w:type="dxa"/>
              <w:right w:w="0" w:type="dxa"/>
            </w:tcMar>
            <w:vAlign w:val="bottom"/>
            <w:hideMark/>
          </w:tcPr>
          <w:p w14:paraId="002D415E" w14:textId="77777777" w:rsidR="00000000" w:rsidRDefault="00E614A4">
            <w:pPr>
              <w:jc w:val="right"/>
              <w:rPr>
                <w:rFonts w:eastAsia="Times New Roman"/>
              </w:rPr>
            </w:pPr>
            <w:r>
              <w:rPr>
                <w:rFonts w:eastAsia="Times New Roman"/>
                <w:color w:val="000000"/>
                <w:sz w:val="18"/>
                <w:szCs w:val="18"/>
              </w:rPr>
              <w:t>4,894 </w:t>
            </w:r>
          </w:p>
        </w:tc>
        <w:tc>
          <w:tcPr>
            <w:tcW w:w="0" w:type="auto"/>
            <w:shd w:val="clear" w:color="auto" w:fill="FFFFFF"/>
            <w:tcMar>
              <w:top w:w="30" w:type="dxa"/>
              <w:left w:w="0" w:type="dxa"/>
              <w:bottom w:w="30" w:type="dxa"/>
              <w:right w:w="20" w:type="dxa"/>
            </w:tcMar>
            <w:vAlign w:val="bottom"/>
            <w:hideMark/>
          </w:tcPr>
          <w:p w14:paraId="633174D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5D013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04E61D" w14:textId="77777777" w:rsidR="00000000" w:rsidRDefault="00E614A4">
            <w:pPr>
              <w:jc w:val="right"/>
              <w:rPr>
                <w:rFonts w:eastAsia="Times New Roman"/>
              </w:rPr>
            </w:pPr>
            <w:r>
              <w:rPr>
                <w:rFonts w:eastAsia="Times New Roman"/>
                <w:color w:val="000000"/>
                <w:sz w:val="18"/>
                <w:szCs w:val="18"/>
              </w:rPr>
              <w:t>(2,411)</w:t>
            </w:r>
          </w:p>
        </w:tc>
        <w:tc>
          <w:tcPr>
            <w:tcW w:w="0" w:type="auto"/>
            <w:shd w:val="clear" w:color="auto" w:fill="FFFFFF"/>
            <w:tcMar>
              <w:top w:w="30" w:type="dxa"/>
              <w:left w:w="0" w:type="dxa"/>
              <w:bottom w:w="30" w:type="dxa"/>
              <w:right w:w="20" w:type="dxa"/>
            </w:tcMar>
            <w:vAlign w:val="bottom"/>
            <w:hideMark/>
          </w:tcPr>
          <w:p w14:paraId="68FCAA7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59A4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9DB02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7C8245" w14:textId="77777777" w:rsidR="00000000" w:rsidRDefault="00E614A4">
            <w:pPr>
              <w:jc w:val="right"/>
              <w:rPr>
                <w:rFonts w:eastAsia="Times New Roman"/>
              </w:rPr>
            </w:pPr>
          </w:p>
        </w:tc>
      </w:tr>
      <w:tr w:rsidR="00000000" w14:paraId="72E1BCBE" w14:textId="77777777">
        <w:trPr>
          <w:divId w:val="1510170518"/>
        </w:trPr>
        <w:tc>
          <w:tcPr>
            <w:tcW w:w="0" w:type="auto"/>
            <w:gridSpan w:val="3"/>
            <w:shd w:val="clear" w:color="auto" w:fill="CCEEFF"/>
            <w:tcMar>
              <w:top w:w="30" w:type="dxa"/>
              <w:left w:w="20" w:type="dxa"/>
              <w:bottom w:w="30" w:type="dxa"/>
              <w:right w:w="20" w:type="dxa"/>
            </w:tcMar>
            <w:hideMark/>
          </w:tcPr>
          <w:p w14:paraId="393C3D33" w14:textId="77777777" w:rsidR="00000000" w:rsidRDefault="00E614A4">
            <w:pPr>
              <w:rPr>
                <w:rFonts w:eastAsia="Times New Roman"/>
              </w:rPr>
            </w:pPr>
            <w:r>
              <w:rPr>
                <w:rFonts w:eastAsia="Times New Roman"/>
                <w:color w:val="000000"/>
                <w:sz w:val="18"/>
                <w:szCs w:val="18"/>
              </w:rPr>
              <w:t>Change in fair value of interest make-whole derivative</w:t>
            </w:r>
          </w:p>
        </w:tc>
        <w:tc>
          <w:tcPr>
            <w:tcW w:w="0" w:type="auto"/>
            <w:gridSpan w:val="2"/>
            <w:shd w:val="clear" w:color="auto" w:fill="CCEEFF"/>
            <w:tcMar>
              <w:top w:w="30" w:type="dxa"/>
              <w:left w:w="20" w:type="dxa"/>
              <w:bottom w:w="30" w:type="dxa"/>
              <w:right w:w="0" w:type="dxa"/>
            </w:tcMar>
            <w:vAlign w:val="bottom"/>
            <w:hideMark/>
          </w:tcPr>
          <w:p w14:paraId="5704A485" w14:textId="77777777" w:rsidR="00000000" w:rsidRDefault="00E614A4">
            <w:pPr>
              <w:jc w:val="right"/>
              <w:rPr>
                <w:rFonts w:eastAsia="Times New Roman"/>
              </w:rPr>
            </w:pPr>
            <w:r>
              <w:rPr>
                <w:rFonts w:eastAsia="Times New Roman"/>
                <w:color w:val="000000"/>
                <w:sz w:val="18"/>
                <w:szCs w:val="18"/>
              </w:rPr>
              <w:t>(871)</w:t>
            </w:r>
          </w:p>
        </w:tc>
        <w:tc>
          <w:tcPr>
            <w:tcW w:w="0" w:type="auto"/>
            <w:shd w:val="clear" w:color="auto" w:fill="CCEEFF"/>
            <w:tcMar>
              <w:top w:w="30" w:type="dxa"/>
              <w:left w:w="0" w:type="dxa"/>
              <w:bottom w:w="30" w:type="dxa"/>
              <w:right w:w="20" w:type="dxa"/>
            </w:tcMar>
            <w:vAlign w:val="bottom"/>
            <w:hideMark/>
          </w:tcPr>
          <w:p w14:paraId="682857B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AA3D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2C08B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57CC9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4FC05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920E7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429F30" w14:textId="77777777" w:rsidR="00000000" w:rsidRDefault="00E614A4">
            <w:pPr>
              <w:jc w:val="right"/>
              <w:rPr>
                <w:rFonts w:eastAsia="Times New Roman"/>
              </w:rPr>
            </w:pPr>
          </w:p>
        </w:tc>
      </w:tr>
      <w:tr w:rsidR="00000000" w14:paraId="3846EF85" w14:textId="77777777">
        <w:trPr>
          <w:divId w:val="1510170518"/>
        </w:trPr>
        <w:tc>
          <w:tcPr>
            <w:tcW w:w="0" w:type="auto"/>
            <w:gridSpan w:val="3"/>
            <w:shd w:val="clear" w:color="auto" w:fill="FFFFFF"/>
            <w:tcMar>
              <w:top w:w="30" w:type="dxa"/>
              <w:left w:w="20" w:type="dxa"/>
              <w:bottom w:w="30" w:type="dxa"/>
              <w:right w:w="20" w:type="dxa"/>
            </w:tcMar>
            <w:hideMark/>
          </w:tcPr>
          <w:p w14:paraId="5912A9BA" w14:textId="77777777" w:rsidR="00000000" w:rsidRDefault="00E614A4">
            <w:pPr>
              <w:rPr>
                <w:rFonts w:eastAsia="Times New Roman"/>
              </w:rPr>
            </w:pPr>
            <w:r>
              <w:rPr>
                <w:rFonts w:eastAsia="Times New Roman"/>
                <w:color w:val="000000"/>
                <w:sz w:val="18"/>
                <w:szCs w:val="18"/>
              </w:rPr>
              <w:t>Change in fair value of investment in equity securities</w:t>
            </w:r>
          </w:p>
        </w:tc>
        <w:tc>
          <w:tcPr>
            <w:tcW w:w="0" w:type="auto"/>
            <w:gridSpan w:val="2"/>
            <w:shd w:val="clear" w:color="auto" w:fill="FFFFFF"/>
            <w:tcMar>
              <w:top w:w="30" w:type="dxa"/>
              <w:left w:w="20" w:type="dxa"/>
              <w:bottom w:w="30" w:type="dxa"/>
              <w:right w:w="0" w:type="dxa"/>
            </w:tcMar>
            <w:vAlign w:val="bottom"/>
            <w:hideMark/>
          </w:tcPr>
          <w:p w14:paraId="3C06233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816B8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76B5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ACE8A1" w14:textId="77777777" w:rsidR="00000000" w:rsidRDefault="00E614A4">
            <w:pPr>
              <w:jc w:val="right"/>
              <w:rPr>
                <w:rFonts w:eastAsia="Times New Roman"/>
              </w:rPr>
            </w:pPr>
            <w:r>
              <w:rPr>
                <w:rFonts w:eastAsia="Times New Roman"/>
                <w:color w:val="000000"/>
                <w:sz w:val="18"/>
                <w:szCs w:val="18"/>
              </w:rPr>
              <w:t>(2,324)</w:t>
            </w:r>
          </w:p>
        </w:tc>
        <w:tc>
          <w:tcPr>
            <w:tcW w:w="0" w:type="auto"/>
            <w:shd w:val="clear" w:color="auto" w:fill="FFFFFF"/>
            <w:tcMar>
              <w:top w:w="30" w:type="dxa"/>
              <w:left w:w="0" w:type="dxa"/>
              <w:bottom w:w="30" w:type="dxa"/>
              <w:right w:w="20" w:type="dxa"/>
            </w:tcMar>
            <w:vAlign w:val="bottom"/>
            <w:hideMark/>
          </w:tcPr>
          <w:p w14:paraId="1965390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9F23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DE5A63" w14:textId="77777777" w:rsidR="00000000" w:rsidRDefault="00E614A4">
            <w:pPr>
              <w:jc w:val="right"/>
              <w:rPr>
                <w:rFonts w:eastAsia="Times New Roman"/>
              </w:rPr>
            </w:pPr>
            <w:r>
              <w:rPr>
                <w:rFonts w:eastAsia="Times New Roman"/>
                <w:color w:val="000000"/>
                <w:sz w:val="18"/>
                <w:szCs w:val="18"/>
              </w:rPr>
              <w:t>1,443 </w:t>
            </w:r>
          </w:p>
        </w:tc>
        <w:tc>
          <w:tcPr>
            <w:tcW w:w="0" w:type="auto"/>
            <w:shd w:val="clear" w:color="auto" w:fill="FFFFFF"/>
            <w:tcMar>
              <w:top w:w="30" w:type="dxa"/>
              <w:left w:w="0" w:type="dxa"/>
              <w:bottom w:w="30" w:type="dxa"/>
              <w:right w:w="20" w:type="dxa"/>
            </w:tcMar>
            <w:vAlign w:val="bottom"/>
            <w:hideMark/>
          </w:tcPr>
          <w:p w14:paraId="733E4E18" w14:textId="77777777" w:rsidR="00000000" w:rsidRDefault="00E614A4">
            <w:pPr>
              <w:jc w:val="right"/>
              <w:rPr>
                <w:rFonts w:eastAsia="Times New Roman"/>
              </w:rPr>
            </w:pPr>
          </w:p>
        </w:tc>
      </w:tr>
      <w:tr w:rsidR="00000000" w14:paraId="341BE229" w14:textId="77777777">
        <w:trPr>
          <w:divId w:val="1510170518"/>
        </w:trPr>
        <w:tc>
          <w:tcPr>
            <w:tcW w:w="0" w:type="auto"/>
            <w:gridSpan w:val="3"/>
            <w:shd w:val="clear" w:color="auto" w:fill="CCEEFF"/>
            <w:tcMar>
              <w:top w:w="30" w:type="dxa"/>
              <w:left w:w="20" w:type="dxa"/>
              <w:bottom w:w="30" w:type="dxa"/>
              <w:right w:w="20" w:type="dxa"/>
            </w:tcMar>
            <w:hideMark/>
          </w:tcPr>
          <w:p w14:paraId="145FA473" w14:textId="77777777" w:rsidR="00000000" w:rsidRDefault="00E614A4">
            <w:pPr>
              <w:rPr>
                <w:rFonts w:eastAsia="Times New Roman"/>
              </w:rPr>
            </w:pPr>
            <w:r>
              <w:rPr>
                <w:rFonts w:eastAsia="Times New Roman"/>
                <w:color w:val="000000"/>
                <w:sz w:val="18"/>
                <w:szCs w:val="18"/>
              </w:rPr>
              <w:t>Transition services agreement income</w:t>
            </w:r>
          </w:p>
        </w:tc>
        <w:tc>
          <w:tcPr>
            <w:tcW w:w="0" w:type="auto"/>
            <w:gridSpan w:val="2"/>
            <w:shd w:val="clear" w:color="auto" w:fill="CCEEFF"/>
            <w:tcMar>
              <w:top w:w="30" w:type="dxa"/>
              <w:left w:w="20" w:type="dxa"/>
              <w:bottom w:w="30" w:type="dxa"/>
              <w:right w:w="0" w:type="dxa"/>
            </w:tcMar>
            <w:vAlign w:val="bottom"/>
            <w:hideMark/>
          </w:tcPr>
          <w:p w14:paraId="34348F2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6531B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15C8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B7641C" w14:textId="77777777" w:rsidR="00000000" w:rsidRDefault="00E614A4">
            <w:pPr>
              <w:jc w:val="right"/>
              <w:rPr>
                <w:rFonts w:eastAsia="Times New Roman"/>
              </w:rPr>
            </w:pPr>
            <w:r>
              <w:rPr>
                <w:rFonts w:eastAsia="Times New Roman"/>
                <w:color w:val="000000"/>
                <w:sz w:val="18"/>
                <w:szCs w:val="18"/>
              </w:rPr>
              <w:t>534 </w:t>
            </w:r>
          </w:p>
        </w:tc>
        <w:tc>
          <w:tcPr>
            <w:tcW w:w="0" w:type="auto"/>
            <w:shd w:val="clear" w:color="auto" w:fill="CCEEFF"/>
            <w:tcMar>
              <w:top w:w="30" w:type="dxa"/>
              <w:left w:w="0" w:type="dxa"/>
              <w:bottom w:w="30" w:type="dxa"/>
              <w:right w:w="20" w:type="dxa"/>
            </w:tcMar>
            <w:vAlign w:val="bottom"/>
            <w:hideMark/>
          </w:tcPr>
          <w:p w14:paraId="1E88617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EC24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410226" w14:textId="77777777" w:rsidR="00000000" w:rsidRDefault="00E614A4">
            <w:pPr>
              <w:jc w:val="right"/>
              <w:rPr>
                <w:rFonts w:eastAsia="Times New Roman"/>
              </w:rPr>
            </w:pPr>
            <w:r>
              <w:rPr>
                <w:rFonts w:eastAsia="Times New Roman"/>
                <w:color w:val="000000"/>
                <w:sz w:val="18"/>
                <w:szCs w:val="18"/>
              </w:rPr>
              <w:t>9,029 </w:t>
            </w:r>
          </w:p>
        </w:tc>
        <w:tc>
          <w:tcPr>
            <w:tcW w:w="0" w:type="auto"/>
            <w:shd w:val="clear" w:color="auto" w:fill="CCEEFF"/>
            <w:tcMar>
              <w:top w:w="30" w:type="dxa"/>
              <w:left w:w="0" w:type="dxa"/>
              <w:bottom w:w="30" w:type="dxa"/>
              <w:right w:w="20" w:type="dxa"/>
            </w:tcMar>
            <w:vAlign w:val="bottom"/>
            <w:hideMark/>
          </w:tcPr>
          <w:p w14:paraId="7EFC6782" w14:textId="77777777" w:rsidR="00000000" w:rsidRDefault="00E614A4">
            <w:pPr>
              <w:jc w:val="right"/>
              <w:rPr>
                <w:rFonts w:eastAsia="Times New Roman"/>
              </w:rPr>
            </w:pPr>
          </w:p>
        </w:tc>
      </w:tr>
      <w:tr w:rsidR="00000000" w14:paraId="26AE6972" w14:textId="77777777">
        <w:trPr>
          <w:divId w:val="1510170518"/>
        </w:trPr>
        <w:tc>
          <w:tcPr>
            <w:tcW w:w="0" w:type="auto"/>
            <w:gridSpan w:val="3"/>
            <w:shd w:val="clear" w:color="auto" w:fill="FFFFFF"/>
            <w:tcMar>
              <w:top w:w="30" w:type="dxa"/>
              <w:left w:w="20" w:type="dxa"/>
              <w:bottom w:w="30" w:type="dxa"/>
              <w:right w:w="20" w:type="dxa"/>
            </w:tcMar>
            <w:hideMark/>
          </w:tcPr>
          <w:p w14:paraId="2CC00328" w14:textId="77777777" w:rsidR="00000000" w:rsidRDefault="00E614A4">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5D45DB37" w14:textId="77777777" w:rsidR="00000000" w:rsidRDefault="00E614A4">
            <w:pPr>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bottom"/>
            <w:hideMark/>
          </w:tcPr>
          <w:p w14:paraId="5BF7A3F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5A5CE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A9D9EA" w14:textId="77777777" w:rsidR="00000000" w:rsidRDefault="00E614A4">
            <w:pPr>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bottom"/>
            <w:hideMark/>
          </w:tcPr>
          <w:p w14:paraId="7619A5F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2061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B1AF0C" w14:textId="77777777" w:rsidR="00000000" w:rsidRDefault="00E614A4">
            <w:pPr>
              <w:jc w:val="right"/>
              <w:rPr>
                <w:rFonts w:eastAsia="Times New Roman"/>
              </w:rPr>
            </w:pPr>
            <w:r>
              <w:rPr>
                <w:rFonts w:eastAsia="Times New Roman"/>
                <w:color w:val="000000"/>
                <w:sz w:val="18"/>
                <w:szCs w:val="18"/>
              </w:rPr>
              <w:t>2,290 </w:t>
            </w:r>
          </w:p>
        </w:tc>
        <w:tc>
          <w:tcPr>
            <w:tcW w:w="0" w:type="auto"/>
            <w:shd w:val="clear" w:color="auto" w:fill="FFFFFF"/>
            <w:tcMar>
              <w:top w:w="30" w:type="dxa"/>
              <w:left w:w="0" w:type="dxa"/>
              <w:bottom w:w="30" w:type="dxa"/>
              <w:right w:w="20" w:type="dxa"/>
            </w:tcMar>
            <w:vAlign w:val="bottom"/>
            <w:hideMark/>
          </w:tcPr>
          <w:p w14:paraId="1C954CC2" w14:textId="77777777" w:rsidR="00000000" w:rsidRDefault="00E614A4">
            <w:pPr>
              <w:jc w:val="right"/>
              <w:rPr>
                <w:rFonts w:eastAsia="Times New Roman"/>
              </w:rPr>
            </w:pPr>
          </w:p>
        </w:tc>
      </w:tr>
      <w:tr w:rsidR="00000000" w14:paraId="6E7BD5A6" w14:textId="77777777">
        <w:trPr>
          <w:divId w:val="1510170518"/>
        </w:trPr>
        <w:tc>
          <w:tcPr>
            <w:tcW w:w="0" w:type="auto"/>
            <w:gridSpan w:val="3"/>
            <w:shd w:val="clear" w:color="auto" w:fill="CCEEFF"/>
            <w:tcMar>
              <w:top w:w="30" w:type="dxa"/>
              <w:left w:w="20" w:type="dxa"/>
              <w:bottom w:w="30" w:type="dxa"/>
              <w:right w:w="20" w:type="dxa"/>
            </w:tcMar>
            <w:hideMark/>
          </w:tcPr>
          <w:p w14:paraId="0C101262" w14:textId="77777777" w:rsidR="00000000" w:rsidRDefault="00E614A4">
            <w:pPr>
              <w:rPr>
                <w:rFonts w:eastAsia="Times New Roman"/>
              </w:rPr>
            </w:pPr>
            <w:r>
              <w:rPr>
                <w:rFonts w:eastAsia="Times New Roman"/>
                <w:color w:val="000000"/>
                <w:sz w:val="18"/>
                <w:szCs w:val="18"/>
              </w:rPr>
              <w:t>Total other income (expense),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9DF68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0719A4" w14:textId="77777777" w:rsidR="00000000" w:rsidRDefault="00E614A4">
            <w:pPr>
              <w:jc w:val="right"/>
              <w:rPr>
                <w:rFonts w:eastAsia="Times New Roman"/>
              </w:rPr>
            </w:pPr>
            <w:r>
              <w:rPr>
                <w:rFonts w:eastAsia="Times New Roman"/>
                <w:color w:val="000000"/>
                <w:sz w:val="18"/>
                <w:szCs w:val="18"/>
              </w:rPr>
              <w:t>14,554 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6F93C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5F68B"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4FE88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980EBC" w14:textId="77777777" w:rsidR="00000000" w:rsidRDefault="00E614A4">
            <w:pPr>
              <w:jc w:val="right"/>
              <w:rPr>
                <w:rFonts w:eastAsia="Times New Roman"/>
              </w:rPr>
            </w:pPr>
            <w:r>
              <w:rPr>
                <w:rFonts w:eastAsia="Times New Roman"/>
                <w:color w:val="000000"/>
                <w:sz w:val="18"/>
                <w:szCs w:val="18"/>
              </w:rPr>
              <w:t>1,654 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7A02A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4E85C"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12D88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09B259" w14:textId="77777777" w:rsidR="00000000" w:rsidRDefault="00E614A4">
            <w:pPr>
              <w:jc w:val="right"/>
              <w:rPr>
                <w:rFonts w:eastAsia="Times New Roman"/>
              </w:rPr>
            </w:pPr>
            <w:r>
              <w:rPr>
                <w:rFonts w:eastAsia="Times New Roman"/>
                <w:color w:val="000000"/>
                <w:sz w:val="18"/>
                <w:szCs w:val="18"/>
              </w:rPr>
              <w:t>(1,464)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0BCB1C" w14:textId="77777777" w:rsidR="00000000" w:rsidRDefault="00E614A4">
            <w:pPr>
              <w:jc w:val="right"/>
              <w:rPr>
                <w:rFonts w:eastAsia="Times New Roman"/>
              </w:rPr>
            </w:pPr>
          </w:p>
        </w:tc>
      </w:tr>
    </w:tbl>
    <w:p w14:paraId="1FC03166" w14:textId="77777777" w:rsidR="00000000" w:rsidRDefault="00E614A4">
      <w:pPr>
        <w:jc w:val="both"/>
        <w:divId w:val="760217876"/>
        <w:rPr>
          <w:rFonts w:eastAsia="Times New Roman"/>
        </w:rPr>
      </w:pPr>
      <w:r>
        <w:rPr>
          <w:rFonts w:eastAsia="Times New Roman"/>
          <w:color w:val="000000"/>
          <w:sz w:val="20"/>
          <w:szCs w:val="20"/>
        </w:rPr>
        <w:t>Total other income, net for the year ended December 31, 2020 was $14.6 million as compared to total other income, net of $1.7 million in 2019. The increase in other income, net was primarily driven by the change in fair value of warrants liability and fina</w:t>
      </w:r>
      <w:r>
        <w:rPr>
          <w:rFonts w:eastAsia="Times New Roman"/>
          <w:color w:val="000000"/>
          <w:sz w:val="20"/>
          <w:szCs w:val="20"/>
        </w:rPr>
        <w:t>ncing derivatives. Additionally, we had no loss on equity securities in 2020 compared with a decline in the fair value of equity securities that were sold in 2019.</w:t>
      </w:r>
    </w:p>
    <w:p w14:paraId="2B33E5B4" w14:textId="77777777" w:rsidR="00000000" w:rsidRDefault="00E614A4">
      <w:pPr>
        <w:jc w:val="both"/>
        <w:divId w:val="1617251773"/>
        <w:rPr>
          <w:rFonts w:eastAsia="Times New Roman"/>
        </w:rPr>
      </w:pPr>
      <w:r>
        <w:rPr>
          <w:rFonts w:eastAsia="Times New Roman"/>
          <w:color w:val="000000"/>
          <w:sz w:val="20"/>
          <w:szCs w:val="20"/>
        </w:rPr>
        <w:t>Total other income, net for the year ended December 31, 2019 was $1.7 million as compared to</w:t>
      </w:r>
      <w:r>
        <w:rPr>
          <w:rFonts w:eastAsia="Times New Roman"/>
          <w:color w:val="000000"/>
          <w:sz w:val="20"/>
          <w:szCs w:val="20"/>
        </w:rPr>
        <w:t xml:space="preserve"> total other expense, net of $1.5 million in 2018. The shift to other income was primarily driven by the change in fair value of financing derivatives. Offsetting the increase to other income was a decrease in transition services income, a decline in the f</w:t>
      </w:r>
      <w:r>
        <w:rPr>
          <w:rFonts w:eastAsia="Times New Roman"/>
          <w:color w:val="000000"/>
          <w:sz w:val="20"/>
          <w:szCs w:val="20"/>
        </w:rPr>
        <w:t>air value of equity securities that were sold in 2019 and a decrease resulting from patent income in 2018.</w:t>
      </w:r>
    </w:p>
    <w:p w14:paraId="01000775" w14:textId="77777777" w:rsidR="00000000" w:rsidRDefault="00E614A4">
      <w:pPr>
        <w:jc w:val="both"/>
        <w:divId w:val="1703238950"/>
        <w:rPr>
          <w:rFonts w:eastAsia="Times New Roman"/>
        </w:rPr>
      </w:pPr>
      <w:r>
        <w:rPr>
          <w:rFonts w:eastAsia="Times New Roman"/>
          <w:b/>
          <w:bCs/>
          <w:i/>
          <w:iCs/>
          <w:color w:val="000000"/>
          <w:sz w:val="20"/>
          <w:szCs w:val="20"/>
        </w:rPr>
        <w:t>(Loss) Gain from Foreign Currency Transactions</w:t>
      </w:r>
    </w:p>
    <w:p w14:paraId="792AB78B" w14:textId="77777777" w:rsidR="00000000" w:rsidRDefault="00E614A4">
      <w:pPr>
        <w:jc w:val="both"/>
        <w:divId w:val="673343395"/>
        <w:rPr>
          <w:rFonts w:eastAsia="Times New Roman"/>
        </w:rPr>
      </w:pPr>
      <w:r>
        <w:rPr>
          <w:rFonts w:eastAsia="Times New Roman"/>
          <w:color w:val="000000"/>
          <w:sz w:val="20"/>
          <w:szCs w:val="20"/>
        </w:rPr>
        <w:t>Our foreign currency transactions are recorded as a result of fluctuations in the exchange rate betwee</w:t>
      </w:r>
      <w:r>
        <w:rPr>
          <w:rFonts w:eastAsia="Times New Roman"/>
          <w:color w:val="000000"/>
          <w:sz w:val="20"/>
          <w:szCs w:val="20"/>
        </w:rPr>
        <w:t xml:space="preserve">n the transactional currency and the functional currency of foreign subsidiary transactions. </w:t>
      </w:r>
    </w:p>
    <w:p w14:paraId="76D0377F" w14:textId="77777777" w:rsidR="00000000" w:rsidRDefault="00E614A4">
      <w:pPr>
        <w:jc w:val="both"/>
        <w:divId w:val="69927639"/>
        <w:rPr>
          <w:rFonts w:eastAsia="Times New Roman"/>
        </w:rPr>
      </w:pPr>
      <w:r>
        <w:rPr>
          <w:rFonts w:eastAsia="Times New Roman"/>
          <w:color w:val="000000"/>
          <w:sz w:val="20"/>
          <w:szCs w:val="20"/>
        </w:rPr>
        <w:t>For the year ended December 31, 2020, the loss from foreign currency transactions was $4.5 million. The loss was primarily driven by fluctuations in the Chilean P</w:t>
      </w:r>
      <w:r>
        <w:rPr>
          <w:rFonts w:eastAsia="Times New Roman"/>
          <w:color w:val="000000"/>
          <w:sz w:val="20"/>
          <w:szCs w:val="20"/>
        </w:rPr>
        <w:t>eso against both the U.S. Dollar and Brazilian Real and the U.S. Dollar against the Euro.</w:t>
      </w:r>
    </w:p>
    <w:p w14:paraId="2CEDED03" w14:textId="77777777" w:rsidR="00000000" w:rsidRDefault="00E614A4">
      <w:pPr>
        <w:jc w:val="both"/>
        <w:divId w:val="2132358267"/>
        <w:rPr>
          <w:rFonts w:eastAsia="Times New Roman"/>
        </w:rPr>
      </w:pPr>
      <w:r>
        <w:rPr>
          <w:rFonts w:eastAsia="Times New Roman"/>
          <w:color w:val="000000"/>
          <w:sz w:val="20"/>
          <w:szCs w:val="20"/>
        </w:rPr>
        <w:t>For the year ended December 31, 2019, the gain from foreign currency transactions was $0.3 million. The gain was primarily driven by fluctuations of the average Chile</w:t>
      </w:r>
      <w:r>
        <w:rPr>
          <w:rFonts w:eastAsia="Times New Roman"/>
          <w:color w:val="000000"/>
          <w:sz w:val="20"/>
          <w:szCs w:val="20"/>
        </w:rPr>
        <w:t xml:space="preserve">an Peso against the U.S. Dollar. </w:t>
      </w:r>
    </w:p>
    <w:p w14:paraId="3EAA58E4" w14:textId="77777777" w:rsidR="00000000" w:rsidRDefault="00E614A4">
      <w:pPr>
        <w:jc w:val="both"/>
        <w:divId w:val="1988898692"/>
        <w:rPr>
          <w:rFonts w:eastAsia="Times New Roman"/>
        </w:rPr>
      </w:pPr>
      <w:r>
        <w:rPr>
          <w:rFonts w:eastAsia="Times New Roman"/>
          <w:color w:val="000000"/>
          <w:sz w:val="20"/>
          <w:szCs w:val="20"/>
        </w:rPr>
        <w:t xml:space="preserve">For the year ended December 31, 2018, the gain from foreign currency transactions was $1.3 million. The gain was primarily related to fluctuations in the average U.S. Dollar to Euro, Canadian Dollar and Chilean Peso. </w:t>
      </w:r>
    </w:p>
    <w:p w14:paraId="282103A3" w14:textId="77777777" w:rsidR="00000000" w:rsidRDefault="00E614A4">
      <w:pPr>
        <w:jc w:val="center"/>
        <w:divId w:val="1713116266"/>
        <w:rPr>
          <w:rFonts w:eastAsia="Times New Roman"/>
        </w:rPr>
      </w:pPr>
      <w:r>
        <w:rPr>
          <w:rFonts w:eastAsia="Times New Roman"/>
          <w:color w:val="000000"/>
          <w:sz w:val="20"/>
          <w:szCs w:val="20"/>
        </w:rPr>
        <w:t>42</w:t>
      </w:r>
    </w:p>
    <w:p w14:paraId="159551C5" w14:textId="77777777" w:rsidR="00000000" w:rsidRDefault="00E614A4">
      <w:pPr>
        <w:rPr>
          <w:rFonts w:eastAsia="Times New Roman"/>
        </w:rPr>
      </w:pPr>
      <w:r>
        <w:rPr>
          <w:rFonts w:eastAsia="Times New Roman"/>
        </w:rPr>
        <w:pict w14:anchorId="47283D0B">
          <v:rect id="_x0000_i1070" style="width:0;height:1.5pt" o:hralign="center" o:hrstd="t" o:hr="t" fillcolor="#a0a0a0" stroked="f"/>
        </w:pict>
      </w:r>
    </w:p>
    <w:p w14:paraId="1C6EA5F8" w14:textId="77777777" w:rsidR="00000000" w:rsidRDefault="00E614A4">
      <w:pPr>
        <w:divId w:val="1564372958"/>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BE1E5CC" w14:textId="77777777" w:rsidR="00000000" w:rsidRDefault="00E614A4">
      <w:pPr>
        <w:divId w:val="919801345"/>
        <w:rPr>
          <w:rFonts w:eastAsia="Times New Roman"/>
        </w:rPr>
      </w:pPr>
    </w:p>
    <w:p w14:paraId="0439A0A0" w14:textId="77777777" w:rsidR="00000000" w:rsidRDefault="00E614A4">
      <w:pPr>
        <w:jc w:val="both"/>
        <w:divId w:val="1275595365"/>
        <w:rPr>
          <w:rFonts w:eastAsia="Times New Roman"/>
        </w:rPr>
      </w:pPr>
      <w:r>
        <w:rPr>
          <w:rFonts w:eastAsia="Times New Roman"/>
          <w:b/>
          <w:bCs/>
          <w:i/>
          <w:iCs/>
          <w:color w:val="000000"/>
          <w:sz w:val="20"/>
          <w:szCs w:val="20"/>
        </w:rPr>
        <w:t xml:space="preserve">Income Tax (Provision) Benefit </w:t>
      </w:r>
    </w:p>
    <w:p w14:paraId="31D3C19D" w14:textId="77777777" w:rsidR="00000000" w:rsidRDefault="00E614A4">
      <w:pPr>
        <w:jc w:val="both"/>
        <w:divId w:val="1277980366"/>
        <w:rPr>
          <w:rFonts w:eastAsia="Times New Roman"/>
        </w:rPr>
      </w:pPr>
      <w:r>
        <w:rPr>
          <w:rFonts w:eastAsia="Times New Roman"/>
          <w:color w:val="000000"/>
          <w:sz w:val="20"/>
          <w:szCs w:val="20"/>
        </w:rPr>
        <w:t>A valuation allowance has been established against our net U.S. federal and state deferred tax assets, and certain foreign deferred tax assets, including net operating loss carryforwards. As a result, our income tax position is primarily related to foreign</w:t>
      </w:r>
      <w:r>
        <w:rPr>
          <w:rFonts w:eastAsia="Times New Roman"/>
          <w:color w:val="000000"/>
          <w:sz w:val="20"/>
          <w:szCs w:val="20"/>
        </w:rPr>
        <w:t xml:space="preserve"> tax activity.</w:t>
      </w:r>
    </w:p>
    <w:p w14:paraId="23B77350" w14:textId="77777777" w:rsidR="00000000" w:rsidRDefault="00E614A4">
      <w:pPr>
        <w:jc w:val="both"/>
        <w:divId w:val="1906068593"/>
        <w:rPr>
          <w:rFonts w:eastAsia="Times New Roman"/>
        </w:rPr>
      </w:pPr>
      <w:r>
        <w:rPr>
          <w:rFonts w:eastAsia="Times New Roman"/>
          <w:color w:val="000000"/>
          <w:sz w:val="20"/>
          <w:szCs w:val="20"/>
        </w:rPr>
        <w:t>During the years ended December 31, 2020, 2019, and 2018, we recorded an income tax (provision) benefit of $(0.9) million, $1.0 million, and $(3.7) million, resulting in an effective tax rate of 1.9%, (0.3)%, and 2.4%, respectively. These ef</w:t>
      </w:r>
      <w:r>
        <w:rPr>
          <w:rFonts w:eastAsia="Times New Roman"/>
          <w:color w:val="000000"/>
          <w:sz w:val="20"/>
          <w:szCs w:val="20"/>
        </w:rPr>
        <w:t>fective tax rates differ from the U.S. federal statutory rate primarily due to the effects of certain permanent items, foreign tax rate differences, and increases in the valuation allowance against our domestic deferred tax assets.</w:t>
      </w:r>
    </w:p>
    <w:p w14:paraId="4FCF7E48" w14:textId="77777777" w:rsidR="00000000" w:rsidRDefault="00E614A4">
      <w:pPr>
        <w:jc w:val="both"/>
        <w:divId w:val="495846476"/>
        <w:rPr>
          <w:rFonts w:eastAsia="Times New Roman"/>
        </w:rPr>
      </w:pPr>
      <w:r>
        <w:rPr>
          <w:rFonts w:eastAsia="Times New Roman"/>
          <w:color w:val="000000"/>
          <w:sz w:val="20"/>
          <w:szCs w:val="20"/>
        </w:rPr>
        <w:t xml:space="preserve">Included within the tax </w:t>
      </w:r>
      <w:r>
        <w:rPr>
          <w:rFonts w:eastAsia="Times New Roman"/>
          <w:color w:val="000000"/>
          <w:sz w:val="20"/>
          <w:szCs w:val="20"/>
        </w:rPr>
        <w:t>expense for the year ended December 31, 2020 are income tax adjustments of $8.9 million for permanent differences in the book and tax treatment of certain stock-based compensation, limitations on the deductibility of certain executive compensation, nondedu</w:t>
      </w:r>
      <w:r>
        <w:rPr>
          <w:rFonts w:eastAsia="Times New Roman"/>
          <w:color w:val="000000"/>
          <w:sz w:val="20"/>
          <w:szCs w:val="20"/>
        </w:rPr>
        <w:t>ctible interest expense on debt instruments and associated derivatives, and other nondeductible expenses. Also included is an adjustment of $11.2 million for a permanent difference related to foreign earnings taxable in the U.S. as a result of a tax restru</w:t>
      </w:r>
      <w:r>
        <w:rPr>
          <w:rFonts w:eastAsia="Times New Roman"/>
          <w:color w:val="000000"/>
          <w:sz w:val="20"/>
          <w:szCs w:val="20"/>
        </w:rPr>
        <w:t>cturing that occurred during the year.</w:t>
      </w:r>
    </w:p>
    <w:p w14:paraId="662C6F2A" w14:textId="77777777" w:rsidR="00000000" w:rsidRDefault="00E614A4">
      <w:pPr>
        <w:jc w:val="both"/>
        <w:divId w:val="1911497118"/>
        <w:rPr>
          <w:rFonts w:eastAsia="Times New Roman"/>
        </w:rPr>
      </w:pPr>
      <w:r>
        <w:rPr>
          <w:rFonts w:eastAsia="Times New Roman"/>
          <w:color w:val="000000"/>
          <w:sz w:val="20"/>
          <w:szCs w:val="20"/>
        </w:rPr>
        <w:t>Included within the tax benefit for the year ended December 31, 2019 are income tax adjustments of $58.6 million related to the impairment of goodwill and $15.2 million for permanent differences in the book and tax tr</w:t>
      </w:r>
      <w:r>
        <w:rPr>
          <w:rFonts w:eastAsia="Times New Roman"/>
          <w:color w:val="000000"/>
          <w:sz w:val="20"/>
          <w:szCs w:val="20"/>
        </w:rPr>
        <w:t>eatment of certain stock-based compensation, limitations on the deductibility of certain executive compensation, nondeductible interest expense on debt instruments and associated derivatives, and other nondeductible expenses. Income tax expense of $17.3 mi</w:t>
      </w:r>
      <w:r>
        <w:rPr>
          <w:rFonts w:eastAsia="Times New Roman"/>
          <w:color w:val="000000"/>
          <w:sz w:val="20"/>
          <w:szCs w:val="20"/>
        </w:rPr>
        <w:t xml:space="preserve">llion has also been included for increases in the valuation allowance recorded against our deferred tax assets to offset the tax benefit of our operating losses in the U.S. and certain foreign jurisdictions. </w:t>
      </w:r>
    </w:p>
    <w:p w14:paraId="51B18462" w14:textId="77777777" w:rsidR="00000000" w:rsidRDefault="00E614A4">
      <w:pPr>
        <w:jc w:val="both"/>
        <w:divId w:val="885215025"/>
        <w:rPr>
          <w:rFonts w:eastAsia="Times New Roman"/>
        </w:rPr>
      </w:pPr>
      <w:r>
        <w:rPr>
          <w:rFonts w:eastAsia="Times New Roman"/>
          <w:color w:val="000000"/>
          <w:sz w:val="20"/>
          <w:szCs w:val="20"/>
        </w:rPr>
        <w:t>Included within the tax expense for the year en</w:t>
      </w:r>
      <w:r>
        <w:rPr>
          <w:rFonts w:eastAsia="Times New Roman"/>
          <w:color w:val="000000"/>
          <w:sz w:val="20"/>
          <w:szCs w:val="20"/>
        </w:rPr>
        <w:t>ded December 31, 2018, is an income tax adjustment of $19.7 million for permanent differences in the book and tax treatment of certain stock-based compensation, limitations on the deductibility of certain executive compensation, nondeductible interest expe</w:t>
      </w:r>
      <w:r>
        <w:rPr>
          <w:rFonts w:eastAsia="Times New Roman"/>
          <w:color w:val="000000"/>
          <w:sz w:val="20"/>
          <w:szCs w:val="20"/>
        </w:rPr>
        <w:t>nse on debt instruments and associated derivatives, and other nondeductible expenses. Income tax expense of $19.0 million for increases in the valuation allowance recorded against our deferred tax assets to offset the tax benefit of our operating losses in</w:t>
      </w:r>
      <w:r>
        <w:rPr>
          <w:rFonts w:eastAsia="Times New Roman"/>
          <w:color w:val="000000"/>
          <w:sz w:val="20"/>
          <w:szCs w:val="20"/>
        </w:rPr>
        <w:t xml:space="preserve"> the U.S. and certain foreign jurisdictions. </w:t>
      </w:r>
    </w:p>
    <w:p w14:paraId="2230938C" w14:textId="77777777" w:rsidR="00000000" w:rsidRDefault="00E614A4">
      <w:pPr>
        <w:jc w:val="both"/>
        <w:divId w:val="967398584"/>
        <w:rPr>
          <w:rFonts w:eastAsia="Times New Roman"/>
        </w:rPr>
      </w:pPr>
      <w:r>
        <w:rPr>
          <w:rFonts w:eastAsia="Times New Roman"/>
          <w:color w:val="000000"/>
          <w:sz w:val="20"/>
          <w:szCs w:val="20"/>
        </w:rPr>
        <w:t>The COVID-19 pandemic has a global reach, and many countries have introduced measures that provide relief to taxpayers in a variety of ways. We have evaluated these measures, including the CARES Act in the Unit</w:t>
      </w:r>
      <w:r>
        <w:rPr>
          <w:rFonts w:eastAsia="Times New Roman"/>
          <w:color w:val="000000"/>
          <w:sz w:val="20"/>
          <w:szCs w:val="20"/>
        </w:rPr>
        <w:t>ed States, and have concluded that these did not have a significant impact on our income tax provision for the year ended December 31, 2020.</w:t>
      </w:r>
    </w:p>
    <w:p w14:paraId="3C992392" w14:textId="77777777" w:rsidR="00000000" w:rsidRDefault="00E614A4">
      <w:pPr>
        <w:jc w:val="both"/>
        <w:divId w:val="916742776"/>
        <w:rPr>
          <w:rFonts w:eastAsia="Times New Roman"/>
        </w:rPr>
      </w:pPr>
      <w:r>
        <w:rPr>
          <w:rFonts w:eastAsia="Times New Roman"/>
          <w:b/>
          <w:bCs/>
          <w:color w:val="000000"/>
          <w:sz w:val="20"/>
          <w:szCs w:val="20"/>
        </w:rPr>
        <w:t>Non-GAAP Financial Measures</w:t>
      </w:r>
    </w:p>
    <w:p w14:paraId="59F67D57" w14:textId="77777777" w:rsidR="00000000" w:rsidRDefault="00E614A4">
      <w:pPr>
        <w:jc w:val="both"/>
        <w:divId w:val="1167405148"/>
        <w:rPr>
          <w:rFonts w:eastAsia="Times New Roman"/>
        </w:rPr>
      </w:pPr>
      <w:r>
        <w:rPr>
          <w:rFonts w:eastAsia="Times New Roman"/>
          <w:color w:val="000000"/>
          <w:sz w:val="20"/>
          <w:szCs w:val="20"/>
        </w:rPr>
        <w:t>To provide investors with additional information regarding our financial results, and t</w:t>
      </w:r>
      <w:r>
        <w:rPr>
          <w:rFonts w:eastAsia="Times New Roman"/>
          <w:color w:val="000000"/>
          <w:sz w:val="20"/>
          <w:szCs w:val="20"/>
        </w:rPr>
        <w:t>o comply with a covenant under our Notes (described below), we are disclosing herein Adjusted Earnings Before Interest, Taxes, Depreciation, and Amortization ("EBITDA") and non-GAAP net loss, each of which are non-GAAP financial measures used by our manage</w:t>
      </w:r>
      <w:r>
        <w:rPr>
          <w:rFonts w:eastAsia="Times New Roman"/>
          <w:color w:val="000000"/>
          <w:sz w:val="20"/>
          <w:szCs w:val="20"/>
        </w:rPr>
        <w:t>ment to understand and evaluate our core operating performance and trends. We believe that these non-GAAP financial measures provide useful information to investors and others in understanding and evaluating our operating results, as they permit our invest</w:t>
      </w:r>
      <w:r>
        <w:rPr>
          <w:rFonts w:eastAsia="Times New Roman"/>
          <w:color w:val="000000"/>
          <w:sz w:val="20"/>
          <w:szCs w:val="20"/>
        </w:rPr>
        <w:t>ors to view our core business performance using the same metrics that management uses to evaluate our performance.</w:t>
      </w:r>
    </w:p>
    <w:p w14:paraId="6033629F" w14:textId="77777777" w:rsidR="00000000" w:rsidRDefault="00E614A4">
      <w:pPr>
        <w:jc w:val="both"/>
        <w:divId w:val="1327318369"/>
        <w:rPr>
          <w:rFonts w:eastAsia="Times New Roman"/>
        </w:rPr>
      </w:pPr>
      <w:r>
        <w:rPr>
          <w:rFonts w:eastAsia="Times New Roman"/>
          <w:color w:val="000000"/>
          <w:sz w:val="20"/>
          <w:szCs w:val="20"/>
        </w:rPr>
        <w:t>EBITDA is defined as GAAP net income (loss) plus or minus interest, taxes, depreciation and amortization of intangible assets and finance lea</w:t>
      </w:r>
      <w:r>
        <w:rPr>
          <w:rFonts w:eastAsia="Times New Roman"/>
          <w:color w:val="000000"/>
          <w:sz w:val="20"/>
          <w:szCs w:val="20"/>
        </w:rPr>
        <w:t xml:space="preserve">ses. We define Adjusted EBITDA as EBITDA plus or minus stock-based compensation expense as well as other items and amounts that we view as not indicative of our core operating performance, specifically: charges for matters relating to the prior-year Audit </w:t>
      </w:r>
      <w:r>
        <w:rPr>
          <w:rFonts w:eastAsia="Times New Roman"/>
          <w:color w:val="000000"/>
          <w:sz w:val="20"/>
          <w:szCs w:val="20"/>
        </w:rPr>
        <w:t>Committee investigation, such as litigation and investigation-related costs, costs associated with tax projects, audits, consulting and other professional fees; other legal proceedings specified in the Notes; settlement of certain litigation; restructuring</w:t>
      </w:r>
      <w:r>
        <w:rPr>
          <w:rFonts w:eastAsia="Times New Roman"/>
          <w:color w:val="000000"/>
          <w:sz w:val="20"/>
          <w:szCs w:val="20"/>
        </w:rPr>
        <w:t xml:space="preserve"> expense; transaction costs related to the issuance of equity securities; non-cash impairment charges; and non-cash changes in the fair value of financing derivatives, warrants liability and investments in equity securities.</w:t>
      </w:r>
    </w:p>
    <w:p w14:paraId="2E5B5CCF" w14:textId="77777777" w:rsidR="00000000" w:rsidRDefault="00E614A4">
      <w:pPr>
        <w:jc w:val="both"/>
        <w:divId w:val="760837013"/>
        <w:rPr>
          <w:rFonts w:eastAsia="Times New Roman"/>
        </w:rPr>
      </w:pPr>
      <w:r>
        <w:rPr>
          <w:rFonts w:eastAsia="Times New Roman"/>
          <w:color w:val="000000"/>
          <w:sz w:val="20"/>
          <w:szCs w:val="20"/>
        </w:rPr>
        <w:t xml:space="preserve">We define non-GAAP net loss as </w:t>
      </w:r>
      <w:r>
        <w:rPr>
          <w:rFonts w:eastAsia="Times New Roman"/>
          <w:color w:val="000000"/>
          <w:sz w:val="20"/>
          <w:szCs w:val="20"/>
        </w:rPr>
        <w:t xml:space="preserve">GAAP net income (loss) plus or minus stock-based compensation expense and amortization of intangible assets, as well as other items and amounts that we view as not indicative of our core operating performance, specifically: charges for matters relating to </w:t>
      </w:r>
      <w:r>
        <w:rPr>
          <w:rFonts w:eastAsia="Times New Roman"/>
          <w:color w:val="000000"/>
          <w:sz w:val="20"/>
          <w:szCs w:val="20"/>
        </w:rPr>
        <w:t>the prior-year Audit Committee investigation, such as litigation and investigation-related costs, costs associated with tax projects, audits, consulting and other professional fees; other legal proceedings specified in the Notes; settlement of certain liti</w:t>
      </w:r>
      <w:r>
        <w:rPr>
          <w:rFonts w:eastAsia="Times New Roman"/>
          <w:color w:val="000000"/>
          <w:sz w:val="20"/>
          <w:szCs w:val="20"/>
        </w:rPr>
        <w:t xml:space="preserve">gation; restructuring expense; transaction costs related to the issuance of equity securities; non-cash impairment charges; and non-cash changes in the fair value of financing derivatives, warrants liability and investments in equity securities. </w:t>
      </w:r>
    </w:p>
    <w:p w14:paraId="02042C06" w14:textId="77777777" w:rsidR="00000000" w:rsidRDefault="00E614A4">
      <w:pPr>
        <w:jc w:val="both"/>
        <w:divId w:val="881819578"/>
        <w:rPr>
          <w:rFonts w:eastAsia="Times New Roman"/>
        </w:rPr>
      </w:pPr>
      <w:r>
        <w:rPr>
          <w:rFonts w:eastAsia="Times New Roman"/>
          <w:color w:val="000000"/>
          <w:sz w:val="20"/>
          <w:szCs w:val="20"/>
        </w:rPr>
        <w:t>Our use o</w:t>
      </w:r>
      <w:r>
        <w:rPr>
          <w:rFonts w:eastAsia="Times New Roman"/>
          <w:color w:val="000000"/>
          <w:sz w:val="20"/>
          <w:szCs w:val="20"/>
        </w:rPr>
        <w:t>f these non-GAAP financial measures has limitations as an analytical tool, and investors should not consider these measures in isolation or as a substitute for analysis of our results as reported under GAAP. The limitations of such non-GAAP measures includ</w:t>
      </w:r>
      <w:r>
        <w:rPr>
          <w:rFonts w:eastAsia="Times New Roman"/>
          <w:color w:val="000000"/>
          <w:sz w:val="20"/>
          <w:szCs w:val="20"/>
        </w:rPr>
        <w:t>e the following:</w:t>
      </w:r>
    </w:p>
    <w:p w14:paraId="751985D8" w14:textId="77777777" w:rsidR="00000000" w:rsidRDefault="00E614A4">
      <w:pPr>
        <w:ind w:hanging="540"/>
        <w:jc w:val="both"/>
        <w:divId w:val="534732722"/>
        <w:rPr>
          <w:rFonts w:eastAsia="Times New Roman"/>
        </w:rPr>
      </w:pPr>
      <w:r>
        <w:rPr>
          <w:rFonts w:eastAsia="Times New Roman"/>
          <w:color w:val="000000"/>
          <w:sz w:val="20"/>
          <w:szCs w:val="20"/>
        </w:rPr>
        <w:t>•Adjusted EBITDA does not reflect tax or interest payments that represent a reduction in cash available to us (or, in the case of interest paid in Common Stock, that represent additional dilution to our existing stockholders);</w:t>
      </w:r>
    </w:p>
    <w:p w14:paraId="6F309AFE" w14:textId="77777777" w:rsidR="00000000" w:rsidRDefault="00E614A4">
      <w:pPr>
        <w:ind w:hanging="540"/>
        <w:jc w:val="both"/>
        <w:divId w:val="1605381639"/>
        <w:rPr>
          <w:rFonts w:eastAsia="Times New Roman"/>
        </w:rPr>
      </w:pPr>
      <w:r>
        <w:rPr>
          <w:rFonts w:eastAsia="Times New Roman"/>
          <w:color w:val="000000"/>
          <w:sz w:val="20"/>
          <w:szCs w:val="20"/>
        </w:rPr>
        <w:t>•Depreciatio</w:t>
      </w:r>
      <w:r>
        <w:rPr>
          <w:rFonts w:eastAsia="Times New Roman"/>
          <w:color w:val="000000"/>
          <w:sz w:val="20"/>
          <w:szCs w:val="20"/>
        </w:rPr>
        <w:t>n and amortization are non-cash charges and the assets being depreciated may have to be replaced in the future. Adjusted EBITDA does not reflect cash capital expenditure requirements for such replacements or for new capital expenditure requirements;</w:t>
      </w:r>
    </w:p>
    <w:p w14:paraId="36B6E5DB" w14:textId="77777777" w:rsidR="00000000" w:rsidRDefault="00E614A4">
      <w:pPr>
        <w:jc w:val="center"/>
        <w:divId w:val="1703826788"/>
        <w:rPr>
          <w:rFonts w:eastAsia="Times New Roman"/>
        </w:rPr>
      </w:pPr>
      <w:r>
        <w:rPr>
          <w:rFonts w:eastAsia="Times New Roman"/>
          <w:color w:val="000000"/>
          <w:sz w:val="20"/>
          <w:szCs w:val="20"/>
        </w:rPr>
        <w:t>43</w:t>
      </w:r>
    </w:p>
    <w:p w14:paraId="219CC579" w14:textId="77777777" w:rsidR="00000000" w:rsidRDefault="00E614A4">
      <w:pPr>
        <w:rPr>
          <w:rFonts w:eastAsia="Times New Roman"/>
        </w:rPr>
      </w:pPr>
      <w:r>
        <w:rPr>
          <w:rFonts w:eastAsia="Times New Roman"/>
        </w:rPr>
        <w:pict w14:anchorId="6DBA9D5E">
          <v:rect id="_x0000_i1071" style="width:0;height:1.5pt" o:hralign="center" o:hrstd="t" o:hr="t" fillcolor="#a0a0a0" stroked="f"/>
        </w:pict>
      </w:r>
    </w:p>
    <w:p w14:paraId="16506E4E" w14:textId="77777777" w:rsidR="00000000" w:rsidRDefault="00E614A4">
      <w:pPr>
        <w:divId w:val="118725179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6A4546B" w14:textId="77777777" w:rsidR="00000000" w:rsidRDefault="00E614A4">
      <w:pPr>
        <w:divId w:val="1594901928"/>
        <w:rPr>
          <w:rFonts w:eastAsia="Times New Roman"/>
        </w:rPr>
      </w:pPr>
    </w:p>
    <w:p w14:paraId="09475B8D" w14:textId="77777777" w:rsidR="00000000" w:rsidRDefault="00E614A4">
      <w:pPr>
        <w:ind w:hanging="540"/>
        <w:jc w:val="both"/>
        <w:divId w:val="188448493"/>
        <w:rPr>
          <w:rFonts w:eastAsia="Times New Roman"/>
        </w:rPr>
      </w:pPr>
      <w:r>
        <w:rPr>
          <w:rFonts w:eastAsia="Times New Roman"/>
          <w:color w:val="000000"/>
          <w:sz w:val="20"/>
          <w:szCs w:val="20"/>
        </w:rPr>
        <w:t>•</w:t>
      </w:r>
      <w:r>
        <w:rPr>
          <w:rFonts w:eastAsia="Times New Roman"/>
          <w:color w:val="000000"/>
          <w:sz w:val="20"/>
          <w:szCs w:val="20"/>
        </w:rPr>
        <w:t>Adjusted EBITDA does not reflect changes in, or cash requirements for, our working capital needs;</w:t>
      </w:r>
    </w:p>
    <w:p w14:paraId="118FD910" w14:textId="77777777" w:rsidR="00000000" w:rsidRDefault="00E614A4">
      <w:pPr>
        <w:ind w:hanging="540"/>
        <w:jc w:val="both"/>
        <w:divId w:val="1844393836"/>
        <w:rPr>
          <w:rFonts w:eastAsia="Times New Roman"/>
        </w:rPr>
      </w:pPr>
      <w:r>
        <w:rPr>
          <w:rFonts w:eastAsia="Times New Roman"/>
          <w:color w:val="000000"/>
          <w:sz w:val="20"/>
          <w:szCs w:val="20"/>
        </w:rPr>
        <w:t>•Adjusted EBITDA and non-GAAP net loss do not reflect cash payments relating to fees incurred in connection with issuance of equity securities, restructuring,</w:t>
      </w:r>
      <w:r>
        <w:rPr>
          <w:rFonts w:eastAsia="Times New Roman"/>
          <w:color w:val="000000"/>
          <w:sz w:val="20"/>
          <w:szCs w:val="20"/>
        </w:rPr>
        <w:t xml:space="preserve"> litigation and the prior-year Audit Committee investigation, such as litigation and investigation-related costs, costs associated with tax projects, audits and other professional, consulting or other fees incurred in connection with our prior-year audits </w:t>
      </w:r>
      <w:r>
        <w:rPr>
          <w:rFonts w:eastAsia="Times New Roman"/>
          <w:color w:val="000000"/>
          <w:sz w:val="20"/>
          <w:szCs w:val="20"/>
        </w:rPr>
        <w:t>and certain legal proceedings, all of which have represented a reduction in cash available to us;</w:t>
      </w:r>
    </w:p>
    <w:p w14:paraId="5686EE10" w14:textId="77777777" w:rsidR="00000000" w:rsidRDefault="00E614A4">
      <w:pPr>
        <w:ind w:hanging="540"/>
        <w:jc w:val="both"/>
        <w:divId w:val="808597140"/>
        <w:rPr>
          <w:rFonts w:eastAsia="Times New Roman"/>
        </w:rPr>
      </w:pPr>
      <w:r>
        <w:rPr>
          <w:rFonts w:eastAsia="Times New Roman"/>
          <w:color w:val="000000"/>
          <w:sz w:val="20"/>
          <w:szCs w:val="20"/>
        </w:rPr>
        <w:t>•Adjusted EBITDA and non-GAAP net loss do not consider the impact of stock-based compensation and similar arrangements that represent dilution to our existing</w:t>
      </w:r>
      <w:r>
        <w:rPr>
          <w:rFonts w:eastAsia="Times New Roman"/>
          <w:color w:val="000000"/>
          <w:sz w:val="20"/>
          <w:szCs w:val="20"/>
        </w:rPr>
        <w:t xml:space="preserve"> stockholders; </w:t>
      </w:r>
    </w:p>
    <w:p w14:paraId="1167BEF2" w14:textId="77777777" w:rsidR="00000000" w:rsidRDefault="00E614A4">
      <w:pPr>
        <w:ind w:hanging="540"/>
        <w:jc w:val="both"/>
        <w:divId w:val="1545172367"/>
        <w:rPr>
          <w:rFonts w:eastAsia="Times New Roman"/>
        </w:rPr>
      </w:pPr>
      <w:r>
        <w:rPr>
          <w:rFonts w:eastAsia="Times New Roman"/>
          <w:color w:val="000000"/>
          <w:sz w:val="20"/>
          <w:szCs w:val="20"/>
        </w:rPr>
        <w:t>•Adjusted EBITDA and non-GAAP net loss do not consider impairment of goodwill, right-of-use and other long-lived assets, which represents a decline in the value of our assets;</w:t>
      </w:r>
    </w:p>
    <w:p w14:paraId="5415094D" w14:textId="77777777" w:rsidR="00000000" w:rsidRDefault="00E614A4">
      <w:pPr>
        <w:ind w:hanging="540"/>
        <w:jc w:val="both"/>
        <w:divId w:val="721366609"/>
        <w:rPr>
          <w:rFonts w:eastAsia="Times New Roman"/>
        </w:rPr>
      </w:pPr>
      <w:r>
        <w:rPr>
          <w:rFonts w:eastAsia="Times New Roman"/>
          <w:color w:val="000000"/>
          <w:sz w:val="20"/>
          <w:szCs w:val="20"/>
        </w:rPr>
        <w:t xml:space="preserve">•Adjusted EBITDA and non-GAAP net loss do not consider possible </w:t>
      </w:r>
      <w:r>
        <w:rPr>
          <w:rFonts w:eastAsia="Times New Roman"/>
          <w:color w:val="000000"/>
          <w:sz w:val="20"/>
          <w:szCs w:val="20"/>
        </w:rPr>
        <w:t>cash gains or losses related to our financing derivatives, warrants liability or investment in equity securities; and</w:t>
      </w:r>
    </w:p>
    <w:p w14:paraId="4612C270" w14:textId="77777777" w:rsidR="00000000" w:rsidRDefault="00E614A4">
      <w:pPr>
        <w:ind w:hanging="540"/>
        <w:jc w:val="both"/>
        <w:divId w:val="1910799822"/>
        <w:rPr>
          <w:rFonts w:eastAsia="Times New Roman"/>
        </w:rPr>
      </w:pPr>
      <w:r>
        <w:rPr>
          <w:rFonts w:eastAsia="Times New Roman"/>
          <w:color w:val="000000"/>
          <w:sz w:val="20"/>
          <w:szCs w:val="20"/>
        </w:rPr>
        <w:t>•Other companies, including companies in our industry, may calculate any of these non-GAAP financial measures differently, which reduces t</w:t>
      </w:r>
      <w:r>
        <w:rPr>
          <w:rFonts w:eastAsia="Times New Roman"/>
          <w:color w:val="000000"/>
          <w:sz w:val="20"/>
          <w:szCs w:val="20"/>
        </w:rPr>
        <w:t>heir usefulness as comparative measures.</w:t>
      </w:r>
    </w:p>
    <w:p w14:paraId="58BA1901" w14:textId="77777777" w:rsidR="00000000" w:rsidRDefault="00E614A4">
      <w:pPr>
        <w:jc w:val="both"/>
        <w:divId w:val="1926376127"/>
        <w:rPr>
          <w:rFonts w:eastAsia="Times New Roman"/>
        </w:rPr>
      </w:pPr>
      <w:r>
        <w:rPr>
          <w:rFonts w:eastAsia="Times New Roman"/>
          <w:color w:val="000000"/>
          <w:sz w:val="20"/>
          <w:szCs w:val="20"/>
        </w:rPr>
        <w:t>Because of these and other limitations, you should consider Adjusted EBITDA and non-GAAP net loss alongside GAAP-based financial performance measures, including GAAP revenue and various cash flow metrics, net income</w:t>
      </w:r>
      <w:r>
        <w:rPr>
          <w:rFonts w:eastAsia="Times New Roman"/>
          <w:color w:val="000000"/>
          <w:sz w:val="20"/>
          <w:szCs w:val="20"/>
        </w:rPr>
        <w:t xml:space="preserve"> (loss) and our other GAAP financial results. Management addresses the inherent limitations associated with using non-GAAP financial measures through disclosure of such limitations, presentation of our financial statements in accordance with GAAP and a rec</w:t>
      </w:r>
      <w:r>
        <w:rPr>
          <w:rFonts w:eastAsia="Times New Roman"/>
          <w:color w:val="000000"/>
          <w:sz w:val="20"/>
          <w:szCs w:val="20"/>
        </w:rPr>
        <w:t>onciliation of Adjusted EBITDA and non-GAAP net loss to the most directly comparable GAAP measure, net income (loss).</w:t>
      </w:r>
    </w:p>
    <w:p w14:paraId="765E1ECA" w14:textId="77777777" w:rsidR="00000000" w:rsidRDefault="00E614A4">
      <w:pPr>
        <w:jc w:val="both"/>
        <w:divId w:val="2078244524"/>
        <w:rPr>
          <w:rFonts w:eastAsia="Times New Roman"/>
        </w:rPr>
      </w:pPr>
      <w:r>
        <w:rPr>
          <w:rFonts w:eastAsia="Times New Roman"/>
          <w:color w:val="000000"/>
          <w:sz w:val="20"/>
          <w:szCs w:val="20"/>
        </w:rPr>
        <w:t>Under our Notes, we are required to disclose Consolidated EBITDA, a non-GAAP financial measure, on a quarterly basis. Consolidated EBITDA,</w:t>
      </w:r>
      <w:r>
        <w:rPr>
          <w:rFonts w:eastAsia="Times New Roman"/>
          <w:color w:val="000000"/>
          <w:sz w:val="20"/>
          <w:szCs w:val="20"/>
        </w:rPr>
        <w:t xml:space="preserve"> as defined for purposes of the Notes, was the same as Adjusted EBITDA as presented below.</w:t>
      </w:r>
    </w:p>
    <w:p w14:paraId="13D02D03" w14:textId="77777777" w:rsidR="00000000" w:rsidRDefault="00E614A4">
      <w:pPr>
        <w:jc w:val="both"/>
        <w:divId w:val="869490328"/>
        <w:rPr>
          <w:rFonts w:eastAsia="Times New Roman"/>
        </w:rPr>
      </w:pPr>
      <w:r>
        <w:rPr>
          <w:rFonts w:eastAsia="Times New Roman"/>
          <w:color w:val="000000"/>
          <w:sz w:val="20"/>
          <w:szCs w:val="20"/>
        </w:rPr>
        <w:t xml:space="preserve">The following table presents a reconciliation of net loss (GAAP) to Adjusted EBITDA for each of the periods identified: </w:t>
      </w:r>
    </w:p>
    <w:tbl>
      <w:tblPr>
        <w:tblW w:w="5000" w:type="pct"/>
        <w:tblCellMar>
          <w:top w:w="15" w:type="dxa"/>
          <w:left w:w="15" w:type="dxa"/>
          <w:bottom w:w="15" w:type="dxa"/>
          <w:right w:w="15" w:type="dxa"/>
        </w:tblCellMar>
        <w:tblLook w:val="04A0" w:firstRow="1" w:lastRow="0" w:firstColumn="1" w:lastColumn="0" w:noHBand="0" w:noVBand="1"/>
      </w:tblPr>
      <w:tblGrid>
        <w:gridCol w:w="39"/>
        <w:gridCol w:w="4684"/>
        <w:gridCol w:w="38"/>
        <w:gridCol w:w="110"/>
        <w:gridCol w:w="963"/>
        <w:gridCol w:w="36"/>
        <w:gridCol w:w="36"/>
        <w:gridCol w:w="36"/>
        <w:gridCol w:w="36"/>
        <w:gridCol w:w="110"/>
        <w:gridCol w:w="964"/>
        <w:gridCol w:w="36"/>
        <w:gridCol w:w="36"/>
        <w:gridCol w:w="36"/>
        <w:gridCol w:w="36"/>
        <w:gridCol w:w="110"/>
        <w:gridCol w:w="964"/>
        <w:gridCol w:w="36"/>
      </w:tblGrid>
      <w:tr w:rsidR="00000000" w14:paraId="27709DFB" w14:textId="77777777">
        <w:trPr>
          <w:divId w:val="1988436967"/>
        </w:trPr>
        <w:tc>
          <w:tcPr>
            <w:tcW w:w="50" w:type="pct"/>
            <w:vAlign w:val="center"/>
            <w:hideMark/>
          </w:tcPr>
          <w:p w14:paraId="345B88DC" w14:textId="77777777" w:rsidR="00000000" w:rsidRDefault="00E614A4">
            <w:pPr>
              <w:jc w:val="both"/>
              <w:rPr>
                <w:rFonts w:eastAsia="Times New Roman"/>
              </w:rPr>
            </w:pPr>
          </w:p>
        </w:tc>
        <w:tc>
          <w:tcPr>
            <w:tcW w:w="2868" w:type="pct"/>
            <w:vAlign w:val="center"/>
            <w:hideMark/>
          </w:tcPr>
          <w:p w14:paraId="369E1F50" w14:textId="77777777" w:rsidR="00000000" w:rsidRDefault="00E614A4">
            <w:pPr>
              <w:rPr>
                <w:rFonts w:eastAsia="Times New Roman"/>
                <w:sz w:val="20"/>
                <w:szCs w:val="20"/>
              </w:rPr>
            </w:pPr>
          </w:p>
        </w:tc>
        <w:tc>
          <w:tcPr>
            <w:tcW w:w="5" w:type="pct"/>
            <w:vAlign w:val="center"/>
            <w:hideMark/>
          </w:tcPr>
          <w:p w14:paraId="6B240D29" w14:textId="77777777" w:rsidR="00000000" w:rsidRDefault="00E614A4">
            <w:pPr>
              <w:rPr>
                <w:rFonts w:eastAsia="Times New Roman"/>
                <w:sz w:val="20"/>
                <w:szCs w:val="20"/>
              </w:rPr>
            </w:pPr>
          </w:p>
        </w:tc>
        <w:tc>
          <w:tcPr>
            <w:tcW w:w="50" w:type="pct"/>
            <w:vAlign w:val="center"/>
            <w:hideMark/>
          </w:tcPr>
          <w:p w14:paraId="6119DA93" w14:textId="77777777" w:rsidR="00000000" w:rsidRDefault="00E614A4">
            <w:pPr>
              <w:rPr>
                <w:rFonts w:eastAsia="Times New Roman"/>
                <w:sz w:val="20"/>
                <w:szCs w:val="20"/>
              </w:rPr>
            </w:pPr>
          </w:p>
        </w:tc>
        <w:tc>
          <w:tcPr>
            <w:tcW w:w="618" w:type="pct"/>
            <w:vAlign w:val="center"/>
            <w:hideMark/>
          </w:tcPr>
          <w:p w14:paraId="37E31CD5" w14:textId="77777777" w:rsidR="00000000" w:rsidRDefault="00E614A4">
            <w:pPr>
              <w:rPr>
                <w:rFonts w:eastAsia="Times New Roman"/>
                <w:sz w:val="20"/>
                <w:szCs w:val="20"/>
              </w:rPr>
            </w:pPr>
          </w:p>
        </w:tc>
        <w:tc>
          <w:tcPr>
            <w:tcW w:w="5" w:type="pct"/>
            <w:vAlign w:val="center"/>
            <w:hideMark/>
          </w:tcPr>
          <w:p w14:paraId="1ED5F2A5" w14:textId="77777777" w:rsidR="00000000" w:rsidRDefault="00E614A4">
            <w:pPr>
              <w:rPr>
                <w:rFonts w:eastAsia="Times New Roman"/>
                <w:sz w:val="20"/>
                <w:szCs w:val="20"/>
              </w:rPr>
            </w:pPr>
          </w:p>
        </w:tc>
        <w:tc>
          <w:tcPr>
            <w:tcW w:w="5" w:type="pct"/>
            <w:vAlign w:val="center"/>
            <w:hideMark/>
          </w:tcPr>
          <w:p w14:paraId="10CA6090" w14:textId="77777777" w:rsidR="00000000" w:rsidRDefault="00E614A4">
            <w:pPr>
              <w:rPr>
                <w:rFonts w:eastAsia="Times New Roman"/>
                <w:sz w:val="20"/>
                <w:szCs w:val="20"/>
              </w:rPr>
            </w:pPr>
          </w:p>
        </w:tc>
        <w:tc>
          <w:tcPr>
            <w:tcW w:w="17" w:type="pct"/>
            <w:vAlign w:val="center"/>
            <w:hideMark/>
          </w:tcPr>
          <w:p w14:paraId="3EE725C4" w14:textId="77777777" w:rsidR="00000000" w:rsidRDefault="00E614A4">
            <w:pPr>
              <w:rPr>
                <w:rFonts w:eastAsia="Times New Roman"/>
                <w:sz w:val="20"/>
                <w:szCs w:val="20"/>
              </w:rPr>
            </w:pPr>
          </w:p>
        </w:tc>
        <w:tc>
          <w:tcPr>
            <w:tcW w:w="5" w:type="pct"/>
            <w:vAlign w:val="center"/>
            <w:hideMark/>
          </w:tcPr>
          <w:p w14:paraId="44A0A58C" w14:textId="77777777" w:rsidR="00000000" w:rsidRDefault="00E614A4">
            <w:pPr>
              <w:rPr>
                <w:rFonts w:eastAsia="Times New Roman"/>
                <w:sz w:val="20"/>
                <w:szCs w:val="20"/>
              </w:rPr>
            </w:pPr>
          </w:p>
        </w:tc>
        <w:tc>
          <w:tcPr>
            <w:tcW w:w="50" w:type="pct"/>
            <w:vAlign w:val="center"/>
            <w:hideMark/>
          </w:tcPr>
          <w:p w14:paraId="61FBC16D" w14:textId="77777777" w:rsidR="00000000" w:rsidRDefault="00E614A4">
            <w:pPr>
              <w:rPr>
                <w:rFonts w:eastAsia="Times New Roman"/>
                <w:sz w:val="20"/>
                <w:szCs w:val="20"/>
              </w:rPr>
            </w:pPr>
          </w:p>
        </w:tc>
        <w:tc>
          <w:tcPr>
            <w:tcW w:w="618" w:type="pct"/>
            <w:vAlign w:val="center"/>
            <w:hideMark/>
          </w:tcPr>
          <w:p w14:paraId="12385D13" w14:textId="77777777" w:rsidR="00000000" w:rsidRDefault="00E614A4">
            <w:pPr>
              <w:rPr>
                <w:rFonts w:eastAsia="Times New Roman"/>
                <w:sz w:val="20"/>
                <w:szCs w:val="20"/>
              </w:rPr>
            </w:pPr>
          </w:p>
        </w:tc>
        <w:tc>
          <w:tcPr>
            <w:tcW w:w="5" w:type="pct"/>
            <w:vAlign w:val="center"/>
            <w:hideMark/>
          </w:tcPr>
          <w:p w14:paraId="175759A7" w14:textId="77777777" w:rsidR="00000000" w:rsidRDefault="00E614A4">
            <w:pPr>
              <w:rPr>
                <w:rFonts w:eastAsia="Times New Roman"/>
                <w:sz w:val="20"/>
                <w:szCs w:val="20"/>
              </w:rPr>
            </w:pPr>
          </w:p>
        </w:tc>
        <w:tc>
          <w:tcPr>
            <w:tcW w:w="5" w:type="pct"/>
            <w:vAlign w:val="center"/>
            <w:hideMark/>
          </w:tcPr>
          <w:p w14:paraId="0D17148B" w14:textId="77777777" w:rsidR="00000000" w:rsidRDefault="00E614A4">
            <w:pPr>
              <w:rPr>
                <w:rFonts w:eastAsia="Times New Roman"/>
                <w:sz w:val="20"/>
                <w:szCs w:val="20"/>
              </w:rPr>
            </w:pPr>
          </w:p>
        </w:tc>
        <w:tc>
          <w:tcPr>
            <w:tcW w:w="17" w:type="pct"/>
            <w:vAlign w:val="center"/>
            <w:hideMark/>
          </w:tcPr>
          <w:p w14:paraId="497BC6CD" w14:textId="77777777" w:rsidR="00000000" w:rsidRDefault="00E614A4">
            <w:pPr>
              <w:rPr>
                <w:rFonts w:eastAsia="Times New Roman"/>
                <w:sz w:val="20"/>
                <w:szCs w:val="20"/>
              </w:rPr>
            </w:pPr>
          </w:p>
        </w:tc>
        <w:tc>
          <w:tcPr>
            <w:tcW w:w="5" w:type="pct"/>
            <w:vAlign w:val="center"/>
            <w:hideMark/>
          </w:tcPr>
          <w:p w14:paraId="2C868A0E" w14:textId="77777777" w:rsidR="00000000" w:rsidRDefault="00E614A4">
            <w:pPr>
              <w:rPr>
                <w:rFonts w:eastAsia="Times New Roman"/>
                <w:sz w:val="20"/>
                <w:szCs w:val="20"/>
              </w:rPr>
            </w:pPr>
          </w:p>
        </w:tc>
        <w:tc>
          <w:tcPr>
            <w:tcW w:w="50" w:type="pct"/>
            <w:vAlign w:val="center"/>
            <w:hideMark/>
          </w:tcPr>
          <w:p w14:paraId="406AFDEC" w14:textId="77777777" w:rsidR="00000000" w:rsidRDefault="00E614A4">
            <w:pPr>
              <w:rPr>
                <w:rFonts w:eastAsia="Times New Roman"/>
                <w:sz w:val="20"/>
                <w:szCs w:val="20"/>
              </w:rPr>
            </w:pPr>
          </w:p>
        </w:tc>
        <w:tc>
          <w:tcPr>
            <w:tcW w:w="618" w:type="pct"/>
            <w:vAlign w:val="center"/>
            <w:hideMark/>
          </w:tcPr>
          <w:p w14:paraId="639C2178" w14:textId="77777777" w:rsidR="00000000" w:rsidRDefault="00E614A4">
            <w:pPr>
              <w:rPr>
                <w:rFonts w:eastAsia="Times New Roman"/>
                <w:sz w:val="20"/>
                <w:szCs w:val="20"/>
              </w:rPr>
            </w:pPr>
          </w:p>
        </w:tc>
        <w:tc>
          <w:tcPr>
            <w:tcW w:w="5" w:type="pct"/>
            <w:vAlign w:val="center"/>
            <w:hideMark/>
          </w:tcPr>
          <w:p w14:paraId="77BCF785" w14:textId="77777777" w:rsidR="00000000" w:rsidRDefault="00E614A4">
            <w:pPr>
              <w:rPr>
                <w:rFonts w:eastAsia="Times New Roman"/>
                <w:sz w:val="20"/>
                <w:szCs w:val="20"/>
              </w:rPr>
            </w:pPr>
          </w:p>
        </w:tc>
      </w:tr>
      <w:tr w:rsidR="00000000" w14:paraId="06CD9DDE" w14:textId="77777777">
        <w:trPr>
          <w:divId w:val="1988436967"/>
        </w:trPr>
        <w:tc>
          <w:tcPr>
            <w:tcW w:w="0" w:type="auto"/>
            <w:gridSpan w:val="3"/>
            <w:tcMar>
              <w:top w:w="0" w:type="dxa"/>
              <w:left w:w="20" w:type="dxa"/>
              <w:bottom w:w="0" w:type="dxa"/>
              <w:right w:w="20" w:type="dxa"/>
            </w:tcMar>
            <w:vAlign w:val="center"/>
            <w:hideMark/>
          </w:tcPr>
          <w:p w14:paraId="266978FB"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37530402"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43B252FE" w14:textId="77777777">
        <w:trPr>
          <w:divId w:val="1988436967"/>
        </w:trPr>
        <w:tc>
          <w:tcPr>
            <w:tcW w:w="0" w:type="auto"/>
            <w:gridSpan w:val="3"/>
            <w:tcMar>
              <w:top w:w="30" w:type="dxa"/>
              <w:left w:w="20" w:type="dxa"/>
              <w:bottom w:w="30" w:type="dxa"/>
              <w:right w:w="20" w:type="dxa"/>
            </w:tcMar>
            <w:vAlign w:val="bottom"/>
            <w:hideMark/>
          </w:tcPr>
          <w:p w14:paraId="192DF8A9"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3A928EA"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B93515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A4DA50"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7858092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62F733" w14:textId="77777777" w:rsidR="00000000" w:rsidRDefault="00E614A4">
            <w:pPr>
              <w:jc w:val="center"/>
              <w:rPr>
                <w:rFonts w:eastAsia="Times New Roman"/>
              </w:rPr>
            </w:pPr>
            <w:r>
              <w:rPr>
                <w:rFonts w:eastAsia="Times New Roman"/>
                <w:b/>
                <w:bCs/>
                <w:color w:val="000000"/>
                <w:sz w:val="16"/>
                <w:szCs w:val="16"/>
              </w:rPr>
              <w:t>2018</w:t>
            </w:r>
          </w:p>
        </w:tc>
      </w:tr>
      <w:tr w:rsidR="00000000" w14:paraId="0068E37D" w14:textId="77777777">
        <w:trPr>
          <w:divId w:val="1988436967"/>
        </w:trPr>
        <w:tc>
          <w:tcPr>
            <w:tcW w:w="0" w:type="auto"/>
            <w:gridSpan w:val="3"/>
            <w:shd w:val="clear" w:color="auto" w:fill="CCEEFF"/>
            <w:tcMar>
              <w:top w:w="30" w:type="dxa"/>
              <w:left w:w="20" w:type="dxa"/>
              <w:bottom w:w="30" w:type="dxa"/>
              <w:right w:w="20" w:type="dxa"/>
            </w:tcMar>
            <w:vAlign w:val="bottom"/>
            <w:hideMark/>
          </w:tcPr>
          <w:p w14:paraId="2B26B098" w14:textId="77777777" w:rsidR="00000000" w:rsidRDefault="00E614A4">
            <w:pPr>
              <w:rPr>
                <w:rFonts w:eastAsia="Times New Roman"/>
              </w:rPr>
            </w:pPr>
            <w:r>
              <w:rPr>
                <w:rFonts w:eastAsia="Times New Roman"/>
                <w:b/>
                <w:bCs/>
                <w:color w:val="000000"/>
                <w:sz w:val="18"/>
                <w:szCs w:val="18"/>
              </w:rPr>
              <w:t>Net loss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51744A"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E6EFC7" w14:textId="77777777" w:rsidR="00000000" w:rsidRDefault="00E614A4">
            <w:pPr>
              <w:jc w:val="right"/>
              <w:rPr>
                <w:rFonts w:eastAsia="Times New Roman"/>
              </w:rPr>
            </w:pPr>
            <w:r>
              <w:rPr>
                <w:rFonts w:eastAsia="Times New Roman"/>
                <w:b/>
                <w:bCs/>
                <w:color w:val="000000"/>
                <w:sz w:val="18"/>
                <w:szCs w:val="18"/>
              </w:rPr>
              <w:t>(47,918)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89AEA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D7B1A"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68971F"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7A51B5" w14:textId="77777777" w:rsidR="00000000" w:rsidRDefault="00E614A4">
            <w:pPr>
              <w:jc w:val="right"/>
              <w:rPr>
                <w:rFonts w:eastAsia="Times New Roman"/>
              </w:rPr>
            </w:pPr>
            <w:r>
              <w:rPr>
                <w:rFonts w:eastAsia="Times New Roman"/>
                <w:b/>
                <w:bCs/>
                <w:color w:val="000000"/>
                <w:sz w:val="18"/>
                <w:szCs w:val="18"/>
              </w:rPr>
              <w:t>(338,996)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9D779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22988"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003766"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5A1A99" w14:textId="77777777" w:rsidR="00000000" w:rsidRDefault="00E614A4">
            <w:pPr>
              <w:jc w:val="right"/>
              <w:rPr>
                <w:rFonts w:eastAsia="Times New Roman"/>
              </w:rPr>
            </w:pPr>
            <w:r>
              <w:rPr>
                <w:rFonts w:eastAsia="Times New Roman"/>
                <w:b/>
                <w:bCs/>
                <w:color w:val="000000"/>
                <w:sz w:val="18"/>
                <w:szCs w:val="18"/>
              </w:rPr>
              <w:t>(159,268)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BB318E" w14:textId="77777777" w:rsidR="00000000" w:rsidRDefault="00E614A4">
            <w:pPr>
              <w:jc w:val="right"/>
              <w:rPr>
                <w:rFonts w:eastAsia="Times New Roman"/>
              </w:rPr>
            </w:pPr>
          </w:p>
        </w:tc>
      </w:tr>
      <w:tr w:rsidR="00000000" w14:paraId="19504780" w14:textId="77777777">
        <w:trPr>
          <w:divId w:val="1988436967"/>
          <w:trHeight w:val="240"/>
        </w:trPr>
        <w:tc>
          <w:tcPr>
            <w:tcW w:w="0" w:type="auto"/>
            <w:gridSpan w:val="3"/>
            <w:shd w:val="clear" w:color="auto" w:fill="FFFFFF"/>
            <w:tcMar>
              <w:top w:w="0" w:type="dxa"/>
              <w:left w:w="20" w:type="dxa"/>
              <w:bottom w:w="0" w:type="dxa"/>
              <w:right w:w="20" w:type="dxa"/>
            </w:tcMar>
            <w:vAlign w:val="center"/>
            <w:hideMark/>
          </w:tcPr>
          <w:p w14:paraId="52EBF026" w14:textId="77777777" w:rsidR="00000000" w:rsidRDefault="00E614A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68D56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D05C84"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79E3F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2BFE94"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D27144" w14:textId="77777777" w:rsidR="00000000" w:rsidRDefault="00E614A4">
            <w:pPr>
              <w:rPr>
                <w:rFonts w:eastAsia="Times New Roman"/>
                <w:sz w:val="20"/>
                <w:szCs w:val="20"/>
              </w:rPr>
            </w:pPr>
          </w:p>
        </w:tc>
      </w:tr>
      <w:tr w:rsidR="00000000" w14:paraId="4730D4A9" w14:textId="77777777">
        <w:trPr>
          <w:divId w:val="1988436967"/>
        </w:trPr>
        <w:tc>
          <w:tcPr>
            <w:tcW w:w="0" w:type="auto"/>
            <w:gridSpan w:val="3"/>
            <w:shd w:val="clear" w:color="auto" w:fill="CCEEFF"/>
            <w:tcMar>
              <w:top w:w="30" w:type="dxa"/>
              <w:left w:w="20" w:type="dxa"/>
              <w:bottom w:w="30" w:type="dxa"/>
              <w:right w:w="20" w:type="dxa"/>
            </w:tcMar>
            <w:vAlign w:val="bottom"/>
            <w:hideMark/>
          </w:tcPr>
          <w:p w14:paraId="37D3AE7A" w14:textId="77777777" w:rsidR="00000000" w:rsidRDefault="00E614A4">
            <w:pPr>
              <w:rPr>
                <w:rFonts w:eastAsia="Times New Roman"/>
              </w:rPr>
            </w:pPr>
            <w:r>
              <w:rPr>
                <w:rFonts w:eastAsia="Times New Roman"/>
                <w:color w:val="000000"/>
                <w:sz w:val="18"/>
                <w:szCs w:val="18"/>
              </w:rPr>
              <w:t>Interest expense, net</w:t>
            </w:r>
          </w:p>
        </w:tc>
        <w:tc>
          <w:tcPr>
            <w:tcW w:w="0" w:type="auto"/>
            <w:gridSpan w:val="2"/>
            <w:shd w:val="clear" w:color="auto" w:fill="CCEEFF"/>
            <w:tcMar>
              <w:top w:w="30" w:type="dxa"/>
              <w:left w:w="20" w:type="dxa"/>
              <w:bottom w:w="30" w:type="dxa"/>
              <w:right w:w="0" w:type="dxa"/>
            </w:tcMar>
            <w:vAlign w:val="bottom"/>
            <w:hideMark/>
          </w:tcPr>
          <w:p w14:paraId="4ED941E8" w14:textId="77777777" w:rsidR="00000000" w:rsidRDefault="00E614A4">
            <w:pPr>
              <w:jc w:val="right"/>
              <w:rPr>
                <w:rFonts w:eastAsia="Times New Roman"/>
              </w:rPr>
            </w:pPr>
            <w:r>
              <w:rPr>
                <w:rFonts w:eastAsia="Times New Roman"/>
                <w:color w:val="000000"/>
                <w:sz w:val="18"/>
                <w:szCs w:val="18"/>
              </w:rPr>
              <w:t>35,805 </w:t>
            </w:r>
          </w:p>
        </w:tc>
        <w:tc>
          <w:tcPr>
            <w:tcW w:w="0" w:type="auto"/>
            <w:shd w:val="clear" w:color="auto" w:fill="CCEEFF"/>
            <w:tcMar>
              <w:top w:w="30" w:type="dxa"/>
              <w:left w:w="0" w:type="dxa"/>
              <w:bottom w:w="30" w:type="dxa"/>
              <w:right w:w="20" w:type="dxa"/>
            </w:tcMar>
            <w:vAlign w:val="bottom"/>
            <w:hideMark/>
          </w:tcPr>
          <w:p w14:paraId="7FC234F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7308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8DF02D" w14:textId="77777777" w:rsidR="00000000" w:rsidRDefault="00E614A4">
            <w:pPr>
              <w:jc w:val="right"/>
              <w:rPr>
                <w:rFonts w:eastAsia="Times New Roman"/>
              </w:rPr>
            </w:pPr>
            <w:r>
              <w:rPr>
                <w:rFonts w:eastAsia="Times New Roman"/>
                <w:color w:val="000000"/>
                <w:sz w:val="18"/>
                <w:szCs w:val="18"/>
              </w:rPr>
              <w:t>31,526 </w:t>
            </w:r>
          </w:p>
        </w:tc>
        <w:tc>
          <w:tcPr>
            <w:tcW w:w="0" w:type="auto"/>
            <w:shd w:val="clear" w:color="auto" w:fill="CCEEFF"/>
            <w:tcMar>
              <w:top w:w="30" w:type="dxa"/>
              <w:left w:w="0" w:type="dxa"/>
              <w:bottom w:w="30" w:type="dxa"/>
              <w:right w:w="20" w:type="dxa"/>
            </w:tcMar>
            <w:vAlign w:val="bottom"/>
            <w:hideMark/>
          </w:tcPr>
          <w:p w14:paraId="3343EA9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B0FE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EDC61E" w14:textId="77777777" w:rsidR="00000000" w:rsidRDefault="00E614A4">
            <w:pPr>
              <w:jc w:val="right"/>
              <w:rPr>
                <w:rFonts w:eastAsia="Times New Roman"/>
              </w:rPr>
            </w:pPr>
            <w:r>
              <w:rPr>
                <w:rFonts w:eastAsia="Times New Roman"/>
                <w:color w:val="000000"/>
                <w:sz w:val="18"/>
                <w:szCs w:val="18"/>
              </w:rPr>
              <w:t>16,465 </w:t>
            </w:r>
          </w:p>
        </w:tc>
        <w:tc>
          <w:tcPr>
            <w:tcW w:w="0" w:type="auto"/>
            <w:shd w:val="clear" w:color="auto" w:fill="CCEEFF"/>
            <w:tcMar>
              <w:top w:w="30" w:type="dxa"/>
              <w:left w:w="0" w:type="dxa"/>
              <w:bottom w:w="30" w:type="dxa"/>
              <w:right w:w="20" w:type="dxa"/>
            </w:tcMar>
            <w:vAlign w:val="bottom"/>
            <w:hideMark/>
          </w:tcPr>
          <w:p w14:paraId="50D64563" w14:textId="77777777" w:rsidR="00000000" w:rsidRDefault="00E614A4">
            <w:pPr>
              <w:jc w:val="right"/>
              <w:rPr>
                <w:rFonts w:eastAsia="Times New Roman"/>
              </w:rPr>
            </w:pPr>
          </w:p>
        </w:tc>
      </w:tr>
      <w:tr w:rsidR="00000000" w14:paraId="156375DA" w14:textId="77777777">
        <w:trPr>
          <w:divId w:val="1988436967"/>
        </w:trPr>
        <w:tc>
          <w:tcPr>
            <w:tcW w:w="0" w:type="auto"/>
            <w:gridSpan w:val="3"/>
            <w:shd w:val="clear" w:color="auto" w:fill="FFFFFF"/>
            <w:tcMar>
              <w:top w:w="30" w:type="dxa"/>
              <w:left w:w="20" w:type="dxa"/>
              <w:bottom w:w="30" w:type="dxa"/>
              <w:right w:w="20" w:type="dxa"/>
            </w:tcMar>
            <w:vAlign w:val="bottom"/>
            <w:hideMark/>
          </w:tcPr>
          <w:p w14:paraId="375B2E3D" w14:textId="77777777" w:rsidR="00000000" w:rsidRDefault="00E614A4">
            <w:pPr>
              <w:rPr>
                <w:rFonts w:eastAsia="Times New Roman"/>
              </w:rPr>
            </w:pPr>
            <w:r>
              <w:rPr>
                <w:rFonts w:eastAsia="Times New Roman"/>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14:paraId="4009A1A4" w14:textId="77777777" w:rsidR="00000000" w:rsidRDefault="00E614A4">
            <w:pPr>
              <w:jc w:val="right"/>
              <w:rPr>
                <w:rFonts w:eastAsia="Times New Roman"/>
              </w:rPr>
            </w:pPr>
            <w:r>
              <w:rPr>
                <w:rFonts w:eastAsia="Times New Roman"/>
                <w:color w:val="000000"/>
                <w:sz w:val="18"/>
                <w:szCs w:val="18"/>
              </w:rPr>
              <w:t>27,219 </w:t>
            </w:r>
          </w:p>
        </w:tc>
        <w:tc>
          <w:tcPr>
            <w:tcW w:w="0" w:type="auto"/>
            <w:shd w:val="clear" w:color="auto" w:fill="FFFFFF"/>
            <w:tcMar>
              <w:top w:w="30" w:type="dxa"/>
              <w:left w:w="0" w:type="dxa"/>
              <w:bottom w:w="30" w:type="dxa"/>
              <w:right w:w="20" w:type="dxa"/>
            </w:tcMar>
            <w:vAlign w:val="bottom"/>
            <w:hideMark/>
          </w:tcPr>
          <w:p w14:paraId="4C8AF55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389A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F4FDEC" w14:textId="77777777" w:rsidR="00000000" w:rsidRDefault="00E614A4">
            <w:pPr>
              <w:jc w:val="right"/>
              <w:rPr>
                <w:rFonts w:eastAsia="Times New Roman"/>
              </w:rPr>
            </w:pPr>
            <w:r>
              <w:rPr>
                <w:rFonts w:eastAsia="Times New Roman"/>
                <w:color w:val="000000"/>
                <w:sz w:val="18"/>
                <w:szCs w:val="18"/>
              </w:rPr>
              <w:t>30,076 </w:t>
            </w:r>
          </w:p>
        </w:tc>
        <w:tc>
          <w:tcPr>
            <w:tcW w:w="0" w:type="auto"/>
            <w:shd w:val="clear" w:color="auto" w:fill="FFFFFF"/>
            <w:tcMar>
              <w:top w:w="30" w:type="dxa"/>
              <w:left w:w="0" w:type="dxa"/>
              <w:bottom w:w="30" w:type="dxa"/>
              <w:right w:w="20" w:type="dxa"/>
            </w:tcMar>
            <w:vAlign w:val="bottom"/>
            <w:hideMark/>
          </w:tcPr>
          <w:p w14:paraId="77BE254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990E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9B67B" w14:textId="77777777" w:rsidR="00000000" w:rsidRDefault="00E614A4">
            <w:pPr>
              <w:jc w:val="right"/>
              <w:rPr>
                <w:rFonts w:eastAsia="Times New Roman"/>
              </w:rPr>
            </w:pPr>
            <w:r>
              <w:rPr>
                <w:rFonts w:eastAsia="Times New Roman"/>
                <w:color w:val="000000"/>
                <w:sz w:val="18"/>
                <w:szCs w:val="18"/>
              </w:rPr>
              <w:t>32,864 </w:t>
            </w:r>
          </w:p>
        </w:tc>
        <w:tc>
          <w:tcPr>
            <w:tcW w:w="0" w:type="auto"/>
            <w:shd w:val="clear" w:color="auto" w:fill="FFFFFF"/>
            <w:tcMar>
              <w:top w:w="30" w:type="dxa"/>
              <w:left w:w="0" w:type="dxa"/>
              <w:bottom w:w="30" w:type="dxa"/>
              <w:right w:w="20" w:type="dxa"/>
            </w:tcMar>
            <w:vAlign w:val="bottom"/>
            <w:hideMark/>
          </w:tcPr>
          <w:p w14:paraId="434A531E" w14:textId="77777777" w:rsidR="00000000" w:rsidRDefault="00E614A4">
            <w:pPr>
              <w:jc w:val="right"/>
              <w:rPr>
                <w:rFonts w:eastAsia="Times New Roman"/>
              </w:rPr>
            </w:pPr>
          </w:p>
        </w:tc>
      </w:tr>
      <w:tr w:rsidR="00000000" w14:paraId="19D77474" w14:textId="77777777">
        <w:trPr>
          <w:divId w:val="1988436967"/>
        </w:trPr>
        <w:tc>
          <w:tcPr>
            <w:tcW w:w="0" w:type="auto"/>
            <w:gridSpan w:val="3"/>
            <w:shd w:val="clear" w:color="auto" w:fill="CCEEFF"/>
            <w:tcMar>
              <w:top w:w="30" w:type="dxa"/>
              <w:left w:w="20" w:type="dxa"/>
              <w:bottom w:w="30" w:type="dxa"/>
              <w:right w:w="20" w:type="dxa"/>
            </w:tcMar>
            <w:vAlign w:val="bottom"/>
            <w:hideMark/>
          </w:tcPr>
          <w:p w14:paraId="23ACD868" w14:textId="77777777" w:rsidR="00000000" w:rsidRDefault="00E614A4">
            <w:pPr>
              <w:rPr>
                <w:rFonts w:eastAsia="Times New Roman"/>
              </w:rPr>
            </w:pPr>
            <w:r>
              <w:rPr>
                <w:rFonts w:eastAsia="Times New Roman"/>
                <w:color w:val="000000"/>
                <w:sz w:val="18"/>
                <w:szCs w:val="18"/>
              </w:rPr>
              <w:t>Depreciation</w:t>
            </w:r>
          </w:p>
        </w:tc>
        <w:tc>
          <w:tcPr>
            <w:tcW w:w="0" w:type="auto"/>
            <w:gridSpan w:val="2"/>
            <w:shd w:val="clear" w:color="auto" w:fill="CCEEFF"/>
            <w:tcMar>
              <w:top w:w="30" w:type="dxa"/>
              <w:left w:w="20" w:type="dxa"/>
              <w:bottom w:w="30" w:type="dxa"/>
              <w:right w:w="0" w:type="dxa"/>
            </w:tcMar>
            <w:vAlign w:val="bottom"/>
            <w:hideMark/>
          </w:tcPr>
          <w:p w14:paraId="38F6C7B4" w14:textId="77777777" w:rsidR="00000000" w:rsidRDefault="00E614A4">
            <w:pPr>
              <w:jc w:val="right"/>
              <w:rPr>
                <w:rFonts w:eastAsia="Times New Roman"/>
              </w:rPr>
            </w:pPr>
            <w:r>
              <w:rPr>
                <w:rFonts w:eastAsia="Times New Roman"/>
                <w:color w:val="000000"/>
                <w:sz w:val="18"/>
                <w:szCs w:val="18"/>
              </w:rPr>
              <w:t>14,064 </w:t>
            </w:r>
          </w:p>
        </w:tc>
        <w:tc>
          <w:tcPr>
            <w:tcW w:w="0" w:type="auto"/>
            <w:shd w:val="clear" w:color="auto" w:fill="CCEEFF"/>
            <w:tcMar>
              <w:top w:w="30" w:type="dxa"/>
              <w:left w:w="0" w:type="dxa"/>
              <w:bottom w:w="30" w:type="dxa"/>
              <w:right w:w="20" w:type="dxa"/>
            </w:tcMar>
            <w:vAlign w:val="bottom"/>
            <w:hideMark/>
          </w:tcPr>
          <w:p w14:paraId="6E58078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5964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38367" w14:textId="77777777" w:rsidR="00000000" w:rsidRDefault="00E614A4">
            <w:pPr>
              <w:jc w:val="right"/>
              <w:rPr>
                <w:rFonts w:eastAsia="Times New Roman"/>
              </w:rPr>
            </w:pPr>
            <w:r>
              <w:rPr>
                <w:rFonts w:eastAsia="Times New Roman"/>
                <w:color w:val="000000"/>
                <w:sz w:val="18"/>
                <w:szCs w:val="18"/>
              </w:rPr>
              <w:t>12,778 </w:t>
            </w:r>
          </w:p>
        </w:tc>
        <w:tc>
          <w:tcPr>
            <w:tcW w:w="0" w:type="auto"/>
            <w:shd w:val="clear" w:color="auto" w:fill="CCEEFF"/>
            <w:tcMar>
              <w:top w:w="30" w:type="dxa"/>
              <w:left w:w="0" w:type="dxa"/>
              <w:bottom w:w="30" w:type="dxa"/>
              <w:right w:w="20" w:type="dxa"/>
            </w:tcMar>
            <w:vAlign w:val="bottom"/>
            <w:hideMark/>
          </w:tcPr>
          <w:p w14:paraId="1CD4DD3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363AF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80652E" w14:textId="77777777" w:rsidR="00000000" w:rsidRDefault="00E614A4">
            <w:pPr>
              <w:jc w:val="right"/>
              <w:rPr>
                <w:rFonts w:eastAsia="Times New Roman"/>
              </w:rPr>
            </w:pPr>
            <w:r>
              <w:rPr>
                <w:rFonts w:eastAsia="Times New Roman"/>
                <w:color w:val="000000"/>
                <w:sz w:val="18"/>
                <w:szCs w:val="18"/>
              </w:rPr>
              <w:t>17,259 </w:t>
            </w:r>
          </w:p>
        </w:tc>
        <w:tc>
          <w:tcPr>
            <w:tcW w:w="0" w:type="auto"/>
            <w:shd w:val="clear" w:color="auto" w:fill="CCEEFF"/>
            <w:tcMar>
              <w:top w:w="30" w:type="dxa"/>
              <w:left w:w="0" w:type="dxa"/>
              <w:bottom w:w="30" w:type="dxa"/>
              <w:right w:w="20" w:type="dxa"/>
            </w:tcMar>
            <w:vAlign w:val="bottom"/>
            <w:hideMark/>
          </w:tcPr>
          <w:p w14:paraId="1CB65494" w14:textId="77777777" w:rsidR="00000000" w:rsidRDefault="00E614A4">
            <w:pPr>
              <w:jc w:val="right"/>
              <w:rPr>
                <w:rFonts w:eastAsia="Times New Roman"/>
              </w:rPr>
            </w:pPr>
          </w:p>
        </w:tc>
      </w:tr>
      <w:tr w:rsidR="00000000" w14:paraId="6F9D5683" w14:textId="77777777">
        <w:trPr>
          <w:divId w:val="1988436967"/>
        </w:trPr>
        <w:tc>
          <w:tcPr>
            <w:tcW w:w="0" w:type="auto"/>
            <w:gridSpan w:val="3"/>
            <w:shd w:val="clear" w:color="auto" w:fill="FFFFFF"/>
            <w:tcMar>
              <w:top w:w="30" w:type="dxa"/>
              <w:left w:w="20" w:type="dxa"/>
              <w:bottom w:w="30" w:type="dxa"/>
              <w:right w:w="20" w:type="dxa"/>
            </w:tcMar>
            <w:vAlign w:val="bottom"/>
            <w:hideMark/>
          </w:tcPr>
          <w:p w14:paraId="799B52F0" w14:textId="77777777" w:rsidR="00000000" w:rsidRDefault="00E614A4">
            <w:pPr>
              <w:rPr>
                <w:rFonts w:eastAsia="Times New Roman"/>
              </w:rPr>
            </w:pPr>
            <w:r>
              <w:rPr>
                <w:rFonts w:eastAsia="Times New Roman"/>
                <w:color w:val="000000"/>
                <w:sz w:val="18"/>
                <w:szCs w:val="18"/>
              </w:rPr>
              <w:t>Amortization expense of finance leases</w:t>
            </w:r>
          </w:p>
        </w:tc>
        <w:tc>
          <w:tcPr>
            <w:tcW w:w="0" w:type="auto"/>
            <w:gridSpan w:val="2"/>
            <w:shd w:val="clear" w:color="auto" w:fill="FFFFFF"/>
            <w:tcMar>
              <w:top w:w="30" w:type="dxa"/>
              <w:left w:w="20" w:type="dxa"/>
              <w:bottom w:w="30" w:type="dxa"/>
              <w:right w:w="0" w:type="dxa"/>
            </w:tcMar>
            <w:vAlign w:val="bottom"/>
            <w:hideMark/>
          </w:tcPr>
          <w:p w14:paraId="56C9C85B" w14:textId="77777777" w:rsidR="00000000" w:rsidRDefault="00E614A4">
            <w:pPr>
              <w:jc w:val="right"/>
              <w:rPr>
                <w:rFonts w:eastAsia="Times New Roman"/>
              </w:rPr>
            </w:pPr>
            <w:r>
              <w:rPr>
                <w:rFonts w:eastAsia="Times New Roman"/>
                <w:color w:val="000000"/>
                <w:sz w:val="18"/>
                <w:szCs w:val="18"/>
              </w:rPr>
              <w:t>1,652 </w:t>
            </w:r>
          </w:p>
        </w:tc>
        <w:tc>
          <w:tcPr>
            <w:tcW w:w="0" w:type="auto"/>
            <w:shd w:val="clear" w:color="auto" w:fill="FFFFFF"/>
            <w:tcMar>
              <w:top w:w="30" w:type="dxa"/>
              <w:left w:w="0" w:type="dxa"/>
              <w:bottom w:w="30" w:type="dxa"/>
              <w:right w:w="20" w:type="dxa"/>
            </w:tcMar>
            <w:vAlign w:val="bottom"/>
            <w:hideMark/>
          </w:tcPr>
          <w:p w14:paraId="16183EF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4B03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94568" w14:textId="77777777" w:rsidR="00000000" w:rsidRDefault="00E614A4">
            <w:pPr>
              <w:jc w:val="right"/>
              <w:rPr>
                <w:rFonts w:eastAsia="Times New Roman"/>
              </w:rPr>
            </w:pPr>
            <w:r>
              <w:rPr>
                <w:rFonts w:eastAsia="Times New Roman"/>
                <w:color w:val="000000"/>
                <w:sz w:val="18"/>
                <w:szCs w:val="18"/>
              </w:rPr>
              <w:t>2,413 </w:t>
            </w:r>
          </w:p>
        </w:tc>
        <w:tc>
          <w:tcPr>
            <w:tcW w:w="0" w:type="auto"/>
            <w:shd w:val="clear" w:color="auto" w:fill="FFFFFF"/>
            <w:tcMar>
              <w:top w:w="30" w:type="dxa"/>
              <w:left w:w="0" w:type="dxa"/>
              <w:bottom w:w="30" w:type="dxa"/>
              <w:right w:w="20" w:type="dxa"/>
            </w:tcMar>
            <w:vAlign w:val="bottom"/>
            <w:hideMark/>
          </w:tcPr>
          <w:p w14:paraId="4EC8AAA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7BCE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5F95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DCB876" w14:textId="77777777" w:rsidR="00000000" w:rsidRDefault="00E614A4">
            <w:pPr>
              <w:jc w:val="right"/>
              <w:rPr>
                <w:rFonts w:eastAsia="Times New Roman"/>
              </w:rPr>
            </w:pPr>
          </w:p>
        </w:tc>
      </w:tr>
      <w:tr w:rsidR="00000000" w14:paraId="4CC8B654" w14:textId="77777777">
        <w:trPr>
          <w:divId w:val="1988436967"/>
        </w:trPr>
        <w:tc>
          <w:tcPr>
            <w:tcW w:w="0" w:type="auto"/>
            <w:gridSpan w:val="3"/>
            <w:shd w:val="clear" w:color="auto" w:fill="CCEEFF"/>
            <w:tcMar>
              <w:top w:w="30" w:type="dxa"/>
              <w:left w:w="20" w:type="dxa"/>
              <w:bottom w:w="30" w:type="dxa"/>
              <w:right w:w="20" w:type="dxa"/>
            </w:tcMar>
            <w:vAlign w:val="bottom"/>
            <w:hideMark/>
          </w:tcPr>
          <w:p w14:paraId="020CE305" w14:textId="77777777" w:rsidR="00000000" w:rsidRDefault="00E614A4">
            <w:pPr>
              <w:rPr>
                <w:rFonts w:eastAsia="Times New Roman"/>
              </w:rPr>
            </w:pPr>
            <w:r>
              <w:rPr>
                <w:rFonts w:eastAsia="Times New Roman"/>
                <w:color w:val="000000"/>
                <w:sz w:val="18"/>
                <w:szCs w:val="18"/>
              </w:rPr>
              <w:t xml:space="preserve">Income tax provision (benefit) </w:t>
            </w:r>
          </w:p>
        </w:tc>
        <w:tc>
          <w:tcPr>
            <w:tcW w:w="0" w:type="auto"/>
            <w:gridSpan w:val="2"/>
            <w:shd w:val="clear" w:color="auto" w:fill="CCEEFF"/>
            <w:tcMar>
              <w:top w:w="30" w:type="dxa"/>
              <w:left w:w="20" w:type="dxa"/>
              <w:bottom w:w="30" w:type="dxa"/>
              <w:right w:w="0" w:type="dxa"/>
            </w:tcMar>
            <w:vAlign w:val="bottom"/>
            <w:hideMark/>
          </w:tcPr>
          <w:p w14:paraId="436DDB02" w14:textId="77777777" w:rsidR="00000000" w:rsidRDefault="00E614A4">
            <w:pPr>
              <w:jc w:val="right"/>
              <w:rPr>
                <w:rFonts w:eastAsia="Times New Roman"/>
              </w:rPr>
            </w:pPr>
            <w:r>
              <w:rPr>
                <w:rFonts w:eastAsia="Times New Roman"/>
                <w:color w:val="000000"/>
                <w:sz w:val="18"/>
                <w:szCs w:val="18"/>
              </w:rPr>
              <w:t>902 </w:t>
            </w:r>
          </w:p>
        </w:tc>
        <w:tc>
          <w:tcPr>
            <w:tcW w:w="0" w:type="auto"/>
            <w:shd w:val="clear" w:color="auto" w:fill="CCEEFF"/>
            <w:tcMar>
              <w:top w:w="30" w:type="dxa"/>
              <w:left w:w="0" w:type="dxa"/>
              <w:bottom w:w="30" w:type="dxa"/>
              <w:right w:w="20" w:type="dxa"/>
            </w:tcMar>
            <w:vAlign w:val="bottom"/>
            <w:hideMark/>
          </w:tcPr>
          <w:p w14:paraId="6877AB4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3961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D0F600" w14:textId="77777777" w:rsidR="00000000" w:rsidRDefault="00E614A4">
            <w:pPr>
              <w:jc w:val="right"/>
              <w:rPr>
                <w:rFonts w:eastAsia="Times New Roman"/>
              </w:rPr>
            </w:pPr>
            <w:r>
              <w:rPr>
                <w:rFonts w:eastAsia="Times New Roman"/>
                <w:color w:val="000000"/>
                <w:sz w:val="18"/>
                <w:szCs w:val="18"/>
              </w:rPr>
              <w:t>(1,007)</w:t>
            </w:r>
          </w:p>
        </w:tc>
        <w:tc>
          <w:tcPr>
            <w:tcW w:w="0" w:type="auto"/>
            <w:shd w:val="clear" w:color="auto" w:fill="CCEEFF"/>
            <w:tcMar>
              <w:top w:w="30" w:type="dxa"/>
              <w:left w:w="0" w:type="dxa"/>
              <w:bottom w:w="30" w:type="dxa"/>
              <w:right w:w="20" w:type="dxa"/>
            </w:tcMar>
            <w:vAlign w:val="bottom"/>
            <w:hideMark/>
          </w:tcPr>
          <w:p w14:paraId="537A201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2DCDC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C0057" w14:textId="77777777" w:rsidR="00000000" w:rsidRDefault="00E614A4">
            <w:pPr>
              <w:jc w:val="right"/>
              <w:rPr>
                <w:rFonts w:eastAsia="Times New Roman"/>
              </w:rPr>
            </w:pPr>
            <w:r>
              <w:rPr>
                <w:rFonts w:eastAsia="Times New Roman"/>
                <w:color w:val="000000"/>
                <w:sz w:val="18"/>
                <w:szCs w:val="18"/>
              </w:rPr>
              <w:t>3,706 </w:t>
            </w:r>
          </w:p>
        </w:tc>
        <w:tc>
          <w:tcPr>
            <w:tcW w:w="0" w:type="auto"/>
            <w:shd w:val="clear" w:color="auto" w:fill="CCEEFF"/>
            <w:tcMar>
              <w:top w:w="30" w:type="dxa"/>
              <w:left w:w="0" w:type="dxa"/>
              <w:bottom w:w="30" w:type="dxa"/>
              <w:right w:w="20" w:type="dxa"/>
            </w:tcMar>
            <w:vAlign w:val="bottom"/>
            <w:hideMark/>
          </w:tcPr>
          <w:p w14:paraId="77E5FA85" w14:textId="77777777" w:rsidR="00000000" w:rsidRDefault="00E614A4">
            <w:pPr>
              <w:jc w:val="right"/>
              <w:rPr>
                <w:rFonts w:eastAsia="Times New Roman"/>
              </w:rPr>
            </w:pPr>
          </w:p>
        </w:tc>
      </w:tr>
      <w:tr w:rsidR="00000000" w14:paraId="1759C42F" w14:textId="77777777">
        <w:trPr>
          <w:divId w:val="1988436967"/>
        </w:trPr>
        <w:tc>
          <w:tcPr>
            <w:tcW w:w="0" w:type="auto"/>
            <w:gridSpan w:val="3"/>
            <w:shd w:val="clear" w:color="auto" w:fill="FFFFFF"/>
            <w:tcMar>
              <w:top w:w="30" w:type="dxa"/>
              <w:left w:w="20" w:type="dxa"/>
              <w:bottom w:w="30" w:type="dxa"/>
              <w:right w:w="20" w:type="dxa"/>
            </w:tcMar>
            <w:vAlign w:val="bottom"/>
            <w:hideMark/>
          </w:tcPr>
          <w:p w14:paraId="4B0791A7" w14:textId="77777777" w:rsidR="00000000" w:rsidRDefault="00E614A4">
            <w:pPr>
              <w:rPr>
                <w:rFonts w:eastAsia="Times New Roman"/>
              </w:rPr>
            </w:pPr>
            <w:r>
              <w:rPr>
                <w:rFonts w:eastAsia="Times New Roman"/>
                <w:color w:val="000000"/>
                <w:sz w:val="18"/>
                <w:szCs w:val="18"/>
              </w:rPr>
              <w:t>EBITDA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6B8509" w14:textId="77777777" w:rsidR="00000000" w:rsidRDefault="00E614A4">
            <w:pPr>
              <w:jc w:val="right"/>
              <w:rPr>
                <w:rFonts w:eastAsia="Times New Roman"/>
              </w:rPr>
            </w:pPr>
            <w:r>
              <w:rPr>
                <w:rFonts w:eastAsia="Times New Roman"/>
                <w:color w:val="000000"/>
                <w:sz w:val="18"/>
                <w:szCs w:val="18"/>
              </w:rPr>
              <w:t>31,724 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DBB48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8E45F"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4E081A" w14:textId="77777777" w:rsidR="00000000" w:rsidRDefault="00E614A4">
            <w:pPr>
              <w:jc w:val="right"/>
              <w:rPr>
                <w:rFonts w:eastAsia="Times New Roman"/>
              </w:rPr>
            </w:pPr>
            <w:r>
              <w:rPr>
                <w:rFonts w:eastAsia="Times New Roman"/>
                <w:color w:val="000000"/>
                <w:sz w:val="18"/>
                <w:szCs w:val="18"/>
              </w:rPr>
              <w:t>(263,210)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997D0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E3622"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4F7FDC" w14:textId="77777777" w:rsidR="00000000" w:rsidRDefault="00E614A4">
            <w:pPr>
              <w:jc w:val="right"/>
              <w:rPr>
                <w:rFonts w:eastAsia="Times New Roman"/>
              </w:rPr>
            </w:pPr>
            <w:r>
              <w:rPr>
                <w:rFonts w:eastAsia="Times New Roman"/>
                <w:color w:val="000000"/>
                <w:sz w:val="18"/>
                <w:szCs w:val="18"/>
              </w:rPr>
              <w:t>(88,974)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E8D5AA" w14:textId="77777777" w:rsidR="00000000" w:rsidRDefault="00E614A4">
            <w:pPr>
              <w:jc w:val="right"/>
              <w:rPr>
                <w:rFonts w:eastAsia="Times New Roman"/>
              </w:rPr>
            </w:pPr>
          </w:p>
        </w:tc>
      </w:tr>
      <w:tr w:rsidR="00000000" w14:paraId="3BCAED6A" w14:textId="77777777">
        <w:trPr>
          <w:divId w:val="1988436967"/>
          <w:trHeight w:val="240"/>
        </w:trPr>
        <w:tc>
          <w:tcPr>
            <w:tcW w:w="0" w:type="auto"/>
            <w:gridSpan w:val="3"/>
            <w:shd w:val="clear" w:color="auto" w:fill="CCEEFF"/>
            <w:tcMar>
              <w:top w:w="0" w:type="dxa"/>
              <w:left w:w="20" w:type="dxa"/>
              <w:bottom w:w="0" w:type="dxa"/>
              <w:right w:w="20" w:type="dxa"/>
            </w:tcMar>
            <w:vAlign w:val="center"/>
            <w:hideMark/>
          </w:tcPr>
          <w:p w14:paraId="69C8086D" w14:textId="77777777" w:rsidR="00000000" w:rsidRDefault="00E614A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F83722"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67DEA9"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D59B8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BDB68F"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117539" w14:textId="77777777" w:rsidR="00000000" w:rsidRDefault="00E614A4">
            <w:pPr>
              <w:rPr>
                <w:rFonts w:eastAsia="Times New Roman"/>
                <w:sz w:val="20"/>
                <w:szCs w:val="20"/>
              </w:rPr>
            </w:pPr>
          </w:p>
        </w:tc>
      </w:tr>
      <w:tr w:rsidR="00000000" w14:paraId="671AD18D" w14:textId="77777777">
        <w:trPr>
          <w:divId w:val="1988436967"/>
        </w:trPr>
        <w:tc>
          <w:tcPr>
            <w:tcW w:w="0" w:type="auto"/>
            <w:gridSpan w:val="3"/>
            <w:shd w:val="clear" w:color="auto" w:fill="FFFFFF"/>
            <w:tcMar>
              <w:top w:w="30" w:type="dxa"/>
              <w:left w:w="20" w:type="dxa"/>
              <w:bottom w:w="30" w:type="dxa"/>
              <w:right w:w="20" w:type="dxa"/>
            </w:tcMar>
            <w:vAlign w:val="bottom"/>
            <w:hideMark/>
          </w:tcPr>
          <w:p w14:paraId="7302CFF3" w14:textId="77777777" w:rsidR="00000000" w:rsidRDefault="00E614A4">
            <w:pPr>
              <w:rPr>
                <w:rFonts w:eastAsia="Times New Roman"/>
              </w:rPr>
            </w:pPr>
            <w:r>
              <w:rPr>
                <w:rFonts w:eastAsia="Times New Roman"/>
                <w:color w:val="000000"/>
                <w:sz w:val="18"/>
                <w:szCs w:val="18"/>
              </w:rPr>
              <w:t>Adjustments:</w:t>
            </w:r>
          </w:p>
        </w:tc>
        <w:tc>
          <w:tcPr>
            <w:tcW w:w="0" w:type="auto"/>
            <w:gridSpan w:val="3"/>
            <w:shd w:val="clear" w:color="auto" w:fill="FFFFFF"/>
            <w:tcMar>
              <w:top w:w="0" w:type="dxa"/>
              <w:left w:w="20" w:type="dxa"/>
              <w:bottom w:w="0" w:type="dxa"/>
              <w:right w:w="20" w:type="dxa"/>
            </w:tcMar>
            <w:vAlign w:val="center"/>
            <w:hideMark/>
          </w:tcPr>
          <w:p w14:paraId="4DF09251"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29FCC7"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D31F7B"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6B8C92"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FCA38B" w14:textId="77777777" w:rsidR="00000000" w:rsidRDefault="00E614A4">
            <w:pPr>
              <w:rPr>
                <w:rFonts w:eastAsia="Times New Roman"/>
                <w:sz w:val="20"/>
                <w:szCs w:val="20"/>
              </w:rPr>
            </w:pPr>
          </w:p>
        </w:tc>
      </w:tr>
      <w:tr w:rsidR="00000000" w14:paraId="667833A3" w14:textId="77777777">
        <w:trPr>
          <w:divId w:val="1988436967"/>
        </w:trPr>
        <w:tc>
          <w:tcPr>
            <w:tcW w:w="0" w:type="auto"/>
            <w:gridSpan w:val="3"/>
            <w:shd w:val="clear" w:color="auto" w:fill="CCEEFF"/>
            <w:tcMar>
              <w:top w:w="30" w:type="dxa"/>
              <w:left w:w="245" w:type="dxa"/>
              <w:bottom w:w="30" w:type="dxa"/>
              <w:right w:w="20" w:type="dxa"/>
            </w:tcMar>
            <w:hideMark/>
          </w:tcPr>
          <w:p w14:paraId="0AE6080F" w14:textId="77777777" w:rsidR="00000000" w:rsidRDefault="00E614A4">
            <w:pPr>
              <w:rPr>
                <w:rFonts w:eastAsia="Times New Roman"/>
              </w:rPr>
            </w:pPr>
            <w:r>
              <w:rPr>
                <w:rFonts w:eastAsia="Times New Roman"/>
                <w:color w:val="00000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14:paraId="35CFE843" w14:textId="77777777" w:rsidR="00000000" w:rsidRDefault="00E614A4">
            <w:pPr>
              <w:jc w:val="right"/>
              <w:rPr>
                <w:rFonts w:eastAsia="Times New Roman"/>
              </w:rPr>
            </w:pPr>
            <w:r>
              <w:rPr>
                <w:rFonts w:eastAsia="Times New Roman"/>
                <w:color w:val="000000"/>
                <w:sz w:val="18"/>
                <w:szCs w:val="18"/>
              </w:rPr>
              <w:t>10,073 </w:t>
            </w:r>
          </w:p>
        </w:tc>
        <w:tc>
          <w:tcPr>
            <w:tcW w:w="0" w:type="auto"/>
            <w:shd w:val="clear" w:color="auto" w:fill="CCEEFF"/>
            <w:tcMar>
              <w:top w:w="30" w:type="dxa"/>
              <w:left w:w="0" w:type="dxa"/>
              <w:bottom w:w="30" w:type="dxa"/>
              <w:right w:w="20" w:type="dxa"/>
            </w:tcMar>
            <w:vAlign w:val="bottom"/>
            <w:hideMark/>
          </w:tcPr>
          <w:p w14:paraId="040E30C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10A7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AC6E53" w14:textId="77777777" w:rsidR="00000000" w:rsidRDefault="00E614A4">
            <w:pPr>
              <w:jc w:val="right"/>
              <w:rPr>
                <w:rFonts w:eastAsia="Times New Roman"/>
              </w:rPr>
            </w:pPr>
            <w:r>
              <w:rPr>
                <w:rFonts w:eastAsia="Times New Roman"/>
                <w:color w:val="000000"/>
                <w:sz w:val="18"/>
                <w:szCs w:val="18"/>
              </w:rPr>
              <w:t>16,695 </w:t>
            </w:r>
          </w:p>
        </w:tc>
        <w:tc>
          <w:tcPr>
            <w:tcW w:w="0" w:type="auto"/>
            <w:shd w:val="clear" w:color="auto" w:fill="CCEEFF"/>
            <w:tcMar>
              <w:top w:w="30" w:type="dxa"/>
              <w:left w:w="0" w:type="dxa"/>
              <w:bottom w:w="30" w:type="dxa"/>
              <w:right w:w="20" w:type="dxa"/>
            </w:tcMar>
            <w:vAlign w:val="bottom"/>
            <w:hideMark/>
          </w:tcPr>
          <w:p w14:paraId="581124D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033C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E94E1" w14:textId="77777777" w:rsidR="00000000" w:rsidRDefault="00E614A4">
            <w:pPr>
              <w:jc w:val="right"/>
              <w:rPr>
                <w:rFonts w:eastAsia="Times New Roman"/>
              </w:rPr>
            </w:pPr>
            <w:r>
              <w:rPr>
                <w:rFonts w:eastAsia="Times New Roman"/>
                <w:color w:val="000000"/>
                <w:sz w:val="18"/>
                <w:szCs w:val="18"/>
              </w:rPr>
              <w:t>37,151 </w:t>
            </w:r>
          </w:p>
        </w:tc>
        <w:tc>
          <w:tcPr>
            <w:tcW w:w="0" w:type="auto"/>
            <w:shd w:val="clear" w:color="auto" w:fill="CCEEFF"/>
            <w:tcMar>
              <w:top w:w="30" w:type="dxa"/>
              <w:left w:w="0" w:type="dxa"/>
              <w:bottom w:w="30" w:type="dxa"/>
              <w:right w:w="20" w:type="dxa"/>
            </w:tcMar>
            <w:vAlign w:val="bottom"/>
            <w:hideMark/>
          </w:tcPr>
          <w:p w14:paraId="04F2822A" w14:textId="77777777" w:rsidR="00000000" w:rsidRDefault="00E614A4">
            <w:pPr>
              <w:jc w:val="right"/>
              <w:rPr>
                <w:rFonts w:eastAsia="Times New Roman"/>
              </w:rPr>
            </w:pPr>
          </w:p>
        </w:tc>
      </w:tr>
      <w:tr w:rsidR="00000000" w14:paraId="575D4D95" w14:textId="77777777">
        <w:trPr>
          <w:divId w:val="1988436967"/>
        </w:trPr>
        <w:tc>
          <w:tcPr>
            <w:tcW w:w="0" w:type="auto"/>
            <w:gridSpan w:val="3"/>
            <w:shd w:val="clear" w:color="auto" w:fill="FFFFFF"/>
            <w:tcMar>
              <w:top w:w="30" w:type="dxa"/>
              <w:left w:w="245" w:type="dxa"/>
              <w:bottom w:w="30" w:type="dxa"/>
              <w:right w:w="20" w:type="dxa"/>
            </w:tcMar>
            <w:vAlign w:val="bottom"/>
            <w:hideMark/>
          </w:tcPr>
          <w:p w14:paraId="2C61DEC4" w14:textId="77777777" w:rsidR="00000000" w:rsidRDefault="00E614A4">
            <w:pPr>
              <w:rPr>
                <w:rFonts w:eastAsia="Times New Roman"/>
              </w:rPr>
            </w:pPr>
            <w:r>
              <w:rPr>
                <w:rFonts w:eastAsia="Times New Roman"/>
                <w:color w:val="000000"/>
                <w:sz w:val="18"/>
                <w:szCs w:val="18"/>
              </w:rPr>
              <w:t>Impairment of right-of-use and long-lived assets</w:t>
            </w:r>
          </w:p>
        </w:tc>
        <w:tc>
          <w:tcPr>
            <w:tcW w:w="0" w:type="auto"/>
            <w:gridSpan w:val="2"/>
            <w:shd w:val="clear" w:color="auto" w:fill="FFFFFF"/>
            <w:tcMar>
              <w:top w:w="30" w:type="dxa"/>
              <w:left w:w="20" w:type="dxa"/>
              <w:bottom w:w="30" w:type="dxa"/>
              <w:right w:w="0" w:type="dxa"/>
            </w:tcMar>
            <w:vAlign w:val="bottom"/>
            <w:hideMark/>
          </w:tcPr>
          <w:p w14:paraId="41ABC3EB" w14:textId="77777777" w:rsidR="00000000" w:rsidRDefault="00E614A4">
            <w:pPr>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14:paraId="7587E97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50F1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F0C57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D5280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E33D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C6C2A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5263F74" w14:textId="77777777" w:rsidR="00000000" w:rsidRDefault="00E614A4">
            <w:pPr>
              <w:jc w:val="right"/>
              <w:rPr>
                <w:rFonts w:eastAsia="Times New Roman"/>
              </w:rPr>
            </w:pPr>
          </w:p>
        </w:tc>
      </w:tr>
      <w:tr w:rsidR="00000000" w14:paraId="51842673" w14:textId="77777777">
        <w:trPr>
          <w:divId w:val="1988436967"/>
        </w:trPr>
        <w:tc>
          <w:tcPr>
            <w:tcW w:w="0" w:type="auto"/>
            <w:gridSpan w:val="3"/>
            <w:shd w:val="clear" w:color="auto" w:fill="CCEEFF"/>
            <w:tcMar>
              <w:top w:w="30" w:type="dxa"/>
              <w:left w:w="245" w:type="dxa"/>
              <w:bottom w:w="30" w:type="dxa"/>
              <w:right w:w="20" w:type="dxa"/>
            </w:tcMar>
            <w:vAlign w:val="bottom"/>
            <w:hideMark/>
          </w:tcPr>
          <w:p w14:paraId="3176447E" w14:textId="77777777" w:rsidR="00000000" w:rsidRDefault="00E614A4">
            <w:pPr>
              <w:rPr>
                <w:rFonts w:eastAsia="Times New Roman"/>
              </w:rPr>
            </w:pPr>
            <w:r>
              <w:rPr>
                <w:rFonts w:eastAsia="Times New Roman"/>
                <w:color w:val="000000"/>
                <w:sz w:val="18"/>
                <w:szCs w:val="18"/>
              </w:rPr>
              <w:t>Impairment of goodwill</w:t>
            </w:r>
          </w:p>
        </w:tc>
        <w:tc>
          <w:tcPr>
            <w:tcW w:w="0" w:type="auto"/>
            <w:gridSpan w:val="2"/>
            <w:shd w:val="clear" w:color="auto" w:fill="CCEEFF"/>
            <w:tcMar>
              <w:top w:w="30" w:type="dxa"/>
              <w:left w:w="20" w:type="dxa"/>
              <w:bottom w:w="30" w:type="dxa"/>
              <w:right w:w="0" w:type="dxa"/>
            </w:tcMar>
            <w:vAlign w:val="bottom"/>
            <w:hideMark/>
          </w:tcPr>
          <w:p w14:paraId="212E56D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C5368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C92E5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035E8D" w14:textId="77777777" w:rsidR="00000000" w:rsidRDefault="00E614A4">
            <w:pPr>
              <w:jc w:val="right"/>
              <w:rPr>
                <w:rFonts w:eastAsia="Times New Roman"/>
              </w:rPr>
            </w:pPr>
            <w:r>
              <w:rPr>
                <w:rFonts w:eastAsia="Times New Roman"/>
                <w:color w:val="000000"/>
                <w:sz w:val="18"/>
                <w:szCs w:val="18"/>
              </w:rPr>
              <w:t>224,272 </w:t>
            </w:r>
          </w:p>
        </w:tc>
        <w:tc>
          <w:tcPr>
            <w:tcW w:w="0" w:type="auto"/>
            <w:shd w:val="clear" w:color="auto" w:fill="CCEEFF"/>
            <w:tcMar>
              <w:top w:w="30" w:type="dxa"/>
              <w:left w:w="0" w:type="dxa"/>
              <w:bottom w:w="30" w:type="dxa"/>
              <w:right w:w="20" w:type="dxa"/>
            </w:tcMar>
            <w:vAlign w:val="bottom"/>
            <w:hideMark/>
          </w:tcPr>
          <w:p w14:paraId="4E4F21C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D0F33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E755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B882F1" w14:textId="77777777" w:rsidR="00000000" w:rsidRDefault="00E614A4">
            <w:pPr>
              <w:jc w:val="right"/>
              <w:rPr>
                <w:rFonts w:eastAsia="Times New Roman"/>
              </w:rPr>
            </w:pPr>
          </w:p>
        </w:tc>
      </w:tr>
      <w:tr w:rsidR="00000000" w14:paraId="3AD4B5F5" w14:textId="77777777">
        <w:trPr>
          <w:divId w:val="1988436967"/>
        </w:trPr>
        <w:tc>
          <w:tcPr>
            <w:tcW w:w="0" w:type="auto"/>
            <w:gridSpan w:val="3"/>
            <w:shd w:val="clear" w:color="auto" w:fill="FFFFFF"/>
            <w:tcMar>
              <w:top w:w="30" w:type="dxa"/>
              <w:left w:w="245" w:type="dxa"/>
              <w:bottom w:w="30" w:type="dxa"/>
              <w:right w:w="20" w:type="dxa"/>
            </w:tcMar>
            <w:vAlign w:val="bottom"/>
            <w:hideMark/>
          </w:tcPr>
          <w:p w14:paraId="55C3EDE1" w14:textId="77777777" w:rsidR="00000000" w:rsidRDefault="00E614A4">
            <w:pPr>
              <w:rPr>
                <w:rFonts w:eastAsia="Times New Roman"/>
              </w:rPr>
            </w:pPr>
            <w:r>
              <w:rPr>
                <w:rFonts w:eastAsia="Times New Roman"/>
                <w:color w:val="000000"/>
                <w:sz w:val="18"/>
                <w:szCs w:val="18"/>
              </w:rPr>
              <w:t>Impairment of intangible asset</w:t>
            </w:r>
          </w:p>
        </w:tc>
        <w:tc>
          <w:tcPr>
            <w:tcW w:w="0" w:type="auto"/>
            <w:gridSpan w:val="2"/>
            <w:shd w:val="clear" w:color="auto" w:fill="FFFFFF"/>
            <w:tcMar>
              <w:top w:w="30" w:type="dxa"/>
              <w:left w:w="20" w:type="dxa"/>
              <w:bottom w:w="30" w:type="dxa"/>
              <w:right w:w="0" w:type="dxa"/>
            </w:tcMar>
            <w:vAlign w:val="bottom"/>
            <w:hideMark/>
          </w:tcPr>
          <w:p w14:paraId="5889C45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3E94F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5097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A8F63F" w14:textId="77777777" w:rsidR="00000000" w:rsidRDefault="00E614A4">
            <w:pPr>
              <w:jc w:val="right"/>
              <w:rPr>
                <w:rFonts w:eastAsia="Times New Roman"/>
              </w:rPr>
            </w:pPr>
            <w:r>
              <w:rPr>
                <w:rFonts w:eastAsia="Times New Roman"/>
                <w:color w:val="000000"/>
                <w:sz w:val="18"/>
                <w:szCs w:val="18"/>
              </w:rPr>
              <w:t>17,308 </w:t>
            </w:r>
          </w:p>
        </w:tc>
        <w:tc>
          <w:tcPr>
            <w:tcW w:w="0" w:type="auto"/>
            <w:shd w:val="clear" w:color="auto" w:fill="FFFFFF"/>
            <w:tcMar>
              <w:top w:w="30" w:type="dxa"/>
              <w:left w:w="0" w:type="dxa"/>
              <w:bottom w:w="30" w:type="dxa"/>
              <w:right w:w="20" w:type="dxa"/>
            </w:tcMar>
            <w:vAlign w:val="bottom"/>
            <w:hideMark/>
          </w:tcPr>
          <w:p w14:paraId="30FB847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577D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A325D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EF3517" w14:textId="77777777" w:rsidR="00000000" w:rsidRDefault="00E614A4">
            <w:pPr>
              <w:jc w:val="right"/>
              <w:rPr>
                <w:rFonts w:eastAsia="Times New Roman"/>
              </w:rPr>
            </w:pPr>
          </w:p>
        </w:tc>
      </w:tr>
      <w:tr w:rsidR="00000000" w14:paraId="4B193AA4" w14:textId="77777777">
        <w:trPr>
          <w:divId w:val="1988436967"/>
        </w:trPr>
        <w:tc>
          <w:tcPr>
            <w:tcW w:w="0" w:type="auto"/>
            <w:gridSpan w:val="3"/>
            <w:shd w:val="clear" w:color="auto" w:fill="CCEEFF"/>
            <w:tcMar>
              <w:top w:w="30" w:type="dxa"/>
              <w:left w:w="245" w:type="dxa"/>
              <w:bottom w:w="30" w:type="dxa"/>
              <w:right w:w="20" w:type="dxa"/>
            </w:tcMar>
            <w:vAlign w:val="bottom"/>
            <w:hideMark/>
          </w:tcPr>
          <w:p w14:paraId="0D554290" w14:textId="77777777" w:rsidR="00000000" w:rsidRDefault="00E614A4">
            <w:pPr>
              <w:rPr>
                <w:rFonts w:eastAsia="Times New Roman"/>
              </w:rPr>
            </w:pPr>
            <w:r>
              <w:rPr>
                <w:rFonts w:eastAsia="Times New Roman"/>
                <w:color w:val="000000"/>
                <w:sz w:val="18"/>
                <w:szCs w:val="18"/>
              </w:rPr>
              <w:t xml:space="preserve">Investigation and audit related </w:t>
            </w:r>
          </w:p>
        </w:tc>
        <w:tc>
          <w:tcPr>
            <w:tcW w:w="0" w:type="auto"/>
            <w:gridSpan w:val="2"/>
            <w:shd w:val="clear" w:color="auto" w:fill="CCEEFF"/>
            <w:tcMar>
              <w:top w:w="30" w:type="dxa"/>
              <w:left w:w="20" w:type="dxa"/>
              <w:bottom w:w="30" w:type="dxa"/>
              <w:right w:w="0" w:type="dxa"/>
            </w:tcMar>
            <w:vAlign w:val="bottom"/>
            <w:hideMark/>
          </w:tcPr>
          <w:p w14:paraId="1AE7378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49E5C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0AB7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BE68C3" w14:textId="77777777" w:rsidR="00000000" w:rsidRDefault="00E614A4">
            <w:pPr>
              <w:jc w:val="right"/>
              <w:rPr>
                <w:rFonts w:eastAsia="Times New Roman"/>
              </w:rPr>
            </w:pPr>
            <w:r>
              <w:rPr>
                <w:rFonts w:eastAsia="Times New Roman"/>
                <w:color w:val="000000"/>
                <w:sz w:val="18"/>
                <w:szCs w:val="18"/>
              </w:rPr>
              <w:t>4,305 </w:t>
            </w:r>
          </w:p>
        </w:tc>
        <w:tc>
          <w:tcPr>
            <w:tcW w:w="0" w:type="auto"/>
            <w:shd w:val="clear" w:color="auto" w:fill="CCEEFF"/>
            <w:tcMar>
              <w:top w:w="30" w:type="dxa"/>
              <w:left w:w="0" w:type="dxa"/>
              <w:bottom w:w="30" w:type="dxa"/>
              <w:right w:w="20" w:type="dxa"/>
            </w:tcMar>
            <w:vAlign w:val="bottom"/>
            <w:hideMark/>
          </w:tcPr>
          <w:p w14:paraId="24C6091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666F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B97F8D" w14:textId="77777777" w:rsidR="00000000" w:rsidRDefault="00E614A4">
            <w:pPr>
              <w:jc w:val="right"/>
              <w:rPr>
                <w:rFonts w:eastAsia="Times New Roman"/>
              </w:rPr>
            </w:pPr>
            <w:r>
              <w:rPr>
                <w:rFonts w:eastAsia="Times New Roman"/>
                <w:color w:val="000000"/>
                <w:sz w:val="18"/>
                <w:szCs w:val="18"/>
              </w:rPr>
              <w:t>38,338 </w:t>
            </w:r>
          </w:p>
        </w:tc>
        <w:tc>
          <w:tcPr>
            <w:tcW w:w="0" w:type="auto"/>
            <w:shd w:val="clear" w:color="auto" w:fill="CCEEFF"/>
            <w:tcMar>
              <w:top w:w="30" w:type="dxa"/>
              <w:left w:w="0" w:type="dxa"/>
              <w:bottom w:w="30" w:type="dxa"/>
              <w:right w:w="20" w:type="dxa"/>
            </w:tcMar>
            <w:vAlign w:val="bottom"/>
            <w:hideMark/>
          </w:tcPr>
          <w:p w14:paraId="5C5F324A" w14:textId="77777777" w:rsidR="00000000" w:rsidRDefault="00E614A4">
            <w:pPr>
              <w:jc w:val="right"/>
              <w:rPr>
                <w:rFonts w:eastAsia="Times New Roman"/>
              </w:rPr>
            </w:pPr>
          </w:p>
        </w:tc>
      </w:tr>
      <w:tr w:rsidR="00000000" w14:paraId="59E34889" w14:textId="77777777">
        <w:trPr>
          <w:divId w:val="1988436967"/>
        </w:trPr>
        <w:tc>
          <w:tcPr>
            <w:tcW w:w="0" w:type="auto"/>
            <w:gridSpan w:val="3"/>
            <w:shd w:val="clear" w:color="auto" w:fill="FFFFFF"/>
            <w:tcMar>
              <w:top w:w="30" w:type="dxa"/>
              <w:left w:w="245" w:type="dxa"/>
              <w:bottom w:w="30" w:type="dxa"/>
              <w:right w:w="20" w:type="dxa"/>
            </w:tcMar>
            <w:vAlign w:val="bottom"/>
            <w:hideMark/>
          </w:tcPr>
          <w:p w14:paraId="21EB85CA" w14:textId="77777777" w:rsidR="00000000" w:rsidRDefault="00E614A4">
            <w:pPr>
              <w:rPr>
                <w:rFonts w:eastAsia="Times New Roman"/>
              </w:rPr>
            </w:pPr>
            <w:r>
              <w:rPr>
                <w:rFonts w:eastAsia="Times New Roman"/>
                <w:color w:val="000000"/>
                <w:sz w:val="18"/>
                <w:szCs w:val="18"/>
              </w:rPr>
              <w:t>Restructuring</w:t>
            </w:r>
          </w:p>
        </w:tc>
        <w:tc>
          <w:tcPr>
            <w:tcW w:w="0" w:type="auto"/>
            <w:gridSpan w:val="2"/>
            <w:shd w:val="clear" w:color="auto" w:fill="FFFFFF"/>
            <w:tcMar>
              <w:top w:w="30" w:type="dxa"/>
              <w:left w:w="20" w:type="dxa"/>
              <w:bottom w:w="30" w:type="dxa"/>
              <w:right w:w="0" w:type="dxa"/>
            </w:tcMar>
            <w:vAlign w:val="bottom"/>
            <w:hideMark/>
          </w:tcPr>
          <w:p w14:paraId="6378528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03BF9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9F1E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22E46A" w14:textId="77777777" w:rsidR="00000000" w:rsidRDefault="00E614A4">
            <w:pPr>
              <w:jc w:val="right"/>
              <w:rPr>
                <w:rFonts w:eastAsia="Times New Roman"/>
              </w:rPr>
            </w:pPr>
            <w:r>
              <w:rPr>
                <w:rFonts w:eastAsia="Times New Roman"/>
                <w:color w:val="000000"/>
                <w:sz w:val="18"/>
                <w:szCs w:val="18"/>
              </w:rPr>
              <w:t>3,263 </w:t>
            </w:r>
          </w:p>
        </w:tc>
        <w:tc>
          <w:tcPr>
            <w:tcW w:w="0" w:type="auto"/>
            <w:shd w:val="clear" w:color="auto" w:fill="FFFFFF"/>
            <w:tcMar>
              <w:top w:w="30" w:type="dxa"/>
              <w:left w:w="0" w:type="dxa"/>
              <w:bottom w:w="30" w:type="dxa"/>
              <w:right w:w="20" w:type="dxa"/>
            </w:tcMar>
            <w:vAlign w:val="bottom"/>
            <w:hideMark/>
          </w:tcPr>
          <w:p w14:paraId="05A1B61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436E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4AF085" w14:textId="77777777" w:rsidR="00000000" w:rsidRDefault="00E614A4">
            <w:pPr>
              <w:jc w:val="right"/>
              <w:rPr>
                <w:rFonts w:eastAsia="Times New Roman"/>
              </w:rPr>
            </w:pPr>
            <w:r>
              <w:rPr>
                <w:rFonts w:eastAsia="Times New Roman"/>
                <w:color w:val="000000"/>
                <w:sz w:val="18"/>
                <w:szCs w:val="18"/>
              </w:rPr>
              <w:t>11,837 </w:t>
            </w:r>
          </w:p>
        </w:tc>
        <w:tc>
          <w:tcPr>
            <w:tcW w:w="0" w:type="auto"/>
            <w:shd w:val="clear" w:color="auto" w:fill="FFFFFF"/>
            <w:tcMar>
              <w:top w:w="30" w:type="dxa"/>
              <w:left w:w="0" w:type="dxa"/>
              <w:bottom w:w="30" w:type="dxa"/>
              <w:right w:w="20" w:type="dxa"/>
            </w:tcMar>
            <w:vAlign w:val="bottom"/>
            <w:hideMark/>
          </w:tcPr>
          <w:p w14:paraId="3CF9E56D" w14:textId="77777777" w:rsidR="00000000" w:rsidRDefault="00E614A4">
            <w:pPr>
              <w:jc w:val="right"/>
              <w:rPr>
                <w:rFonts w:eastAsia="Times New Roman"/>
              </w:rPr>
            </w:pPr>
          </w:p>
        </w:tc>
      </w:tr>
      <w:tr w:rsidR="00000000" w14:paraId="58BB8456" w14:textId="77777777">
        <w:trPr>
          <w:divId w:val="1988436967"/>
        </w:trPr>
        <w:tc>
          <w:tcPr>
            <w:tcW w:w="0" w:type="auto"/>
            <w:gridSpan w:val="3"/>
            <w:shd w:val="clear" w:color="auto" w:fill="CCEEFF"/>
            <w:tcMar>
              <w:top w:w="30" w:type="dxa"/>
              <w:left w:w="20" w:type="dxa"/>
              <w:bottom w:w="30" w:type="dxa"/>
              <w:right w:w="20" w:type="dxa"/>
            </w:tcMar>
            <w:vAlign w:val="bottom"/>
            <w:hideMark/>
          </w:tcPr>
          <w:p w14:paraId="7F62839C" w14:textId="77777777" w:rsidR="00000000" w:rsidRDefault="00E614A4">
            <w:pPr>
              <w:divId w:val="1710585"/>
              <w:rPr>
                <w:rFonts w:eastAsia="Times New Roman"/>
              </w:rPr>
            </w:pPr>
            <w:r>
              <w:rPr>
                <w:rFonts w:eastAsia="Times New Roman"/>
                <w:color w:val="000000"/>
                <w:sz w:val="18"/>
                <w:szCs w:val="18"/>
              </w:rPr>
              <w:t>Settlement of certain litigation, net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016001B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2DAD4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C7B2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EDFCC9" w14:textId="77777777" w:rsidR="00000000" w:rsidRDefault="00E614A4">
            <w:pPr>
              <w:jc w:val="right"/>
              <w:rPr>
                <w:rFonts w:eastAsia="Times New Roman"/>
              </w:rPr>
            </w:pPr>
            <w:r>
              <w:rPr>
                <w:rFonts w:eastAsia="Times New Roman"/>
                <w:color w:val="000000"/>
                <w:sz w:val="18"/>
                <w:szCs w:val="18"/>
              </w:rPr>
              <w:t>2,900 </w:t>
            </w:r>
          </w:p>
        </w:tc>
        <w:tc>
          <w:tcPr>
            <w:tcW w:w="0" w:type="auto"/>
            <w:shd w:val="clear" w:color="auto" w:fill="CCEEFF"/>
            <w:tcMar>
              <w:top w:w="30" w:type="dxa"/>
              <w:left w:w="0" w:type="dxa"/>
              <w:bottom w:w="30" w:type="dxa"/>
              <w:right w:w="20" w:type="dxa"/>
            </w:tcMar>
            <w:vAlign w:val="bottom"/>
            <w:hideMark/>
          </w:tcPr>
          <w:p w14:paraId="35076E8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83B2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17E7E" w14:textId="77777777" w:rsidR="00000000" w:rsidRDefault="00E614A4">
            <w:pPr>
              <w:jc w:val="right"/>
              <w:rPr>
                <w:rFonts w:eastAsia="Times New Roman"/>
              </w:rPr>
            </w:pPr>
            <w:r>
              <w:rPr>
                <w:rFonts w:eastAsia="Times New Roman"/>
                <w:color w:val="000000"/>
                <w:sz w:val="18"/>
                <w:szCs w:val="18"/>
              </w:rPr>
              <w:t>5,250 </w:t>
            </w:r>
          </w:p>
        </w:tc>
        <w:tc>
          <w:tcPr>
            <w:tcW w:w="0" w:type="auto"/>
            <w:shd w:val="clear" w:color="auto" w:fill="CCEEFF"/>
            <w:tcMar>
              <w:top w:w="30" w:type="dxa"/>
              <w:left w:w="0" w:type="dxa"/>
              <w:bottom w:w="30" w:type="dxa"/>
              <w:right w:w="20" w:type="dxa"/>
            </w:tcMar>
            <w:vAlign w:val="bottom"/>
            <w:hideMark/>
          </w:tcPr>
          <w:p w14:paraId="780E540E" w14:textId="77777777" w:rsidR="00000000" w:rsidRDefault="00E614A4">
            <w:pPr>
              <w:jc w:val="right"/>
              <w:rPr>
                <w:rFonts w:eastAsia="Times New Roman"/>
              </w:rPr>
            </w:pPr>
          </w:p>
        </w:tc>
      </w:tr>
      <w:tr w:rsidR="00000000" w14:paraId="5A0747FC" w14:textId="77777777">
        <w:trPr>
          <w:divId w:val="1988436967"/>
        </w:trPr>
        <w:tc>
          <w:tcPr>
            <w:tcW w:w="0" w:type="auto"/>
            <w:gridSpan w:val="3"/>
            <w:shd w:val="clear" w:color="auto" w:fill="FFFFFF"/>
            <w:tcMar>
              <w:top w:w="30" w:type="dxa"/>
              <w:left w:w="20" w:type="dxa"/>
              <w:bottom w:w="30" w:type="dxa"/>
              <w:right w:w="20" w:type="dxa"/>
            </w:tcMar>
            <w:vAlign w:val="bottom"/>
            <w:hideMark/>
          </w:tcPr>
          <w:p w14:paraId="2CD0BCC6" w14:textId="77777777" w:rsidR="00000000" w:rsidRDefault="00E614A4">
            <w:pPr>
              <w:divId w:val="103691300"/>
              <w:rPr>
                <w:rFonts w:eastAsia="Times New Roman"/>
              </w:rPr>
            </w:pPr>
            <w:r>
              <w:rPr>
                <w:rFonts w:eastAsia="Times New Roman"/>
                <w:color w:val="000000"/>
                <w:sz w:val="18"/>
                <w:szCs w:val="18"/>
              </w:rPr>
              <w:t>Other (income) expense, net</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5EE6B020" w14:textId="77777777" w:rsidR="00000000" w:rsidRDefault="00E614A4">
            <w:pPr>
              <w:jc w:val="right"/>
              <w:rPr>
                <w:rFonts w:eastAsia="Times New Roman"/>
              </w:rPr>
            </w:pPr>
            <w:r>
              <w:rPr>
                <w:rFonts w:eastAsia="Times New Roman"/>
                <w:color w:val="000000"/>
                <w:sz w:val="18"/>
                <w:szCs w:val="18"/>
              </w:rPr>
              <w:t>(14,164)</w:t>
            </w:r>
          </w:p>
        </w:tc>
        <w:tc>
          <w:tcPr>
            <w:tcW w:w="0" w:type="auto"/>
            <w:shd w:val="clear" w:color="auto" w:fill="FFFFFF"/>
            <w:tcMar>
              <w:top w:w="30" w:type="dxa"/>
              <w:left w:w="0" w:type="dxa"/>
              <w:bottom w:w="30" w:type="dxa"/>
              <w:right w:w="20" w:type="dxa"/>
            </w:tcMar>
            <w:vAlign w:val="bottom"/>
            <w:hideMark/>
          </w:tcPr>
          <w:p w14:paraId="52FF9E4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8F8A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179167" w14:textId="77777777" w:rsidR="00000000" w:rsidRDefault="00E614A4">
            <w:pPr>
              <w:jc w:val="right"/>
              <w:rPr>
                <w:rFonts w:eastAsia="Times New Roman"/>
              </w:rPr>
            </w:pPr>
            <w:r>
              <w:rPr>
                <w:rFonts w:eastAsia="Times New Roman"/>
                <w:color w:val="000000"/>
                <w:sz w:val="18"/>
                <w:szCs w:val="18"/>
              </w:rPr>
              <w:t>682 </w:t>
            </w:r>
          </w:p>
        </w:tc>
        <w:tc>
          <w:tcPr>
            <w:tcW w:w="0" w:type="auto"/>
            <w:shd w:val="clear" w:color="auto" w:fill="FFFFFF"/>
            <w:tcMar>
              <w:top w:w="30" w:type="dxa"/>
              <w:left w:w="0" w:type="dxa"/>
              <w:bottom w:w="30" w:type="dxa"/>
              <w:right w:w="20" w:type="dxa"/>
            </w:tcMar>
            <w:vAlign w:val="bottom"/>
            <w:hideMark/>
          </w:tcPr>
          <w:p w14:paraId="6C3216D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37B6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18F36" w14:textId="77777777" w:rsidR="00000000" w:rsidRDefault="00E614A4">
            <w:pPr>
              <w:jc w:val="right"/>
              <w:rPr>
                <w:rFonts w:eastAsia="Times New Roman"/>
              </w:rPr>
            </w:pPr>
            <w:r>
              <w:rPr>
                <w:rFonts w:eastAsia="Times New Roman"/>
                <w:color w:val="000000"/>
                <w:sz w:val="18"/>
                <w:szCs w:val="18"/>
              </w:rPr>
              <w:t>12,783 </w:t>
            </w:r>
          </w:p>
        </w:tc>
        <w:tc>
          <w:tcPr>
            <w:tcW w:w="0" w:type="auto"/>
            <w:shd w:val="clear" w:color="auto" w:fill="FFFFFF"/>
            <w:tcMar>
              <w:top w:w="30" w:type="dxa"/>
              <w:left w:w="0" w:type="dxa"/>
              <w:bottom w:w="30" w:type="dxa"/>
              <w:right w:w="20" w:type="dxa"/>
            </w:tcMar>
            <w:vAlign w:val="bottom"/>
            <w:hideMark/>
          </w:tcPr>
          <w:p w14:paraId="269FC2F7" w14:textId="77777777" w:rsidR="00000000" w:rsidRDefault="00E614A4">
            <w:pPr>
              <w:jc w:val="right"/>
              <w:rPr>
                <w:rFonts w:eastAsia="Times New Roman"/>
              </w:rPr>
            </w:pPr>
          </w:p>
        </w:tc>
      </w:tr>
      <w:tr w:rsidR="00000000" w14:paraId="276E3939" w14:textId="77777777">
        <w:trPr>
          <w:divId w:val="1988436967"/>
        </w:trPr>
        <w:tc>
          <w:tcPr>
            <w:tcW w:w="0" w:type="auto"/>
            <w:gridSpan w:val="3"/>
            <w:shd w:val="clear" w:color="auto" w:fill="CCEEFF"/>
            <w:tcMar>
              <w:top w:w="30" w:type="dxa"/>
              <w:left w:w="20" w:type="dxa"/>
              <w:bottom w:w="30" w:type="dxa"/>
              <w:right w:w="20" w:type="dxa"/>
            </w:tcMar>
            <w:vAlign w:val="bottom"/>
            <w:hideMark/>
          </w:tcPr>
          <w:p w14:paraId="6461689C" w14:textId="77777777" w:rsidR="00000000" w:rsidRDefault="00E614A4">
            <w:pPr>
              <w:rPr>
                <w:rFonts w:eastAsia="Times New Roman"/>
              </w:rPr>
            </w:pPr>
            <w:r>
              <w:rPr>
                <w:rFonts w:eastAsia="Times New Roman"/>
                <w:color w:val="000000"/>
                <w:sz w:val="18"/>
                <w:szCs w:val="18"/>
              </w:rPr>
              <w:t xml:space="preserve">Adjusted EBITDA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F70F4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10D747" w14:textId="77777777" w:rsidR="00000000" w:rsidRDefault="00E614A4">
            <w:pPr>
              <w:jc w:val="right"/>
              <w:rPr>
                <w:rFonts w:eastAsia="Times New Roman"/>
              </w:rPr>
            </w:pPr>
            <w:r>
              <w:rPr>
                <w:rFonts w:eastAsia="Times New Roman"/>
                <w:color w:val="000000"/>
                <w:sz w:val="18"/>
                <w:szCs w:val="18"/>
              </w:rPr>
              <w:t>32,304 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1F8E2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CE2A1"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AF156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D3EA61" w14:textId="77777777" w:rsidR="00000000" w:rsidRDefault="00E614A4">
            <w:pPr>
              <w:jc w:val="right"/>
              <w:rPr>
                <w:rFonts w:eastAsia="Times New Roman"/>
              </w:rPr>
            </w:pPr>
            <w:r>
              <w:rPr>
                <w:rFonts w:eastAsia="Times New Roman"/>
                <w:color w:val="000000"/>
                <w:sz w:val="18"/>
                <w:szCs w:val="18"/>
              </w:rPr>
              <w:t>6,215 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D3514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2A414"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BD7A7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0F1F76" w14:textId="77777777" w:rsidR="00000000" w:rsidRDefault="00E614A4">
            <w:pPr>
              <w:jc w:val="right"/>
              <w:rPr>
                <w:rFonts w:eastAsia="Times New Roman"/>
              </w:rPr>
            </w:pPr>
            <w:r>
              <w:rPr>
                <w:rFonts w:eastAsia="Times New Roman"/>
                <w:color w:val="000000"/>
                <w:sz w:val="18"/>
                <w:szCs w:val="18"/>
              </w:rPr>
              <w:t>16,385 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36C69C" w14:textId="77777777" w:rsidR="00000000" w:rsidRDefault="00E614A4">
            <w:pPr>
              <w:jc w:val="right"/>
              <w:rPr>
                <w:rFonts w:eastAsia="Times New Roman"/>
              </w:rPr>
            </w:pPr>
          </w:p>
        </w:tc>
      </w:tr>
    </w:tbl>
    <w:p w14:paraId="4A95FE6C" w14:textId="77777777" w:rsidR="00000000" w:rsidRDefault="00E614A4">
      <w:pPr>
        <w:jc w:val="both"/>
        <w:divId w:val="1895776921"/>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Settlement of certain litigation, net includes settlement amounts incurred for certain legal proceedings defined by the Notes, which amounts are classified as general and administrative expenses in the Consolidated Statements of Operations and Comprehensiv</w:t>
      </w:r>
      <w:r>
        <w:rPr>
          <w:rFonts w:eastAsia="Times New Roman"/>
          <w:i/>
          <w:iCs/>
          <w:color w:val="000000"/>
          <w:sz w:val="16"/>
          <w:szCs w:val="16"/>
        </w:rPr>
        <w:t>e Loss.</w:t>
      </w:r>
    </w:p>
    <w:p w14:paraId="774E5058" w14:textId="77777777" w:rsidR="00000000" w:rsidRDefault="00E614A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Adjustments to other (income) expense, net, reflect non-cash changes in the fair value of financing derivatives, warrants liability and equity securities investment included in other income (expense), net and certain legal expenses defined by t</w:t>
      </w:r>
      <w:r>
        <w:rPr>
          <w:rFonts w:eastAsia="Times New Roman"/>
          <w:i/>
          <w:iCs/>
          <w:color w:val="000000"/>
          <w:sz w:val="16"/>
          <w:szCs w:val="16"/>
        </w:rPr>
        <w:t xml:space="preserve">he Notes and classified as general and administrative expenses on our Consolidated Statements of Operations and Comprehensive Loss. Additionally, we recorded transaction costs related to the issuance of warrants, which costs were allocated to the warrants </w:t>
      </w:r>
      <w:r>
        <w:rPr>
          <w:rFonts w:eastAsia="Times New Roman"/>
          <w:i/>
          <w:iCs/>
          <w:color w:val="000000"/>
          <w:sz w:val="16"/>
          <w:szCs w:val="16"/>
        </w:rPr>
        <w:t>liability and recorded in general and administrative expenses in the Consolidated Statements of Operations and Comprehensive Loss. The remaining transaction costs were recorded in additional paid-in capital in the Consolidated Balance Sheets. For more info</w:t>
      </w:r>
      <w:r>
        <w:rPr>
          <w:rFonts w:eastAsia="Times New Roman"/>
          <w:i/>
          <w:iCs/>
          <w:color w:val="000000"/>
          <w:sz w:val="16"/>
          <w:szCs w:val="16"/>
        </w:rPr>
        <w:t xml:space="preserve">rmation regarding this adjustment, see </w:t>
      </w:r>
      <w:hyperlink w:anchor="ided6989bcc374020961c421c465250ee_133" w:history="1">
        <w:r>
          <w:rPr>
            <w:rStyle w:val="a3"/>
            <w:rFonts w:eastAsia="Times New Roman"/>
            <w:i/>
            <w:iCs/>
            <w:sz w:val="16"/>
            <w:szCs w:val="16"/>
          </w:rPr>
          <w:t>Footnote 5</w:t>
        </w:r>
      </w:hyperlink>
      <w:r>
        <w:rPr>
          <w:rFonts w:eastAsia="Times New Roman"/>
          <w:i/>
          <w:iCs/>
          <w:color w:val="000000"/>
          <w:sz w:val="16"/>
          <w:szCs w:val="16"/>
        </w:rPr>
        <w:t>, Stockholders' Equity.</w:t>
      </w:r>
    </w:p>
    <w:p w14:paraId="126D3B61" w14:textId="77777777" w:rsidR="00000000" w:rsidRDefault="00E614A4">
      <w:pPr>
        <w:jc w:val="center"/>
        <w:divId w:val="2034383083"/>
        <w:rPr>
          <w:rFonts w:eastAsia="Times New Roman"/>
        </w:rPr>
      </w:pPr>
      <w:r>
        <w:rPr>
          <w:rFonts w:eastAsia="Times New Roman"/>
          <w:color w:val="000000"/>
          <w:sz w:val="20"/>
          <w:szCs w:val="20"/>
        </w:rPr>
        <w:t>44</w:t>
      </w:r>
    </w:p>
    <w:p w14:paraId="038BB203" w14:textId="77777777" w:rsidR="00000000" w:rsidRDefault="00E614A4">
      <w:pPr>
        <w:rPr>
          <w:rFonts w:eastAsia="Times New Roman"/>
        </w:rPr>
      </w:pPr>
      <w:r>
        <w:rPr>
          <w:rFonts w:eastAsia="Times New Roman"/>
        </w:rPr>
        <w:pict w14:anchorId="2B341F34">
          <v:rect id="_x0000_i1072" style="width:0;height:1.5pt" o:hralign="center" o:hrstd="t" o:hr="t" fillcolor="#a0a0a0" stroked="f"/>
        </w:pict>
      </w:r>
    </w:p>
    <w:p w14:paraId="2138D24B" w14:textId="77777777" w:rsidR="00000000" w:rsidRDefault="00E614A4">
      <w:pPr>
        <w:divId w:val="1870294488"/>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BE83960" w14:textId="77777777" w:rsidR="00000000" w:rsidRDefault="00E614A4">
      <w:pPr>
        <w:divId w:val="609505822"/>
        <w:rPr>
          <w:rFonts w:eastAsia="Times New Roman"/>
        </w:rPr>
      </w:pPr>
    </w:p>
    <w:p w14:paraId="36EDDF35" w14:textId="77777777" w:rsidR="00000000" w:rsidRDefault="00E614A4">
      <w:pPr>
        <w:jc w:val="both"/>
        <w:divId w:val="902981239"/>
        <w:rPr>
          <w:rFonts w:eastAsia="Times New Roman"/>
        </w:rPr>
      </w:pPr>
      <w:r>
        <w:rPr>
          <w:rFonts w:eastAsia="Times New Roman"/>
          <w:color w:val="000000"/>
          <w:sz w:val="20"/>
          <w:szCs w:val="20"/>
        </w:rPr>
        <w:t>The following table presents a reconciliation of net loss (GAAP) to non-GAAP net loss for each of the periods identified:</w:t>
      </w:r>
    </w:p>
    <w:tbl>
      <w:tblPr>
        <w:tblW w:w="5000" w:type="pct"/>
        <w:tblCellMar>
          <w:top w:w="15" w:type="dxa"/>
          <w:left w:w="15" w:type="dxa"/>
          <w:bottom w:w="15" w:type="dxa"/>
          <w:right w:w="15" w:type="dxa"/>
        </w:tblCellMar>
        <w:tblLook w:val="04A0" w:firstRow="1" w:lastRow="0" w:firstColumn="1" w:lastColumn="0" w:noHBand="0" w:noVBand="1"/>
      </w:tblPr>
      <w:tblGrid>
        <w:gridCol w:w="39"/>
        <w:gridCol w:w="4684"/>
        <w:gridCol w:w="38"/>
        <w:gridCol w:w="110"/>
        <w:gridCol w:w="963"/>
        <w:gridCol w:w="36"/>
        <w:gridCol w:w="36"/>
        <w:gridCol w:w="36"/>
        <w:gridCol w:w="36"/>
        <w:gridCol w:w="110"/>
        <w:gridCol w:w="964"/>
        <w:gridCol w:w="36"/>
        <w:gridCol w:w="36"/>
        <w:gridCol w:w="36"/>
        <w:gridCol w:w="36"/>
        <w:gridCol w:w="110"/>
        <w:gridCol w:w="964"/>
        <w:gridCol w:w="36"/>
      </w:tblGrid>
      <w:tr w:rsidR="00000000" w14:paraId="113B1680" w14:textId="77777777">
        <w:trPr>
          <w:divId w:val="74860568"/>
        </w:trPr>
        <w:tc>
          <w:tcPr>
            <w:tcW w:w="50" w:type="pct"/>
            <w:vAlign w:val="center"/>
            <w:hideMark/>
          </w:tcPr>
          <w:p w14:paraId="5E98CB18" w14:textId="77777777" w:rsidR="00000000" w:rsidRDefault="00E614A4">
            <w:pPr>
              <w:jc w:val="both"/>
              <w:rPr>
                <w:rFonts w:eastAsia="Times New Roman"/>
              </w:rPr>
            </w:pPr>
          </w:p>
        </w:tc>
        <w:tc>
          <w:tcPr>
            <w:tcW w:w="2868" w:type="pct"/>
            <w:vAlign w:val="center"/>
            <w:hideMark/>
          </w:tcPr>
          <w:p w14:paraId="26B44591" w14:textId="77777777" w:rsidR="00000000" w:rsidRDefault="00E614A4">
            <w:pPr>
              <w:rPr>
                <w:rFonts w:eastAsia="Times New Roman"/>
                <w:sz w:val="20"/>
                <w:szCs w:val="20"/>
              </w:rPr>
            </w:pPr>
          </w:p>
        </w:tc>
        <w:tc>
          <w:tcPr>
            <w:tcW w:w="5" w:type="pct"/>
            <w:vAlign w:val="center"/>
            <w:hideMark/>
          </w:tcPr>
          <w:p w14:paraId="6CDD8A17" w14:textId="77777777" w:rsidR="00000000" w:rsidRDefault="00E614A4">
            <w:pPr>
              <w:rPr>
                <w:rFonts w:eastAsia="Times New Roman"/>
                <w:sz w:val="20"/>
                <w:szCs w:val="20"/>
              </w:rPr>
            </w:pPr>
          </w:p>
        </w:tc>
        <w:tc>
          <w:tcPr>
            <w:tcW w:w="50" w:type="pct"/>
            <w:vAlign w:val="center"/>
            <w:hideMark/>
          </w:tcPr>
          <w:p w14:paraId="0A0779F6" w14:textId="77777777" w:rsidR="00000000" w:rsidRDefault="00E614A4">
            <w:pPr>
              <w:rPr>
                <w:rFonts w:eastAsia="Times New Roman"/>
                <w:sz w:val="20"/>
                <w:szCs w:val="20"/>
              </w:rPr>
            </w:pPr>
          </w:p>
        </w:tc>
        <w:tc>
          <w:tcPr>
            <w:tcW w:w="618" w:type="pct"/>
            <w:vAlign w:val="center"/>
            <w:hideMark/>
          </w:tcPr>
          <w:p w14:paraId="5BDE9188" w14:textId="77777777" w:rsidR="00000000" w:rsidRDefault="00E614A4">
            <w:pPr>
              <w:rPr>
                <w:rFonts w:eastAsia="Times New Roman"/>
                <w:sz w:val="20"/>
                <w:szCs w:val="20"/>
              </w:rPr>
            </w:pPr>
          </w:p>
        </w:tc>
        <w:tc>
          <w:tcPr>
            <w:tcW w:w="5" w:type="pct"/>
            <w:vAlign w:val="center"/>
            <w:hideMark/>
          </w:tcPr>
          <w:p w14:paraId="0481ECF8" w14:textId="77777777" w:rsidR="00000000" w:rsidRDefault="00E614A4">
            <w:pPr>
              <w:rPr>
                <w:rFonts w:eastAsia="Times New Roman"/>
                <w:sz w:val="20"/>
                <w:szCs w:val="20"/>
              </w:rPr>
            </w:pPr>
          </w:p>
        </w:tc>
        <w:tc>
          <w:tcPr>
            <w:tcW w:w="5" w:type="pct"/>
            <w:vAlign w:val="center"/>
            <w:hideMark/>
          </w:tcPr>
          <w:p w14:paraId="076CA26A" w14:textId="77777777" w:rsidR="00000000" w:rsidRDefault="00E614A4">
            <w:pPr>
              <w:rPr>
                <w:rFonts w:eastAsia="Times New Roman"/>
                <w:sz w:val="20"/>
                <w:szCs w:val="20"/>
              </w:rPr>
            </w:pPr>
          </w:p>
        </w:tc>
        <w:tc>
          <w:tcPr>
            <w:tcW w:w="17" w:type="pct"/>
            <w:vAlign w:val="center"/>
            <w:hideMark/>
          </w:tcPr>
          <w:p w14:paraId="6D9F7873" w14:textId="77777777" w:rsidR="00000000" w:rsidRDefault="00E614A4">
            <w:pPr>
              <w:rPr>
                <w:rFonts w:eastAsia="Times New Roman"/>
                <w:sz w:val="20"/>
                <w:szCs w:val="20"/>
              </w:rPr>
            </w:pPr>
          </w:p>
        </w:tc>
        <w:tc>
          <w:tcPr>
            <w:tcW w:w="5" w:type="pct"/>
            <w:vAlign w:val="center"/>
            <w:hideMark/>
          </w:tcPr>
          <w:p w14:paraId="19DCB99C" w14:textId="77777777" w:rsidR="00000000" w:rsidRDefault="00E614A4">
            <w:pPr>
              <w:rPr>
                <w:rFonts w:eastAsia="Times New Roman"/>
                <w:sz w:val="20"/>
                <w:szCs w:val="20"/>
              </w:rPr>
            </w:pPr>
          </w:p>
        </w:tc>
        <w:tc>
          <w:tcPr>
            <w:tcW w:w="50" w:type="pct"/>
            <w:vAlign w:val="center"/>
            <w:hideMark/>
          </w:tcPr>
          <w:p w14:paraId="43C94374" w14:textId="77777777" w:rsidR="00000000" w:rsidRDefault="00E614A4">
            <w:pPr>
              <w:rPr>
                <w:rFonts w:eastAsia="Times New Roman"/>
                <w:sz w:val="20"/>
                <w:szCs w:val="20"/>
              </w:rPr>
            </w:pPr>
          </w:p>
        </w:tc>
        <w:tc>
          <w:tcPr>
            <w:tcW w:w="618" w:type="pct"/>
            <w:vAlign w:val="center"/>
            <w:hideMark/>
          </w:tcPr>
          <w:p w14:paraId="1B2D924F" w14:textId="77777777" w:rsidR="00000000" w:rsidRDefault="00E614A4">
            <w:pPr>
              <w:rPr>
                <w:rFonts w:eastAsia="Times New Roman"/>
                <w:sz w:val="20"/>
                <w:szCs w:val="20"/>
              </w:rPr>
            </w:pPr>
          </w:p>
        </w:tc>
        <w:tc>
          <w:tcPr>
            <w:tcW w:w="5" w:type="pct"/>
            <w:vAlign w:val="center"/>
            <w:hideMark/>
          </w:tcPr>
          <w:p w14:paraId="3E529A05" w14:textId="77777777" w:rsidR="00000000" w:rsidRDefault="00E614A4">
            <w:pPr>
              <w:rPr>
                <w:rFonts w:eastAsia="Times New Roman"/>
                <w:sz w:val="20"/>
                <w:szCs w:val="20"/>
              </w:rPr>
            </w:pPr>
          </w:p>
        </w:tc>
        <w:tc>
          <w:tcPr>
            <w:tcW w:w="5" w:type="pct"/>
            <w:vAlign w:val="center"/>
            <w:hideMark/>
          </w:tcPr>
          <w:p w14:paraId="01EB89F0" w14:textId="77777777" w:rsidR="00000000" w:rsidRDefault="00E614A4">
            <w:pPr>
              <w:rPr>
                <w:rFonts w:eastAsia="Times New Roman"/>
                <w:sz w:val="20"/>
                <w:szCs w:val="20"/>
              </w:rPr>
            </w:pPr>
          </w:p>
        </w:tc>
        <w:tc>
          <w:tcPr>
            <w:tcW w:w="17" w:type="pct"/>
            <w:vAlign w:val="center"/>
            <w:hideMark/>
          </w:tcPr>
          <w:p w14:paraId="441760AD" w14:textId="77777777" w:rsidR="00000000" w:rsidRDefault="00E614A4">
            <w:pPr>
              <w:rPr>
                <w:rFonts w:eastAsia="Times New Roman"/>
                <w:sz w:val="20"/>
                <w:szCs w:val="20"/>
              </w:rPr>
            </w:pPr>
          </w:p>
        </w:tc>
        <w:tc>
          <w:tcPr>
            <w:tcW w:w="5" w:type="pct"/>
            <w:vAlign w:val="center"/>
            <w:hideMark/>
          </w:tcPr>
          <w:p w14:paraId="4FE4B84C" w14:textId="77777777" w:rsidR="00000000" w:rsidRDefault="00E614A4">
            <w:pPr>
              <w:rPr>
                <w:rFonts w:eastAsia="Times New Roman"/>
                <w:sz w:val="20"/>
                <w:szCs w:val="20"/>
              </w:rPr>
            </w:pPr>
          </w:p>
        </w:tc>
        <w:tc>
          <w:tcPr>
            <w:tcW w:w="50" w:type="pct"/>
            <w:vAlign w:val="center"/>
            <w:hideMark/>
          </w:tcPr>
          <w:p w14:paraId="147F1839" w14:textId="77777777" w:rsidR="00000000" w:rsidRDefault="00E614A4">
            <w:pPr>
              <w:rPr>
                <w:rFonts w:eastAsia="Times New Roman"/>
                <w:sz w:val="20"/>
                <w:szCs w:val="20"/>
              </w:rPr>
            </w:pPr>
          </w:p>
        </w:tc>
        <w:tc>
          <w:tcPr>
            <w:tcW w:w="618" w:type="pct"/>
            <w:vAlign w:val="center"/>
            <w:hideMark/>
          </w:tcPr>
          <w:p w14:paraId="6AD109A9" w14:textId="77777777" w:rsidR="00000000" w:rsidRDefault="00E614A4">
            <w:pPr>
              <w:rPr>
                <w:rFonts w:eastAsia="Times New Roman"/>
                <w:sz w:val="20"/>
                <w:szCs w:val="20"/>
              </w:rPr>
            </w:pPr>
          </w:p>
        </w:tc>
        <w:tc>
          <w:tcPr>
            <w:tcW w:w="5" w:type="pct"/>
            <w:vAlign w:val="center"/>
            <w:hideMark/>
          </w:tcPr>
          <w:p w14:paraId="706C991E" w14:textId="77777777" w:rsidR="00000000" w:rsidRDefault="00E614A4">
            <w:pPr>
              <w:rPr>
                <w:rFonts w:eastAsia="Times New Roman"/>
                <w:sz w:val="20"/>
                <w:szCs w:val="20"/>
              </w:rPr>
            </w:pPr>
          </w:p>
        </w:tc>
      </w:tr>
      <w:tr w:rsidR="00000000" w14:paraId="7547607C" w14:textId="77777777">
        <w:trPr>
          <w:divId w:val="74860568"/>
        </w:trPr>
        <w:tc>
          <w:tcPr>
            <w:tcW w:w="0" w:type="auto"/>
            <w:gridSpan w:val="3"/>
            <w:tcMar>
              <w:top w:w="0" w:type="dxa"/>
              <w:left w:w="20" w:type="dxa"/>
              <w:bottom w:w="0" w:type="dxa"/>
              <w:right w:w="20" w:type="dxa"/>
            </w:tcMar>
            <w:vAlign w:val="center"/>
            <w:hideMark/>
          </w:tcPr>
          <w:p w14:paraId="22DAF70E"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4544A3A9"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11AA242D" w14:textId="77777777">
        <w:trPr>
          <w:divId w:val="74860568"/>
        </w:trPr>
        <w:tc>
          <w:tcPr>
            <w:tcW w:w="0" w:type="auto"/>
            <w:gridSpan w:val="3"/>
            <w:tcMar>
              <w:top w:w="30" w:type="dxa"/>
              <w:left w:w="20" w:type="dxa"/>
              <w:bottom w:w="30" w:type="dxa"/>
              <w:right w:w="20" w:type="dxa"/>
            </w:tcMar>
            <w:vAlign w:val="bottom"/>
            <w:hideMark/>
          </w:tcPr>
          <w:p w14:paraId="4E4D69EF"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AE5DD74"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F6D66A3"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07373C"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16DEBF3B"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5B0A61" w14:textId="77777777" w:rsidR="00000000" w:rsidRDefault="00E614A4">
            <w:pPr>
              <w:jc w:val="center"/>
              <w:rPr>
                <w:rFonts w:eastAsia="Times New Roman"/>
              </w:rPr>
            </w:pPr>
            <w:r>
              <w:rPr>
                <w:rFonts w:eastAsia="Times New Roman"/>
                <w:b/>
                <w:bCs/>
                <w:color w:val="000000"/>
                <w:sz w:val="16"/>
                <w:szCs w:val="16"/>
              </w:rPr>
              <w:t>2018</w:t>
            </w:r>
          </w:p>
        </w:tc>
      </w:tr>
      <w:tr w:rsidR="00000000" w14:paraId="0C081B8A" w14:textId="77777777">
        <w:trPr>
          <w:divId w:val="74860568"/>
        </w:trPr>
        <w:tc>
          <w:tcPr>
            <w:tcW w:w="0" w:type="auto"/>
            <w:gridSpan w:val="3"/>
            <w:shd w:val="clear" w:color="auto" w:fill="CCEEFF"/>
            <w:tcMar>
              <w:top w:w="30" w:type="dxa"/>
              <w:left w:w="20" w:type="dxa"/>
              <w:bottom w:w="30" w:type="dxa"/>
              <w:right w:w="20" w:type="dxa"/>
            </w:tcMar>
            <w:vAlign w:val="bottom"/>
            <w:hideMark/>
          </w:tcPr>
          <w:p w14:paraId="473A8C6B" w14:textId="77777777" w:rsidR="00000000" w:rsidRDefault="00E614A4">
            <w:pPr>
              <w:rPr>
                <w:rFonts w:eastAsia="Times New Roman"/>
              </w:rPr>
            </w:pPr>
            <w:r>
              <w:rPr>
                <w:rFonts w:eastAsia="Times New Roman"/>
                <w:b/>
                <w:bCs/>
                <w:color w:val="000000"/>
                <w:sz w:val="18"/>
                <w:szCs w:val="18"/>
              </w:rPr>
              <w:t>Net loss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29B5F2"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35CCEB" w14:textId="77777777" w:rsidR="00000000" w:rsidRDefault="00E614A4">
            <w:pPr>
              <w:jc w:val="right"/>
              <w:rPr>
                <w:rFonts w:eastAsia="Times New Roman"/>
              </w:rPr>
            </w:pPr>
            <w:r>
              <w:rPr>
                <w:rFonts w:eastAsia="Times New Roman"/>
                <w:b/>
                <w:bCs/>
                <w:color w:val="000000"/>
                <w:sz w:val="18"/>
                <w:szCs w:val="18"/>
              </w:rPr>
              <w:t>(47,918)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03429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D7D6F"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61CD1D"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069772" w14:textId="77777777" w:rsidR="00000000" w:rsidRDefault="00E614A4">
            <w:pPr>
              <w:jc w:val="right"/>
              <w:rPr>
                <w:rFonts w:eastAsia="Times New Roman"/>
              </w:rPr>
            </w:pPr>
            <w:r>
              <w:rPr>
                <w:rFonts w:eastAsia="Times New Roman"/>
                <w:b/>
                <w:bCs/>
                <w:color w:val="000000"/>
                <w:sz w:val="18"/>
                <w:szCs w:val="18"/>
              </w:rPr>
              <w:t>(338,996)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ECB5F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CF456"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063E8B"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9A0FEB" w14:textId="77777777" w:rsidR="00000000" w:rsidRDefault="00E614A4">
            <w:pPr>
              <w:jc w:val="right"/>
              <w:rPr>
                <w:rFonts w:eastAsia="Times New Roman"/>
              </w:rPr>
            </w:pPr>
            <w:r>
              <w:rPr>
                <w:rFonts w:eastAsia="Times New Roman"/>
                <w:b/>
                <w:bCs/>
                <w:color w:val="000000"/>
                <w:sz w:val="18"/>
                <w:szCs w:val="18"/>
              </w:rPr>
              <w:t>(159,268)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6197C5" w14:textId="77777777" w:rsidR="00000000" w:rsidRDefault="00E614A4">
            <w:pPr>
              <w:jc w:val="right"/>
              <w:rPr>
                <w:rFonts w:eastAsia="Times New Roman"/>
              </w:rPr>
            </w:pPr>
          </w:p>
        </w:tc>
      </w:tr>
      <w:tr w:rsidR="00000000" w14:paraId="6F68C39E" w14:textId="77777777">
        <w:trPr>
          <w:divId w:val="74860568"/>
          <w:trHeight w:val="240"/>
        </w:trPr>
        <w:tc>
          <w:tcPr>
            <w:tcW w:w="0" w:type="auto"/>
            <w:gridSpan w:val="3"/>
            <w:shd w:val="clear" w:color="auto" w:fill="FFFFFF"/>
            <w:tcMar>
              <w:top w:w="0" w:type="dxa"/>
              <w:left w:w="20" w:type="dxa"/>
              <w:bottom w:w="0" w:type="dxa"/>
              <w:right w:w="20" w:type="dxa"/>
            </w:tcMar>
            <w:vAlign w:val="center"/>
            <w:hideMark/>
          </w:tcPr>
          <w:p w14:paraId="2E152EBD" w14:textId="77777777" w:rsidR="00000000" w:rsidRDefault="00E614A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DAEC593"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DE8C18"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8B13994"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FAB9D6"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B7FCC4" w14:textId="77777777" w:rsidR="00000000" w:rsidRDefault="00E614A4">
            <w:pPr>
              <w:rPr>
                <w:rFonts w:eastAsia="Times New Roman"/>
                <w:sz w:val="20"/>
                <w:szCs w:val="20"/>
              </w:rPr>
            </w:pPr>
          </w:p>
        </w:tc>
      </w:tr>
      <w:tr w:rsidR="00000000" w14:paraId="511329AD" w14:textId="77777777">
        <w:trPr>
          <w:divId w:val="74860568"/>
        </w:trPr>
        <w:tc>
          <w:tcPr>
            <w:tcW w:w="0" w:type="auto"/>
            <w:gridSpan w:val="3"/>
            <w:shd w:val="clear" w:color="auto" w:fill="CCEEFF"/>
            <w:tcMar>
              <w:top w:w="30" w:type="dxa"/>
              <w:left w:w="20" w:type="dxa"/>
              <w:bottom w:w="30" w:type="dxa"/>
              <w:right w:w="20" w:type="dxa"/>
            </w:tcMar>
            <w:vAlign w:val="bottom"/>
            <w:hideMark/>
          </w:tcPr>
          <w:p w14:paraId="21256B21" w14:textId="77777777" w:rsidR="00000000" w:rsidRDefault="00E614A4">
            <w:pPr>
              <w:rPr>
                <w:rFonts w:eastAsia="Times New Roman"/>
              </w:rPr>
            </w:pPr>
            <w:r>
              <w:rPr>
                <w:rFonts w:eastAsia="Times New Roman"/>
                <w:color w:val="000000"/>
                <w:sz w:val="18"/>
                <w:szCs w:val="18"/>
              </w:rPr>
              <w:t>Adjustments:</w:t>
            </w:r>
          </w:p>
        </w:tc>
        <w:tc>
          <w:tcPr>
            <w:tcW w:w="0" w:type="auto"/>
            <w:gridSpan w:val="3"/>
            <w:shd w:val="clear" w:color="auto" w:fill="CCEEFF"/>
            <w:tcMar>
              <w:top w:w="0" w:type="dxa"/>
              <w:left w:w="20" w:type="dxa"/>
              <w:bottom w:w="0" w:type="dxa"/>
              <w:right w:w="20" w:type="dxa"/>
            </w:tcMar>
            <w:vAlign w:val="center"/>
            <w:hideMark/>
          </w:tcPr>
          <w:p w14:paraId="338B85AA"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398D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5B078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3DCD2B"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F4CAC1" w14:textId="77777777" w:rsidR="00000000" w:rsidRDefault="00E614A4">
            <w:pPr>
              <w:rPr>
                <w:rFonts w:eastAsia="Times New Roman"/>
                <w:sz w:val="20"/>
                <w:szCs w:val="20"/>
              </w:rPr>
            </w:pPr>
          </w:p>
        </w:tc>
      </w:tr>
      <w:tr w:rsidR="00000000" w14:paraId="7D89206C" w14:textId="77777777">
        <w:trPr>
          <w:divId w:val="74860568"/>
        </w:trPr>
        <w:tc>
          <w:tcPr>
            <w:tcW w:w="0" w:type="auto"/>
            <w:gridSpan w:val="3"/>
            <w:shd w:val="clear" w:color="auto" w:fill="FFFFFF"/>
            <w:tcMar>
              <w:top w:w="30" w:type="dxa"/>
              <w:left w:w="245" w:type="dxa"/>
              <w:bottom w:w="30" w:type="dxa"/>
              <w:right w:w="20" w:type="dxa"/>
            </w:tcMar>
            <w:vAlign w:val="bottom"/>
            <w:hideMark/>
          </w:tcPr>
          <w:p w14:paraId="6732AA56" w14:textId="77777777" w:rsidR="00000000" w:rsidRDefault="00E614A4">
            <w:pPr>
              <w:rPr>
                <w:rFonts w:eastAsia="Times New Roman"/>
              </w:rPr>
            </w:pPr>
            <w:r>
              <w:rPr>
                <w:rFonts w:eastAsia="Times New Roman"/>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14:paraId="1DBD92F1" w14:textId="77777777" w:rsidR="00000000" w:rsidRDefault="00E614A4">
            <w:pPr>
              <w:jc w:val="right"/>
              <w:rPr>
                <w:rFonts w:eastAsia="Times New Roman"/>
              </w:rPr>
            </w:pPr>
            <w:r>
              <w:rPr>
                <w:rFonts w:eastAsia="Times New Roman"/>
                <w:color w:val="000000"/>
                <w:sz w:val="18"/>
                <w:szCs w:val="18"/>
              </w:rPr>
              <w:t>27,219 </w:t>
            </w:r>
          </w:p>
        </w:tc>
        <w:tc>
          <w:tcPr>
            <w:tcW w:w="0" w:type="auto"/>
            <w:shd w:val="clear" w:color="auto" w:fill="FFFFFF"/>
            <w:tcMar>
              <w:top w:w="30" w:type="dxa"/>
              <w:left w:w="0" w:type="dxa"/>
              <w:bottom w:w="30" w:type="dxa"/>
              <w:right w:w="20" w:type="dxa"/>
            </w:tcMar>
            <w:vAlign w:val="bottom"/>
            <w:hideMark/>
          </w:tcPr>
          <w:p w14:paraId="0CBAD80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E726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724BF" w14:textId="77777777" w:rsidR="00000000" w:rsidRDefault="00E614A4">
            <w:pPr>
              <w:jc w:val="right"/>
              <w:rPr>
                <w:rFonts w:eastAsia="Times New Roman"/>
              </w:rPr>
            </w:pPr>
            <w:r>
              <w:rPr>
                <w:rFonts w:eastAsia="Times New Roman"/>
                <w:color w:val="000000"/>
                <w:sz w:val="18"/>
                <w:szCs w:val="18"/>
              </w:rPr>
              <w:t>30,076 </w:t>
            </w:r>
          </w:p>
        </w:tc>
        <w:tc>
          <w:tcPr>
            <w:tcW w:w="0" w:type="auto"/>
            <w:shd w:val="clear" w:color="auto" w:fill="FFFFFF"/>
            <w:tcMar>
              <w:top w:w="30" w:type="dxa"/>
              <w:left w:w="0" w:type="dxa"/>
              <w:bottom w:w="30" w:type="dxa"/>
              <w:right w:w="20" w:type="dxa"/>
            </w:tcMar>
            <w:vAlign w:val="bottom"/>
            <w:hideMark/>
          </w:tcPr>
          <w:p w14:paraId="67C972B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2298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FD41F" w14:textId="77777777" w:rsidR="00000000" w:rsidRDefault="00E614A4">
            <w:pPr>
              <w:jc w:val="right"/>
              <w:rPr>
                <w:rFonts w:eastAsia="Times New Roman"/>
              </w:rPr>
            </w:pPr>
            <w:r>
              <w:rPr>
                <w:rFonts w:eastAsia="Times New Roman"/>
                <w:color w:val="000000"/>
                <w:sz w:val="18"/>
                <w:szCs w:val="18"/>
              </w:rPr>
              <w:t>32,864 </w:t>
            </w:r>
          </w:p>
        </w:tc>
        <w:tc>
          <w:tcPr>
            <w:tcW w:w="0" w:type="auto"/>
            <w:shd w:val="clear" w:color="auto" w:fill="FFFFFF"/>
            <w:tcMar>
              <w:top w:w="30" w:type="dxa"/>
              <w:left w:w="0" w:type="dxa"/>
              <w:bottom w:w="30" w:type="dxa"/>
              <w:right w:w="20" w:type="dxa"/>
            </w:tcMar>
            <w:vAlign w:val="bottom"/>
            <w:hideMark/>
          </w:tcPr>
          <w:p w14:paraId="62B965F4" w14:textId="77777777" w:rsidR="00000000" w:rsidRDefault="00E614A4">
            <w:pPr>
              <w:jc w:val="right"/>
              <w:rPr>
                <w:rFonts w:eastAsia="Times New Roman"/>
              </w:rPr>
            </w:pPr>
          </w:p>
        </w:tc>
      </w:tr>
      <w:tr w:rsidR="00000000" w14:paraId="4E63C400" w14:textId="77777777">
        <w:trPr>
          <w:divId w:val="74860568"/>
        </w:trPr>
        <w:tc>
          <w:tcPr>
            <w:tcW w:w="0" w:type="auto"/>
            <w:gridSpan w:val="3"/>
            <w:shd w:val="clear" w:color="auto" w:fill="CCEEFF"/>
            <w:tcMar>
              <w:top w:w="30" w:type="dxa"/>
              <w:left w:w="245" w:type="dxa"/>
              <w:bottom w:w="30" w:type="dxa"/>
              <w:right w:w="20" w:type="dxa"/>
            </w:tcMar>
            <w:vAlign w:val="bottom"/>
            <w:hideMark/>
          </w:tcPr>
          <w:p w14:paraId="10ADC6D3" w14:textId="77777777" w:rsidR="00000000" w:rsidRDefault="00E614A4">
            <w:pPr>
              <w:rPr>
                <w:rFonts w:eastAsia="Times New Roman"/>
              </w:rPr>
            </w:pPr>
            <w:r>
              <w:rPr>
                <w:rFonts w:eastAsia="Times New Roman"/>
                <w:color w:val="00000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14:paraId="75B13C3B" w14:textId="77777777" w:rsidR="00000000" w:rsidRDefault="00E614A4">
            <w:pPr>
              <w:jc w:val="right"/>
              <w:rPr>
                <w:rFonts w:eastAsia="Times New Roman"/>
              </w:rPr>
            </w:pPr>
            <w:r>
              <w:rPr>
                <w:rFonts w:eastAsia="Times New Roman"/>
                <w:color w:val="000000"/>
                <w:sz w:val="18"/>
                <w:szCs w:val="18"/>
              </w:rPr>
              <w:t>10,073 </w:t>
            </w:r>
          </w:p>
        </w:tc>
        <w:tc>
          <w:tcPr>
            <w:tcW w:w="0" w:type="auto"/>
            <w:shd w:val="clear" w:color="auto" w:fill="CCEEFF"/>
            <w:tcMar>
              <w:top w:w="30" w:type="dxa"/>
              <w:left w:w="0" w:type="dxa"/>
              <w:bottom w:w="30" w:type="dxa"/>
              <w:right w:w="20" w:type="dxa"/>
            </w:tcMar>
            <w:vAlign w:val="bottom"/>
            <w:hideMark/>
          </w:tcPr>
          <w:p w14:paraId="2B608A6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9C19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75B971" w14:textId="77777777" w:rsidR="00000000" w:rsidRDefault="00E614A4">
            <w:pPr>
              <w:jc w:val="right"/>
              <w:rPr>
                <w:rFonts w:eastAsia="Times New Roman"/>
              </w:rPr>
            </w:pPr>
            <w:r>
              <w:rPr>
                <w:rFonts w:eastAsia="Times New Roman"/>
                <w:color w:val="000000"/>
                <w:sz w:val="18"/>
                <w:szCs w:val="18"/>
              </w:rPr>
              <w:t>16,695 </w:t>
            </w:r>
          </w:p>
        </w:tc>
        <w:tc>
          <w:tcPr>
            <w:tcW w:w="0" w:type="auto"/>
            <w:shd w:val="clear" w:color="auto" w:fill="CCEEFF"/>
            <w:tcMar>
              <w:top w:w="30" w:type="dxa"/>
              <w:left w:w="0" w:type="dxa"/>
              <w:bottom w:w="30" w:type="dxa"/>
              <w:right w:w="20" w:type="dxa"/>
            </w:tcMar>
            <w:vAlign w:val="bottom"/>
            <w:hideMark/>
          </w:tcPr>
          <w:p w14:paraId="3758053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D98D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6CC22C" w14:textId="77777777" w:rsidR="00000000" w:rsidRDefault="00E614A4">
            <w:pPr>
              <w:jc w:val="right"/>
              <w:rPr>
                <w:rFonts w:eastAsia="Times New Roman"/>
              </w:rPr>
            </w:pPr>
            <w:r>
              <w:rPr>
                <w:rFonts w:eastAsia="Times New Roman"/>
                <w:color w:val="000000"/>
                <w:sz w:val="18"/>
                <w:szCs w:val="18"/>
              </w:rPr>
              <w:t>37,151 </w:t>
            </w:r>
          </w:p>
        </w:tc>
        <w:tc>
          <w:tcPr>
            <w:tcW w:w="0" w:type="auto"/>
            <w:shd w:val="clear" w:color="auto" w:fill="CCEEFF"/>
            <w:tcMar>
              <w:top w:w="30" w:type="dxa"/>
              <w:left w:w="0" w:type="dxa"/>
              <w:bottom w:w="30" w:type="dxa"/>
              <w:right w:w="20" w:type="dxa"/>
            </w:tcMar>
            <w:vAlign w:val="bottom"/>
            <w:hideMark/>
          </w:tcPr>
          <w:p w14:paraId="5F6204EC" w14:textId="77777777" w:rsidR="00000000" w:rsidRDefault="00E614A4">
            <w:pPr>
              <w:jc w:val="right"/>
              <w:rPr>
                <w:rFonts w:eastAsia="Times New Roman"/>
              </w:rPr>
            </w:pPr>
          </w:p>
        </w:tc>
      </w:tr>
      <w:tr w:rsidR="00000000" w14:paraId="7F0F6B00" w14:textId="77777777">
        <w:trPr>
          <w:divId w:val="74860568"/>
        </w:trPr>
        <w:tc>
          <w:tcPr>
            <w:tcW w:w="0" w:type="auto"/>
            <w:gridSpan w:val="3"/>
            <w:shd w:val="clear" w:color="auto" w:fill="FFFFFF"/>
            <w:tcMar>
              <w:top w:w="30" w:type="dxa"/>
              <w:left w:w="245" w:type="dxa"/>
              <w:bottom w:w="30" w:type="dxa"/>
              <w:right w:w="20" w:type="dxa"/>
            </w:tcMar>
            <w:vAlign w:val="bottom"/>
            <w:hideMark/>
          </w:tcPr>
          <w:p w14:paraId="64630DE9" w14:textId="77777777" w:rsidR="00000000" w:rsidRDefault="00E614A4">
            <w:pPr>
              <w:rPr>
                <w:rFonts w:eastAsia="Times New Roman"/>
              </w:rPr>
            </w:pPr>
            <w:r>
              <w:rPr>
                <w:rFonts w:eastAsia="Times New Roman"/>
                <w:color w:val="000000"/>
                <w:sz w:val="18"/>
                <w:szCs w:val="18"/>
              </w:rPr>
              <w:t>Impairment of right-of-use and long-lived assets</w:t>
            </w:r>
          </w:p>
        </w:tc>
        <w:tc>
          <w:tcPr>
            <w:tcW w:w="0" w:type="auto"/>
            <w:gridSpan w:val="2"/>
            <w:shd w:val="clear" w:color="auto" w:fill="FFFFFF"/>
            <w:tcMar>
              <w:top w:w="30" w:type="dxa"/>
              <w:left w:w="20" w:type="dxa"/>
              <w:bottom w:w="30" w:type="dxa"/>
              <w:right w:w="0" w:type="dxa"/>
            </w:tcMar>
            <w:vAlign w:val="bottom"/>
            <w:hideMark/>
          </w:tcPr>
          <w:p w14:paraId="4719A2A6" w14:textId="77777777" w:rsidR="00000000" w:rsidRDefault="00E614A4">
            <w:pPr>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14:paraId="3D818F9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6DC90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4F39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C1EBF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5D26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E555F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1FC684" w14:textId="77777777" w:rsidR="00000000" w:rsidRDefault="00E614A4">
            <w:pPr>
              <w:jc w:val="right"/>
              <w:rPr>
                <w:rFonts w:eastAsia="Times New Roman"/>
              </w:rPr>
            </w:pPr>
          </w:p>
        </w:tc>
      </w:tr>
      <w:tr w:rsidR="00000000" w14:paraId="25EC25E2" w14:textId="77777777">
        <w:trPr>
          <w:divId w:val="74860568"/>
        </w:trPr>
        <w:tc>
          <w:tcPr>
            <w:tcW w:w="0" w:type="auto"/>
            <w:gridSpan w:val="3"/>
            <w:shd w:val="clear" w:color="auto" w:fill="CCEEFF"/>
            <w:tcMar>
              <w:top w:w="30" w:type="dxa"/>
              <w:left w:w="245" w:type="dxa"/>
              <w:bottom w:w="30" w:type="dxa"/>
              <w:right w:w="20" w:type="dxa"/>
            </w:tcMar>
            <w:vAlign w:val="bottom"/>
            <w:hideMark/>
          </w:tcPr>
          <w:p w14:paraId="0D88CFEC" w14:textId="77777777" w:rsidR="00000000" w:rsidRDefault="00E614A4">
            <w:pPr>
              <w:rPr>
                <w:rFonts w:eastAsia="Times New Roman"/>
              </w:rPr>
            </w:pPr>
            <w:r>
              <w:rPr>
                <w:rFonts w:eastAsia="Times New Roman"/>
                <w:color w:val="000000"/>
                <w:sz w:val="18"/>
                <w:szCs w:val="18"/>
              </w:rPr>
              <w:t>Impairment of goodwill</w:t>
            </w:r>
          </w:p>
        </w:tc>
        <w:tc>
          <w:tcPr>
            <w:tcW w:w="0" w:type="auto"/>
            <w:gridSpan w:val="2"/>
            <w:shd w:val="clear" w:color="auto" w:fill="CCEEFF"/>
            <w:tcMar>
              <w:top w:w="30" w:type="dxa"/>
              <w:left w:w="20" w:type="dxa"/>
              <w:bottom w:w="30" w:type="dxa"/>
              <w:right w:w="0" w:type="dxa"/>
            </w:tcMar>
            <w:vAlign w:val="bottom"/>
            <w:hideMark/>
          </w:tcPr>
          <w:p w14:paraId="549D3A0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C7AEE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CB82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812514" w14:textId="77777777" w:rsidR="00000000" w:rsidRDefault="00E614A4">
            <w:pPr>
              <w:jc w:val="right"/>
              <w:rPr>
                <w:rFonts w:eastAsia="Times New Roman"/>
              </w:rPr>
            </w:pPr>
            <w:r>
              <w:rPr>
                <w:rFonts w:eastAsia="Times New Roman"/>
                <w:color w:val="000000"/>
                <w:sz w:val="18"/>
                <w:szCs w:val="18"/>
              </w:rPr>
              <w:t>224,272 </w:t>
            </w:r>
          </w:p>
        </w:tc>
        <w:tc>
          <w:tcPr>
            <w:tcW w:w="0" w:type="auto"/>
            <w:shd w:val="clear" w:color="auto" w:fill="CCEEFF"/>
            <w:tcMar>
              <w:top w:w="30" w:type="dxa"/>
              <w:left w:w="0" w:type="dxa"/>
              <w:bottom w:w="30" w:type="dxa"/>
              <w:right w:w="20" w:type="dxa"/>
            </w:tcMar>
            <w:vAlign w:val="bottom"/>
            <w:hideMark/>
          </w:tcPr>
          <w:p w14:paraId="27784E9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C37B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A27C8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8F924B" w14:textId="77777777" w:rsidR="00000000" w:rsidRDefault="00E614A4">
            <w:pPr>
              <w:jc w:val="right"/>
              <w:rPr>
                <w:rFonts w:eastAsia="Times New Roman"/>
              </w:rPr>
            </w:pPr>
          </w:p>
        </w:tc>
      </w:tr>
      <w:tr w:rsidR="00000000" w14:paraId="0EC7D3D3" w14:textId="77777777">
        <w:trPr>
          <w:divId w:val="74860568"/>
        </w:trPr>
        <w:tc>
          <w:tcPr>
            <w:tcW w:w="0" w:type="auto"/>
            <w:gridSpan w:val="3"/>
            <w:shd w:val="clear" w:color="auto" w:fill="FFFFFF"/>
            <w:tcMar>
              <w:top w:w="30" w:type="dxa"/>
              <w:left w:w="245" w:type="dxa"/>
              <w:bottom w:w="30" w:type="dxa"/>
              <w:right w:w="20" w:type="dxa"/>
            </w:tcMar>
            <w:vAlign w:val="bottom"/>
            <w:hideMark/>
          </w:tcPr>
          <w:p w14:paraId="6F761262" w14:textId="77777777" w:rsidR="00000000" w:rsidRDefault="00E614A4">
            <w:pPr>
              <w:rPr>
                <w:rFonts w:eastAsia="Times New Roman"/>
              </w:rPr>
            </w:pPr>
            <w:r>
              <w:rPr>
                <w:rFonts w:eastAsia="Times New Roman"/>
                <w:color w:val="000000"/>
                <w:sz w:val="18"/>
                <w:szCs w:val="18"/>
              </w:rPr>
              <w:t>Impairment of intangible asset</w:t>
            </w:r>
          </w:p>
        </w:tc>
        <w:tc>
          <w:tcPr>
            <w:tcW w:w="0" w:type="auto"/>
            <w:gridSpan w:val="2"/>
            <w:shd w:val="clear" w:color="auto" w:fill="FFFFFF"/>
            <w:tcMar>
              <w:top w:w="30" w:type="dxa"/>
              <w:left w:w="20" w:type="dxa"/>
              <w:bottom w:w="30" w:type="dxa"/>
              <w:right w:w="0" w:type="dxa"/>
            </w:tcMar>
            <w:vAlign w:val="bottom"/>
            <w:hideMark/>
          </w:tcPr>
          <w:p w14:paraId="1FAC3E2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D91E1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3E32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0DE245" w14:textId="77777777" w:rsidR="00000000" w:rsidRDefault="00E614A4">
            <w:pPr>
              <w:jc w:val="right"/>
              <w:rPr>
                <w:rFonts w:eastAsia="Times New Roman"/>
              </w:rPr>
            </w:pPr>
            <w:r>
              <w:rPr>
                <w:rFonts w:eastAsia="Times New Roman"/>
                <w:color w:val="000000"/>
                <w:sz w:val="18"/>
                <w:szCs w:val="18"/>
              </w:rPr>
              <w:t>17,308 </w:t>
            </w:r>
          </w:p>
        </w:tc>
        <w:tc>
          <w:tcPr>
            <w:tcW w:w="0" w:type="auto"/>
            <w:shd w:val="clear" w:color="auto" w:fill="FFFFFF"/>
            <w:tcMar>
              <w:top w:w="30" w:type="dxa"/>
              <w:left w:w="0" w:type="dxa"/>
              <w:bottom w:w="30" w:type="dxa"/>
              <w:right w:w="20" w:type="dxa"/>
            </w:tcMar>
            <w:vAlign w:val="bottom"/>
            <w:hideMark/>
          </w:tcPr>
          <w:p w14:paraId="3BAE7D8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3A09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0522F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1C2517" w14:textId="77777777" w:rsidR="00000000" w:rsidRDefault="00E614A4">
            <w:pPr>
              <w:jc w:val="right"/>
              <w:rPr>
                <w:rFonts w:eastAsia="Times New Roman"/>
              </w:rPr>
            </w:pPr>
          </w:p>
        </w:tc>
      </w:tr>
      <w:tr w:rsidR="00000000" w14:paraId="7B4526AC" w14:textId="77777777">
        <w:trPr>
          <w:divId w:val="74860568"/>
        </w:trPr>
        <w:tc>
          <w:tcPr>
            <w:tcW w:w="0" w:type="auto"/>
            <w:gridSpan w:val="3"/>
            <w:shd w:val="clear" w:color="auto" w:fill="CCEEFF"/>
            <w:tcMar>
              <w:top w:w="30" w:type="dxa"/>
              <w:left w:w="245" w:type="dxa"/>
              <w:bottom w:w="30" w:type="dxa"/>
              <w:right w:w="20" w:type="dxa"/>
            </w:tcMar>
            <w:vAlign w:val="bottom"/>
            <w:hideMark/>
          </w:tcPr>
          <w:p w14:paraId="231611DB" w14:textId="77777777" w:rsidR="00000000" w:rsidRDefault="00E614A4">
            <w:pPr>
              <w:rPr>
                <w:rFonts w:eastAsia="Times New Roman"/>
              </w:rPr>
            </w:pPr>
            <w:r>
              <w:rPr>
                <w:rFonts w:eastAsia="Times New Roman"/>
                <w:color w:val="000000"/>
                <w:sz w:val="18"/>
                <w:szCs w:val="18"/>
              </w:rPr>
              <w:t>Investigation and audit related</w:t>
            </w:r>
          </w:p>
        </w:tc>
        <w:tc>
          <w:tcPr>
            <w:tcW w:w="0" w:type="auto"/>
            <w:gridSpan w:val="2"/>
            <w:shd w:val="clear" w:color="auto" w:fill="CCEEFF"/>
            <w:tcMar>
              <w:top w:w="30" w:type="dxa"/>
              <w:left w:w="20" w:type="dxa"/>
              <w:bottom w:w="30" w:type="dxa"/>
              <w:right w:w="0" w:type="dxa"/>
            </w:tcMar>
            <w:vAlign w:val="bottom"/>
            <w:hideMark/>
          </w:tcPr>
          <w:p w14:paraId="20B7CDF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6604B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F442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769968" w14:textId="77777777" w:rsidR="00000000" w:rsidRDefault="00E614A4">
            <w:pPr>
              <w:jc w:val="right"/>
              <w:rPr>
                <w:rFonts w:eastAsia="Times New Roman"/>
              </w:rPr>
            </w:pPr>
            <w:r>
              <w:rPr>
                <w:rFonts w:eastAsia="Times New Roman"/>
                <w:color w:val="000000"/>
                <w:sz w:val="18"/>
                <w:szCs w:val="18"/>
              </w:rPr>
              <w:t>4,305 </w:t>
            </w:r>
          </w:p>
        </w:tc>
        <w:tc>
          <w:tcPr>
            <w:tcW w:w="0" w:type="auto"/>
            <w:shd w:val="clear" w:color="auto" w:fill="CCEEFF"/>
            <w:tcMar>
              <w:top w:w="30" w:type="dxa"/>
              <w:left w:w="0" w:type="dxa"/>
              <w:bottom w:w="30" w:type="dxa"/>
              <w:right w:w="20" w:type="dxa"/>
            </w:tcMar>
            <w:vAlign w:val="bottom"/>
            <w:hideMark/>
          </w:tcPr>
          <w:p w14:paraId="04E813A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7DF7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53B4BD" w14:textId="77777777" w:rsidR="00000000" w:rsidRDefault="00E614A4">
            <w:pPr>
              <w:jc w:val="right"/>
              <w:rPr>
                <w:rFonts w:eastAsia="Times New Roman"/>
              </w:rPr>
            </w:pPr>
            <w:r>
              <w:rPr>
                <w:rFonts w:eastAsia="Times New Roman"/>
                <w:color w:val="000000"/>
                <w:sz w:val="18"/>
                <w:szCs w:val="18"/>
              </w:rPr>
              <w:t>38,338 </w:t>
            </w:r>
          </w:p>
        </w:tc>
        <w:tc>
          <w:tcPr>
            <w:tcW w:w="0" w:type="auto"/>
            <w:shd w:val="clear" w:color="auto" w:fill="CCEEFF"/>
            <w:tcMar>
              <w:top w:w="30" w:type="dxa"/>
              <w:left w:w="0" w:type="dxa"/>
              <w:bottom w:w="30" w:type="dxa"/>
              <w:right w:w="20" w:type="dxa"/>
            </w:tcMar>
            <w:vAlign w:val="bottom"/>
            <w:hideMark/>
          </w:tcPr>
          <w:p w14:paraId="0C498377" w14:textId="77777777" w:rsidR="00000000" w:rsidRDefault="00E614A4">
            <w:pPr>
              <w:jc w:val="right"/>
              <w:rPr>
                <w:rFonts w:eastAsia="Times New Roman"/>
              </w:rPr>
            </w:pPr>
          </w:p>
        </w:tc>
      </w:tr>
      <w:tr w:rsidR="00000000" w14:paraId="15925672" w14:textId="77777777">
        <w:trPr>
          <w:divId w:val="74860568"/>
        </w:trPr>
        <w:tc>
          <w:tcPr>
            <w:tcW w:w="0" w:type="auto"/>
            <w:gridSpan w:val="3"/>
            <w:shd w:val="clear" w:color="auto" w:fill="FFFFFF"/>
            <w:tcMar>
              <w:top w:w="30" w:type="dxa"/>
              <w:left w:w="245" w:type="dxa"/>
              <w:bottom w:w="30" w:type="dxa"/>
              <w:right w:w="20" w:type="dxa"/>
            </w:tcMar>
            <w:vAlign w:val="bottom"/>
            <w:hideMark/>
          </w:tcPr>
          <w:p w14:paraId="26E98866" w14:textId="77777777" w:rsidR="00000000" w:rsidRDefault="00E614A4">
            <w:pPr>
              <w:rPr>
                <w:rFonts w:eastAsia="Times New Roman"/>
              </w:rPr>
            </w:pPr>
            <w:r>
              <w:rPr>
                <w:rFonts w:eastAsia="Times New Roman"/>
                <w:color w:val="000000"/>
                <w:sz w:val="18"/>
                <w:szCs w:val="18"/>
              </w:rPr>
              <w:t>Restructuring</w:t>
            </w:r>
          </w:p>
        </w:tc>
        <w:tc>
          <w:tcPr>
            <w:tcW w:w="0" w:type="auto"/>
            <w:gridSpan w:val="2"/>
            <w:shd w:val="clear" w:color="auto" w:fill="FFFFFF"/>
            <w:tcMar>
              <w:top w:w="30" w:type="dxa"/>
              <w:left w:w="20" w:type="dxa"/>
              <w:bottom w:w="30" w:type="dxa"/>
              <w:right w:w="0" w:type="dxa"/>
            </w:tcMar>
            <w:vAlign w:val="bottom"/>
            <w:hideMark/>
          </w:tcPr>
          <w:p w14:paraId="68228AE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3744D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9ABA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1BDA13" w14:textId="77777777" w:rsidR="00000000" w:rsidRDefault="00E614A4">
            <w:pPr>
              <w:jc w:val="right"/>
              <w:rPr>
                <w:rFonts w:eastAsia="Times New Roman"/>
              </w:rPr>
            </w:pPr>
            <w:r>
              <w:rPr>
                <w:rFonts w:eastAsia="Times New Roman"/>
                <w:color w:val="000000"/>
                <w:sz w:val="18"/>
                <w:szCs w:val="18"/>
              </w:rPr>
              <w:t>3,263 </w:t>
            </w:r>
          </w:p>
        </w:tc>
        <w:tc>
          <w:tcPr>
            <w:tcW w:w="0" w:type="auto"/>
            <w:shd w:val="clear" w:color="auto" w:fill="FFFFFF"/>
            <w:tcMar>
              <w:top w:w="30" w:type="dxa"/>
              <w:left w:w="0" w:type="dxa"/>
              <w:bottom w:w="30" w:type="dxa"/>
              <w:right w:w="20" w:type="dxa"/>
            </w:tcMar>
            <w:vAlign w:val="bottom"/>
            <w:hideMark/>
          </w:tcPr>
          <w:p w14:paraId="5189D6A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CB70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05A89D" w14:textId="77777777" w:rsidR="00000000" w:rsidRDefault="00E614A4">
            <w:pPr>
              <w:jc w:val="right"/>
              <w:rPr>
                <w:rFonts w:eastAsia="Times New Roman"/>
              </w:rPr>
            </w:pPr>
            <w:r>
              <w:rPr>
                <w:rFonts w:eastAsia="Times New Roman"/>
                <w:color w:val="000000"/>
                <w:sz w:val="18"/>
                <w:szCs w:val="18"/>
              </w:rPr>
              <w:t>11,837 </w:t>
            </w:r>
          </w:p>
        </w:tc>
        <w:tc>
          <w:tcPr>
            <w:tcW w:w="0" w:type="auto"/>
            <w:shd w:val="clear" w:color="auto" w:fill="FFFFFF"/>
            <w:tcMar>
              <w:top w:w="30" w:type="dxa"/>
              <w:left w:w="0" w:type="dxa"/>
              <w:bottom w:w="30" w:type="dxa"/>
              <w:right w:w="20" w:type="dxa"/>
            </w:tcMar>
            <w:vAlign w:val="bottom"/>
            <w:hideMark/>
          </w:tcPr>
          <w:p w14:paraId="2D223D31" w14:textId="77777777" w:rsidR="00000000" w:rsidRDefault="00E614A4">
            <w:pPr>
              <w:jc w:val="right"/>
              <w:rPr>
                <w:rFonts w:eastAsia="Times New Roman"/>
              </w:rPr>
            </w:pPr>
          </w:p>
        </w:tc>
      </w:tr>
      <w:tr w:rsidR="00000000" w14:paraId="1BDB8BA2" w14:textId="77777777">
        <w:trPr>
          <w:divId w:val="74860568"/>
        </w:trPr>
        <w:tc>
          <w:tcPr>
            <w:tcW w:w="0" w:type="auto"/>
            <w:gridSpan w:val="3"/>
            <w:shd w:val="clear" w:color="auto" w:fill="CCEEFF"/>
            <w:tcMar>
              <w:top w:w="30" w:type="dxa"/>
              <w:left w:w="20" w:type="dxa"/>
              <w:bottom w:w="30" w:type="dxa"/>
              <w:right w:w="20" w:type="dxa"/>
            </w:tcMar>
            <w:vAlign w:val="bottom"/>
            <w:hideMark/>
          </w:tcPr>
          <w:p w14:paraId="2A0B1E7E" w14:textId="77777777" w:rsidR="00000000" w:rsidRDefault="00E614A4">
            <w:pPr>
              <w:divId w:val="470908803"/>
              <w:rPr>
                <w:rFonts w:eastAsia="Times New Roman"/>
              </w:rPr>
            </w:pPr>
            <w:r>
              <w:rPr>
                <w:rFonts w:eastAsia="Times New Roman"/>
                <w:color w:val="000000"/>
                <w:sz w:val="18"/>
                <w:szCs w:val="18"/>
              </w:rPr>
              <w:t>Settlement of certain litigation, net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079DA1C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53957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92DE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83AC13" w14:textId="77777777" w:rsidR="00000000" w:rsidRDefault="00E614A4">
            <w:pPr>
              <w:jc w:val="right"/>
              <w:rPr>
                <w:rFonts w:eastAsia="Times New Roman"/>
              </w:rPr>
            </w:pPr>
            <w:r>
              <w:rPr>
                <w:rFonts w:eastAsia="Times New Roman"/>
                <w:color w:val="000000"/>
                <w:sz w:val="18"/>
                <w:szCs w:val="18"/>
              </w:rPr>
              <w:t>2,900 </w:t>
            </w:r>
          </w:p>
        </w:tc>
        <w:tc>
          <w:tcPr>
            <w:tcW w:w="0" w:type="auto"/>
            <w:shd w:val="clear" w:color="auto" w:fill="CCEEFF"/>
            <w:tcMar>
              <w:top w:w="30" w:type="dxa"/>
              <w:left w:w="0" w:type="dxa"/>
              <w:bottom w:w="30" w:type="dxa"/>
              <w:right w:w="20" w:type="dxa"/>
            </w:tcMar>
            <w:vAlign w:val="bottom"/>
            <w:hideMark/>
          </w:tcPr>
          <w:p w14:paraId="0B6D199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C652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41E0E4" w14:textId="77777777" w:rsidR="00000000" w:rsidRDefault="00E614A4">
            <w:pPr>
              <w:jc w:val="right"/>
              <w:rPr>
                <w:rFonts w:eastAsia="Times New Roman"/>
              </w:rPr>
            </w:pPr>
            <w:r>
              <w:rPr>
                <w:rFonts w:eastAsia="Times New Roman"/>
                <w:color w:val="000000"/>
                <w:sz w:val="18"/>
                <w:szCs w:val="18"/>
              </w:rPr>
              <w:t>5,250 </w:t>
            </w:r>
          </w:p>
        </w:tc>
        <w:tc>
          <w:tcPr>
            <w:tcW w:w="0" w:type="auto"/>
            <w:shd w:val="clear" w:color="auto" w:fill="CCEEFF"/>
            <w:tcMar>
              <w:top w:w="30" w:type="dxa"/>
              <w:left w:w="0" w:type="dxa"/>
              <w:bottom w:w="30" w:type="dxa"/>
              <w:right w:w="20" w:type="dxa"/>
            </w:tcMar>
            <w:vAlign w:val="bottom"/>
            <w:hideMark/>
          </w:tcPr>
          <w:p w14:paraId="285D3C35" w14:textId="77777777" w:rsidR="00000000" w:rsidRDefault="00E614A4">
            <w:pPr>
              <w:jc w:val="right"/>
              <w:rPr>
                <w:rFonts w:eastAsia="Times New Roman"/>
              </w:rPr>
            </w:pPr>
          </w:p>
        </w:tc>
      </w:tr>
      <w:tr w:rsidR="00000000" w14:paraId="349D0150" w14:textId="77777777">
        <w:trPr>
          <w:divId w:val="74860568"/>
        </w:trPr>
        <w:tc>
          <w:tcPr>
            <w:tcW w:w="0" w:type="auto"/>
            <w:gridSpan w:val="3"/>
            <w:shd w:val="clear" w:color="auto" w:fill="FFFFFF"/>
            <w:tcMar>
              <w:top w:w="30" w:type="dxa"/>
              <w:left w:w="20" w:type="dxa"/>
              <w:bottom w:w="30" w:type="dxa"/>
              <w:right w:w="20" w:type="dxa"/>
            </w:tcMar>
            <w:vAlign w:val="bottom"/>
            <w:hideMark/>
          </w:tcPr>
          <w:p w14:paraId="5088792D" w14:textId="77777777" w:rsidR="00000000" w:rsidRDefault="00E614A4">
            <w:pPr>
              <w:divId w:val="1624577145"/>
              <w:rPr>
                <w:rFonts w:eastAsia="Times New Roman"/>
              </w:rPr>
            </w:pPr>
            <w:r>
              <w:rPr>
                <w:rFonts w:eastAsia="Times New Roman"/>
                <w:color w:val="000000"/>
                <w:sz w:val="18"/>
                <w:szCs w:val="18"/>
              </w:rPr>
              <w:t>Other (income) expense, net</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1E9D9D73" w14:textId="77777777" w:rsidR="00000000" w:rsidRDefault="00E614A4">
            <w:pPr>
              <w:jc w:val="right"/>
              <w:rPr>
                <w:rFonts w:eastAsia="Times New Roman"/>
              </w:rPr>
            </w:pPr>
            <w:r>
              <w:rPr>
                <w:rFonts w:eastAsia="Times New Roman"/>
                <w:color w:val="000000"/>
                <w:sz w:val="18"/>
                <w:szCs w:val="18"/>
              </w:rPr>
              <w:t>(14,164)</w:t>
            </w:r>
          </w:p>
        </w:tc>
        <w:tc>
          <w:tcPr>
            <w:tcW w:w="0" w:type="auto"/>
            <w:shd w:val="clear" w:color="auto" w:fill="FFFFFF"/>
            <w:tcMar>
              <w:top w:w="30" w:type="dxa"/>
              <w:left w:w="0" w:type="dxa"/>
              <w:bottom w:w="30" w:type="dxa"/>
              <w:right w:w="20" w:type="dxa"/>
            </w:tcMar>
            <w:vAlign w:val="bottom"/>
            <w:hideMark/>
          </w:tcPr>
          <w:p w14:paraId="1FAE000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499D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CE7989" w14:textId="77777777" w:rsidR="00000000" w:rsidRDefault="00E614A4">
            <w:pPr>
              <w:jc w:val="right"/>
              <w:rPr>
                <w:rFonts w:eastAsia="Times New Roman"/>
              </w:rPr>
            </w:pPr>
            <w:r>
              <w:rPr>
                <w:rFonts w:eastAsia="Times New Roman"/>
                <w:color w:val="000000"/>
                <w:sz w:val="18"/>
                <w:szCs w:val="18"/>
              </w:rPr>
              <w:t>682 </w:t>
            </w:r>
          </w:p>
        </w:tc>
        <w:tc>
          <w:tcPr>
            <w:tcW w:w="0" w:type="auto"/>
            <w:shd w:val="clear" w:color="auto" w:fill="FFFFFF"/>
            <w:tcMar>
              <w:top w:w="30" w:type="dxa"/>
              <w:left w:w="0" w:type="dxa"/>
              <w:bottom w:w="30" w:type="dxa"/>
              <w:right w:w="20" w:type="dxa"/>
            </w:tcMar>
            <w:vAlign w:val="bottom"/>
            <w:hideMark/>
          </w:tcPr>
          <w:p w14:paraId="5F19720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8811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BCFD37" w14:textId="77777777" w:rsidR="00000000" w:rsidRDefault="00E614A4">
            <w:pPr>
              <w:jc w:val="right"/>
              <w:rPr>
                <w:rFonts w:eastAsia="Times New Roman"/>
              </w:rPr>
            </w:pPr>
            <w:r>
              <w:rPr>
                <w:rFonts w:eastAsia="Times New Roman"/>
                <w:color w:val="000000"/>
                <w:sz w:val="18"/>
                <w:szCs w:val="18"/>
              </w:rPr>
              <w:t>12,783 </w:t>
            </w:r>
          </w:p>
        </w:tc>
        <w:tc>
          <w:tcPr>
            <w:tcW w:w="0" w:type="auto"/>
            <w:shd w:val="clear" w:color="auto" w:fill="FFFFFF"/>
            <w:tcMar>
              <w:top w:w="30" w:type="dxa"/>
              <w:left w:w="0" w:type="dxa"/>
              <w:bottom w:w="30" w:type="dxa"/>
              <w:right w:w="20" w:type="dxa"/>
            </w:tcMar>
            <w:vAlign w:val="bottom"/>
            <w:hideMark/>
          </w:tcPr>
          <w:p w14:paraId="554AE0C0" w14:textId="77777777" w:rsidR="00000000" w:rsidRDefault="00E614A4">
            <w:pPr>
              <w:jc w:val="right"/>
              <w:rPr>
                <w:rFonts w:eastAsia="Times New Roman"/>
              </w:rPr>
            </w:pPr>
          </w:p>
        </w:tc>
      </w:tr>
      <w:tr w:rsidR="00000000" w14:paraId="7D52CBBC" w14:textId="77777777">
        <w:trPr>
          <w:divId w:val="74860568"/>
        </w:trPr>
        <w:tc>
          <w:tcPr>
            <w:tcW w:w="0" w:type="auto"/>
            <w:gridSpan w:val="3"/>
            <w:shd w:val="clear" w:color="auto" w:fill="CCEEFF"/>
            <w:tcMar>
              <w:top w:w="30" w:type="dxa"/>
              <w:left w:w="20" w:type="dxa"/>
              <w:bottom w:w="30" w:type="dxa"/>
              <w:right w:w="20" w:type="dxa"/>
            </w:tcMar>
            <w:vAlign w:val="bottom"/>
            <w:hideMark/>
          </w:tcPr>
          <w:p w14:paraId="0648328F" w14:textId="77777777" w:rsidR="00000000" w:rsidRDefault="00E614A4">
            <w:pPr>
              <w:rPr>
                <w:rFonts w:eastAsia="Times New Roman"/>
              </w:rPr>
            </w:pPr>
            <w:r>
              <w:rPr>
                <w:rFonts w:eastAsia="Times New Roman"/>
                <w:color w:val="000000"/>
                <w:sz w:val="18"/>
                <w:szCs w:val="18"/>
              </w:rPr>
              <w:t>Non-GAAP 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C838E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3C6637" w14:textId="77777777" w:rsidR="00000000" w:rsidRDefault="00E614A4">
            <w:pPr>
              <w:jc w:val="right"/>
              <w:rPr>
                <w:rFonts w:eastAsia="Times New Roman"/>
              </w:rPr>
            </w:pPr>
            <w:r>
              <w:rPr>
                <w:rFonts w:eastAsia="Times New Roman"/>
                <w:color w:val="000000"/>
                <w:sz w:val="18"/>
                <w:szCs w:val="18"/>
              </w:rPr>
              <w:t>(20,119)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2A137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397AA5"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22F18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994706" w14:textId="77777777" w:rsidR="00000000" w:rsidRDefault="00E614A4">
            <w:pPr>
              <w:jc w:val="right"/>
              <w:rPr>
                <w:rFonts w:eastAsia="Times New Roman"/>
              </w:rPr>
            </w:pPr>
            <w:r>
              <w:rPr>
                <w:rFonts w:eastAsia="Times New Roman"/>
                <w:color w:val="000000"/>
                <w:sz w:val="18"/>
                <w:szCs w:val="18"/>
              </w:rPr>
              <w:t>(39,495)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468FB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52858"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E973E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109779" w14:textId="77777777" w:rsidR="00000000" w:rsidRDefault="00E614A4">
            <w:pPr>
              <w:jc w:val="right"/>
              <w:rPr>
                <w:rFonts w:eastAsia="Times New Roman"/>
              </w:rPr>
            </w:pPr>
            <w:r>
              <w:rPr>
                <w:rFonts w:eastAsia="Times New Roman"/>
                <w:color w:val="000000"/>
                <w:sz w:val="18"/>
                <w:szCs w:val="18"/>
              </w:rPr>
              <w:t>(21,045)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8FD106" w14:textId="77777777" w:rsidR="00000000" w:rsidRDefault="00E614A4">
            <w:pPr>
              <w:jc w:val="right"/>
              <w:rPr>
                <w:rFonts w:eastAsia="Times New Roman"/>
              </w:rPr>
            </w:pPr>
          </w:p>
        </w:tc>
      </w:tr>
    </w:tbl>
    <w:p w14:paraId="6C5EF576" w14:textId="77777777" w:rsidR="00000000" w:rsidRDefault="00E614A4">
      <w:pPr>
        <w:jc w:val="both"/>
        <w:divId w:val="1893080550"/>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Settlement of certain litigation, net includes settlement amounts incurred for certain legal proceedings defined by the Notes, which amounts are classified as general and administrative expenses in the Consolidated Statements of Operations and Comprehensiv</w:t>
      </w:r>
      <w:r>
        <w:rPr>
          <w:rFonts w:eastAsia="Times New Roman"/>
          <w:i/>
          <w:iCs/>
          <w:color w:val="000000"/>
          <w:sz w:val="16"/>
          <w:szCs w:val="16"/>
        </w:rPr>
        <w:t xml:space="preserve">e Loss. </w:t>
      </w:r>
    </w:p>
    <w:p w14:paraId="11FBADFA" w14:textId="77777777" w:rsidR="00000000" w:rsidRDefault="00E614A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Adjustments to other (income) expense, net, reflect non-cash changes in the fair value of financing derivatives, warrants liability and equity securities investment included in other income (expense), net and certain legal expenses defined by </w:t>
      </w:r>
      <w:r>
        <w:rPr>
          <w:rFonts w:eastAsia="Times New Roman"/>
          <w:i/>
          <w:iCs/>
          <w:color w:val="000000"/>
          <w:sz w:val="16"/>
          <w:szCs w:val="16"/>
        </w:rPr>
        <w:t>the Notes and classified as general and administrative expenses on our Consolidated Statements of Operations and Comprehensive Loss. Additionally, we recorded transaction costs related to the issuance of warrants, which costs were allocated to the warrants</w:t>
      </w:r>
      <w:r>
        <w:rPr>
          <w:rFonts w:eastAsia="Times New Roman"/>
          <w:i/>
          <w:iCs/>
          <w:color w:val="000000"/>
          <w:sz w:val="16"/>
          <w:szCs w:val="16"/>
        </w:rPr>
        <w:t xml:space="preserve"> liability and recorded in general and administrative expenses in the Consolidated Statements of Operations and Comprehensive Loss. The remaining transaction costs were recorded in additional paid-in capital in the Consolidated Balance Sheets. For more inf</w:t>
      </w:r>
      <w:r>
        <w:rPr>
          <w:rFonts w:eastAsia="Times New Roman"/>
          <w:i/>
          <w:iCs/>
          <w:color w:val="000000"/>
          <w:sz w:val="16"/>
          <w:szCs w:val="16"/>
        </w:rPr>
        <w:t xml:space="preserve">ormation regarding this adjustment, see </w:t>
      </w:r>
      <w:hyperlink w:anchor="ided6989bcc374020961c421c465250ee_133" w:history="1">
        <w:r>
          <w:rPr>
            <w:rStyle w:val="a3"/>
            <w:rFonts w:eastAsia="Times New Roman"/>
            <w:i/>
            <w:iCs/>
            <w:sz w:val="16"/>
            <w:szCs w:val="16"/>
          </w:rPr>
          <w:t>Footnote 5</w:t>
        </w:r>
      </w:hyperlink>
      <w:r>
        <w:rPr>
          <w:rFonts w:eastAsia="Times New Roman"/>
          <w:i/>
          <w:iCs/>
          <w:color w:val="000000"/>
          <w:sz w:val="16"/>
          <w:szCs w:val="16"/>
        </w:rPr>
        <w:t>, Stockholders' Equity.</w:t>
      </w:r>
    </w:p>
    <w:p w14:paraId="7F4DF7E7" w14:textId="77777777" w:rsidR="00000000" w:rsidRDefault="00E614A4">
      <w:pPr>
        <w:jc w:val="both"/>
        <w:rPr>
          <w:rFonts w:eastAsia="Times New Roman"/>
        </w:rPr>
      </w:pPr>
    </w:p>
    <w:p w14:paraId="6D2C5FF0" w14:textId="77777777" w:rsidR="00000000" w:rsidRDefault="00E614A4">
      <w:pPr>
        <w:jc w:val="both"/>
        <w:divId w:val="2138182987"/>
        <w:rPr>
          <w:rFonts w:eastAsia="Times New Roman"/>
        </w:rPr>
      </w:pPr>
      <w:r>
        <w:rPr>
          <w:rFonts w:eastAsia="Times New Roman"/>
          <w:b/>
          <w:bCs/>
          <w:color w:val="000000"/>
          <w:sz w:val="20"/>
          <w:szCs w:val="20"/>
        </w:rPr>
        <w:t xml:space="preserve">Liquidity and Capital Resources </w:t>
      </w:r>
    </w:p>
    <w:p w14:paraId="5A696050" w14:textId="77777777" w:rsidR="00000000" w:rsidRDefault="00E614A4">
      <w:pPr>
        <w:jc w:val="both"/>
        <w:divId w:val="1939366822"/>
        <w:rPr>
          <w:rFonts w:eastAsia="Times New Roman"/>
        </w:rPr>
      </w:pPr>
      <w:r>
        <w:rPr>
          <w:rFonts w:eastAsia="Times New Roman"/>
          <w:color w:val="000000"/>
          <w:sz w:val="20"/>
          <w:szCs w:val="20"/>
        </w:rPr>
        <w:t>The following table summarizes our cash flows for each of the periods identified: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614"/>
        <w:gridCol w:w="37"/>
        <w:gridCol w:w="36"/>
        <w:gridCol w:w="36"/>
        <w:gridCol w:w="36"/>
        <w:gridCol w:w="111"/>
        <w:gridCol w:w="951"/>
        <w:gridCol w:w="36"/>
        <w:gridCol w:w="36"/>
        <w:gridCol w:w="36"/>
        <w:gridCol w:w="36"/>
        <w:gridCol w:w="110"/>
        <w:gridCol w:w="951"/>
        <w:gridCol w:w="36"/>
        <w:gridCol w:w="36"/>
        <w:gridCol w:w="36"/>
        <w:gridCol w:w="36"/>
        <w:gridCol w:w="110"/>
        <w:gridCol w:w="952"/>
        <w:gridCol w:w="36"/>
      </w:tblGrid>
      <w:tr w:rsidR="00000000" w14:paraId="28978559" w14:textId="77777777">
        <w:trPr>
          <w:divId w:val="113867484"/>
          <w:jc w:val="center"/>
        </w:trPr>
        <w:tc>
          <w:tcPr>
            <w:tcW w:w="50" w:type="pct"/>
            <w:vAlign w:val="center"/>
            <w:hideMark/>
          </w:tcPr>
          <w:p w14:paraId="17A0CD15" w14:textId="77777777" w:rsidR="00000000" w:rsidRDefault="00E614A4">
            <w:pPr>
              <w:jc w:val="both"/>
              <w:rPr>
                <w:rFonts w:eastAsia="Times New Roman"/>
              </w:rPr>
            </w:pPr>
          </w:p>
        </w:tc>
        <w:tc>
          <w:tcPr>
            <w:tcW w:w="2840" w:type="pct"/>
            <w:vAlign w:val="center"/>
            <w:hideMark/>
          </w:tcPr>
          <w:p w14:paraId="0EE86750" w14:textId="77777777" w:rsidR="00000000" w:rsidRDefault="00E614A4">
            <w:pPr>
              <w:rPr>
                <w:rFonts w:eastAsia="Times New Roman"/>
                <w:sz w:val="20"/>
                <w:szCs w:val="20"/>
              </w:rPr>
            </w:pPr>
          </w:p>
        </w:tc>
        <w:tc>
          <w:tcPr>
            <w:tcW w:w="5" w:type="pct"/>
            <w:vAlign w:val="center"/>
            <w:hideMark/>
          </w:tcPr>
          <w:p w14:paraId="04D022E3" w14:textId="77777777" w:rsidR="00000000" w:rsidRDefault="00E614A4">
            <w:pPr>
              <w:rPr>
                <w:rFonts w:eastAsia="Times New Roman"/>
                <w:sz w:val="20"/>
                <w:szCs w:val="20"/>
              </w:rPr>
            </w:pPr>
          </w:p>
        </w:tc>
        <w:tc>
          <w:tcPr>
            <w:tcW w:w="5" w:type="pct"/>
            <w:vAlign w:val="center"/>
            <w:hideMark/>
          </w:tcPr>
          <w:p w14:paraId="3FD70222" w14:textId="77777777" w:rsidR="00000000" w:rsidRDefault="00E614A4">
            <w:pPr>
              <w:rPr>
                <w:rFonts w:eastAsia="Times New Roman"/>
                <w:sz w:val="20"/>
                <w:szCs w:val="20"/>
              </w:rPr>
            </w:pPr>
          </w:p>
        </w:tc>
        <w:tc>
          <w:tcPr>
            <w:tcW w:w="17" w:type="pct"/>
            <w:vAlign w:val="center"/>
            <w:hideMark/>
          </w:tcPr>
          <w:p w14:paraId="36799783" w14:textId="77777777" w:rsidR="00000000" w:rsidRDefault="00E614A4">
            <w:pPr>
              <w:rPr>
                <w:rFonts w:eastAsia="Times New Roman"/>
                <w:sz w:val="20"/>
                <w:szCs w:val="20"/>
              </w:rPr>
            </w:pPr>
          </w:p>
        </w:tc>
        <w:tc>
          <w:tcPr>
            <w:tcW w:w="5" w:type="pct"/>
            <w:vAlign w:val="center"/>
            <w:hideMark/>
          </w:tcPr>
          <w:p w14:paraId="71B6492A" w14:textId="77777777" w:rsidR="00000000" w:rsidRDefault="00E614A4">
            <w:pPr>
              <w:rPr>
                <w:rFonts w:eastAsia="Times New Roman"/>
                <w:sz w:val="20"/>
                <w:szCs w:val="20"/>
              </w:rPr>
            </w:pPr>
          </w:p>
        </w:tc>
        <w:tc>
          <w:tcPr>
            <w:tcW w:w="50" w:type="pct"/>
            <w:vAlign w:val="center"/>
            <w:hideMark/>
          </w:tcPr>
          <w:p w14:paraId="7921C285" w14:textId="77777777" w:rsidR="00000000" w:rsidRDefault="00E614A4">
            <w:pPr>
              <w:rPr>
                <w:rFonts w:eastAsia="Times New Roman"/>
                <w:sz w:val="20"/>
                <w:szCs w:val="20"/>
              </w:rPr>
            </w:pPr>
          </w:p>
        </w:tc>
        <w:tc>
          <w:tcPr>
            <w:tcW w:w="618" w:type="pct"/>
            <w:vAlign w:val="center"/>
            <w:hideMark/>
          </w:tcPr>
          <w:p w14:paraId="1F3068AC" w14:textId="77777777" w:rsidR="00000000" w:rsidRDefault="00E614A4">
            <w:pPr>
              <w:rPr>
                <w:rFonts w:eastAsia="Times New Roman"/>
                <w:sz w:val="20"/>
                <w:szCs w:val="20"/>
              </w:rPr>
            </w:pPr>
          </w:p>
        </w:tc>
        <w:tc>
          <w:tcPr>
            <w:tcW w:w="5" w:type="pct"/>
            <w:vAlign w:val="center"/>
            <w:hideMark/>
          </w:tcPr>
          <w:p w14:paraId="1F2C47CF" w14:textId="77777777" w:rsidR="00000000" w:rsidRDefault="00E614A4">
            <w:pPr>
              <w:rPr>
                <w:rFonts w:eastAsia="Times New Roman"/>
                <w:sz w:val="20"/>
                <w:szCs w:val="20"/>
              </w:rPr>
            </w:pPr>
          </w:p>
        </w:tc>
        <w:tc>
          <w:tcPr>
            <w:tcW w:w="5" w:type="pct"/>
            <w:vAlign w:val="center"/>
            <w:hideMark/>
          </w:tcPr>
          <w:p w14:paraId="00CB81F5" w14:textId="77777777" w:rsidR="00000000" w:rsidRDefault="00E614A4">
            <w:pPr>
              <w:rPr>
                <w:rFonts w:eastAsia="Times New Roman"/>
                <w:sz w:val="20"/>
                <w:szCs w:val="20"/>
              </w:rPr>
            </w:pPr>
          </w:p>
        </w:tc>
        <w:tc>
          <w:tcPr>
            <w:tcW w:w="17" w:type="pct"/>
            <w:vAlign w:val="center"/>
            <w:hideMark/>
          </w:tcPr>
          <w:p w14:paraId="1A45387F" w14:textId="77777777" w:rsidR="00000000" w:rsidRDefault="00E614A4">
            <w:pPr>
              <w:rPr>
                <w:rFonts w:eastAsia="Times New Roman"/>
                <w:sz w:val="20"/>
                <w:szCs w:val="20"/>
              </w:rPr>
            </w:pPr>
          </w:p>
        </w:tc>
        <w:tc>
          <w:tcPr>
            <w:tcW w:w="5" w:type="pct"/>
            <w:vAlign w:val="center"/>
            <w:hideMark/>
          </w:tcPr>
          <w:p w14:paraId="6C952538" w14:textId="77777777" w:rsidR="00000000" w:rsidRDefault="00E614A4">
            <w:pPr>
              <w:rPr>
                <w:rFonts w:eastAsia="Times New Roman"/>
                <w:sz w:val="20"/>
                <w:szCs w:val="20"/>
              </w:rPr>
            </w:pPr>
          </w:p>
        </w:tc>
        <w:tc>
          <w:tcPr>
            <w:tcW w:w="50" w:type="pct"/>
            <w:vAlign w:val="center"/>
            <w:hideMark/>
          </w:tcPr>
          <w:p w14:paraId="30C1CCD1" w14:textId="77777777" w:rsidR="00000000" w:rsidRDefault="00E614A4">
            <w:pPr>
              <w:rPr>
                <w:rFonts w:eastAsia="Times New Roman"/>
                <w:sz w:val="20"/>
                <w:szCs w:val="20"/>
              </w:rPr>
            </w:pPr>
          </w:p>
        </w:tc>
        <w:tc>
          <w:tcPr>
            <w:tcW w:w="618" w:type="pct"/>
            <w:vAlign w:val="center"/>
            <w:hideMark/>
          </w:tcPr>
          <w:p w14:paraId="15DB4CB7" w14:textId="77777777" w:rsidR="00000000" w:rsidRDefault="00E614A4">
            <w:pPr>
              <w:rPr>
                <w:rFonts w:eastAsia="Times New Roman"/>
                <w:sz w:val="20"/>
                <w:szCs w:val="20"/>
              </w:rPr>
            </w:pPr>
          </w:p>
        </w:tc>
        <w:tc>
          <w:tcPr>
            <w:tcW w:w="5" w:type="pct"/>
            <w:vAlign w:val="center"/>
            <w:hideMark/>
          </w:tcPr>
          <w:p w14:paraId="191AB358" w14:textId="77777777" w:rsidR="00000000" w:rsidRDefault="00E614A4">
            <w:pPr>
              <w:rPr>
                <w:rFonts w:eastAsia="Times New Roman"/>
                <w:sz w:val="20"/>
                <w:szCs w:val="20"/>
              </w:rPr>
            </w:pPr>
          </w:p>
        </w:tc>
        <w:tc>
          <w:tcPr>
            <w:tcW w:w="5" w:type="pct"/>
            <w:vAlign w:val="center"/>
            <w:hideMark/>
          </w:tcPr>
          <w:p w14:paraId="305EE68D" w14:textId="77777777" w:rsidR="00000000" w:rsidRDefault="00E614A4">
            <w:pPr>
              <w:rPr>
                <w:rFonts w:eastAsia="Times New Roman"/>
                <w:sz w:val="20"/>
                <w:szCs w:val="20"/>
              </w:rPr>
            </w:pPr>
          </w:p>
        </w:tc>
        <w:tc>
          <w:tcPr>
            <w:tcW w:w="17" w:type="pct"/>
            <w:vAlign w:val="center"/>
            <w:hideMark/>
          </w:tcPr>
          <w:p w14:paraId="43BF6FD0" w14:textId="77777777" w:rsidR="00000000" w:rsidRDefault="00E614A4">
            <w:pPr>
              <w:rPr>
                <w:rFonts w:eastAsia="Times New Roman"/>
                <w:sz w:val="20"/>
                <w:szCs w:val="20"/>
              </w:rPr>
            </w:pPr>
          </w:p>
        </w:tc>
        <w:tc>
          <w:tcPr>
            <w:tcW w:w="5" w:type="pct"/>
            <w:vAlign w:val="center"/>
            <w:hideMark/>
          </w:tcPr>
          <w:p w14:paraId="22314812" w14:textId="77777777" w:rsidR="00000000" w:rsidRDefault="00E614A4">
            <w:pPr>
              <w:rPr>
                <w:rFonts w:eastAsia="Times New Roman"/>
                <w:sz w:val="20"/>
                <w:szCs w:val="20"/>
              </w:rPr>
            </w:pPr>
          </w:p>
        </w:tc>
        <w:tc>
          <w:tcPr>
            <w:tcW w:w="50" w:type="pct"/>
            <w:vAlign w:val="center"/>
            <w:hideMark/>
          </w:tcPr>
          <w:p w14:paraId="57A69548" w14:textId="77777777" w:rsidR="00000000" w:rsidRDefault="00E614A4">
            <w:pPr>
              <w:rPr>
                <w:rFonts w:eastAsia="Times New Roman"/>
                <w:sz w:val="20"/>
                <w:szCs w:val="20"/>
              </w:rPr>
            </w:pPr>
          </w:p>
        </w:tc>
        <w:tc>
          <w:tcPr>
            <w:tcW w:w="618" w:type="pct"/>
            <w:vAlign w:val="center"/>
            <w:hideMark/>
          </w:tcPr>
          <w:p w14:paraId="2CB9D495" w14:textId="77777777" w:rsidR="00000000" w:rsidRDefault="00E614A4">
            <w:pPr>
              <w:rPr>
                <w:rFonts w:eastAsia="Times New Roman"/>
                <w:sz w:val="20"/>
                <w:szCs w:val="20"/>
              </w:rPr>
            </w:pPr>
          </w:p>
        </w:tc>
        <w:tc>
          <w:tcPr>
            <w:tcW w:w="5" w:type="pct"/>
            <w:vAlign w:val="center"/>
            <w:hideMark/>
          </w:tcPr>
          <w:p w14:paraId="701D2168" w14:textId="77777777" w:rsidR="00000000" w:rsidRDefault="00E614A4">
            <w:pPr>
              <w:rPr>
                <w:rFonts w:eastAsia="Times New Roman"/>
                <w:sz w:val="20"/>
                <w:szCs w:val="20"/>
              </w:rPr>
            </w:pPr>
          </w:p>
        </w:tc>
      </w:tr>
      <w:tr w:rsidR="00000000" w14:paraId="0AA9E57B" w14:textId="77777777">
        <w:trPr>
          <w:divId w:val="113867484"/>
          <w:jc w:val="center"/>
        </w:trPr>
        <w:tc>
          <w:tcPr>
            <w:tcW w:w="0" w:type="auto"/>
            <w:gridSpan w:val="3"/>
            <w:tcMar>
              <w:top w:w="30" w:type="dxa"/>
              <w:left w:w="20" w:type="dxa"/>
              <w:bottom w:w="30" w:type="dxa"/>
              <w:right w:w="20" w:type="dxa"/>
            </w:tcMar>
            <w:vAlign w:val="bottom"/>
            <w:hideMark/>
          </w:tcPr>
          <w:p w14:paraId="57E376D4"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C529881" w14:textId="77777777" w:rsidR="00000000" w:rsidRDefault="00E614A4">
            <w:pPr>
              <w:rPr>
                <w:rFonts w:eastAsia="Times New Roman"/>
              </w:rPr>
            </w:pPr>
          </w:p>
        </w:tc>
        <w:tc>
          <w:tcPr>
            <w:tcW w:w="0" w:type="auto"/>
            <w:gridSpan w:val="15"/>
            <w:tcMar>
              <w:top w:w="30" w:type="dxa"/>
              <w:left w:w="20" w:type="dxa"/>
              <w:bottom w:w="30" w:type="dxa"/>
              <w:right w:w="20" w:type="dxa"/>
            </w:tcMar>
            <w:vAlign w:val="bottom"/>
            <w:hideMark/>
          </w:tcPr>
          <w:p w14:paraId="17B15F83"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1BE6B73A" w14:textId="77777777">
        <w:trPr>
          <w:divId w:val="113867484"/>
          <w:jc w:val="center"/>
        </w:trPr>
        <w:tc>
          <w:tcPr>
            <w:tcW w:w="0" w:type="auto"/>
            <w:gridSpan w:val="3"/>
            <w:tcMar>
              <w:top w:w="30" w:type="dxa"/>
              <w:left w:w="20" w:type="dxa"/>
              <w:bottom w:w="30" w:type="dxa"/>
              <w:right w:w="20" w:type="dxa"/>
            </w:tcMar>
            <w:vAlign w:val="bottom"/>
            <w:hideMark/>
          </w:tcPr>
          <w:p w14:paraId="32D55EB3"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3E9EC9A7"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AAD03A"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00322A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544125"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12540D5F"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91C2B0" w14:textId="77777777" w:rsidR="00000000" w:rsidRDefault="00E614A4">
            <w:pPr>
              <w:jc w:val="center"/>
              <w:rPr>
                <w:rFonts w:eastAsia="Times New Roman"/>
              </w:rPr>
            </w:pPr>
            <w:r>
              <w:rPr>
                <w:rFonts w:eastAsia="Times New Roman"/>
                <w:b/>
                <w:bCs/>
                <w:color w:val="000000"/>
                <w:sz w:val="16"/>
                <w:szCs w:val="16"/>
              </w:rPr>
              <w:t>2018</w:t>
            </w:r>
          </w:p>
        </w:tc>
      </w:tr>
      <w:tr w:rsidR="00000000" w14:paraId="5338BC7D" w14:textId="77777777">
        <w:trPr>
          <w:divId w:val="113867484"/>
          <w:jc w:val="center"/>
        </w:trPr>
        <w:tc>
          <w:tcPr>
            <w:tcW w:w="0" w:type="auto"/>
            <w:gridSpan w:val="3"/>
            <w:shd w:val="clear" w:color="auto" w:fill="CCEEFF"/>
            <w:tcMar>
              <w:top w:w="30" w:type="dxa"/>
              <w:left w:w="20" w:type="dxa"/>
              <w:bottom w:w="30" w:type="dxa"/>
              <w:right w:w="20" w:type="dxa"/>
            </w:tcMar>
            <w:hideMark/>
          </w:tcPr>
          <w:p w14:paraId="7D0FE503" w14:textId="77777777" w:rsidR="00000000" w:rsidRDefault="00E614A4">
            <w:pPr>
              <w:rPr>
                <w:rFonts w:eastAsia="Times New Roman"/>
              </w:rPr>
            </w:pPr>
            <w:r>
              <w:rPr>
                <w:rFonts w:eastAsia="Times New Roman"/>
                <w:color w:val="000000"/>
                <w:sz w:val="18"/>
                <w:szCs w:val="18"/>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65D1A617"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DD9FE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4BB801" w14:textId="77777777" w:rsidR="00000000" w:rsidRDefault="00E614A4">
            <w:pPr>
              <w:jc w:val="right"/>
              <w:rPr>
                <w:rFonts w:eastAsia="Times New Roman"/>
              </w:rPr>
            </w:pPr>
            <w:r>
              <w:rPr>
                <w:rFonts w:eastAsia="Times New Roman"/>
                <w:color w:val="000000"/>
                <w:sz w:val="18"/>
                <w:szCs w:val="18"/>
              </w:rPr>
              <w:t>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DEF7D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61E0F"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4C1F6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5EB413" w14:textId="77777777" w:rsidR="00000000" w:rsidRDefault="00E614A4">
            <w:pPr>
              <w:jc w:val="right"/>
              <w:rPr>
                <w:rFonts w:eastAsia="Times New Roman"/>
              </w:rPr>
            </w:pPr>
            <w:r>
              <w:rPr>
                <w:rFonts w:eastAsia="Times New Roman"/>
                <w:color w:val="000000"/>
                <w:sz w:val="18"/>
                <w:szCs w:val="18"/>
              </w:rPr>
              <w:t>(4,636)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2F131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B6F09"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DF696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DBC361" w14:textId="77777777" w:rsidR="00000000" w:rsidRDefault="00E614A4">
            <w:pPr>
              <w:jc w:val="right"/>
              <w:rPr>
                <w:rFonts w:eastAsia="Times New Roman"/>
              </w:rPr>
            </w:pPr>
            <w:r>
              <w:rPr>
                <w:rFonts w:eastAsia="Times New Roman"/>
                <w:color w:val="000000"/>
                <w:sz w:val="18"/>
                <w:szCs w:val="18"/>
              </w:rPr>
              <w:t>(72,575)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E318BB" w14:textId="77777777" w:rsidR="00000000" w:rsidRDefault="00E614A4">
            <w:pPr>
              <w:jc w:val="right"/>
              <w:rPr>
                <w:rFonts w:eastAsia="Times New Roman"/>
              </w:rPr>
            </w:pPr>
          </w:p>
        </w:tc>
      </w:tr>
      <w:tr w:rsidR="00000000" w14:paraId="4469C55E" w14:textId="77777777">
        <w:trPr>
          <w:divId w:val="113867484"/>
          <w:jc w:val="center"/>
        </w:trPr>
        <w:tc>
          <w:tcPr>
            <w:tcW w:w="0" w:type="auto"/>
            <w:gridSpan w:val="3"/>
            <w:shd w:val="clear" w:color="auto" w:fill="FFFFFF"/>
            <w:tcMar>
              <w:top w:w="30" w:type="dxa"/>
              <w:left w:w="20" w:type="dxa"/>
              <w:bottom w:w="30" w:type="dxa"/>
              <w:right w:w="20" w:type="dxa"/>
            </w:tcMar>
            <w:hideMark/>
          </w:tcPr>
          <w:p w14:paraId="42A3D94F" w14:textId="77777777" w:rsidR="00000000" w:rsidRDefault="00E614A4">
            <w:pPr>
              <w:rPr>
                <w:rFonts w:eastAsia="Times New Roman"/>
              </w:rPr>
            </w:pPr>
            <w:r>
              <w:rPr>
                <w:rFonts w:eastAsia="Times New Roman"/>
                <w:color w:val="000000"/>
                <w:sz w:val="18"/>
                <w:szCs w:val="18"/>
              </w:rPr>
              <w:t>Net cash used in investing activities</w:t>
            </w:r>
          </w:p>
        </w:tc>
        <w:tc>
          <w:tcPr>
            <w:tcW w:w="0" w:type="auto"/>
            <w:gridSpan w:val="3"/>
            <w:shd w:val="clear" w:color="auto" w:fill="FFFFFF"/>
            <w:tcMar>
              <w:top w:w="0" w:type="dxa"/>
              <w:left w:w="20" w:type="dxa"/>
              <w:bottom w:w="0" w:type="dxa"/>
              <w:right w:w="20" w:type="dxa"/>
            </w:tcMar>
            <w:vAlign w:val="center"/>
            <w:hideMark/>
          </w:tcPr>
          <w:p w14:paraId="22D473A2"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64CFB7" w14:textId="77777777" w:rsidR="00000000" w:rsidRDefault="00E614A4">
            <w:pPr>
              <w:jc w:val="right"/>
              <w:rPr>
                <w:rFonts w:eastAsia="Times New Roman"/>
              </w:rPr>
            </w:pPr>
            <w:r>
              <w:rPr>
                <w:rFonts w:eastAsia="Times New Roman"/>
                <w:color w:val="000000"/>
                <w:sz w:val="18"/>
                <w:szCs w:val="18"/>
              </w:rPr>
              <w:t>(15,555)</w:t>
            </w:r>
          </w:p>
        </w:tc>
        <w:tc>
          <w:tcPr>
            <w:tcW w:w="0" w:type="auto"/>
            <w:shd w:val="clear" w:color="auto" w:fill="FFFFFF"/>
            <w:tcMar>
              <w:top w:w="30" w:type="dxa"/>
              <w:left w:w="0" w:type="dxa"/>
              <w:bottom w:w="30" w:type="dxa"/>
              <w:right w:w="20" w:type="dxa"/>
            </w:tcMar>
            <w:vAlign w:val="bottom"/>
            <w:hideMark/>
          </w:tcPr>
          <w:p w14:paraId="75816C5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26C6D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A6C93F" w14:textId="77777777" w:rsidR="00000000" w:rsidRDefault="00E614A4">
            <w:pPr>
              <w:jc w:val="right"/>
              <w:rPr>
                <w:rFonts w:eastAsia="Times New Roman"/>
              </w:rPr>
            </w:pPr>
            <w:r>
              <w:rPr>
                <w:rFonts w:eastAsia="Times New Roman"/>
                <w:color w:val="000000"/>
                <w:sz w:val="18"/>
                <w:szCs w:val="18"/>
              </w:rPr>
              <w:t>(10,460)</w:t>
            </w:r>
          </w:p>
        </w:tc>
        <w:tc>
          <w:tcPr>
            <w:tcW w:w="0" w:type="auto"/>
            <w:shd w:val="clear" w:color="auto" w:fill="FFFFFF"/>
            <w:tcMar>
              <w:top w:w="30" w:type="dxa"/>
              <w:left w:w="0" w:type="dxa"/>
              <w:bottom w:w="30" w:type="dxa"/>
              <w:right w:w="20" w:type="dxa"/>
            </w:tcMar>
            <w:vAlign w:val="bottom"/>
            <w:hideMark/>
          </w:tcPr>
          <w:p w14:paraId="648356F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D432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F66386" w14:textId="77777777" w:rsidR="00000000" w:rsidRDefault="00E614A4">
            <w:pPr>
              <w:jc w:val="right"/>
              <w:rPr>
                <w:rFonts w:eastAsia="Times New Roman"/>
              </w:rPr>
            </w:pPr>
            <w:r>
              <w:rPr>
                <w:rFonts w:eastAsia="Times New Roman"/>
                <w:color w:val="000000"/>
                <w:sz w:val="18"/>
                <w:szCs w:val="18"/>
              </w:rPr>
              <w:t>(13,814)</w:t>
            </w:r>
          </w:p>
        </w:tc>
        <w:tc>
          <w:tcPr>
            <w:tcW w:w="0" w:type="auto"/>
            <w:shd w:val="clear" w:color="auto" w:fill="FFFFFF"/>
            <w:tcMar>
              <w:top w:w="30" w:type="dxa"/>
              <w:left w:w="0" w:type="dxa"/>
              <w:bottom w:w="30" w:type="dxa"/>
              <w:right w:w="20" w:type="dxa"/>
            </w:tcMar>
            <w:vAlign w:val="bottom"/>
            <w:hideMark/>
          </w:tcPr>
          <w:p w14:paraId="7954C72B" w14:textId="77777777" w:rsidR="00000000" w:rsidRDefault="00E614A4">
            <w:pPr>
              <w:jc w:val="right"/>
              <w:rPr>
                <w:rFonts w:eastAsia="Times New Roman"/>
              </w:rPr>
            </w:pPr>
          </w:p>
        </w:tc>
      </w:tr>
      <w:tr w:rsidR="00000000" w14:paraId="7E8DBD05" w14:textId="77777777">
        <w:trPr>
          <w:divId w:val="113867484"/>
          <w:jc w:val="center"/>
        </w:trPr>
        <w:tc>
          <w:tcPr>
            <w:tcW w:w="0" w:type="auto"/>
            <w:gridSpan w:val="3"/>
            <w:shd w:val="clear" w:color="auto" w:fill="CCEEFF"/>
            <w:tcMar>
              <w:top w:w="30" w:type="dxa"/>
              <w:left w:w="20" w:type="dxa"/>
              <w:bottom w:w="30" w:type="dxa"/>
              <w:right w:w="20" w:type="dxa"/>
            </w:tcMar>
            <w:hideMark/>
          </w:tcPr>
          <w:p w14:paraId="28C56DA8" w14:textId="77777777" w:rsidR="00000000" w:rsidRDefault="00E614A4">
            <w:pPr>
              <w:rPr>
                <w:rFonts w:eastAsia="Times New Roman"/>
              </w:rPr>
            </w:pPr>
            <w:r>
              <w:rPr>
                <w:rFonts w:eastAsia="Times New Roman"/>
                <w:color w:val="000000"/>
                <w:sz w:val="18"/>
                <w:szCs w:val="18"/>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14:paraId="390C9CF3"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EDE4BA" w14:textId="77777777" w:rsidR="00000000" w:rsidRDefault="00E614A4">
            <w:pPr>
              <w:jc w:val="right"/>
              <w:rPr>
                <w:rFonts w:eastAsia="Times New Roman"/>
              </w:rPr>
            </w:pPr>
            <w:r>
              <w:rPr>
                <w:rFonts w:eastAsia="Times New Roman"/>
                <w:color w:val="000000"/>
                <w:sz w:val="18"/>
                <w:szCs w:val="18"/>
              </w:rPr>
              <w:t>(2,096)</w:t>
            </w:r>
          </w:p>
        </w:tc>
        <w:tc>
          <w:tcPr>
            <w:tcW w:w="0" w:type="auto"/>
            <w:shd w:val="clear" w:color="auto" w:fill="CCEEFF"/>
            <w:tcMar>
              <w:top w:w="30" w:type="dxa"/>
              <w:left w:w="0" w:type="dxa"/>
              <w:bottom w:w="30" w:type="dxa"/>
              <w:right w:w="20" w:type="dxa"/>
            </w:tcMar>
            <w:vAlign w:val="bottom"/>
            <w:hideMark/>
          </w:tcPr>
          <w:p w14:paraId="486C943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F5B0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D4BD5E" w14:textId="77777777" w:rsidR="00000000" w:rsidRDefault="00E614A4">
            <w:pPr>
              <w:jc w:val="right"/>
              <w:rPr>
                <w:rFonts w:eastAsia="Times New Roman"/>
              </w:rPr>
            </w:pPr>
            <w:r>
              <w:rPr>
                <w:rFonts w:eastAsia="Times New Roman"/>
                <w:color w:val="000000"/>
                <w:sz w:val="18"/>
                <w:szCs w:val="18"/>
              </w:rPr>
              <w:t>31,973 </w:t>
            </w:r>
          </w:p>
        </w:tc>
        <w:tc>
          <w:tcPr>
            <w:tcW w:w="0" w:type="auto"/>
            <w:shd w:val="clear" w:color="auto" w:fill="CCEEFF"/>
            <w:tcMar>
              <w:top w:w="30" w:type="dxa"/>
              <w:left w:w="0" w:type="dxa"/>
              <w:bottom w:w="30" w:type="dxa"/>
              <w:right w:w="20" w:type="dxa"/>
            </w:tcMar>
            <w:vAlign w:val="bottom"/>
            <w:hideMark/>
          </w:tcPr>
          <w:p w14:paraId="3471891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58F0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6BC3B3" w14:textId="77777777" w:rsidR="00000000" w:rsidRDefault="00E614A4">
            <w:pPr>
              <w:jc w:val="right"/>
              <w:rPr>
                <w:rFonts w:eastAsia="Times New Roman"/>
              </w:rPr>
            </w:pPr>
            <w:r>
              <w:rPr>
                <w:rFonts w:eastAsia="Times New Roman"/>
                <w:color w:val="000000"/>
                <w:sz w:val="18"/>
                <w:szCs w:val="18"/>
              </w:rPr>
              <w:t>93,119 </w:t>
            </w:r>
          </w:p>
        </w:tc>
        <w:tc>
          <w:tcPr>
            <w:tcW w:w="0" w:type="auto"/>
            <w:shd w:val="clear" w:color="auto" w:fill="CCEEFF"/>
            <w:tcMar>
              <w:top w:w="30" w:type="dxa"/>
              <w:left w:w="0" w:type="dxa"/>
              <w:bottom w:w="30" w:type="dxa"/>
              <w:right w:w="20" w:type="dxa"/>
            </w:tcMar>
            <w:vAlign w:val="bottom"/>
            <w:hideMark/>
          </w:tcPr>
          <w:p w14:paraId="553F758E" w14:textId="77777777" w:rsidR="00000000" w:rsidRDefault="00E614A4">
            <w:pPr>
              <w:jc w:val="right"/>
              <w:rPr>
                <w:rFonts w:eastAsia="Times New Roman"/>
              </w:rPr>
            </w:pPr>
          </w:p>
        </w:tc>
      </w:tr>
      <w:tr w:rsidR="00000000" w14:paraId="2A0A2DF9" w14:textId="77777777">
        <w:trPr>
          <w:divId w:val="113867484"/>
          <w:jc w:val="center"/>
        </w:trPr>
        <w:tc>
          <w:tcPr>
            <w:tcW w:w="0" w:type="auto"/>
            <w:gridSpan w:val="3"/>
            <w:shd w:val="clear" w:color="auto" w:fill="FFFFFF"/>
            <w:tcMar>
              <w:top w:w="30" w:type="dxa"/>
              <w:left w:w="20" w:type="dxa"/>
              <w:bottom w:w="30" w:type="dxa"/>
              <w:right w:w="20" w:type="dxa"/>
            </w:tcMar>
            <w:hideMark/>
          </w:tcPr>
          <w:p w14:paraId="1E99735C" w14:textId="77777777" w:rsidR="00000000" w:rsidRDefault="00E614A4">
            <w:pPr>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7FEB64B6"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83A796" w14:textId="77777777" w:rsidR="00000000" w:rsidRDefault="00E614A4">
            <w:pPr>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bottom"/>
            <w:hideMark/>
          </w:tcPr>
          <w:p w14:paraId="49C0D69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477E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A8C318" w14:textId="77777777" w:rsidR="00000000" w:rsidRDefault="00E614A4">
            <w:pPr>
              <w:jc w:val="right"/>
              <w:rPr>
                <w:rFonts w:eastAsia="Times New Roman"/>
              </w:rPr>
            </w:pPr>
            <w:r>
              <w:rPr>
                <w:rFonts w:eastAsia="Times New Roman"/>
                <w:color w:val="000000"/>
                <w:sz w:val="18"/>
                <w:szCs w:val="18"/>
              </w:rPr>
              <w:t>(302)</w:t>
            </w:r>
          </w:p>
        </w:tc>
        <w:tc>
          <w:tcPr>
            <w:tcW w:w="0" w:type="auto"/>
            <w:shd w:val="clear" w:color="auto" w:fill="FFFFFF"/>
            <w:tcMar>
              <w:top w:w="30" w:type="dxa"/>
              <w:left w:w="0" w:type="dxa"/>
              <w:bottom w:w="30" w:type="dxa"/>
              <w:right w:w="20" w:type="dxa"/>
            </w:tcMar>
            <w:vAlign w:val="bottom"/>
            <w:hideMark/>
          </w:tcPr>
          <w:p w14:paraId="7B5131F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64D5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0295AB" w14:textId="77777777" w:rsidR="00000000" w:rsidRDefault="00E614A4">
            <w:pPr>
              <w:jc w:val="right"/>
              <w:rPr>
                <w:rFonts w:eastAsia="Times New Roman"/>
              </w:rPr>
            </w:pPr>
            <w:r>
              <w:rPr>
                <w:rFonts w:eastAsia="Times New Roman"/>
                <w:color w:val="000000"/>
                <w:sz w:val="18"/>
                <w:szCs w:val="18"/>
              </w:rPr>
              <w:t>(1,657)</w:t>
            </w:r>
          </w:p>
        </w:tc>
        <w:tc>
          <w:tcPr>
            <w:tcW w:w="0" w:type="auto"/>
            <w:shd w:val="clear" w:color="auto" w:fill="FFFFFF"/>
            <w:tcMar>
              <w:top w:w="30" w:type="dxa"/>
              <w:left w:w="0" w:type="dxa"/>
              <w:bottom w:w="30" w:type="dxa"/>
              <w:right w:w="20" w:type="dxa"/>
            </w:tcMar>
            <w:vAlign w:val="bottom"/>
            <w:hideMark/>
          </w:tcPr>
          <w:p w14:paraId="06349379" w14:textId="77777777" w:rsidR="00000000" w:rsidRDefault="00E614A4">
            <w:pPr>
              <w:jc w:val="right"/>
              <w:rPr>
                <w:rFonts w:eastAsia="Times New Roman"/>
              </w:rPr>
            </w:pPr>
          </w:p>
        </w:tc>
      </w:tr>
      <w:tr w:rsidR="00000000" w14:paraId="6DCE4E29" w14:textId="77777777">
        <w:trPr>
          <w:divId w:val="113867484"/>
          <w:jc w:val="center"/>
        </w:trPr>
        <w:tc>
          <w:tcPr>
            <w:tcW w:w="0" w:type="auto"/>
            <w:gridSpan w:val="3"/>
            <w:shd w:val="clear" w:color="auto" w:fill="CCEEFF"/>
            <w:tcMar>
              <w:top w:w="30" w:type="dxa"/>
              <w:left w:w="20" w:type="dxa"/>
              <w:bottom w:w="30" w:type="dxa"/>
              <w:right w:w="20" w:type="dxa"/>
            </w:tcMar>
            <w:hideMark/>
          </w:tcPr>
          <w:p w14:paraId="639278F4" w14:textId="77777777" w:rsidR="00000000" w:rsidRDefault="00E614A4">
            <w:pPr>
              <w:rPr>
                <w:rFonts w:eastAsia="Times New Roman"/>
              </w:rPr>
            </w:pPr>
            <w:r>
              <w:rPr>
                <w:rFonts w:eastAsia="Times New Roman"/>
                <w:color w:val="000000"/>
                <w:sz w:val="18"/>
                <w:szCs w:val="18"/>
              </w:rPr>
              <w:t>Net (decrease) increase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05371E2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8BAAA3" w14:textId="77777777" w:rsidR="00000000" w:rsidRDefault="00E614A4">
            <w:pPr>
              <w:jc w:val="right"/>
              <w:rPr>
                <w:rFonts w:eastAsia="Times New Roman"/>
              </w:rPr>
            </w:pPr>
            <w:r>
              <w:rPr>
                <w:rFonts w:eastAsia="Times New Roman"/>
                <w:color w:val="000000"/>
                <w:sz w:val="18"/>
                <w:szCs w:val="18"/>
              </w:rPr>
              <w:t>(16,032)</w:t>
            </w:r>
          </w:p>
        </w:tc>
        <w:tc>
          <w:tcPr>
            <w:tcW w:w="0" w:type="auto"/>
            <w:shd w:val="clear" w:color="auto" w:fill="CCEEFF"/>
            <w:tcMar>
              <w:top w:w="30" w:type="dxa"/>
              <w:left w:w="0" w:type="dxa"/>
              <w:bottom w:w="30" w:type="dxa"/>
              <w:right w:w="20" w:type="dxa"/>
            </w:tcMar>
            <w:vAlign w:val="bottom"/>
            <w:hideMark/>
          </w:tcPr>
          <w:p w14:paraId="3F1DF01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0FAD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F34147" w14:textId="77777777" w:rsidR="00000000" w:rsidRDefault="00E614A4">
            <w:pPr>
              <w:jc w:val="right"/>
              <w:rPr>
                <w:rFonts w:eastAsia="Times New Roman"/>
              </w:rPr>
            </w:pPr>
            <w:r>
              <w:rPr>
                <w:rFonts w:eastAsia="Times New Roman"/>
                <w:color w:val="000000"/>
                <w:sz w:val="18"/>
                <w:szCs w:val="18"/>
              </w:rPr>
              <w:t>16,575 </w:t>
            </w:r>
          </w:p>
        </w:tc>
        <w:tc>
          <w:tcPr>
            <w:tcW w:w="0" w:type="auto"/>
            <w:shd w:val="clear" w:color="auto" w:fill="CCEEFF"/>
            <w:tcMar>
              <w:top w:w="30" w:type="dxa"/>
              <w:left w:w="0" w:type="dxa"/>
              <w:bottom w:w="30" w:type="dxa"/>
              <w:right w:w="20" w:type="dxa"/>
            </w:tcMar>
            <w:vAlign w:val="bottom"/>
            <w:hideMark/>
          </w:tcPr>
          <w:p w14:paraId="5D1C055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62F4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4F971E" w14:textId="77777777" w:rsidR="00000000" w:rsidRDefault="00E614A4">
            <w:pPr>
              <w:jc w:val="right"/>
              <w:rPr>
                <w:rFonts w:eastAsia="Times New Roman"/>
              </w:rPr>
            </w:pPr>
            <w:r>
              <w:rPr>
                <w:rFonts w:eastAsia="Times New Roman"/>
                <w:color w:val="000000"/>
                <w:sz w:val="18"/>
                <w:szCs w:val="18"/>
              </w:rPr>
              <w:t>5,073 </w:t>
            </w:r>
          </w:p>
        </w:tc>
        <w:tc>
          <w:tcPr>
            <w:tcW w:w="0" w:type="auto"/>
            <w:shd w:val="clear" w:color="auto" w:fill="CCEEFF"/>
            <w:tcMar>
              <w:top w:w="30" w:type="dxa"/>
              <w:left w:w="0" w:type="dxa"/>
              <w:bottom w:w="30" w:type="dxa"/>
              <w:right w:w="20" w:type="dxa"/>
            </w:tcMar>
            <w:vAlign w:val="bottom"/>
            <w:hideMark/>
          </w:tcPr>
          <w:p w14:paraId="7F65572D" w14:textId="77777777" w:rsidR="00000000" w:rsidRDefault="00E614A4">
            <w:pPr>
              <w:jc w:val="right"/>
              <w:rPr>
                <w:rFonts w:eastAsia="Times New Roman"/>
              </w:rPr>
            </w:pPr>
          </w:p>
        </w:tc>
      </w:tr>
    </w:tbl>
    <w:p w14:paraId="1E995BA1" w14:textId="77777777" w:rsidR="00000000" w:rsidRDefault="00E614A4">
      <w:pPr>
        <w:jc w:val="both"/>
        <w:divId w:val="1781214965"/>
        <w:rPr>
          <w:rFonts w:eastAsia="Times New Roman"/>
        </w:rPr>
      </w:pPr>
      <w:r>
        <w:rPr>
          <w:rFonts w:eastAsia="Times New Roman"/>
          <w:color w:val="000000"/>
          <w:sz w:val="20"/>
          <w:szCs w:val="20"/>
          <w:u w:val="single"/>
        </w:rPr>
        <w:t>Overview</w:t>
      </w:r>
    </w:p>
    <w:p w14:paraId="7C5CF624" w14:textId="77777777" w:rsidR="00000000" w:rsidRDefault="00E614A4">
      <w:pPr>
        <w:jc w:val="both"/>
        <w:divId w:val="2097288252"/>
        <w:rPr>
          <w:rFonts w:eastAsia="Times New Roman"/>
        </w:rPr>
      </w:pPr>
      <w:r>
        <w:rPr>
          <w:rFonts w:eastAsia="Times New Roman"/>
          <w:color w:val="000000"/>
          <w:sz w:val="20"/>
          <w:szCs w:val="20"/>
        </w:rPr>
        <w:t>Our principal uses of cash consist of cash paid for data, payroll and other operating expenses, payments related to investments in equipment, primarily to support our cons</w:t>
      </w:r>
      <w:r>
        <w:rPr>
          <w:rFonts w:eastAsia="Times New Roman"/>
          <w:color w:val="000000"/>
          <w:sz w:val="20"/>
          <w:szCs w:val="20"/>
        </w:rPr>
        <w:t>umer panels and technical infrastructure required to deliver our products and services and support our customers, and service of our debt and lease facilities. In prior years, we incurred significant professional fees relating to our Audit Committee's inve</w:t>
      </w:r>
      <w:r>
        <w:rPr>
          <w:rFonts w:eastAsia="Times New Roman"/>
          <w:color w:val="000000"/>
          <w:sz w:val="20"/>
          <w:szCs w:val="20"/>
        </w:rPr>
        <w:t>stigation, subsequent audit and compliance efforts, as well as management changes and various legal proceedings.</w:t>
      </w:r>
    </w:p>
    <w:p w14:paraId="155BCE4C" w14:textId="77777777" w:rsidR="00000000" w:rsidRDefault="00E614A4">
      <w:pPr>
        <w:jc w:val="both"/>
        <w:divId w:val="1118572151"/>
        <w:rPr>
          <w:rFonts w:eastAsia="Times New Roman"/>
        </w:rPr>
      </w:pPr>
      <w:r>
        <w:rPr>
          <w:rFonts w:eastAsia="Times New Roman"/>
          <w:color w:val="000000"/>
          <w:sz w:val="20"/>
          <w:szCs w:val="20"/>
        </w:rPr>
        <w:t>As of December 31, 2020, our principal sources of liquidity consisted of cash, cash equivalents and restricted cash totaling $50.7 million, inc</w:t>
      </w:r>
      <w:r>
        <w:rPr>
          <w:rFonts w:eastAsia="Times New Roman"/>
          <w:color w:val="000000"/>
          <w:sz w:val="20"/>
          <w:szCs w:val="20"/>
        </w:rPr>
        <w:t>luding $19.6 million in restricted cash.</w:t>
      </w:r>
    </w:p>
    <w:p w14:paraId="7E05FFF7" w14:textId="77777777" w:rsidR="00000000" w:rsidRDefault="00E614A4">
      <w:pPr>
        <w:jc w:val="both"/>
        <w:divId w:val="1909195359"/>
        <w:rPr>
          <w:rFonts w:eastAsia="Times New Roman"/>
        </w:rPr>
      </w:pPr>
      <w:r>
        <w:rPr>
          <w:rFonts w:eastAsia="Times New Roman"/>
          <w:color w:val="000000"/>
          <w:sz w:val="20"/>
          <w:szCs w:val="20"/>
        </w:rPr>
        <w:t>Our principal sources of liquidity have historically been our cash and cash equivalents, as well as cash flow generated from operations. Our operating losses, including the significant investigation and audit costs in prior years, resulted in a need to sec</w:t>
      </w:r>
      <w:r>
        <w:rPr>
          <w:rFonts w:eastAsia="Times New Roman"/>
          <w:color w:val="000000"/>
          <w:sz w:val="20"/>
          <w:szCs w:val="20"/>
        </w:rPr>
        <w:t>ure long-term financing. In 2018, we entered into agreements with funds affiliated with or managed by Starboard Value LP (collectively, "Starboard"), pursuant to which we issued and sold to Starboard a total of $204.0 million in Notes as well as warrants t</w:t>
      </w:r>
      <w:r>
        <w:rPr>
          <w:rFonts w:eastAsia="Times New Roman"/>
          <w:color w:val="000000"/>
          <w:sz w:val="20"/>
          <w:szCs w:val="20"/>
        </w:rPr>
        <w:t>o purchase shares of our Common Stock in exchange for $100.0 million in cash and 4,000,000 shares of Common Stock. See "Senior Secured Convertible Notes" below.</w:t>
      </w:r>
    </w:p>
    <w:p w14:paraId="47399613" w14:textId="77777777" w:rsidR="00000000" w:rsidRDefault="00E614A4">
      <w:pPr>
        <w:jc w:val="both"/>
        <w:divId w:val="2109692005"/>
        <w:rPr>
          <w:rFonts w:eastAsia="Times New Roman"/>
        </w:rPr>
      </w:pPr>
      <w:r>
        <w:rPr>
          <w:rFonts w:eastAsia="Times New Roman"/>
          <w:color w:val="000000"/>
          <w:sz w:val="20"/>
          <w:szCs w:val="20"/>
        </w:rPr>
        <w:t>In 2019, we issued 2,728,513 shares of our Common Stock and four series of warrants in a privat</w:t>
      </w:r>
      <w:r>
        <w:rPr>
          <w:rFonts w:eastAsia="Times New Roman"/>
          <w:color w:val="000000"/>
          <w:sz w:val="20"/>
          <w:szCs w:val="20"/>
        </w:rPr>
        <w:t>e placement to CVI Investments, Inc. ("CVI") in exchange for gross cash proceeds of $20.0 million. See "Sale of Common Stock and Warrants" below.</w:t>
      </w:r>
    </w:p>
    <w:p w14:paraId="073F2DBF" w14:textId="77777777" w:rsidR="00000000" w:rsidRDefault="00E614A4">
      <w:pPr>
        <w:jc w:val="both"/>
        <w:divId w:val="711465457"/>
        <w:rPr>
          <w:rFonts w:eastAsia="Times New Roman"/>
        </w:rPr>
      </w:pPr>
      <w:r>
        <w:rPr>
          <w:rFonts w:eastAsia="Times New Roman"/>
          <w:color w:val="000000"/>
          <w:sz w:val="20"/>
          <w:szCs w:val="20"/>
        </w:rPr>
        <w:t>During 2019, we sold our investment in equity securities for total cash proceeds of $3.8 million, of which $3.</w:t>
      </w:r>
      <w:r>
        <w:rPr>
          <w:rFonts w:eastAsia="Times New Roman"/>
          <w:color w:val="000000"/>
          <w:sz w:val="20"/>
          <w:szCs w:val="20"/>
        </w:rPr>
        <w:t xml:space="preserve">1 million was received in July 2019. See </w:t>
      </w:r>
      <w:hyperlink w:anchor="ided6989bcc374020961c421c465250ee_106"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 xml:space="preserve">Summary of Significant Accounting Policies </w:t>
      </w:r>
      <w:r>
        <w:rPr>
          <w:rFonts w:eastAsia="Times New Roman"/>
          <w:color w:val="000000"/>
          <w:sz w:val="20"/>
          <w:szCs w:val="20"/>
        </w:rPr>
        <w:t>for additional information.</w:t>
      </w:r>
    </w:p>
    <w:p w14:paraId="1DCABFDF" w14:textId="77777777" w:rsidR="00000000" w:rsidRDefault="00E614A4">
      <w:pPr>
        <w:jc w:val="both"/>
        <w:divId w:val="942616440"/>
        <w:rPr>
          <w:rFonts w:eastAsia="Times New Roman"/>
        </w:rPr>
      </w:pPr>
      <w:r>
        <w:rPr>
          <w:rFonts w:eastAsia="Times New Roman"/>
          <w:color w:val="000000"/>
          <w:sz w:val="20"/>
          <w:szCs w:val="20"/>
        </w:rPr>
        <w:t>In 2019, we issued the Secured Term Note for gross proceeds of $13.0 mil</w:t>
      </w:r>
      <w:r>
        <w:rPr>
          <w:rFonts w:eastAsia="Times New Roman"/>
          <w:color w:val="000000"/>
          <w:sz w:val="20"/>
          <w:szCs w:val="20"/>
        </w:rPr>
        <w:t>lion. See "Secured Term Note" below.</w:t>
      </w:r>
    </w:p>
    <w:p w14:paraId="062F8C6E" w14:textId="77777777" w:rsidR="00000000" w:rsidRDefault="00E614A4">
      <w:pPr>
        <w:jc w:val="center"/>
        <w:divId w:val="393089051"/>
        <w:rPr>
          <w:rFonts w:eastAsia="Times New Roman"/>
        </w:rPr>
      </w:pPr>
      <w:r>
        <w:rPr>
          <w:rFonts w:eastAsia="Times New Roman"/>
          <w:color w:val="000000"/>
          <w:sz w:val="20"/>
          <w:szCs w:val="20"/>
        </w:rPr>
        <w:t>45</w:t>
      </w:r>
    </w:p>
    <w:p w14:paraId="692B1733" w14:textId="77777777" w:rsidR="00000000" w:rsidRDefault="00E614A4">
      <w:pPr>
        <w:rPr>
          <w:rFonts w:eastAsia="Times New Roman"/>
        </w:rPr>
      </w:pPr>
      <w:r>
        <w:rPr>
          <w:rFonts w:eastAsia="Times New Roman"/>
        </w:rPr>
        <w:pict w14:anchorId="099DD1B4">
          <v:rect id="_x0000_i1073" style="width:0;height:1.5pt" o:hralign="center" o:hrstd="t" o:hr="t" fillcolor="#a0a0a0" stroked="f"/>
        </w:pict>
      </w:r>
    </w:p>
    <w:p w14:paraId="3525E50E" w14:textId="77777777" w:rsidR="00000000" w:rsidRDefault="00E614A4">
      <w:pPr>
        <w:divId w:val="106699918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9D128A6" w14:textId="77777777" w:rsidR="00000000" w:rsidRDefault="00E614A4">
      <w:pPr>
        <w:divId w:val="246311004"/>
        <w:rPr>
          <w:rFonts w:eastAsia="Times New Roman"/>
        </w:rPr>
      </w:pPr>
    </w:p>
    <w:p w14:paraId="3811249F" w14:textId="77777777" w:rsidR="00000000" w:rsidRDefault="00E614A4">
      <w:pPr>
        <w:jc w:val="both"/>
        <w:divId w:val="75909823"/>
        <w:rPr>
          <w:rFonts w:eastAsia="Times New Roman"/>
        </w:rPr>
      </w:pPr>
      <w:r>
        <w:rPr>
          <w:rFonts w:eastAsia="Times New Roman"/>
          <w:color w:val="000000"/>
          <w:sz w:val="20"/>
          <w:szCs w:val="20"/>
        </w:rPr>
        <w:t>On each of January </w:t>
      </w:r>
      <w:r>
        <w:rPr>
          <w:rFonts w:eastAsia="Times New Roman"/>
          <w:color w:val="000000"/>
          <w:sz w:val="20"/>
          <w:szCs w:val="20"/>
        </w:rPr>
        <w:t xml:space="preserve">2, 2020, April 1, 2020 and July 1, 2020, we paid quarterly accrued interest of $6.1 million on the Notes in cash. On October 1, 2020, we paid quarterly accrued interest on the Notes through the issuance of 1,474,201 PIK Interest Shares and $3.1 million in </w:t>
      </w:r>
      <w:r>
        <w:rPr>
          <w:rFonts w:eastAsia="Times New Roman"/>
          <w:color w:val="000000"/>
          <w:sz w:val="20"/>
          <w:szCs w:val="20"/>
        </w:rPr>
        <w:t>cash. On January 25, 2021, we paid quarterly accrued interest through the issuance of 2,802,454 PIK Interest Shares. The accrued interest we paid on January 25, 2021 was classified within other non-current liabilities in the Consolidated Financial Statemen</w:t>
      </w:r>
      <w:r>
        <w:rPr>
          <w:rFonts w:eastAsia="Times New Roman"/>
          <w:color w:val="000000"/>
          <w:sz w:val="20"/>
          <w:szCs w:val="20"/>
        </w:rPr>
        <w:t>ts as of December 31, 2020.</w:t>
      </w:r>
    </w:p>
    <w:p w14:paraId="04B6CA12" w14:textId="77777777" w:rsidR="00000000" w:rsidRDefault="00E614A4">
      <w:pPr>
        <w:jc w:val="both"/>
        <w:divId w:val="550264187"/>
        <w:rPr>
          <w:rFonts w:eastAsia="Times New Roman"/>
        </w:rPr>
      </w:pPr>
      <w:r>
        <w:rPr>
          <w:rFonts w:eastAsia="Times New Roman"/>
          <w:color w:val="000000"/>
          <w:sz w:val="20"/>
          <w:szCs w:val="20"/>
        </w:rPr>
        <w:t xml:space="preserve">The COVID-19 pandemic and related government mandates and restrictions have had a significant impact on the media, advertising and entertainment industries in which we operate. To date, the COVID-19 pandemic has had some impact </w:t>
      </w:r>
      <w:r>
        <w:rPr>
          <w:rFonts w:eastAsia="Times New Roman"/>
          <w:color w:val="000000"/>
          <w:sz w:val="20"/>
          <w:szCs w:val="20"/>
        </w:rPr>
        <w:t>on our business, including with respect to the execution of new and renewal contracts, the impact of closed movie theaters on our customers, customer payment delays and requests to modify contractual payment terms. These conditions have negatively impacted</w:t>
      </w:r>
      <w:r>
        <w:rPr>
          <w:rFonts w:eastAsia="Times New Roman"/>
          <w:color w:val="000000"/>
          <w:sz w:val="20"/>
          <w:szCs w:val="20"/>
        </w:rPr>
        <w:t xml:space="preserve"> our liquidity and cash flows and are expected to continue to have an impact in future periods. In the second quarter of 2020, we continued to see delays in cash collections, leading our management team to take actions to mitigate the near-term impact on o</w:t>
      </w:r>
      <w:r>
        <w:rPr>
          <w:rFonts w:eastAsia="Times New Roman"/>
          <w:color w:val="000000"/>
          <w:sz w:val="20"/>
          <w:szCs w:val="20"/>
        </w:rPr>
        <w:t>ur liquidity. These actions, some of which continued into the third and fourth quarters of 2020, included freezing hiring, exiting non-critical consultants and contractors, terminating or negotiating reductions in vendor agreements and leases, reducing com</w:t>
      </w:r>
      <w:r>
        <w:rPr>
          <w:rFonts w:eastAsia="Times New Roman"/>
          <w:color w:val="000000"/>
          <w:sz w:val="20"/>
          <w:szCs w:val="20"/>
        </w:rPr>
        <w:t>pensation for our senior leadership team and board of directors, and reducing certain travel, marketing, recruiting and other corporate activities not deemed critical to the business in the current environment. We continue to monitor our liquidity and cash</w:t>
      </w:r>
      <w:r>
        <w:rPr>
          <w:rFonts w:eastAsia="Times New Roman"/>
          <w:color w:val="000000"/>
          <w:sz w:val="20"/>
          <w:szCs w:val="20"/>
        </w:rPr>
        <w:t xml:space="preserve"> flows and will re-evaluate these actions as appropriate.</w:t>
      </w:r>
    </w:p>
    <w:p w14:paraId="7372D400" w14:textId="77777777" w:rsidR="00000000" w:rsidRDefault="00E614A4">
      <w:pPr>
        <w:jc w:val="both"/>
        <w:divId w:val="1737318292"/>
        <w:rPr>
          <w:rFonts w:eastAsia="Times New Roman"/>
        </w:rPr>
      </w:pPr>
      <w:r>
        <w:rPr>
          <w:rFonts w:eastAsia="Times New Roman"/>
          <w:color w:val="000000"/>
          <w:sz w:val="20"/>
          <w:szCs w:val="20"/>
        </w:rPr>
        <w:t>On March 27, 2020, Congress enacted the CARES Act. The CARES Act, among other things, includes tax provisions for the deferral of certain employer payroll tax liabilities, refundable employee retent</w:t>
      </w:r>
      <w:r>
        <w:rPr>
          <w:rFonts w:eastAsia="Times New Roman"/>
          <w:color w:val="000000"/>
          <w:sz w:val="20"/>
          <w:szCs w:val="20"/>
        </w:rPr>
        <w:t>ion credits, rollbacks of TCJA limitations on net operating losses, the acceleration of alternative minimum tax credit refunds, modifications to the net interest deduction limitations and technical corrections to tax depreciation methods for qualified impr</w:t>
      </w:r>
      <w:r>
        <w:rPr>
          <w:rFonts w:eastAsia="Times New Roman"/>
          <w:color w:val="000000"/>
          <w:sz w:val="20"/>
          <w:szCs w:val="20"/>
        </w:rPr>
        <w:t>ovement property. We began deferring certain payroll taxes in April 2020, as permitted by the CARES Act. In addition, during the second quarter of 2020, we claimed the refundable employee retention credit created by the CARES Act.</w:t>
      </w:r>
    </w:p>
    <w:p w14:paraId="173BFE70" w14:textId="77777777" w:rsidR="00000000" w:rsidRDefault="00E614A4">
      <w:pPr>
        <w:jc w:val="both"/>
        <w:divId w:val="1191916932"/>
        <w:rPr>
          <w:rFonts w:eastAsia="Times New Roman"/>
        </w:rPr>
      </w:pPr>
      <w:r>
        <w:rPr>
          <w:rFonts w:eastAsia="Times New Roman"/>
          <w:color w:val="000000"/>
          <w:sz w:val="20"/>
          <w:szCs w:val="20"/>
        </w:rPr>
        <w:t>On December 27, 2020, Con</w:t>
      </w:r>
      <w:r>
        <w:rPr>
          <w:rFonts w:eastAsia="Times New Roman"/>
          <w:color w:val="000000"/>
          <w:sz w:val="20"/>
          <w:szCs w:val="20"/>
        </w:rPr>
        <w:t>gress enacted the Consolidated Appropriations Act, 2021 ("CAA"), which contains a number of additional COVID-19 relief tax provisions and extensions of temporary tax provisions, including an extension and significant expansion of the employee retention cre</w:t>
      </w:r>
      <w:r>
        <w:rPr>
          <w:rFonts w:eastAsia="Times New Roman"/>
          <w:color w:val="000000"/>
          <w:sz w:val="20"/>
          <w:szCs w:val="20"/>
        </w:rPr>
        <w:t>dit created by the CARES Act.</w:t>
      </w:r>
    </w:p>
    <w:p w14:paraId="739CBAAB" w14:textId="77777777" w:rsidR="00000000" w:rsidRDefault="00E614A4">
      <w:pPr>
        <w:jc w:val="both"/>
        <w:divId w:val="789662578"/>
        <w:rPr>
          <w:rFonts w:eastAsia="Times New Roman"/>
        </w:rPr>
      </w:pPr>
      <w:r>
        <w:rPr>
          <w:rFonts w:eastAsia="Times New Roman"/>
          <w:color w:val="000000"/>
          <w:sz w:val="20"/>
          <w:szCs w:val="20"/>
        </w:rPr>
        <w:t>We continue to evaluate the impact of the CARES Act, the CAA and additional legislation and government guidance related to the COVID-19 pandemic on our business operations and financial results.</w:t>
      </w:r>
    </w:p>
    <w:p w14:paraId="5EB223DC" w14:textId="77777777" w:rsidR="00000000" w:rsidRDefault="00E614A4">
      <w:pPr>
        <w:jc w:val="both"/>
        <w:divId w:val="1834225286"/>
        <w:rPr>
          <w:rFonts w:eastAsia="Times New Roman"/>
        </w:rPr>
      </w:pPr>
      <w:r>
        <w:rPr>
          <w:rFonts w:eastAsia="Times New Roman"/>
          <w:color w:val="000000"/>
          <w:sz w:val="20"/>
          <w:szCs w:val="20"/>
        </w:rPr>
        <w:t>Our liquidity could be negative</w:t>
      </w:r>
      <w:r>
        <w:rPr>
          <w:rFonts w:eastAsia="Times New Roman"/>
          <w:color w:val="000000"/>
          <w:sz w:val="20"/>
          <w:szCs w:val="20"/>
        </w:rPr>
        <w:t>ly affected by a decrease in demand for our products and services or additional losses from operations, as well as payment of expenses incurred in prior periods in addition to current-period expenses. It is possible that long-term changes in consumer behav</w:t>
      </w:r>
      <w:r>
        <w:rPr>
          <w:rFonts w:eastAsia="Times New Roman"/>
          <w:color w:val="000000"/>
          <w:sz w:val="20"/>
          <w:szCs w:val="20"/>
        </w:rPr>
        <w:t>ior will impact our customers' operations, and thus their demand for our services and ability to pay, even after the spread of COVID-19 has been contained and businesses are permitted to resume normal operations. While we are taking actions (as described a</w:t>
      </w:r>
      <w:r>
        <w:rPr>
          <w:rFonts w:eastAsia="Times New Roman"/>
          <w:color w:val="000000"/>
          <w:sz w:val="20"/>
          <w:szCs w:val="20"/>
        </w:rPr>
        <w:t>bove) to mitigate the impact of the COVID-19 pandemic, control costs and improve our working capital balance, these steps may not be successful or adequate to offset future declines. If our efforts to control costs are not sufficient, or if customer demand</w:t>
      </w:r>
      <w:r>
        <w:rPr>
          <w:rFonts w:eastAsia="Times New Roman"/>
          <w:color w:val="000000"/>
          <w:sz w:val="20"/>
          <w:szCs w:val="20"/>
        </w:rPr>
        <w:t xml:space="preserve"> or cash collection efforts are further impacted by the COVID-19 pandemic or other factors, we may not be able to meet our financial obligations to our vendors or others.</w:t>
      </w:r>
    </w:p>
    <w:p w14:paraId="7316A4EE" w14:textId="77777777" w:rsidR="00000000" w:rsidRDefault="00E614A4">
      <w:pPr>
        <w:jc w:val="both"/>
        <w:divId w:val="880172505"/>
        <w:rPr>
          <w:rFonts w:eastAsia="Times New Roman"/>
        </w:rPr>
      </w:pPr>
      <w:r>
        <w:rPr>
          <w:rFonts w:eastAsia="Times New Roman"/>
          <w:color w:val="000000"/>
          <w:sz w:val="20"/>
          <w:szCs w:val="20"/>
        </w:rPr>
        <w:t>Beginning in 2019 and continuing through 2020, we conducted a comprehensive review of</w:t>
      </w:r>
      <w:r>
        <w:rPr>
          <w:rFonts w:eastAsia="Times New Roman"/>
          <w:color w:val="000000"/>
          <w:sz w:val="20"/>
          <w:szCs w:val="20"/>
        </w:rPr>
        <w:t xml:space="preserve"> strategic and financing alternatives with a view toward the maturity of the Notes (with a principal balance of $204.0 million) in January 2022. On January 7, 2021, we entered into separate Securities Purchase Agreements with Charter, Qurate, and Pine purs</w:t>
      </w:r>
      <w:r>
        <w:rPr>
          <w:rFonts w:eastAsia="Times New Roman"/>
          <w:color w:val="000000"/>
          <w:sz w:val="20"/>
          <w:szCs w:val="20"/>
        </w:rPr>
        <w:t>uant to which, at the closing of the Transactions contemplated thereby, we will issue and sell (a) to Charter, 27,509,203 shares of Series B Convertible Preferred Stock in exchange for $68.0 million, (b) to Qurate, 27,509,203 shares of Series B Convertible</w:t>
      </w:r>
      <w:r>
        <w:rPr>
          <w:rFonts w:eastAsia="Times New Roman"/>
          <w:color w:val="000000"/>
          <w:sz w:val="20"/>
          <w:szCs w:val="20"/>
        </w:rPr>
        <w:t xml:space="preserve"> Preferred Stock in exchange for $68.0 million and (c) to Pine, 27,509,203 shares of Series B Convertible Preferred Stock in exchange for $68.0 million. The proceeds of the Transactions will be used to repay the Notes. Additionally, in connection with the </w:t>
      </w:r>
      <w:r>
        <w:rPr>
          <w:rFonts w:eastAsia="Times New Roman"/>
          <w:color w:val="000000"/>
          <w:sz w:val="20"/>
          <w:szCs w:val="20"/>
        </w:rPr>
        <w:t>closing, we expect to repay the Secured Term Note and certain transaction-related expenses with cash from our balance sheet. Following the Transactions, the holders of Series B Convertible Preferred Stock will be entitled to annual cash dividends at a rate</w:t>
      </w:r>
      <w:r>
        <w:rPr>
          <w:rFonts w:eastAsia="Times New Roman"/>
          <w:color w:val="000000"/>
          <w:sz w:val="20"/>
          <w:szCs w:val="20"/>
        </w:rPr>
        <w:t xml:space="preserve"> of 7.5% per year, paid annually in arrears, and can request a special cash dividend after January 1, 2022.</w:t>
      </w:r>
    </w:p>
    <w:p w14:paraId="46C241E3" w14:textId="77777777" w:rsidR="00000000" w:rsidRDefault="00E614A4">
      <w:pPr>
        <w:jc w:val="both"/>
        <w:divId w:val="2133940686"/>
        <w:rPr>
          <w:rFonts w:eastAsia="Times New Roman"/>
        </w:rPr>
      </w:pPr>
      <w:r>
        <w:rPr>
          <w:rFonts w:eastAsia="Times New Roman"/>
          <w:color w:val="000000"/>
          <w:sz w:val="20"/>
          <w:szCs w:val="20"/>
        </w:rPr>
        <w:t>The Transactions and related matters were approved by our stockholders on March 9, 2021 and are expected to be completed on or around March 10, 2021</w:t>
      </w:r>
      <w:r>
        <w:rPr>
          <w:rFonts w:eastAsia="Times New Roman"/>
          <w:color w:val="000000"/>
          <w:sz w:val="20"/>
          <w:szCs w:val="20"/>
        </w:rPr>
        <w:t xml:space="preserve">. Repayment of the Notes and the Secured Term Note will result in termination of the affirmative and negative covenants set forth in these instruments, including the Notes covenant requiring maintenance of certain minimum cash balances, and is expected to </w:t>
      </w:r>
      <w:r>
        <w:rPr>
          <w:rFonts w:eastAsia="Times New Roman"/>
          <w:color w:val="000000"/>
          <w:sz w:val="20"/>
          <w:szCs w:val="20"/>
        </w:rPr>
        <w:t>improve our financial position and liquidity.</w:t>
      </w:r>
    </w:p>
    <w:p w14:paraId="25666C05" w14:textId="77777777" w:rsidR="00000000" w:rsidRDefault="00E614A4">
      <w:pPr>
        <w:jc w:val="both"/>
        <w:divId w:val="1739397030"/>
        <w:rPr>
          <w:rFonts w:eastAsia="Times New Roman"/>
        </w:rPr>
      </w:pPr>
      <w:r>
        <w:rPr>
          <w:rFonts w:eastAsia="Times New Roman"/>
          <w:color w:val="000000"/>
          <w:sz w:val="20"/>
          <w:szCs w:val="20"/>
        </w:rPr>
        <w:t>We continue to be focused on maintaining financial flexibility. We believe the approved Transactions will provide us with adequate sources of funding to satisfy our estimated liquidity needs for at least one ye</w:t>
      </w:r>
      <w:r>
        <w:rPr>
          <w:rFonts w:eastAsia="Times New Roman"/>
          <w:color w:val="000000"/>
          <w:sz w:val="20"/>
          <w:szCs w:val="20"/>
        </w:rPr>
        <w:t>ar after the date that these financial statements are issued. However, we cannot predict with certainty the outcome of our actions to generate liquidity or whether such actions would generate the expected liquidity as currently planned.</w:t>
      </w:r>
    </w:p>
    <w:p w14:paraId="654ACB63" w14:textId="77777777" w:rsidR="00000000" w:rsidRDefault="00E614A4">
      <w:pPr>
        <w:jc w:val="center"/>
        <w:divId w:val="1315647696"/>
        <w:rPr>
          <w:rFonts w:eastAsia="Times New Roman"/>
        </w:rPr>
      </w:pPr>
      <w:r>
        <w:rPr>
          <w:rFonts w:eastAsia="Times New Roman"/>
          <w:color w:val="000000"/>
          <w:sz w:val="20"/>
          <w:szCs w:val="20"/>
        </w:rPr>
        <w:t>46</w:t>
      </w:r>
    </w:p>
    <w:p w14:paraId="0169916D" w14:textId="77777777" w:rsidR="00000000" w:rsidRDefault="00E614A4">
      <w:pPr>
        <w:rPr>
          <w:rFonts w:eastAsia="Times New Roman"/>
        </w:rPr>
      </w:pPr>
      <w:r>
        <w:rPr>
          <w:rFonts w:eastAsia="Times New Roman"/>
        </w:rPr>
        <w:pict w14:anchorId="0682A8A2">
          <v:rect id="_x0000_i1074" style="width:0;height:1.5pt" o:hralign="center" o:hrstd="t" o:hr="t" fillcolor="#a0a0a0" stroked="f"/>
        </w:pict>
      </w:r>
    </w:p>
    <w:p w14:paraId="49FCAAC2" w14:textId="77777777" w:rsidR="00000000" w:rsidRDefault="00E614A4">
      <w:pPr>
        <w:divId w:val="2121803277"/>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D2FBC1A" w14:textId="77777777" w:rsidR="00000000" w:rsidRDefault="00E614A4">
      <w:pPr>
        <w:divId w:val="1389301790"/>
        <w:rPr>
          <w:rFonts w:eastAsia="Times New Roman"/>
        </w:rPr>
      </w:pPr>
    </w:p>
    <w:p w14:paraId="2B501EC4" w14:textId="77777777" w:rsidR="00000000" w:rsidRDefault="00E614A4">
      <w:pPr>
        <w:jc w:val="both"/>
        <w:divId w:val="1185559752"/>
        <w:rPr>
          <w:rFonts w:eastAsia="Times New Roman"/>
        </w:rPr>
      </w:pPr>
      <w:r>
        <w:rPr>
          <w:rFonts w:eastAsia="Times New Roman"/>
          <w:color w:val="000000"/>
          <w:sz w:val="20"/>
          <w:szCs w:val="20"/>
          <w:u w:val="single"/>
        </w:rPr>
        <w:t>Restricted Cash</w:t>
      </w:r>
    </w:p>
    <w:p w14:paraId="3BB91FA4" w14:textId="77777777" w:rsidR="00000000" w:rsidRDefault="00E614A4">
      <w:pPr>
        <w:jc w:val="both"/>
        <w:divId w:val="105465097"/>
        <w:rPr>
          <w:rFonts w:eastAsia="Times New Roman"/>
        </w:rPr>
      </w:pPr>
      <w:r>
        <w:rPr>
          <w:rFonts w:eastAsia="Times New Roman"/>
          <w:color w:val="000000"/>
          <w:sz w:val="20"/>
          <w:szCs w:val="20"/>
        </w:rPr>
        <w:t>Restricted cash represents our requirement to collateralize the Secured Term Note, o</w:t>
      </w:r>
      <w:r>
        <w:rPr>
          <w:rFonts w:eastAsia="Times New Roman"/>
          <w:color w:val="000000"/>
          <w:sz w:val="20"/>
          <w:szCs w:val="20"/>
        </w:rPr>
        <w:t xml:space="preserve">utstanding letters of credit, and lines of credit related to certain of our corporate credit card programs. As of December 31, 2020 and 2019, we had $19.6 million and $20.2 million of restricted cash, respectively. </w:t>
      </w:r>
    </w:p>
    <w:p w14:paraId="47FFB9A2" w14:textId="77777777" w:rsidR="00000000" w:rsidRDefault="00E614A4">
      <w:pPr>
        <w:jc w:val="both"/>
        <w:divId w:val="287131731"/>
        <w:rPr>
          <w:rFonts w:eastAsia="Times New Roman"/>
        </w:rPr>
      </w:pPr>
      <w:r>
        <w:rPr>
          <w:rFonts w:eastAsia="Times New Roman"/>
          <w:color w:val="000000"/>
          <w:sz w:val="20"/>
          <w:szCs w:val="20"/>
          <w:u w:val="single"/>
        </w:rPr>
        <w:t>Credit Facility</w:t>
      </w:r>
    </w:p>
    <w:p w14:paraId="38815AA3" w14:textId="77777777" w:rsidR="00000000" w:rsidRDefault="00E614A4">
      <w:pPr>
        <w:jc w:val="both"/>
        <w:divId w:val="1129395611"/>
        <w:rPr>
          <w:rFonts w:eastAsia="Times New Roman"/>
        </w:rPr>
      </w:pPr>
      <w:r>
        <w:rPr>
          <w:rFonts w:eastAsia="Times New Roman"/>
          <w:color w:val="000000"/>
          <w:sz w:val="20"/>
          <w:szCs w:val="20"/>
        </w:rPr>
        <w:t>In 2018, we entered into</w:t>
      </w:r>
      <w:r>
        <w:rPr>
          <w:rFonts w:eastAsia="Times New Roman"/>
          <w:color w:val="000000"/>
          <w:sz w:val="20"/>
          <w:szCs w:val="20"/>
        </w:rPr>
        <w:t xml:space="preserve"> a Security Agreement with Wells Fargo Bank, N.A. to issue standby letters of credit on our behalf. As of December 31, 2020, $3.3 million in letters of credit were outstanding and cash collateralized under the Security Agreement with Wells Fargo Bank, N.A.</w:t>
      </w:r>
    </w:p>
    <w:p w14:paraId="557EF070" w14:textId="77777777" w:rsidR="00000000" w:rsidRDefault="00E614A4">
      <w:pPr>
        <w:jc w:val="both"/>
        <w:divId w:val="93090487"/>
        <w:rPr>
          <w:rFonts w:eastAsia="Times New Roman"/>
        </w:rPr>
      </w:pPr>
      <w:r>
        <w:rPr>
          <w:rFonts w:eastAsia="Times New Roman"/>
          <w:color w:val="000000"/>
          <w:sz w:val="20"/>
          <w:szCs w:val="20"/>
          <w:u w:val="single"/>
        </w:rPr>
        <w:t>Sale-Leaseback Financing Transaction</w:t>
      </w:r>
    </w:p>
    <w:p w14:paraId="01DACEA2" w14:textId="77777777" w:rsidR="00000000" w:rsidRDefault="00E614A4">
      <w:pPr>
        <w:jc w:val="both"/>
        <w:divId w:val="169490324"/>
        <w:rPr>
          <w:rFonts w:eastAsia="Times New Roman"/>
        </w:rPr>
      </w:pPr>
      <w:r>
        <w:rPr>
          <w:rFonts w:eastAsia="Times New Roman"/>
          <w:color w:val="000000"/>
          <w:sz w:val="20"/>
          <w:szCs w:val="20"/>
        </w:rPr>
        <w:t>In 2019, we entered into an arrangement with a vendor to sell and lease back certain previously acquired computer and other equipment. The arrangement, which resulted in cash proceeds of $4.3 million, requires lease pa</w:t>
      </w:r>
      <w:r>
        <w:rPr>
          <w:rFonts w:eastAsia="Times New Roman"/>
          <w:color w:val="000000"/>
          <w:sz w:val="20"/>
          <w:szCs w:val="20"/>
        </w:rPr>
        <w:t>yments over a 24-month term for total consideration of $4.8 million, with control of the equipment transferring to the vendor at the end of the lease term.</w:t>
      </w:r>
    </w:p>
    <w:p w14:paraId="4235DD71" w14:textId="77777777" w:rsidR="00000000" w:rsidRDefault="00E614A4">
      <w:pPr>
        <w:jc w:val="both"/>
        <w:divId w:val="995768447"/>
        <w:rPr>
          <w:rFonts w:eastAsia="Times New Roman"/>
        </w:rPr>
      </w:pPr>
      <w:r>
        <w:rPr>
          <w:rFonts w:eastAsia="Times New Roman"/>
          <w:color w:val="000000"/>
          <w:sz w:val="20"/>
          <w:szCs w:val="20"/>
          <w:u w:val="single"/>
        </w:rPr>
        <w:t>Sale of Common Stock and Warrants</w:t>
      </w:r>
    </w:p>
    <w:p w14:paraId="277D018F" w14:textId="77777777" w:rsidR="00000000" w:rsidRDefault="00E614A4">
      <w:pPr>
        <w:jc w:val="both"/>
        <w:divId w:val="1893880175"/>
        <w:rPr>
          <w:rFonts w:eastAsia="Times New Roman"/>
        </w:rPr>
      </w:pPr>
      <w:r>
        <w:rPr>
          <w:rFonts w:eastAsia="Times New Roman"/>
          <w:color w:val="000000"/>
          <w:sz w:val="20"/>
          <w:szCs w:val="20"/>
        </w:rPr>
        <w:t>On June </w:t>
      </w:r>
      <w:r>
        <w:rPr>
          <w:rFonts w:eastAsia="Times New Roman"/>
          <w:color w:val="000000"/>
          <w:sz w:val="20"/>
          <w:szCs w:val="20"/>
        </w:rPr>
        <w:t xml:space="preserve">23, 2019, we entered into a Securities Purchase Agreement with CVI pursuant to which we sold to CVI for aggregate gross proceeds of $20.0 million (i) 2,728,513 shares of Common Stock and (ii) Series A Warrants, Series B-1 Warrants, Series B-2 Warrants and </w:t>
      </w:r>
      <w:r>
        <w:rPr>
          <w:rFonts w:eastAsia="Times New Roman"/>
          <w:color w:val="000000"/>
          <w:sz w:val="20"/>
          <w:szCs w:val="20"/>
        </w:rPr>
        <w:t>Series C Warrants to initially purchase up to 11,654,033 shares of Common Stock (the "Private Placement"). On October 14, 2019, we issued 2,728,513 shares of Common Stock to CVI upon exercise by CVI of the Series C Warrants. As a result of this exercise, t</w:t>
      </w:r>
      <w:r>
        <w:rPr>
          <w:rFonts w:eastAsia="Times New Roman"/>
          <w:color w:val="000000"/>
          <w:sz w:val="20"/>
          <w:szCs w:val="20"/>
        </w:rPr>
        <w:t>he number of shares issuable under our Series A Warrants was increased by 2,728,513. On January 29, 2020, the Series B-1 Warrants expired unexercised. On August 3, 2020, the Series B-2 Warrants expired unexercised.</w:t>
      </w:r>
    </w:p>
    <w:p w14:paraId="01B19CB3" w14:textId="77777777" w:rsidR="00000000" w:rsidRDefault="00E614A4">
      <w:pPr>
        <w:jc w:val="both"/>
        <w:divId w:val="615210689"/>
        <w:rPr>
          <w:rFonts w:eastAsia="Times New Roman"/>
        </w:rPr>
      </w:pPr>
      <w:r>
        <w:rPr>
          <w:rFonts w:eastAsia="Times New Roman"/>
          <w:color w:val="000000"/>
          <w:sz w:val="20"/>
          <w:szCs w:val="20"/>
        </w:rPr>
        <w:t>For additional information on the Private</w:t>
      </w:r>
      <w:r>
        <w:rPr>
          <w:rFonts w:eastAsia="Times New Roman"/>
          <w:color w:val="000000"/>
          <w:sz w:val="20"/>
          <w:szCs w:val="20"/>
        </w:rPr>
        <w:t xml:space="preserve"> Placement, refer to </w:t>
      </w:r>
      <w:hyperlink w:anchor="ided6989bcc374020961c421c465250ee_133"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Stockholders' Equity</w:t>
      </w:r>
      <w:r>
        <w:rPr>
          <w:rFonts w:eastAsia="Times New Roman"/>
          <w:color w:val="000000"/>
          <w:sz w:val="20"/>
          <w:szCs w:val="20"/>
        </w:rPr>
        <w:t xml:space="preserve">. </w:t>
      </w:r>
    </w:p>
    <w:p w14:paraId="15D53906" w14:textId="77777777" w:rsidR="00000000" w:rsidRDefault="00E614A4">
      <w:pPr>
        <w:jc w:val="both"/>
        <w:divId w:val="816261167"/>
        <w:rPr>
          <w:rFonts w:eastAsia="Times New Roman"/>
        </w:rPr>
      </w:pPr>
      <w:r>
        <w:rPr>
          <w:rFonts w:eastAsia="Times New Roman"/>
          <w:color w:val="000000"/>
          <w:sz w:val="20"/>
          <w:szCs w:val="20"/>
          <w:u w:val="single"/>
        </w:rPr>
        <w:t>Senior Secured Convertible Notes</w:t>
      </w:r>
    </w:p>
    <w:p w14:paraId="2FF9654A" w14:textId="77777777" w:rsidR="00000000" w:rsidRDefault="00E614A4">
      <w:pPr>
        <w:jc w:val="both"/>
        <w:divId w:val="476730163"/>
        <w:rPr>
          <w:rFonts w:eastAsia="Times New Roman"/>
        </w:rPr>
      </w:pPr>
      <w:r>
        <w:rPr>
          <w:rFonts w:eastAsia="Times New Roman"/>
          <w:color w:val="000000"/>
          <w:sz w:val="20"/>
          <w:szCs w:val="20"/>
        </w:rPr>
        <w:t>On January 16, 2018, we entered into certain agreements with Starboard, pursuant to which we issued and sold to Starboard $150.0 million in Notes in exchange for $85.0 million in cash and 2,600,000 shares of Common Stock. We also agreed to issue to Starboa</w:t>
      </w:r>
      <w:r>
        <w:rPr>
          <w:rFonts w:eastAsia="Times New Roman"/>
          <w:color w:val="000000"/>
          <w:sz w:val="20"/>
          <w:szCs w:val="20"/>
        </w:rPr>
        <w:t>rd warrants to purchase 250,000 shares of Common Stock at a price of $0.01 per share, as adjusted pursuant to the terms of the warrants. The warrants were issued on October 12, 2018 and exercised in full on April 3, 2019 for 323,448 shares of Common Stock.</w:t>
      </w:r>
      <w:r>
        <w:rPr>
          <w:rFonts w:eastAsia="Times New Roman"/>
          <w:color w:val="000000"/>
          <w:sz w:val="20"/>
          <w:szCs w:val="20"/>
        </w:rPr>
        <w:t xml:space="preserve"> On May 17, 2018, we issued and sold to Starboard $50.0 million of Notes in exchange for $15.0 million in cash and 1,400,000 shares of Common Stock. Later in 2018 we issued an aggregate of $4.0 million in Notes to Starboard, bringing the total balance of N</w:t>
      </w:r>
      <w:r>
        <w:rPr>
          <w:rFonts w:eastAsia="Times New Roman"/>
          <w:color w:val="000000"/>
          <w:sz w:val="20"/>
          <w:szCs w:val="20"/>
        </w:rPr>
        <w:t>otes as of December 31, 2020 to $204.0 million. The Notes currently have an annual interest rate of 12% that is payable quarterly in cash, PIK Interest Shares or a combination thereof at our election.</w:t>
      </w:r>
    </w:p>
    <w:p w14:paraId="0DAF84A7" w14:textId="77777777" w:rsidR="00000000" w:rsidRDefault="00E614A4">
      <w:pPr>
        <w:jc w:val="both"/>
        <w:divId w:val="1979723790"/>
        <w:rPr>
          <w:rFonts w:eastAsia="Times New Roman"/>
        </w:rPr>
      </w:pPr>
      <w:r>
        <w:rPr>
          <w:rFonts w:eastAsia="Times New Roman"/>
          <w:color w:val="000000"/>
          <w:sz w:val="20"/>
          <w:szCs w:val="20"/>
        </w:rPr>
        <w:t>The Notes contain certain affirmative and restrictive c</w:t>
      </w:r>
      <w:r>
        <w:rPr>
          <w:rFonts w:eastAsia="Times New Roman"/>
          <w:color w:val="000000"/>
          <w:sz w:val="20"/>
          <w:szCs w:val="20"/>
        </w:rPr>
        <w:t>ovenants with which we must comply, including covenants with respect to (i) limitations on additional indebtedness, (ii) limitations on liens, (iii) limitations on certain payments, (iv) maintenance of certain minimum cash balances (currently $40.0 million</w:t>
      </w:r>
      <w:r>
        <w:rPr>
          <w:rFonts w:eastAsia="Times New Roman"/>
          <w:color w:val="000000"/>
          <w:sz w:val="20"/>
          <w:szCs w:val="20"/>
        </w:rPr>
        <w:t>) and (v) the timely filing of certain disclosures with the SEC. We were in compliance with the Notes covenants as of December 31, 2020. As discussed above, we expect to repay the Notes (and thus eliminate the related covenants) in connection with the Tran</w:t>
      </w:r>
      <w:r>
        <w:rPr>
          <w:rFonts w:eastAsia="Times New Roman"/>
          <w:color w:val="000000"/>
          <w:sz w:val="20"/>
          <w:szCs w:val="20"/>
        </w:rPr>
        <w:t>sactions.</w:t>
      </w:r>
    </w:p>
    <w:p w14:paraId="2180BA0F" w14:textId="77777777" w:rsidR="00000000" w:rsidRDefault="00E614A4">
      <w:pPr>
        <w:jc w:val="both"/>
        <w:divId w:val="386612262"/>
        <w:rPr>
          <w:rFonts w:eastAsia="Times New Roman"/>
        </w:rPr>
      </w:pPr>
      <w:r>
        <w:rPr>
          <w:rFonts w:eastAsia="Times New Roman"/>
          <w:color w:val="000000"/>
          <w:sz w:val="20"/>
          <w:szCs w:val="20"/>
        </w:rPr>
        <w:t xml:space="preserve">For additional information about the terms of the Notes, 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626E9E8C" w14:textId="77777777" w:rsidR="00000000" w:rsidRDefault="00E614A4">
      <w:pPr>
        <w:jc w:val="both"/>
        <w:divId w:val="548810104"/>
        <w:rPr>
          <w:rFonts w:eastAsia="Times New Roman"/>
        </w:rPr>
      </w:pPr>
      <w:r>
        <w:rPr>
          <w:rFonts w:eastAsia="Times New Roman"/>
          <w:color w:val="000000"/>
          <w:sz w:val="20"/>
          <w:szCs w:val="20"/>
          <w:u w:val="single"/>
        </w:rPr>
        <w:t>Secured Term Note</w:t>
      </w:r>
    </w:p>
    <w:p w14:paraId="48C55D8A" w14:textId="77777777" w:rsidR="00000000" w:rsidRDefault="00E614A4">
      <w:pPr>
        <w:jc w:val="both"/>
        <w:divId w:val="1804303109"/>
        <w:rPr>
          <w:rFonts w:eastAsia="Times New Roman"/>
        </w:rPr>
      </w:pPr>
      <w:r>
        <w:rPr>
          <w:rFonts w:eastAsia="Times New Roman"/>
          <w:color w:val="000000"/>
          <w:sz w:val="20"/>
          <w:szCs w:val="20"/>
        </w:rPr>
        <w:t>On December 31, 2019, our wholly owned subsidiary, Rentrak B.V., entered into an agr</w:t>
      </w:r>
      <w:r>
        <w:rPr>
          <w:rFonts w:eastAsia="Times New Roman"/>
          <w:color w:val="000000"/>
          <w:sz w:val="20"/>
          <w:szCs w:val="20"/>
        </w:rPr>
        <w:t>eement with several third parties for the Secured Term Note in exchange for gross proceeds of $13.0 million. The Secured Term Note matures on December 31, 2021 and has an annual interest rate of 9.75% that is payable monthly in cash. As discussed above, we</w:t>
      </w:r>
      <w:r>
        <w:rPr>
          <w:rFonts w:eastAsia="Times New Roman"/>
          <w:color w:val="000000"/>
          <w:sz w:val="20"/>
          <w:szCs w:val="20"/>
        </w:rPr>
        <w:t xml:space="preserve"> expect to repay the Secured Term Note in connection with the Transactions.</w:t>
      </w:r>
    </w:p>
    <w:p w14:paraId="56A25A90" w14:textId="77777777" w:rsidR="00000000" w:rsidRDefault="00E614A4">
      <w:pPr>
        <w:jc w:val="both"/>
        <w:divId w:val="749236927"/>
        <w:rPr>
          <w:rFonts w:eastAsia="Times New Roman"/>
        </w:rPr>
      </w:pPr>
      <w:r>
        <w:rPr>
          <w:rFonts w:eastAsia="Times New Roman"/>
          <w:color w:val="000000"/>
          <w:sz w:val="20"/>
          <w:szCs w:val="20"/>
        </w:rPr>
        <w:t xml:space="preserve">For additional information about the terms of the Secured Term Note, 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p>
    <w:p w14:paraId="2D792194" w14:textId="77777777" w:rsidR="00000000" w:rsidRDefault="00E614A4">
      <w:pPr>
        <w:jc w:val="both"/>
        <w:divId w:val="803936626"/>
        <w:rPr>
          <w:rFonts w:eastAsia="Times New Roman"/>
        </w:rPr>
      </w:pPr>
      <w:r>
        <w:rPr>
          <w:rFonts w:eastAsia="Times New Roman"/>
          <w:b/>
          <w:bCs/>
          <w:i/>
          <w:iCs/>
          <w:color w:val="000000"/>
          <w:sz w:val="20"/>
          <w:szCs w:val="20"/>
        </w:rPr>
        <w:t>Operating Activities</w:t>
      </w:r>
    </w:p>
    <w:p w14:paraId="1B09E763" w14:textId="77777777" w:rsidR="00000000" w:rsidRDefault="00E614A4">
      <w:pPr>
        <w:jc w:val="both"/>
        <w:divId w:val="1292590876"/>
        <w:rPr>
          <w:rFonts w:eastAsia="Times New Roman"/>
        </w:rPr>
      </w:pPr>
      <w:r>
        <w:rPr>
          <w:rFonts w:eastAsia="Times New Roman"/>
          <w:color w:val="000000"/>
          <w:sz w:val="20"/>
          <w:szCs w:val="20"/>
        </w:rPr>
        <w:t>Our</w:t>
      </w:r>
      <w:r>
        <w:rPr>
          <w:rFonts w:eastAsia="Times New Roman"/>
          <w:color w:val="000000"/>
          <w:sz w:val="20"/>
          <w:szCs w:val="20"/>
        </w:rPr>
        <w:t xml:space="preserve"> primary source of cash provided by operating activities is revenues generated from sales of our Ratings and Planning, Analytics and Optimization, and Movies Reporting and Analytics products and services. Our primary uses of cash from operating activities </w:t>
      </w:r>
      <w:r>
        <w:rPr>
          <w:rFonts w:eastAsia="Times New Roman"/>
          <w:color w:val="000000"/>
          <w:sz w:val="20"/>
          <w:szCs w:val="20"/>
        </w:rPr>
        <w:t>include personnel costs and costs related to data and infrastructure used to develop and maintain our products and services. As discussed above, we have experienced delays in customer payments and requests to modify contractual terms in connection with the</w:t>
      </w:r>
      <w:r>
        <w:rPr>
          <w:rFonts w:eastAsia="Times New Roman"/>
          <w:color w:val="000000"/>
          <w:sz w:val="20"/>
          <w:szCs w:val="20"/>
        </w:rPr>
        <w:t xml:space="preserve"> COVID-19 pandemic and related government mandates and restrictions.</w:t>
      </w:r>
    </w:p>
    <w:p w14:paraId="65FE726A" w14:textId="77777777" w:rsidR="00000000" w:rsidRDefault="00E614A4">
      <w:pPr>
        <w:jc w:val="center"/>
        <w:divId w:val="1757363350"/>
        <w:rPr>
          <w:rFonts w:eastAsia="Times New Roman"/>
        </w:rPr>
      </w:pPr>
      <w:r>
        <w:rPr>
          <w:rFonts w:eastAsia="Times New Roman"/>
          <w:color w:val="000000"/>
          <w:sz w:val="20"/>
          <w:szCs w:val="20"/>
        </w:rPr>
        <w:t>47</w:t>
      </w:r>
    </w:p>
    <w:p w14:paraId="6D784836" w14:textId="77777777" w:rsidR="00000000" w:rsidRDefault="00E614A4">
      <w:pPr>
        <w:rPr>
          <w:rFonts w:eastAsia="Times New Roman"/>
        </w:rPr>
      </w:pPr>
      <w:r>
        <w:rPr>
          <w:rFonts w:eastAsia="Times New Roman"/>
        </w:rPr>
        <w:pict w14:anchorId="5D8BF1D7">
          <v:rect id="_x0000_i1075" style="width:0;height:1.5pt" o:hralign="center" o:hrstd="t" o:hr="t" fillcolor="#a0a0a0" stroked="f"/>
        </w:pict>
      </w:r>
    </w:p>
    <w:p w14:paraId="3A773B8D" w14:textId="77777777" w:rsidR="00000000" w:rsidRDefault="00E614A4">
      <w:pPr>
        <w:divId w:val="158800467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B34547C" w14:textId="77777777" w:rsidR="00000000" w:rsidRDefault="00E614A4">
      <w:pPr>
        <w:divId w:val="2104914371"/>
        <w:rPr>
          <w:rFonts w:eastAsia="Times New Roman"/>
        </w:rPr>
      </w:pPr>
    </w:p>
    <w:p w14:paraId="7199DEBA" w14:textId="77777777" w:rsidR="00000000" w:rsidRDefault="00E614A4">
      <w:pPr>
        <w:jc w:val="both"/>
        <w:divId w:val="2124104960"/>
        <w:rPr>
          <w:rFonts w:eastAsia="Times New Roman"/>
        </w:rPr>
      </w:pPr>
      <w:r>
        <w:rPr>
          <w:rFonts w:eastAsia="Times New Roman"/>
          <w:color w:val="000000"/>
          <w:sz w:val="20"/>
          <w:szCs w:val="20"/>
        </w:rPr>
        <w:t xml:space="preserve">Cash used in operating activities is calculated by adjusting our net loss for changes in working capital, as well as by excluding non-cash items such as: depreciation, non-cash operating lease expense, amortization expense of finance leases and intangible </w:t>
      </w:r>
      <w:r>
        <w:rPr>
          <w:rFonts w:eastAsia="Times New Roman"/>
          <w:color w:val="000000"/>
          <w:sz w:val="20"/>
          <w:szCs w:val="20"/>
        </w:rPr>
        <w:t>assets, impairment of right-of-use assets, stock-based compensation, deferred tax provision, change in the fair value of financing derivatives, warrants liability and equity securities, non-cash interest expense on the Notes, accretion of debt discount, an</w:t>
      </w:r>
      <w:r>
        <w:rPr>
          <w:rFonts w:eastAsia="Times New Roman"/>
          <w:color w:val="000000"/>
          <w:sz w:val="20"/>
          <w:szCs w:val="20"/>
        </w:rPr>
        <w:t>d amortization of deferred financing costs.</w:t>
      </w:r>
    </w:p>
    <w:p w14:paraId="370282ED" w14:textId="77777777" w:rsidR="00000000" w:rsidRDefault="00E614A4">
      <w:pPr>
        <w:jc w:val="both"/>
        <w:divId w:val="702828615"/>
        <w:rPr>
          <w:rFonts w:eastAsia="Times New Roman"/>
        </w:rPr>
      </w:pPr>
      <w:r>
        <w:rPr>
          <w:rFonts w:eastAsia="Times New Roman"/>
          <w:color w:val="000000"/>
          <w:sz w:val="20"/>
          <w:szCs w:val="20"/>
        </w:rPr>
        <w:t>Net cash provided by operating activities in 2020 was $0.7 million compared to net cash used of $4.6 million in 2019. The increase in cash provided by operating activities during 2020 as compared to 2019 was prim</w:t>
      </w:r>
      <w:r>
        <w:rPr>
          <w:rFonts w:eastAsia="Times New Roman"/>
          <w:color w:val="000000"/>
          <w:sz w:val="20"/>
          <w:szCs w:val="20"/>
        </w:rPr>
        <w:t>arily attributable to a decrease in net loss, lower investigation and audit related expenses, decrease in headcount, and results of restructuring, offset by additional cash interest paid on the Notes of $21.4 million in 2020 in comparison to $3.0 million i</w:t>
      </w:r>
      <w:r>
        <w:rPr>
          <w:rFonts w:eastAsia="Times New Roman"/>
          <w:color w:val="000000"/>
          <w:sz w:val="20"/>
          <w:szCs w:val="20"/>
        </w:rPr>
        <w:t>n 2019.</w:t>
      </w:r>
    </w:p>
    <w:p w14:paraId="76659396" w14:textId="77777777" w:rsidR="00000000" w:rsidRDefault="00E614A4">
      <w:pPr>
        <w:jc w:val="both"/>
        <w:divId w:val="1262031774"/>
        <w:rPr>
          <w:rFonts w:eastAsia="Times New Roman"/>
        </w:rPr>
      </w:pPr>
      <w:r>
        <w:rPr>
          <w:rFonts w:eastAsia="Times New Roman"/>
          <w:color w:val="000000"/>
          <w:sz w:val="20"/>
          <w:szCs w:val="20"/>
        </w:rPr>
        <w:t>Net cash used in operating activities in 2019 was $4.6 million compared to net cash used of $72.6 million in 2018. The decrease in cash used in operating activities during 2019 as compared to 2018 was primarily attributable to a decrease in cash op</w:t>
      </w:r>
      <w:r>
        <w:rPr>
          <w:rFonts w:eastAsia="Times New Roman"/>
          <w:color w:val="000000"/>
          <w:sz w:val="20"/>
          <w:szCs w:val="20"/>
        </w:rPr>
        <w:t>erating expenses driven by lower investigation and audit related expenses and headcount, and extended trade payables. This drove a net increase in operating assets and liabilities of $4.3 million for the year ended December 31, 2019 as compared to a net de</w:t>
      </w:r>
      <w:r>
        <w:rPr>
          <w:rFonts w:eastAsia="Times New Roman"/>
          <w:color w:val="000000"/>
          <w:sz w:val="20"/>
          <w:szCs w:val="20"/>
        </w:rPr>
        <w:t>crease of $23.2 million for the year ended December 31, 2018. In addition, there was a net decrease in cash used of $4.4 million related to interest payments made on the Notes in stock in lieu of cash during 2019.</w:t>
      </w:r>
    </w:p>
    <w:p w14:paraId="31DBEB5D" w14:textId="77777777" w:rsidR="00000000" w:rsidRDefault="00E614A4">
      <w:pPr>
        <w:jc w:val="both"/>
        <w:divId w:val="636645773"/>
        <w:rPr>
          <w:rFonts w:eastAsia="Times New Roman"/>
        </w:rPr>
      </w:pPr>
      <w:r>
        <w:rPr>
          <w:rFonts w:eastAsia="Times New Roman"/>
          <w:b/>
          <w:bCs/>
          <w:i/>
          <w:iCs/>
          <w:color w:val="000000"/>
          <w:sz w:val="20"/>
          <w:szCs w:val="20"/>
        </w:rPr>
        <w:t>Investing Activities</w:t>
      </w:r>
    </w:p>
    <w:p w14:paraId="5CE10AA7" w14:textId="77777777" w:rsidR="00000000" w:rsidRDefault="00E614A4">
      <w:pPr>
        <w:jc w:val="both"/>
        <w:divId w:val="1517845677"/>
        <w:rPr>
          <w:rFonts w:eastAsia="Times New Roman"/>
        </w:rPr>
      </w:pPr>
      <w:r>
        <w:rPr>
          <w:rFonts w:eastAsia="Times New Roman"/>
          <w:color w:val="000000"/>
          <w:sz w:val="20"/>
          <w:szCs w:val="20"/>
        </w:rPr>
        <w:t>Cash used in investin</w:t>
      </w:r>
      <w:r>
        <w:rPr>
          <w:rFonts w:eastAsia="Times New Roman"/>
          <w:color w:val="000000"/>
          <w:sz w:val="20"/>
          <w:szCs w:val="20"/>
        </w:rPr>
        <w:t>g activities primarily consists of payments related to capitalized internal-use software costs, purchases of computer and network equipment to support our technical infrastructure, and furniture and equipment. The extent of these investments will be affect</w:t>
      </w:r>
      <w:r>
        <w:rPr>
          <w:rFonts w:eastAsia="Times New Roman"/>
          <w:color w:val="000000"/>
          <w:sz w:val="20"/>
          <w:szCs w:val="20"/>
        </w:rPr>
        <w:t>ed by our ability to expand relationships with existing customers, grow our customer base and introduce new digital formats, as well as constraints on cash expenditures in the current economic environment.</w:t>
      </w:r>
    </w:p>
    <w:p w14:paraId="40628787" w14:textId="77777777" w:rsidR="00000000" w:rsidRDefault="00E614A4">
      <w:pPr>
        <w:jc w:val="both"/>
        <w:divId w:val="456677626"/>
        <w:rPr>
          <w:rFonts w:eastAsia="Times New Roman"/>
        </w:rPr>
      </w:pPr>
      <w:r>
        <w:rPr>
          <w:rFonts w:eastAsia="Times New Roman"/>
          <w:color w:val="000000"/>
          <w:sz w:val="20"/>
          <w:szCs w:val="20"/>
        </w:rPr>
        <w:t xml:space="preserve">Net cash used in investing activities in 2020 was </w:t>
      </w:r>
      <w:r>
        <w:rPr>
          <w:rFonts w:eastAsia="Times New Roman"/>
          <w:color w:val="000000"/>
          <w:sz w:val="20"/>
          <w:szCs w:val="20"/>
        </w:rPr>
        <w:t>$15.6 million compared to net cash used in investing activities of $10.5 million in 2019. This increase in net cash used in investing activities was attributable to an increase of $3.6 million in payments for capitalized internally developed software and a</w:t>
      </w:r>
      <w:r>
        <w:rPr>
          <w:rFonts w:eastAsia="Times New Roman"/>
          <w:color w:val="000000"/>
          <w:sz w:val="20"/>
          <w:szCs w:val="20"/>
        </w:rPr>
        <w:t xml:space="preserve"> decline of $3.8 million compared to receipts from the sale of an investment in 2019, partially offset by a $2.3 million decrease in purchases of property and equipment in 2020 compared with 2019.</w:t>
      </w:r>
    </w:p>
    <w:p w14:paraId="1EF61E3C" w14:textId="77777777" w:rsidR="00000000" w:rsidRDefault="00E614A4">
      <w:pPr>
        <w:jc w:val="both"/>
        <w:divId w:val="485130176"/>
        <w:rPr>
          <w:rFonts w:eastAsia="Times New Roman"/>
        </w:rPr>
      </w:pPr>
      <w:r>
        <w:rPr>
          <w:rFonts w:eastAsia="Times New Roman"/>
          <w:color w:val="000000"/>
          <w:sz w:val="20"/>
          <w:szCs w:val="20"/>
        </w:rPr>
        <w:t>Net cash used in investing activities in 2019 was $10.5 mil</w:t>
      </w:r>
      <w:r>
        <w:rPr>
          <w:rFonts w:eastAsia="Times New Roman"/>
          <w:color w:val="000000"/>
          <w:sz w:val="20"/>
          <w:szCs w:val="20"/>
        </w:rPr>
        <w:t>lion compared to net cash used in investing activities of $13.8 million in 2018. The decrease in net cash used in investing activities was attributable to $3.8 million in cash received from the sale of an investment in 2019 (noted above). Increased capital</w:t>
      </w:r>
      <w:r>
        <w:rPr>
          <w:rFonts w:eastAsia="Times New Roman"/>
          <w:color w:val="000000"/>
          <w:sz w:val="20"/>
          <w:szCs w:val="20"/>
        </w:rPr>
        <w:t>ized costs of $1.9 million were offset by a $1.5 million decrease in purchases of property and equipment.</w:t>
      </w:r>
    </w:p>
    <w:p w14:paraId="62F2B59E" w14:textId="77777777" w:rsidR="00000000" w:rsidRDefault="00E614A4">
      <w:pPr>
        <w:jc w:val="both"/>
        <w:divId w:val="208566333"/>
        <w:rPr>
          <w:rFonts w:eastAsia="Times New Roman"/>
        </w:rPr>
      </w:pPr>
      <w:r>
        <w:rPr>
          <w:rFonts w:eastAsia="Times New Roman"/>
          <w:b/>
          <w:bCs/>
          <w:i/>
          <w:iCs/>
          <w:color w:val="000000"/>
          <w:sz w:val="20"/>
          <w:szCs w:val="20"/>
        </w:rPr>
        <w:t>Financing Activities</w:t>
      </w:r>
    </w:p>
    <w:p w14:paraId="142E55BA" w14:textId="77777777" w:rsidR="00000000" w:rsidRDefault="00E614A4">
      <w:pPr>
        <w:jc w:val="both"/>
        <w:divId w:val="1481776468"/>
        <w:rPr>
          <w:rFonts w:eastAsia="Times New Roman"/>
        </w:rPr>
      </w:pPr>
      <w:r>
        <w:rPr>
          <w:rFonts w:eastAsia="Times New Roman"/>
          <w:color w:val="000000"/>
          <w:sz w:val="20"/>
          <w:szCs w:val="20"/>
        </w:rPr>
        <w:t>Net cash used in financing activities in 2020 was $2.1 million compared to net cash provided by financing activities of $32.0 mil</w:t>
      </w:r>
      <w:r>
        <w:rPr>
          <w:rFonts w:eastAsia="Times New Roman"/>
          <w:color w:val="000000"/>
          <w:sz w:val="20"/>
          <w:szCs w:val="20"/>
        </w:rPr>
        <w:t>lion in 2019. The shift to cash used in financing activities from cash provided by financing activities was largely due to gross cash proceeds of $20.0 million from the sale of shares of Common Stock and warrants in the Private Placement, $13.0 million fro</w:t>
      </w:r>
      <w:r>
        <w:rPr>
          <w:rFonts w:eastAsia="Times New Roman"/>
          <w:color w:val="000000"/>
          <w:sz w:val="20"/>
          <w:szCs w:val="20"/>
        </w:rPr>
        <w:t>m the issuance of the Secured Term Note, and $4.3 million from the sale-leaseback transaction during 2019. These were offset by a decrease of $2.5 million in principal payments on finance lease and software licensing arrangements.</w:t>
      </w:r>
    </w:p>
    <w:p w14:paraId="509B868D" w14:textId="77777777" w:rsidR="00000000" w:rsidRDefault="00E614A4">
      <w:pPr>
        <w:jc w:val="both"/>
        <w:divId w:val="760178591"/>
        <w:rPr>
          <w:rFonts w:eastAsia="Times New Roman"/>
        </w:rPr>
      </w:pPr>
      <w:r>
        <w:rPr>
          <w:rFonts w:eastAsia="Times New Roman"/>
          <w:color w:val="000000"/>
          <w:sz w:val="20"/>
          <w:szCs w:val="20"/>
        </w:rPr>
        <w:t>Net cash provided by fina</w:t>
      </w:r>
      <w:r>
        <w:rPr>
          <w:rFonts w:eastAsia="Times New Roman"/>
          <w:color w:val="000000"/>
          <w:sz w:val="20"/>
          <w:szCs w:val="20"/>
        </w:rPr>
        <w:t>ncing activities in 2019 was $32.0 million compared to net cash provided by financing activities of $93.1 million in 2018. In 2019, we raised gross cash proceeds of $20.0 million from the sale of shares of Common Stock and warrants in the Private Placement</w:t>
      </w:r>
      <w:r>
        <w:rPr>
          <w:rFonts w:eastAsia="Times New Roman"/>
          <w:color w:val="000000"/>
          <w:sz w:val="20"/>
          <w:szCs w:val="20"/>
        </w:rPr>
        <w:t>, $13.0 million from the issuance of the Secured Term Note, and $4.3 million from the sale lease-back transaction. We also had a decrease of debt issuance costs of $5.1 million in 2019 compared to 2018. In 2018 we generated gross cash proceeds of $100.0 mi</w:t>
      </w:r>
      <w:r>
        <w:rPr>
          <w:rFonts w:eastAsia="Times New Roman"/>
          <w:color w:val="000000"/>
          <w:sz w:val="20"/>
          <w:szCs w:val="20"/>
        </w:rPr>
        <w:t>llion from the issuance of Notes, partially offset by a $9.7 million decrease in proceeds from subscription receivables which ended in 2018.</w:t>
      </w:r>
    </w:p>
    <w:p w14:paraId="7985C216" w14:textId="77777777" w:rsidR="00000000" w:rsidRDefault="00E614A4">
      <w:pPr>
        <w:jc w:val="center"/>
        <w:divId w:val="1485513851"/>
        <w:rPr>
          <w:rFonts w:eastAsia="Times New Roman"/>
        </w:rPr>
      </w:pPr>
      <w:r>
        <w:rPr>
          <w:rFonts w:eastAsia="Times New Roman"/>
          <w:color w:val="000000"/>
          <w:sz w:val="20"/>
          <w:szCs w:val="20"/>
        </w:rPr>
        <w:t>48</w:t>
      </w:r>
    </w:p>
    <w:p w14:paraId="1B73B14B" w14:textId="77777777" w:rsidR="00000000" w:rsidRDefault="00E614A4">
      <w:pPr>
        <w:rPr>
          <w:rFonts w:eastAsia="Times New Roman"/>
        </w:rPr>
      </w:pPr>
      <w:r>
        <w:rPr>
          <w:rFonts w:eastAsia="Times New Roman"/>
        </w:rPr>
        <w:pict w14:anchorId="5CC9BEA3">
          <v:rect id="_x0000_i1076" style="width:0;height:1.5pt" o:hralign="center" o:hrstd="t" o:hr="t" fillcolor="#a0a0a0" stroked="f"/>
        </w:pict>
      </w:r>
    </w:p>
    <w:p w14:paraId="406541EB" w14:textId="77777777" w:rsidR="00000000" w:rsidRDefault="00E614A4">
      <w:pPr>
        <w:divId w:val="6064242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79EACA4" w14:textId="77777777" w:rsidR="00000000" w:rsidRDefault="00E614A4">
      <w:pPr>
        <w:divId w:val="362942745"/>
        <w:rPr>
          <w:rFonts w:eastAsia="Times New Roman"/>
        </w:rPr>
      </w:pPr>
    </w:p>
    <w:p w14:paraId="6D51C201" w14:textId="77777777" w:rsidR="00000000" w:rsidRDefault="00E614A4">
      <w:pPr>
        <w:jc w:val="both"/>
        <w:divId w:val="1096946648"/>
        <w:rPr>
          <w:rFonts w:eastAsia="Times New Roman"/>
        </w:rPr>
      </w:pPr>
      <w:r>
        <w:rPr>
          <w:rFonts w:eastAsia="Times New Roman"/>
          <w:b/>
          <w:bCs/>
          <w:i/>
          <w:iCs/>
          <w:color w:val="000000"/>
          <w:sz w:val="20"/>
          <w:szCs w:val="20"/>
        </w:rPr>
        <w:t>Contractual Payment Obligations</w:t>
      </w:r>
    </w:p>
    <w:p w14:paraId="748C8391" w14:textId="77777777" w:rsidR="00000000" w:rsidRDefault="00E614A4">
      <w:pPr>
        <w:jc w:val="both"/>
        <w:divId w:val="1255670517"/>
        <w:rPr>
          <w:rFonts w:eastAsia="Times New Roman"/>
        </w:rPr>
      </w:pPr>
      <w:r>
        <w:rPr>
          <w:rFonts w:eastAsia="Times New Roman"/>
          <w:color w:val="000000"/>
          <w:sz w:val="20"/>
          <w:szCs w:val="20"/>
        </w:rPr>
        <w:t>We are subject to certain contractual arrangements that are long-term in nature. The information set forth below summarizes our contractual obligations as of December 31, 2020 that are fixed and determinable.</w:t>
      </w:r>
    </w:p>
    <w:tbl>
      <w:tblPr>
        <w:tblW w:w="5000" w:type="pct"/>
        <w:tblCellMar>
          <w:top w:w="15" w:type="dxa"/>
          <w:left w:w="15" w:type="dxa"/>
          <w:bottom w:w="15" w:type="dxa"/>
          <w:right w:w="15" w:type="dxa"/>
        </w:tblCellMar>
        <w:tblLook w:val="04A0" w:firstRow="1" w:lastRow="0" w:firstColumn="1" w:lastColumn="0" w:noHBand="0" w:noVBand="1"/>
      </w:tblPr>
      <w:tblGrid>
        <w:gridCol w:w="39"/>
        <w:gridCol w:w="3529"/>
        <w:gridCol w:w="38"/>
        <w:gridCol w:w="36"/>
        <w:gridCol w:w="36"/>
        <w:gridCol w:w="36"/>
        <w:gridCol w:w="110"/>
        <w:gridCol w:w="685"/>
        <w:gridCol w:w="36"/>
        <w:gridCol w:w="36"/>
        <w:gridCol w:w="36"/>
        <w:gridCol w:w="36"/>
        <w:gridCol w:w="111"/>
        <w:gridCol w:w="685"/>
        <w:gridCol w:w="36"/>
        <w:gridCol w:w="36"/>
        <w:gridCol w:w="36"/>
        <w:gridCol w:w="36"/>
        <w:gridCol w:w="110"/>
        <w:gridCol w:w="685"/>
        <w:gridCol w:w="36"/>
        <w:gridCol w:w="36"/>
        <w:gridCol w:w="36"/>
        <w:gridCol w:w="36"/>
        <w:gridCol w:w="110"/>
        <w:gridCol w:w="686"/>
        <w:gridCol w:w="36"/>
        <w:gridCol w:w="36"/>
        <w:gridCol w:w="36"/>
        <w:gridCol w:w="36"/>
        <w:gridCol w:w="110"/>
        <w:gridCol w:w="688"/>
        <w:gridCol w:w="36"/>
      </w:tblGrid>
      <w:tr w:rsidR="00000000" w14:paraId="69A8756C" w14:textId="77777777">
        <w:trPr>
          <w:divId w:val="1657300095"/>
        </w:trPr>
        <w:tc>
          <w:tcPr>
            <w:tcW w:w="50" w:type="pct"/>
            <w:vAlign w:val="center"/>
            <w:hideMark/>
          </w:tcPr>
          <w:p w14:paraId="4DA03E65" w14:textId="77777777" w:rsidR="00000000" w:rsidRDefault="00E614A4">
            <w:pPr>
              <w:jc w:val="both"/>
              <w:rPr>
                <w:rFonts w:eastAsia="Times New Roman"/>
              </w:rPr>
            </w:pPr>
          </w:p>
        </w:tc>
        <w:tc>
          <w:tcPr>
            <w:tcW w:w="2201" w:type="pct"/>
            <w:vAlign w:val="center"/>
            <w:hideMark/>
          </w:tcPr>
          <w:p w14:paraId="1786981D" w14:textId="77777777" w:rsidR="00000000" w:rsidRDefault="00E614A4">
            <w:pPr>
              <w:rPr>
                <w:rFonts w:eastAsia="Times New Roman"/>
                <w:sz w:val="20"/>
                <w:szCs w:val="20"/>
              </w:rPr>
            </w:pPr>
          </w:p>
        </w:tc>
        <w:tc>
          <w:tcPr>
            <w:tcW w:w="5" w:type="pct"/>
            <w:vAlign w:val="center"/>
            <w:hideMark/>
          </w:tcPr>
          <w:p w14:paraId="218647D6" w14:textId="77777777" w:rsidR="00000000" w:rsidRDefault="00E614A4">
            <w:pPr>
              <w:rPr>
                <w:rFonts w:eastAsia="Times New Roman"/>
                <w:sz w:val="20"/>
                <w:szCs w:val="20"/>
              </w:rPr>
            </w:pPr>
          </w:p>
        </w:tc>
        <w:tc>
          <w:tcPr>
            <w:tcW w:w="5" w:type="pct"/>
            <w:vAlign w:val="center"/>
            <w:hideMark/>
          </w:tcPr>
          <w:p w14:paraId="377E922B" w14:textId="77777777" w:rsidR="00000000" w:rsidRDefault="00E614A4">
            <w:pPr>
              <w:rPr>
                <w:rFonts w:eastAsia="Times New Roman"/>
                <w:sz w:val="20"/>
                <w:szCs w:val="20"/>
              </w:rPr>
            </w:pPr>
          </w:p>
        </w:tc>
        <w:tc>
          <w:tcPr>
            <w:tcW w:w="17" w:type="pct"/>
            <w:vAlign w:val="center"/>
            <w:hideMark/>
          </w:tcPr>
          <w:p w14:paraId="0DBA42A8" w14:textId="77777777" w:rsidR="00000000" w:rsidRDefault="00E614A4">
            <w:pPr>
              <w:rPr>
                <w:rFonts w:eastAsia="Times New Roman"/>
                <w:sz w:val="20"/>
                <w:szCs w:val="20"/>
              </w:rPr>
            </w:pPr>
          </w:p>
        </w:tc>
        <w:tc>
          <w:tcPr>
            <w:tcW w:w="5" w:type="pct"/>
            <w:vAlign w:val="center"/>
            <w:hideMark/>
          </w:tcPr>
          <w:p w14:paraId="3D9BE200" w14:textId="77777777" w:rsidR="00000000" w:rsidRDefault="00E614A4">
            <w:pPr>
              <w:rPr>
                <w:rFonts w:eastAsia="Times New Roman"/>
                <w:sz w:val="20"/>
                <w:szCs w:val="20"/>
              </w:rPr>
            </w:pPr>
          </w:p>
        </w:tc>
        <w:tc>
          <w:tcPr>
            <w:tcW w:w="50" w:type="pct"/>
            <w:vAlign w:val="center"/>
            <w:hideMark/>
          </w:tcPr>
          <w:p w14:paraId="2039F1F8" w14:textId="77777777" w:rsidR="00000000" w:rsidRDefault="00E614A4">
            <w:pPr>
              <w:rPr>
                <w:rFonts w:eastAsia="Times New Roman"/>
                <w:sz w:val="20"/>
                <w:szCs w:val="20"/>
              </w:rPr>
            </w:pPr>
          </w:p>
        </w:tc>
        <w:tc>
          <w:tcPr>
            <w:tcW w:w="465" w:type="pct"/>
            <w:vAlign w:val="center"/>
            <w:hideMark/>
          </w:tcPr>
          <w:p w14:paraId="6A047402" w14:textId="77777777" w:rsidR="00000000" w:rsidRDefault="00E614A4">
            <w:pPr>
              <w:rPr>
                <w:rFonts w:eastAsia="Times New Roman"/>
                <w:sz w:val="20"/>
                <w:szCs w:val="20"/>
              </w:rPr>
            </w:pPr>
          </w:p>
        </w:tc>
        <w:tc>
          <w:tcPr>
            <w:tcW w:w="5" w:type="pct"/>
            <w:vAlign w:val="center"/>
            <w:hideMark/>
          </w:tcPr>
          <w:p w14:paraId="47E3646A" w14:textId="77777777" w:rsidR="00000000" w:rsidRDefault="00E614A4">
            <w:pPr>
              <w:rPr>
                <w:rFonts w:eastAsia="Times New Roman"/>
                <w:sz w:val="20"/>
                <w:szCs w:val="20"/>
              </w:rPr>
            </w:pPr>
          </w:p>
        </w:tc>
        <w:tc>
          <w:tcPr>
            <w:tcW w:w="5" w:type="pct"/>
            <w:vAlign w:val="center"/>
            <w:hideMark/>
          </w:tcPr>
          <w:p w14:paraId="799021BA" w14:textId="77777777" w:rsidR="00000000" w:rsidRDefault="00E614A4">
            <w:pPr>
              <w:rPr>
                <w:rFonts w:eastAsia="Times New Roman"/>
                <w:sz w:val="20"/>
                <w:szCs w:val="20"/>
              </w:rPr>
            </w:pPr>
          </w:p>
        </w:tc>
        <w:tc>
          <w:tcPr>
            <w:tcW w:w="17" w:type="pct"/>
            <w:vAlign w:val="center"/>
            <w:hideMark/>
          </w:tcPr>
          <w:p w14:paraId="296ADA01" w14:textId="77777777" w:rsidR="00000000" w:rsidRDefault="00E614A4">
            <w:pPr>
              <w:rPr>
                <w:rFonts w:eastAsia="Times New Roman"/>
                <w:sz w:val="20"/>
                <w:szCs w:val="20"/>
              </w:rPr>
            </w:pPr>
          </w:p>
        </w:tc>
        <w:tc>
          <w:tcPr>
            <w:tcW w:w="5" w:type="pct"/>
            <w:vAlign w:val="center"/>
            <w:hideMark/>
          </w:tcPr>
          <w:p w14:paraId="033A0E8A" w14:textId="77777777" w:rsidR="00000000" w:rsidRDefault="00E614A4">
            <w:pPr>
              <w:rPr>
                <w:rFonts w:eastAsia="Times New Roman"/>
                <w:sz w:val="20"/>
                <w:szCs w:val="20"/>
              </w:rPr>
            </w:pPr>
          </w:p>
        </w:tc>
        <w:tc>
          <w:tcPr>
            <w:tcW w:w="50" w:type="pct"/>
            <w:vAlign w:val="center"/>
            <w:hideMark/>
          </w:tcPr>
          <w:p w14:paraId="654C841F" w14:textId="77777777" w:rsidR="00000000" w:rsidRDefault="00E614A4">
            <w:pPr>
              <w:rPr>
                <w:rFonts w:eastAsia="Times New Roman"/>
                <w:sz w:val="20"/>
                <w:szCs w:val="20"/>
              </w:rPr>
            </w:pPr>
          </w:p>
        </w:tc>
        <w:tc>
          <w:tcPr>
            <w:tcW w:w="465" w:type="pct"/>
            <w:vAlign w:val="center"/>
            <w:hideMark/>
          </w:tcPr>
          <w:p w14:paraId="437577C0" w14:textId="77777777" w:rsidR="00000000" w:rsidRDefault="00E614A4">
            <w:pPr>
              <w:rPr>
                <w:rFonts w:eastAsia="Times New Roman"/>
                <w:sz w:val="20"/>
                <w:szCs w:val="20"/>
              </w:rPr>
            </w:pPr>
          </w:p>
        </w:tc>
        <w:tc>
          <w:tcPr>
            <w:tcW w:w="5" w:type="pct"/>
            <w:vAlign w:val="center"/>
            <w:hideMark/>
          </w:tcPr>
          <w:p w14:paraId="0C7FCD1B" w14:textId="77777777" w:rsidR="00000000" w:rsidRDefault="00E614A4">
            <w:pPr>
              <w:rPr>
                <w:rFonts w:eastAsia="Times New Roman"/>
                <w:sz w:val="20"/>
                <w:szCs w:val="20"/>
              </w:rPr>
            </w:pPr>
          </w:p>
        </w:tc>
        <w:tc>
          <w:tcPr>
            <w:tcW w:w="5" w:type="pct"/>
            <w:vAlign w:val="center"/>
            <w:hideMark/>
          </w:tcPr>
          <w:p w14:paraId="1DEC3BCF" w14:textId="77777777" w:rsidR="00000000" w:rsidRDefault="00E614A4">
            <w:pPr>
              <w:rPr>
                <w:rFonts w:eastAsia="Times New Roman"/>
                <w:sz w:val="20"/>
                <w:szCs w:val="20"/>
              </w:rPr>
            </w:pPr>
          </w:p>
        </w:tc>
        <w:tc>
          <w:tcPr>
            <w:tcW w:w="17" w:type="pct"/>
            <w:vAlign w:val="center"/>
            <w:hideMark/>
          </w:tcPr>
          <w:p w14:paraId="0ABF341E" w14:textId="77777777" w:rsidR="00000000" w:rsidRDefault="00E614A4">
            <w:pPr>
              <w:rPr>
                <w:rFonts w:eastAsia="Times New Roman"/>
                <w:sz w:val="20"/>
                <w:szCs w:val="20"/>
              </w:rPr>
            </w:pPr>
          </w:p>
        </w:tc>
        <w:tc>
          <w:tcPr>
            <w:tcW w:w="5" w:type="pct"/>
            <w:vAlign w:val="center"/>
            <w:hideMark/>
          </w:tcPr>
          <w:p w14:paraId="643F140D" w14:textId="77777777" w:rsidR="00000000" w:rsidRDefault="00E614A4">
            <w:pPr>
              <w:rPr>
                <w:rFonts w:eastAsia="Times New Roman"/>
                <w:sz w:val="20"/>
                <w:szCs w:val="20"/>
              </w:rPr>
            </w:pPr>
          </w:p>
        </w:tc>
        <w:tc>
          <w:tcPr>
            <w:tcW w:w="50" w:type="pct"/>
            <w:vAlign w:val="center"/>
            <w:hideMark/>
          </w:tcPr>
          <w:p w14:paraId="62F1168E" w14:textId="77777777" w:rsidR="00000000" w:rsidRDefault="00E614A4">
            <w:pPr>
              <w:rPr>
                <w:rFonts w:eastAsia="Times New Roman"/>
                <w:sz w:val="20"/>
                <w:szCs w:val="20"/>
              </w:rPr>
            </w:pPr>
          </w:p>
        </w:tc>
        <w:tc>
          <w:tcPr>
            <w:tcW w:w="465" w:type="pct"/>
            <w:vAlign w:val="center"/>
            <w:hideMark/>
          </w:tcPr>
          <w:p w14:paraId="55FB2BA3" w14:textId="77777777" w:rsidR="00000000" w:rsidRDefault="00E614A4">
            <w:pPr>
              <w:rPr>
                <w:rFonts w:eastAsia="Times New Roman"/>
                <w:sz w:val="20"/>
                <w:szCs w:val="20"/>
              </w:rPr>
            </w:pPr>
          </w:p>
        </w:tc>
        <w:tc>
          <w:tcPr>
            <w:tcW w:w="5" w:type="pct"/>
            <w:vAlign w:val="center"/>
            <w:hideMark/>
          </w:tcPr>
          <w:p w14:paraId="1FC5F531" w14:textId="77777777" w:rsidR="00000000" w:rsidRDefault="00E614A4">
            <w:pPr>
              <w:rPr>
                <w:rFonts w:eastAsia="Times New Roman"/>
                <w:sz w:val="20"/>
                <w:szCs w:val="20"/>
              </w:rPr>
            </w:pPr>
          </w:p>
        </w:tc>
        <w:tc>
          <w:tcPr>
            <w:tcW w:w="5" w:type="pct"/>
            <w:vAlign w:val="center"/>
            <w:hideMark/>
          </w:tcPr>
          <w:p w14:paraId="085C1EA3" w14:textId="77777777" w:rsidR="00000000" w:rsidRDefault="00E614A4">
            <w:pPr>
              <w:rPr>
                <w:rFonts w:eastAsia="Times New Roman"/>
                <w:sz w:val="20"/>
                <w:szCs w:val="20"/>
              </w:rPr>
            </w:pPr>
          </w:p>
        </w:tc>
        <w:tc>
          <w:tcPr>
            <w:tcW w:w="17" w:type="pct"/>
            <w:vAlign w:val="center"/>
            <w:hideMark/>
          </w:tcPr>
          <w:p w14:paraId="511011C7" w14:textId="77777777" w:rsidR="00000000" w:rsidRDefault="00E614A4">
            <w:pPr>
              <w:rPr>
                <w:rFonts w:eastAsia="Times New Roman"/>
                <w:sz w:val="20"/>
                <w:szCs w:val="20"/>
              </w:rPr>
            </w:pPr>
          </w:p>
        </w:tc>
        <w:tc>
          <w:tcPr>
            <w:tcW w:w="5" w:type="pct"/>
            <w:vAlign w:val="center"/>
            <w:hideMark/>
          </w:tcPr>
          <w:p w14:paraId="7086F2D4" w14:textId="77777777" w:rsidR="00000000" w:rsidRDefault="00E614A4">
            <w:pPr>
              <w:rPr>
                <w:rFonts w:eastAsia="Times New Roman"/>
                <w:sz w:val="20"/>
                <w:szCs w:val="20"/>
              </w:rPr>
            </w:pPr>
          </w:p>
        </w:tc>
        <w:tc>
          <w:tcPr>
            <w:tcW w:w="50" w:type="pct"/>
            <w:vAlign w:val="center"/>
            <w:hideMark/>
          </w:tcPr>
          <w:p w14:paraId="041EB2AB" w14:textId="77777777" w:rsidR="00000000" w:rsidRDefault="00E614A4">
            <w:pPr>
              <w:rPr>
                <w:rFonts w:eastAsia="Times New Roman"/>
                <w:sz w:val="20"/>
                <w:szCs w:val="20"/>
              </w:rPr>
            </w:pPr>
          </w:p>
        </w:tc>
        <w:tc>
          <w:tcPr>
            <w:tcW w:w="465" w:type="pct"/>
            <w:vAlign w:val="center"/>
            <w:hideMark/>
          </w:tcPr>
          <w:p w14:paraId="28B90325" w14:textId="77777777" w:rsidR="00000000" w:rsidRDefault="00E614A4">
            <w:pPr>
              <w:rPr>
                <w:rFonts w:eastAsia="Times New Roman"/>
                <w:sz w:val="20"/>
                <w:szCs w:val="20"/>
              </w:rPr>
            </w:pPr>
          </w:p>
        </w:tc>
        <w:tc>
          <w:tcPr>
            <w:tcW w:w="5" w:type="pct"/>
            <w:vAlign w:val="center"/>
            <w:hideMark/>
          </w:tcPr>
          <w:p w14:paraId="5CBA5EAF" w14:textId="77777777" w:rsidR="00000000" w:rsidRDefault="00E614A4">
            <w:pPr>
              <w:rPr>
                <w:rFonts w:eastAsia="Times New Roman"/>
                <w:sz w:val="20"/>
                <w:szCs w:val="20"/>
              </w:rPr>
            </w:pPr>
          </w:p>
        </w:tc>
        <w:tc>
          <w:tcPr>
            <w:tcW w:w="5" w:type="pct"/>
            <w:vAlign w:val="center"/>
            <w:hideMark/>
          </w:tcPr>
          <w:p w14:paraId="74CF3AE9" w14:textId="77777777" w:rsidR="00000000" w:rsidRDefault="00E614A4">
            <w:pPr>
              <w:rPr>
                <w:rFonts w:eastAsia="Times New Roman"/>
                <w:sz w:val="20"/>
                <w:szCs w:val="20"/>
              </w:rPr>
            </w:pPr>
          </w:p>
        </w:tc>
        <w:tc>
          <w:tcPr>
            <w:tcW w:w="17" w:type="pct"/>
            <w:vAlign w:val="center"/>
            <w:hideMark/>
          </w:tcPr>
          <w:p w14:paraId="4D13E698" w14:textId="77777777" w:rsidR="00000000" w:rsidRDefault="00E614A4">
            <w:pPr>
              <w:rPr>
                <w:rFonts w:eastAsia="Times New Roman"/>
                <w:sz w:val="20"/>
                <w:szCs w:val="20"/>
              </w:rPr>
            </w:pPr>
          </w:p>
        </w:tc>
        <w:tc>
          <w:tcPr>
            <w:tcW w:w="5" w:type="pct"/>
            <w:vAlign w:val="center"/>
            <w:hideMark/>
          </w:tcPr>
          <w:p w14:paraId="0F822911" w14:textId="77777777" w:rsidR="00000000" w:rsidRDefault="00E614A4">
            <w:pPr>
              <w:rPr>
                <w:rFonts w:eastAsia="Times New Roman"/>
                <w:sz w:val="20"/>
                <w:szCs w:val="20"/>
              </w:rPr>
            </w:pPr>
          </w:p>
        </w:tc>
        <w:tc>
          <w:tcPr>
            <w:tcW w:w="50" w:type="pct"/>
            <w:vAlign w:val="center"/>
            <w:hideMark/>
          </w:tcPr>
          <w:p w14:paraId="0F6E2E78" w14:textId="77777777" w:rsidR="00000000" w:rsidRDefault="00E614A4">
            <w:pPr>
              <w:rPr>
                <w:rFonts w:eastAsia="Times New Roman"/>
                <w:sz w:val="20"/>
                <w:szCs w:val="20"/>
              </w:rPr>
            </w:pPr>
          </w:p>
        </w:tc>
        <w:tc>
          <w:tcPr>
            <w:tcW w:w="466" w:type="pct"/>
            <w:vAlign w:val="center"/>
            <w:hideMark/>
          </w:tcPr>
          <w:p w14:paraId="10F97B67" w14:textId="77777777" w:rsidR="00000000" w:rsidRDefault="00E614A4">
            <w:pPr>
              <w:rPr>
                <w:rFonts w:eastAsia="Times New Roman"/>
                <w:sz w:val="20"/>
                <w:szCs w:val="20"/>
              </w:rPr>
            </w:pPr>
          </w:p>
        </w:tc>
        <w:tc>
          <w:tcPr>
            <w:tcW w:w="5" w:type="pct"/>
            <w:vAlign w:val="center"/>
            <w:hideMark/>
          </w:tcPr>
          <w:p w14:paraId="4DFFCEAC" w14:textId="77777777" w:rsidR="00000000" w:rsidRDefault="00E614A4">
            <w:pPr>
              <w:rPr>
                <w:rFonts w:eastAsia="Times New Roman"/>
                <w:sz w:val="20"/>
                <w:szCs w:val="20"/>
              </w:rPr>
            </w:pPr>
          </w:p>
        </w:tc>
      </w:tr>
      <w:tr w:rsidR="00000000" w14:paraId="76D07D75" w14:textId="77777777">
        <w:trPr>
          <w:divId w:val="1657300095"/>
        </w:trPr>
        <w:tc>
          <w:tcPr>
            <w:tcW w:w="0" w:type="auto"/>
            <w:gridSpan w:val="3"/>
            <w:tcMar>
              <w:top w:w="30" w:type="dxa"/>
              <w:left w:w="20" w:type="dxa"/>
              <w:bottom w:w="30" w:type="dxa"/>
              <w:right w:w="20" w:type="dxa"/>
            </w:tcMar>
            <w:vAlign w:val="bottom"/>
            <w:hideMark/>
          </w:tcPr>
          <w:p w14:paraId="7EADA15F"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614C45A"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45BDA0DD" w14:textId="77777777" w:rsidR="00000000" w:rsidRDefault="00E614A4">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16D114E8"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6E1BBADB" w14:textId="77777777" w:rsidR="00000000" w:rsidRDefault="00E614A4">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Mar>
              <w:top w:w="0" w:type="dxa"/>
              <w:left w:w="20" w:type="dxa"/>
              <w:bottom w:w="0" w:type="dxa"/>
              <w:right w:w="20" w:type="dxa"/>
            </w:tcMar>
            <w:vAlign w:val="center"/>
            <w:hideMark/>
          </w:tcPr>
          <w:p w14:paraId="38DC54B3"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77AA3BA7" w14:textId="77777777" w:rsidR="00000000" w:rsidRDefault="00E614A4">
            <w:pPr>
              <w:jc w:val="center"/>
              <w:rPr>
                <w:rFonts w:eastAsia="Times New Roman"/>
              </w:rPr>
            </w:pPr>
            <w:r>
              <w:rPr>
                <w:rFonts w:eastAsia="Times New Roman"/>
                <w:b/>
                <w:bCs/>
                <w:color w:val="000000"/>
                <w:sz w:val="16"/>
                <w:szCs w:val="16"/>
              </w:rPr>
              <w:t>1-3 Years</w:t>
            </w:r>
          </w:p>
        </w:tc>
        <w:tc>
          <w:tcPr>
            <w:tcW w:w="0" w:type="auto"/>
            <w:gridSpan w:val="3"/>
            <w:tcMar>
              <w:top w:w="0" w:type="dxa"/>
              <w:left w:w="20" w:type="dxa"/>
              <w:bottom w:w="0" w:type="dxa"/>
              <w:right w:w="20" w:type="dxa"/>
            </w:tcMar>
            <w:vAlign w:val="center"/>
            <w:hideMark/>
          </w:tcPr>
          <w:p w14:paraId="58BF73B2"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43C66195" w14:textId="77777777" w:rsidR="00000000" w:rsidRDefault="00E614A4">
            <w:pPr>
              <w:jc w:val="center"/>
              <w:rPr>
                <w:rFonts w:eastAsia="Times New Roman"/>
              </w:rPr>
            </w:pPr>
            <w:r>
              <w:rPr>
                <w:rFonts w:eastAsia="Times New Roman"/>
                <w:b/>
                <w:bCs/>
                <w:color w:val="000000"/>
                <w:sz w:val="16"/>
                <w:szCs w:val="16"/>
              </w:rPr>
              <w:t>3-5</w:t>
            </w:r>
            <w:r>
              <w:rPr>
                <w:rFonts w:eastAsia="Times New Roman"/>
                <w:b/>
                <w:bCs/>
                <w:color w:val="000000"/>
                <w:sz w:val="16"/>
                <w:szCs w:val="16"/>
              </w:rPr>
              <w:br/>
              <w:t>Years</w:t>
            </w:r>
          </w:p>
        </w:tc>
        <w:tc>
          <w:tcPr>
            <w:tcW w:w="0" w:type="auto"/>
            <w:gridSpan w:val="3"/>
            <w:tcMar>
              <w:top w:w="0" w:type="dxa"/>
              <w:left w:w="20" w:type="dxa"/>
              <w:bottom w:w="0" w:type="dxa"/>
              <w:right w:w="20" w:type="dxa"/>
            </w:tcMar>
            <w:vAlign w:val="center"/>
            <w:hideMark/>
          </w:tcPr>
          <w:p w14:paraId="2C9A7CE1"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3DB57EDB" w14:textId="77777777" w:rsidR="00000000" w:rsidRDefault="00E614A4">
            <w:pPr>
              <w:jc w:val="center"/>
              <w:rPr>
                <w:rFonts w:eastAsia="Times New Roman"/>
              </w:rPr>
            </w:pPr>
            <w:r>
              <w:rPr>
                <w:rFonts w:eastAsia="Times New Roman"/>
                <w:b/>
                <w:bCs/>
                <w:color w:val="000000"/>
                <w:sz w:val="16"/>
                <w:szCs w:val="16"/>
              </w:rPr>
              <w:t>More</w:t>
            </w:r>
            <w:r>
              <w:rPr>
                <w:rFonts w:eastAsia="Times New Roman"/>
                <w:b/>
                <w:bCs/>
                <w:color w:val="000000"/>
                <w:sz w:val="16"/>
                <w:szCs w:val="16"/>
              </w:rPr>
              <w:br/>
              <w:t>Than 5</w:t>
            </w:r>
            <w:r>
              <w:rPr>
                <w:rFonts w:eastAsia="Times New Roman"/>
                <w:b/>
                <w:bCs/>
                <w:color w:val="000000"/>
                <w:sz w:val="16"/>
                <w:szCs w:val="16"/>
              </w:rPr>
              <w:br/>
              <w:t>Years</w:t>
            </w:r>
          </w:p>
        </w:tc>
      </w:tr>
      <w:tr w:rsidR="00000000" w14:paraId="0EA89800" w14:textId="77777777">
        <w:trPr>
          <w:divId w:val="1657300095"/>
        </w:trPr>
        <w:tc>
          <w:tcPr>
            <w:tcW w:w="0" w:type="auto"/>
            <w:gridSpan w:val="3"/>
            <w:shd w:val="clear" w:color="auto" w:fill="CCEEFF"/>
            <w:tcMar>
              <w:top w:w="30" w:type="dxa"/>
              <w:left w:w="20" w:type="dxa"/>
              <w:bottom w:w="30" w:type="dxa"/>
              <w:right w:w="20" w:type="dxa"/>
            </w:tcMar>
            <w:hideMark/>
          </w:tcPr>
          <w:p w14:paraId="3769F2E8" w14:textId="77777777" w:rsidR="00000000" w:rsidRDefault="00E614A4">
            <w:pPr>
              <w:divId w:val="1793985968"/>
              <w:rPr>
                <w:rFonts w:eastAsia="Times New Roman"/>
              </w:rPr>
            </w:pPr>
            <w:r>
              <w:rPr>
                <w:rFonts w:eastAsia="Times New Roman"/>
                <w:color w:val="000000"/>
                <w:sz w:val="18"/>
                <w:szCs w:val="18"/>
              </w:rPr>
              <w:t>Long-term debt obligations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6987C6E"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EA731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4EC96D" w14:textId="77777777" w:rsidR="00000000" w:rsidRDefault="00E614A4">
            <w:pPr>
              <w:jc w:val="right"/>
              <w:rPr>
                <w:rFonts w:eastAsia="Times New Roman"/>
              </w:rPr>
            </w:pPr>
            <w:r>
              <w:rPr>
                <w:rFonts w:eastAsia="Times New Roman"/>
                <w:color w:val="000000"/>
                <w:sz w:val="18"/>
                <w:szCs w:val="18"/>
              </w:rPr>
              <w:t>217,000 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1FC5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97F3A"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E298C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0BF9CA" w14:textId="77777777" w:rsidR="00000000" w:rsidRDefault="00E614A4">
            <w:pPr>
              <w:jc w:val="right"/>
              <w:rPr>
                <w:rFonts w:eastAsia="Times New Roman"/>
              </w:rPr>
            </w:pPr>
            <w:r>
              <w:rPr>
                <w:rFonts w:eastAsia="Times New Roman"/>
                <w:color w:val="000000"/>
                <w:sz w:val="18"/>
                <w:szCs w:val="18"/>
              </w:rPr>
              <w:t>13,000 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7A78A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34FF8"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CFCB0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AC1DE9" w14:textId="77777777" w:rsidR="00000000" w:rsidRDefault="00E614A4">
            <w:pPr>
              <w:jc w:val="right"/>
              <w:rPr>
                <w:rFonts w:eastAsia="Times New Roman"/>
              </w:rPr>
            </w:pPr>
            <w:r>
              <w:rPr>
                <w:rFonts w:eastAsia="Times New Roman"/>
                <w:color w:val="000000"/>
                <w:sz w:val="18"/>
                <w:szCs w:val="18"/>
              </w:rPr>
              <w:t>204,000 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045C1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DE680"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9097F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23966F"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4EEBC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807C3"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0E8EF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90873B"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A0BE13" w14:textId="77777777" w:rsidR="00000000" w:rsidRDefault="00E614A4">
            <w:pPr>
              <w:jc w:val="right"/>
              <w:rPr>
                <w:rFonts w:eastAsia="Times New Roman"/>
              </w:rPr>
            </w:pPr>
          </w:p>
        </w:tc>
      </w:tr>
      <w:tr w:rsidR="00000000" w14:paraId="2B8983BA" w14:textId="77777777">
        <w:trPr>
          <w:divId w:val="1657300095"/>
        </w:trPr>
        <w:tc>
          <w:tcPr>
            <w:tcW w:w="0" w:type="auto"/>
            <w:gridSpan w:val="3"/>
            <w:shd w:val="clear" w:color="auto" w:fill="FFFFFF"/>
            <w:tcMar>
              <w:top w:w="30" w:type="dxa"/>
              <w:left w:w="20" w:type="dxa"/>
              <w:bottom w:w="30" w:type="dxa"/>
              <w:right w:w="20" w:type="dxa"/>
            </w:tcMar>
            <w:hideMark/>
          </w:tcPr>
          <w:p w14:paraId="74DBFB35" w14:textId="77777777" w:rsidR="00000000" w:rsidRDefault="00E614A4">
            <w:pPr>
              <w:divId w:val="483469048"/>
              <w:rPr>
                <w:rFonts w:eastAsia="Times New Roman"/>
              </w:rPr>
            </w:pPr>
            <w:r>
              <w:rPr>
                <w:rFonts w:eastAsia="Times New Roman"/>
                <w:color w:val="000000"/>
                <w:sz w:val="18"/>
                <w:szCs w:val="18"/>
              </w:rPr>
              <w:t>Unconditional purchase obligations with MVPDs</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6412956"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DB9AE2" w14:textId="77777777" w:rsidR="00000000" w:rsidRDefault="00E614A4">
            <w:pPr>
              <w:jc w:val="right"/>
              <w:rPr>
                <w:rFonts w:eastAsia="Times New Roman"/>
              </w:rPr>
            </w:pPr>
            <w:r>
              <w:rPr>
                <w:rFonts w:eastAsia="Times New Roman"/>
                <w:color w:val="000000"/>
                <w:sz w:val="18"/>
                <w:szCs w:val="18"/>
              </w:rPr>
              <w:t>72,574 </w:t>
            </w:r>
          </w:p>
        </w:tc>
        <w:tc>
          <w:tcPr>
            <w:tcW w:w="0" w:type="auto"/>
            <w:shd w:val="clear" w:color="auto" w:fill="FFFFFF"/>
            <w:tcMar>
              <w:top w:w="30" w:type="dxa"/>
              <w:left w:w="0" w:type="dxa"/>
              <w:bottom w:w="30" w:type="dxa"/>
              <w:right w:w="20" w:type="dxa"/>
            </w:tcMar>
            <w:vAlign w:val="bottom"/>
            <w:hideMark/>
          </w:tcPr>
          <w:p w14:paraId="0FD1DDB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39B0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E7A4A" w14:textId="77777777" w:rsidR="00000000" w:rsidRDefault="00E614A4">
            <w:pPr>
              <w:jc w:val="right"/>
              <w:rPr>
                <w:rFonts w:eastAsia="Times New Roman"/>
              </w:rPr>
            </w:pPr>
            <w:r>
              <w:rPr>
                <w:rFonts w:eastAsia="Times New Roman"/>
                <w:color w:val="000000"/>
                <w:sz w:val="18"/>
                <w:szCs w:val="18"/>
              </w:rPr>
              <w:t>27,620 </w:t>
            </w:r>
          </w:p>
        </w:tc>
        <w:tc>
          <w:tcPr>
            <w:tcW w:w="0" w:type="auto"/>
            <w:shd w:val="clear" w:color="auto" w:fill="FFFFFF"/>
            <w:tcMar>
              <w:top w:w="30" w:type="dxa"/>
              <w:left w:w="0" w:type="dxa"/>
              <w:bottom w:w="30" w:type="dxa"/>
              <w:right w:w="20" w:type="dxa"/>
            </w:tcMar>
            <w:vAlign w:val="bottom"/>
            <w:hideMark/>
          </w:tcPr>
          <w:p w14:paraId="1336253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E035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12C85B" w14:textId="77777777" w:rsidR="00000000" w:rsidRDefault="00E614A4">
            <w:pPr>
              <w:jc w:val="right"/>
              <w:rPr>
                <w:rFonts w:eastAsia="Times New Roman"/>
              </w:rPr>
            </w:pPr>
            <w:r>
              <w:rPr>
                <w:rFonts w:eastAsia="Times New Roman"/>
                <w:color w:val="000000"/>
                <w:sz w:val="18"/>
                <w:szCs w:val="18"/>
              </w:rPr>
              <w:t>44,954 </w:t>
            </w:r>
          </w:p>
        </w:tc>
        <w:tc>
          <w:tcPr>
            <w:tcW w:w="0" w:type="auto"/>
            <w:shd w:val="clear" w:color="auto" w:fill="FFFFFF"/>
            <w:tcMar>
              <w:top w:w="30" w:type="dxa"/>
              <w:left w:w="0" w:type="dxa"/>
              <w:bottom w:w="30" w:type="dxa"/>
              <w:right w:w="20" w:type="dxa"/>
            </w:tcMar>
            <w:vAlign w:val="bottom"/>
            <w:hideMark/>
          </w:tcPr>
          <w:p w14:paraId="509D1F8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FD67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63C05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D5AD8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6F068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A7E3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A94359" w14:textId="77777777" w:rsidR="00000000" w:rsidRDefault="00E614A4">
            <w:pPr>
              <w:jc w:val="right"/>
              <w:rPr>
                <w:rFonts w:eastAsia="Times New Roman"/>
              </w:rPr>
            </w:pPr>
          </w:p>
        </w:tc>
      </w:tr>
      <w:tr w:rsidR="00000000" w14:paraId="263FC363" w14:textId="77777777">
        <w:trPr>
          <w:divId w:val="1657300095"/>
        </w:trPr>
        <w:tc>
          <w:tcPr>
            <w:tcW w:w="0" w:type="auto"/>
            <w:gridSpan w:val="3"/>
            <w:shd w:val="clear" w:color="auto" w:fill="CCEEFF"/>
            <w:tcMar>
              <w:top w:w="30" w:type="dxa"/>
              <w:left w:w="20" w:type="dxa"/>
              <w:bottom w:w="30" w:type="dxa"/>
              <w:right w:w="20" w:type="dxa"/>
            </w:tcMar>
            <w:hideMark/>
          </w:tcPr>
          <w:p w14:paraId="558F3A9B" w14:textId="77777777" w:rsidR="00000000" w:rsidRDefault="00E614A4">
            <w:pPr>
              <w:divId w:val="2042319864"/>
              <w:rPr>
                <w:rFonts w:eastAsia="Times New Roman"/>
              </w:rPr>
            </w:pPr>
            <w:r>
              <w:rPr>
                <w:rFonts w:eastAsia="Times New Roman"/>
                <w:color w:val="000000"/>
                <w:sz w:val="18"/>
                <w:szCs w:val="18"/>
              </w:rPr>
              <w:t>Operating lease obligations</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2C82373"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04D623" w14:textId="77777777" w:rsidR="00000000" w:rsidRDefault="00E614A4">
            <w:pPr>
              <w:jc w:val="right"/>
              <w:rPr>
                <w:rFonts w:eastAsia="Times New Roman"/>
              </w:rPr>
            </w:pPr>
            <w:r>
              <w:rPr>
                <w:rFonts w:eastAsia="Times New Roman"/>
                <w:color w:val="000000"/>
                <w:sz w:val="18"/>
                <w:szCs w:val="18"/>
              </w:rPr>
              <w:t>62,900 </w:t>
            </w:r>
          </w:p>
        </w:tc>
        <w:tc>
          <w:tcPr>
            <w:tcW w:w="0" w:type="auto"/>
            <w:shd w:val="clear" w:color="auto" w:fill="CCEEFF"/>
            <w:tcMar>
              <w:top w:w="30" w:type="dxa"/>
              <w:left w:w="0" w:type="dxa"/>
              <w:bottom w:w="30" w:type="dxa"/>
              <w:right w:w="20" w:type="dxa"/>
            </w:tcMar>
            <w:vAlign w:val="bottom"/>
            <w:hideMark/>
          </w:tcPr>
          <w:p w14:paraId="6B97AAC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022C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C35F4C" w14:textId="77777777" w:rsidR="00000000" w:rsidRDefault="00E614A4">
            <w:pPr>
              <w:jc w:val="right"/>
              <w:rPr>
                <w:rFonts w:eastAsia="Times New Roman"/>
              </w:rPr>
            </w:pPr>
            <w:r>
              <w:rPr>
                <w:rFonts w:eastAsia="Times New Roman"/>
                <w:color w:val="000000"/>
                <w:sz w:val="18"/>
                <w:szCs w:val="18"/>
              </w:rPr>
              <w:t>12,175 </w:t>
            </w:r>
          </w:p>
        </w:tc>
        <w:tc>
          <w:tcPr>
            <w:tcW w:w="0" w:type="auto"/>
            <w:shd w:val="clear" w:color="auto" w:fill="CCEEFF"/>
            <w:tcMar>
              <w:top w:w="30" w:type="dxa"/>
              <w:left w:w="0" w:type="dxa"/>
              <w:bottom w:w="30" w:type="dxa"/>
              <w:right w:w="20" w:type="dxa"/>
            </w:tcMar>
            <w:vAlign w:val="bottom"/>
            <w:hideMark/>
          </w:tcPr>
          <w:p w14:paraId="0C2BBE2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29B17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89BB8F" w14:textId="77777777" w:rsidR="00000000" w:rsidRDefault="00E614A4">
            <w:pPr>
              <w:jc w:val="right"/>
              <w:rPr>
                <w:rFonts w:eastAsia="Times New Roman"/>
              </w:rPr>
            </w:pPr>
            <w:r>
              <w:rPr>
                <w:rFonts w:eastAsia="Times New Roman"/>
                <w:color w:val="000000"/>
                <w:sz w:val="18"/>
                <w:szCs w:val="18"/>
              </w:rPr>
              <w:t>19,202 </w:t>
            </w:r>
          </w:p>
        </w:tc>
        <w:tc>
          <w:tcPr>
            <w:tcW w:w="0" w:type="auto"/>
            <w:shd w:val="clear" w:color="auto" w:fill="CCEEFF"/>
            <w:tcMar>
              <w:top w:w="30" w:type="dxa"/>
              <w:left w:w="0" w:type="dxa"/>
              <w:bottom w:w="30" w:type="dxa"/>
              <w:right w:w="20" w:type="dxa"/>
            </w:tcMar>
            <w:vAlign w:val="bottom"/>
            <w:hideMark/>
          </w:tcPr>
          <w:p w14:paraId="5DED1F8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09D2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9795E" w14:textId="77777777" w:rsidR="00000000" w:rsidRDefault="00E614A4">
            <w:pPr>
              <w:jc w:val="right"/>
              <w:rPr>
                <w:rFonts w:eastAsia="Times New Roman"/>
              </w:rPr>
            </w:pPr>
            <w:r>
              <w:rPr>
                <w:rFonts w:eastAsia="Times New Roman"/>
                <w:color w:val="000000"/>
                <w:sz w:val="18"/>
                <w:szCs w:val="18"/>
              </w:rPr>
              <w:t>17,240 </w:t>
            </w:r>
          </w:p>
        </w:tc>
        <w:tc>
          <w:tcPr>
            <w:tcW w:w="0" w:type="auto"/>
            <w:shd w:val="clear" w:color="auto" w:fill="CCEEFF"/>
            <w:tcMar>
              <w:top w:w="30" w:type="dxa"/>
              <w:left w:w="0" w:type="dxa"/>
              <w:bottom w:w="30" w:type="dxa"/>
              <w:right w:w="20" w:type="dxa"/>
            </w:tcMar>
            <w:vAlign w:val="bottom"/>
            <w:hideMark/>
          </w:tcPr>
          <w:p w14:paraId="20B1FEC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87632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44AC7" w14:textId="77777777" w:rsidR="00000000" w:rsidRDefault="00E614A4">
            <w:pPr>
              <w:jc w:val="right"/>
              <w:rPr>
                <w:rFonts w:eastAsia="Times New Roman"/>
              </w:rPr>
            </w:pPr>
            <w:r>
              <w:rPr>
                <w:rFonts w:eastAsia="Times New Roman"/>
                <w:color w:val="000000"/>
                <w:sz w:val="18"/>
                <w:szCs w:val="18"/>
              </w:rPr>
              <w:t>14,283 </w:t>
            </w:r>
          </w:p>
        </w:tc>
        <w:tc>
          <w:tcPr>
            <w:tcW w:w="0" w:type="auto"/>
            <w:shd w:val="clear" w:color="auto" w:fill="CCEEFF"/>
            <w:tcMar>
              <w:top w:w="30" w:type="dxa"/>
              <w:left w:w="0" w:type="dxa"/>
              <w:bottom w:w="30" w:type="dxa"/>
              <w:right w:w="20" w:type="dxa"/>
            </w:tcMar>
            <w:vAlign w:val="bottom"/>
            <w:hideMark/>
          </w:tcPr>
          <w:p w14:paraId="69E58C2E" w14:textId="77777777" w:rsidR="00000000" w:rsidRDefault="00E614A4">
            <w:pPr>
              <w:jc w:val="right"/>
              <w:rPr>
                <w:rFonts w:eastAsia="Times New Roman"/>
              </w:rPr>
            </w:pPr>
          </w:p>
        </w:tc>
      </w:tr>
      <w:tr w:rsidR="00000000" w14:paraId="6FEE9FCD" w14:textId="77777777">
        <w:trPr>
          <w:divId w:val="1657300095"/>
        </w:trPr>
        <w:tc>
          <w:tcPr>
            <w:tcW w:w="0" w:type="auto"/>
            <w:gridSpan w:val="3"/>
            <w:shd w:val="clear" w:color="auto" w:fill="FFFFFF"/>
            <w:tcMar>
              <w:top w:w="30" w:type="dxa"/>
              <w:left w:w="20" w:type="dxa"/>
              <w:bottom w:w="30" w:type="dxa"/>
              <w:right w:w="20" w:type="dxa"/>
            </w:tcMar>
            <w:hideMark/>
          </w:tcPr>
          <w:p w14:paraId="77377E69" w14:textId="77777777" w:rsidR="00000000" w:rsidRDefault="00E614A4">
            <w:pPr>
              <w:divId w:val="84960755"/>
              <w:rPr>
                <w:rFonts w:eastAsia="Times New Roman"/>
              </w:rPr>
            </w:pPr>
            <w:r>
              <w:rPr>
                <w:rFonts w:eastAsia="Times New Roman"/>
                <w:color w:val="000000"/>
                <w:sz w:val="18"/>
                <w:szCs w:val="18"/>
              </w:rPr>
              <w:t>Finance lease obligations</w:t>
            </w:r>
            <w:r>
              <w:rPr>
                <w:rFonts w:eastAsia="Times New Roman"/>
                <w:color w:val="000000"/>
                <w:sz w:val="18"/>
                <w:szCs w:val="18"/>
              </w:rPr>
              <w:t xml:space="preserve"> </w:t>
            </w:r>
            <w:r>
              <w:rPr>
                <w:rFonts w:eastAsia="Times New Roman"/>
                <w:i/>
                <w:iCs/>
                <w:color w:val="000000"/>
                <w:sz w:val="12"/>
                <w:szCs w:val="12"/>
              </w:rPr>
              <w:t>(4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6F96CFF"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D72703" w14:textId="77777777" w:rsidR="00000000" w:rsidRDefault="00E614A4">
            <w:pPr>
              <w:jc w:val="right"/>
              <w:rPr>
                <w:rFonts w:eastAsia="Times New Roman"/>
              </w:rPr>
            </w:pPr>
            <w:r>
              <w:rPr>
                <w:rFonts w:eastAsia="Times New Roman"/>
                <w:color w:val="000000"/>
                <w:sz w:val="18"/>
                <w:szCs w:val="18"/>
              </w:rPr>
              <w:t>3,476 </w:t>
            </w:r>
          </w:p>
        </w:tc>
        <w:tc>
          <w:tcPr>
            <w:tcW w:w="0" w:type="auto"/>
            <w:shd w:val="clear" w:color="auto" w:fill="FFFFFF"/>
            <w:tcMar>
              <w:top w:w="30" w:type="dxa"/>
              <w:left w:w="0" w:type="dxa"/>
              <w:bottom w:w="30" w:type="dxa"/>
              <w:right w:w="20" w:type="dxa"/>
            </w:tcMar>
            <w:vAlign w:val="bottom"/>
            <w:hideMark/>
          </w:tcPr>
          <w:p w14:paraId="5E0076A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4D95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A26499" w14:textId="77777777" w:rsidR="00000000" w:rsidRDefault="00E614A4">
            <w:pPr>
              <w:jc w:val="right"/>
              <w:rPr>
                <w:rFonts w:eastAsia="Times New Roman"/>
              </w:rPr>
            </w:pPr>
            <w:r>
              <w:rPr>
                <w:rFonts w:eastAsia="Times New Roman"/>
                <w:color w:val="000000"/>
                <w:sz w:val="18"/>
                <w:szCs w:val="18"/>
              </w:rPr>
              <w:t>2,201 </w:t>
            </w:r>
          </w:p>
        </w:tc>
        <w:tc>
          <w:tcPr>
            <w:tcW w:w="0" w:type="auto"/>
            <w:shd w:val="clear" w:color="auto" w:fill="FFFFFF"/>
            <w:tcMar>
              <w:top w:w="30" w:type="dxa"/>
              <w:left w:w="0" w:type="dxa"/>
              <w:bottom w:w="30" w:type="dxa"/>
              <w:right w:w="20" w:type="dxa"/>
            </w:tcMar>
            <w:vAlign w:val="bottom"/>
            <w:hideMark/>
          </w:tcPr>
          <w:p w14:paraId="52FA2FC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8ACB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D752EE" w14:textId="77777777" w:rsidR="00000000" w:rsidRDefault="00E614A4">
            <w:pPr>
              <w:jc w:val="right"/>
              <w:rPr>
                <w:rFonts w:eastAsia="Times New Roman"/>
              </w:rPr>
            </w:pPr>
            <w:r>
              <w:rPr>
                <w:rFonts w:eastAsia="Times New Roman"/>
                <w:color w:val="000000"/>
                <w:sz w:val="18"/>
                <w:szCs w:val="18"/>
              </w:rPr>
              <w:t>1,275 </w:t>
            </w:r>
          </w:p>
        </w:tc>
        <w:tc>
          <w:tcPr>
            <w:tcW w:w="0" w:type="auto"/>
            <w:shd w:val="clear" w:color="auto" w:fill="FFFFFF"/>
            <w:tcMar>
              <w:top w:w="30" w:type="dxa"/>
              <w:left w:w="0" w:type="dxa"/>
              <w:bottom w:w="30" w:type="dxa"/>
              <w:right w:w="20" w:type="dxa"/>
            </w:tcMar>
            <w:vAlign w:val="bottom"/>
            <w:hideMark/>
          </w:tcPr>
          <w:p w14:paraId="05955BD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1FA3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19BE8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AF9FC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27C5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B94C5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B319BA" w14:textId="77777777" w:rsidR="00000000" w:rsidRDefault="00E614A4">
            <w:pPr>
              <w:jc w:val="right"/>
              <w:rPr>
                <w:rFonts w:eastAsia="Times New Roman"/>
              </w:rPr>
            </w:pPr>
          </w:p>
        </w:tc>
      </w:tr>
      <w:tr w:rsidR="00000000" w14:paraId="0CBDA53C" w14:textId="77777777">
        <w:trPr>
          <w:divId w:val="1657300095"/>
        </w:trPr>
        <w:tc>
          <w:tcPr>
            <w:tcW w:w="0" w:type="auto"/>
            <w:gridSpan w:val="3"/>
            <w:shd w:val="clear" w:color="auto" w:fill="CCEEFF"/>
            <w:tcMar>
              <w:top w:w="30" w:type="dxa"/>
              <w:left w:w="20" w:type="dxa"/>
              <w:bottom w:w="30" w:type="dxa"/>
              <w:right w:w="20" w:type="dxa"/>
            </w:tcMar>
            <w:hideMark/>
          </w:tcPr>
          <w:p w14:paraId="30757442" w14:textId="77777777" w:rsidR="00000000" w:rsidRDefault="00E614A4">
            <w:pPr>
              <w:divId w:val="1287930564"/>
              <w:rPr>
                <w:rFonts w:eastAsia="Times New Roman"/>
              </w:rPr>
            </w:pPr>
            <w:r>
              <w:rPr>
                <w:rFonts w:eastAsia="Times New Roman"/>
                <w:color w:val="000000"/>
                <w:sz w:val="18"/>
                <w:szCs w:val="18"/>
              </w:rPr>
              <w:t>Sale-leaseback financing transaction</w:t>
            </w:r>
            <w:r>
              <w:rPr>
                <w:rFonts w:eastAsia="Times New Roman"/>
                <w:color w:val="000000"/>
                <w:sz w:val="18"/>
                <w:szCs w:val="18"/>
              </w:rPr>
              <w:t xml:space="preserve"> </w:t>
            </w:r>
            <w:r>
              <w:rPr>
                <w:rFonts w:eastAsia="Times New Roman"/>
                <w:i/>
                <w:iCs/>
                <w:color w:val="000000"/>
                <w:sz w:val="12"/>
                <w:szCs w:val="12"/>
              </w:rPr>
              <w:t>(5</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4F9DA53"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396D88" w14:textId="77777777" w:rsidR="00000000" w:rsidRDefault="00E614A4">
            <w:pPr>
              <w:jc w:val="right"/>
              <w:rPr>
                <w:rFonts w:eastAsia="Times New Roman"/>
              </w:rPr>
            </w:pPr>
            <w:r>
              <w:rPr>
                <w:rFonts w:eastAsia="Times New Roman"/>
                <w:color w:val="000000"/>
                <w:sz w:val="18"/>
                <w:szCs w:val="18"/>
              </w:rPr>
              <w:t>1,422 </w:t>
            </w:r>
          </w:p>
        </w:tc>
        <w:tc>
          <w:tcPr>
            <w:tcW w:w="0" w:type="auto"/>
            <w:shd w:val="clear" w:color="auto" w:fill="CCEEFF"/>
            <w:tcMar>
              <w:top w:w="30" w:type="dxa"/>
              <w:left w:w="0" w:type="dxa"/>
              <w:bottom w:w="30" w:type="dxa"/>
              <w:right w:w="20" w:type="dxa"/>
            </w:tcMar>
            <w:vAlign w:val="bottom"/>
            <w:hideMark/>
          </w:tcPr>
          <w:p w14:paraId="562BC9E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D986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FCA06C" w14:textId="77777777" w:rsidR="00000000" w:rsidRDefault="00E614A4">
            <w:pPr>
              <w:jc w:val="right"/>
              <w:rPr>
                <w:rFonts w:eastAsia="Times New Roman"/>
              </w:rPr>
            </w:pPr>
            <w:r>
              <w:rPr>
                <w:rFonts w:eastAsia="Times New Roman"/>
                <w:color w:val="000000"/>
                <w:sz w:val="18"/>
                <w:szCs w:val="18"/>
              </w:rPr>
              <w:t>1,422 </w:t>
            </w:r>
          </w:p>
        </w:tc>
        <w:tc>
          <w:tcPr>
            <w:tcW w:w="0" w:type="auto"/>
            <w:shd w:val="clear" w:color="auto" w:fill="CCEEFF"/>
            <w:tcMar>
              <w:top w:w="30" w:type="dxa"/>
              <w:left w:w="0" w:type="dxa"/>
              <w:bottom w:w="30" w:type="dxa"/>
              <w:right w:w="20" w:type="dxa"/>
            </w:tcMar>
            <w:vAlign w:val="bottom"/>
            <w:hideMark/>
          </w:tcPr>
          <w:p w14:paraId="5FA35CD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DD65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8565F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A630D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D709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C536A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8CFABA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8AB4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D0014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CD36D6" w14:textId="77777777" w:rsidR="00000000" w:rsidRDefault="00E614A4">
            <w:pPr>
              <w:jc w:val="right"/>
              <w:rPr>
                <w:rFonts w:eastAsia="Times New Roman"/>
              </w:rPr>
            </w:pPr>
          </w:p>
        </w:tc>
      </w:tr>
      <w:tr w:rsidR="00000000" w14:paraId="4C85E3A5" w14:textId="77777777">
        <w:trPr>
          <w:divId w:val="1657300095"/>
        </w:trPr>
        <w:tc>
          <w:tcPr>
            <w:tcW w:w="0" w:type="auto"/>
            <w:gridSpan w:val="3"/>
            <w:shd w:val="clear" w:color="auto" w:fill="FFFFFF"/>
            <w:tcMar>
              <w:top w:w="30" w:type="dxa"/>
              <w:left w:w="20" w:type="dxa"/>
              <w:bottom w:w="30" w:type="dxa"/>
              <w:right w:w="20" w:type="dxa"/>
            </w:tcMar>
            <w:hideMark/>
          </w:tcPr>
          <w:p w14:paraId="62789B14" w14:textId="77777777" w:rsidR="00000000" w:rsidRDefault="00E614A4">
            <w:pPr>
              <w:divId w:val="2106806909"/>
              <w:rPr>
                <w:rFonts w:eastAsia="Times New Roman"/>
              </w:rPr>
            </w:pPr>
            <w:r>
              <w:rPr>
                <w:rFonts w:eastAsia="Times New Roman"/>
                <w:color w:val="000000"/>
                <w:sz w:val="18"/>
                <w:szCs w:val="18"/>
              </w:rPr>
              <w:t>Other long-term obligations</w:t>
            </w:r>
            <w:r>
              <w:rPr>
                <w:rFonts w:eastAsia="Times New Roman"/>
                <w:color w:val="000000"/>
                <w:sz w:val="18"/>
                <w:szCs w:val="18"/>
              </w:rPr>
              <w:t xml:space="preserve"> </w:t>
            </w:r>
            <w:r>
              <w:rPr>
                <w:rFonts w:eastAsia="Times New Roman"/>
                <w:i/>
                <w:iCs/>
                <w:color w:val="000000"/>
                <w:sz w:val="12"/>
                <w:szCs w:val="12"/>
              </w:rPr>
              <w:t>(6</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7E2358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2BEE55" w14:textId="77777777" w:rsidR="00000000" w:rsidRDefault="00E614A4">
            <w:pPr>
              <w:jc w:val="right"/>
              <w:rPr>
                <w:rFonts w:eastAsia="Times New Roman"/>
              </w:rPr>
            </w:pPr>
            <w:r>
              <w:rPr>
                <w:rFonts w:eastAsia="Times New Roman"/>
                <w:color w:val="000000"/>
                <w:sz w:val="18"/>
                <w:szCs w:val="18"/>
              </w:rPr>
              <w:t>36,446 </w:t>
            </w:r>
          </w:p>
        </w:tc>
        <w:tc>
          <w:tcPr>
            <w:tcW w:w="0" w:type="auto"/>
            <w:shd w:val="clear" w:color="auto" w:fill="FFFFFF"/>
            <w:tcMar>
              <w:top w:w="30" w:type="dxa"/>
              <w:left w:w="0" w:type="dxa"/>
              <w:bottom w:w="30" w:type="dxa"/>
              <w:right w:w="20" w:type="dxa"/>
            </w:tcMar>
            <w:vAlign w:val="bottom"/>
            <w:hideMark/>
          </w:tcPr>
          <w:p w14:paraId="4C63038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A306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080CB" w14:textId="77777777" w:rsidR="00000000" w:rsidRDefault="00E614A4">
            <w:pPr>
              <w:jc w:val="right"/>
              <w:rPr>
                <w:rFonts w:eastAsia="Times New Roman"/>
              </w:rPr>
            </w:pPr>
            <w:r>
              <w:rPr>
                <w:rFonts w:eastAsia="Times New Roman"/>
                <w:color w:val="000000"/>
                <w:sz w:val="18"/>
                <w:szCs w:val="18"/>
              </w:rPr>
              <w:t>14,868 </w:t>
            </w:r>
          </w:p>
        </w:tc>
        <w:tc>
          <w:tcPr>
            <w:tcW w:w="0" w:type="auto"/>
            <w:shd w:val="clear" w:color="auto" w:fill="FFFFFF"/>
            <w:tcMar>
              <w:top w:w="30" w:type="dxa"/>
              <w:left w:w="0" w:type="dxa"/>
              <w:bottom w:w="30" w:type="dxa"/>
              <w:right w:w="20" w:type="dxa"/>
            </w:tcMar>
            <w:vAlign w:val="bottom"/>
            <w:hideMark/>
          </w:tcPr>
          <w:p w14:paraId="3C09B24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83E8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53B5DB" w14:textId="77777777" w:rsidR="00000000" w:rsidRDefault="00E614A4">
            <w:pPr>
              <w:jc w:val="right"/>
              <w:rPr>
                <w:rFonts w:eastAsia="Times New Roman"/>
              </w:rPr>
            </w:pPr>
            <w:r>
              <w:rPr>
                <w:rFonts w:eastAsia="Times New Roman"/>
                <w:color w:val="000000"/>
                <w:sz w:val="18"/>
                <w:szCs w:val="18"/>
              </w:rPr>
              <w:t>21,428 </w:t>
            </w:r>
          </w:p>
        </w:tc>
        <w:tc>
          <w:tcPr>
            <w:tcW w:w="0" w:type="auto"/>
            <w:shd w:val="clear" w:color="auto" w:fill="FFFFFF"/>
            <w:tcMar>
              <w:top w:w="30" w:type="dxa"/>
              <w:left w:w="0" w:type="dxa"/>
              <w:bottom w:w="30" w:type="dxa"/>
              <w:right w:w="20" w:type="dxa"/>
            </w:tcMar>
            <w:vAlign w:val="bottom"/>
            <w:hideMark/>
          </w:tcPr>
          <w:p w14:paraId="3474733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4EAF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669B04" w14:textId="77777777" w:rsidR="00000000" w:rsidRDefault="00E614A4">
            <w:pPr>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14:paraId="1D558C0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A668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6CFFE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A2CC56" w14:textId="77777777" w:rsidR="00000000" w:rsidRDefault="00E614A4">
            <w:pPr>
              <w:jc w:val="right"/>
              <w:rPr>
                <w:rFonts w:eastAsia="Times New Roman"/>
              </w:rPr>
            </w:pPr>
          </w:p>
        </w:tc>
      </w:tr>
      <w:tr w:rsidR="00000000" w14:paraId="0FC24084" w14:textId="77777777">
        <w:trPr>
          <w:divId w:val="1657300095"/>
        </w:trPr>
        <w:tc>
          <w:tcPr>
            <w:tcW w:w="0" w:type="auto"/>
            <w:gridSpan w:val="3"/>
            <w:shd w:val="clear" w:color="auto" w:fill="CCEEFF"/>
            <w:tcMar>
              <w:top w:w="30" w:type="dxa"/>
              <w:left w:w="20" w:type="dxa"/>
              <w:bottom w:w="30" w:type="dxa"/>
              <w:right w:w="20" w:type="dxa"/>
            </w:tcMar>
            <w:hideMark/>
          </w:tcPr>
          <w:p w14:paraId="477B1A11" w14:textId="77777777" w:rsidR="00000000" w:rsidRDefault="00E614A4">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58A3D1F2"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BA0D9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A89ADF" w14:textId="77777777" w:rsidR="00000000" w:rsidRDefault="00E614A4">
            <w:pPr>
              <w:jc w:val="right"/>
              <w:rPr>
                <w:rFonts w:eastAsia="Times New Roman"/>
              </w:rPr>
            </w:pPr>
            <w:r>
              <w:rPr>
                <w:rFonts w:eastAsia="Times New Roman"/>
                <w:color w:val="000000"/>
                <w:sz w:val="18"/>
                <w:szCs w:val="18"/>
              </w:rPr>
              <w:t>393,818 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4A334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D2113"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0AB54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D9941F" w14:textId="77777777" w:rsidR="00000000" w:rsidRDefault="00E614A4">
            <w:pPr>
              <w:jc w:val="right"/>
              <w:rPr>
                <w:rFonts w:eastAsia="Times New Roman"/>
              </w:rPr>
            </w:pPr>
            <w:r>
              <w:rPr>
                <w:rFonts w:eastAsia="Times New Roman"/>
                <w:color w:val="000000"/>
                <w:sz w:val="18"/>
                <w:szCs w:val="18"/>
              </w:rPr>
              <w:t>71,286 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146AF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584964"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045BF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49F0DE" w14:textId="77777777" w:rsidR="00000000" w:rsidRDefault="00E614A4">
            <w:pPr>
              <w:jc w:val="right"/>
              <w:rPr>
                <w:rFonts w:eastAsia="Times New Roman"/>
              </w:rPr>
            </w:pPr>
            <w:r>
              <w:rPr>
                <w:rFonts w:eastAsia="Times New Roman"/>
                <w:color w:val="000000"/>
                <w:sz w:val="18"/>
                <w:szCs w:val="18"/>
              </w:rPr>
              <w:t>290,859 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AA6D6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50DAB"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5A4AD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F6CFF0" w14:textId="77777777" w:rsidR="00000000" w:rsidRDefault="00E614A4">
            <w:pPr>
              <w:jc w:val="right"/>
              <w:rPr>
                <w:rFonts w:eastAsia="Times New Roman"/>
              </w:rPr>
            </w:pPr>
            <w:r>
              <w:rPr>
                <w:rFonts w:eastAsia="Times New Roman"/>
                <w:color w:val="000000"/>
                <w:sz w:val="18"/>
                <w:szCs w:val="18"/>
              </w:rPr>
              <w:t>17,390 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93E0E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72EDE"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3DE2A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2CD8A3" w14:textId="77777777" w:rsidR="00000000" w:rsidRDefault="00E614A4">
            <w:pPr>
              <w:jc w:val="right"/>
              <w:rPr>
                <w:rFonts w:eastAsia="Times New Roman"/>
              </w:rPr>
            </w:pPr>
            <w:r>
              <w:rPr>
                <w:rFonts w:eastAsia="Times New Roman"/>
                <w:color w:val="000000"/>
                <w:sz w:val="18"/>
                <w:szCs w:val="18"/>
              </w:rPr>
              <w:t>14,283 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7FD95B" w14:textId="77777777" w:rsidR="00000000" w:rsidRDefault="00E614A4">
            <w:pPr>
              <w:jc w:val="right"/>
              <w:rPr>
                <w:rFonts w:eastAsia="Times New Roman"/>
              </w:rPr>
            </w:pPr>
          </w:p>
        </w:tc>
      </w:tr>
    </w:tbl>
    <w:p w14:paraId="2A31D43B" w14:textId="77777777" w:rsidR="00000000" w:rsidRDefault="00E614A4">
      <w:pPr>
        <w:jc w:val="both"/>
        <w:divId w:val="277178676"/>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In 2018, we entered into several agreements with Starboard whereby we issued Not</w:t>
      </w:r>
      <w:r>
        <w:rPr>
          <w:rFonts w:eastAsia="Times New Roman"/>
          <w:i/>
          <w:iCs/>
          <w:color w:val="000000"/>
          <w:sz w:val="16"/>
          <w:szCs w:val="16"/>
        </w:rPr>
        <w:t xml:space="preserve">es in exchange for cash and shares of Common Stock. In 2019 our wholly owned subsidiary Rentrak B.V., entered into a Secured Term Note. See </w:t>
      </w:r>
      <w:hyperlink w:anchor="ided6989bcc374020961c421c465250ee_124" w:history="1">
        <w:r>
          <w:rPr>
            <w:rStyle w:val="a3"/>
            <w:rFonts w:eastAsia="Times New Roman"/>
            <w:i/>
            <w:iCs/>
            <w:sz w:val="16"/>
            <w:szCs w:val="16"/>
          </w:rPr>
          <w:t>Footnote 4</w:t>
        </w:r>
      </w:hyperlink>
      <w:r>
        <w:rPr>
          <w:rFonts w:eastAsia="Times New Roman"/>
          <w:i/>
          <w:iCs/>
          <w:color w:val="000000"/>
          <w:sz w:val="16"/>
          <w:szCs w:val="16"/>
        </w:rPr>
        <w:t>, Debt for more information.</w:t>
      </w:r>
    </w:p>
    <w:p w14:paraId="54A7B1D3" w14:textId="77777777" w:rsidR="00000000" w:rsidRDefault="00E614A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Unconditional</w:t>
      </w:r>
      <w:r>
        <w:rPr>
          <w:rFonts w:eastAsia="Times New Roman"/>
          <w:i/>
          <w:iCs/>
          <w:color w:val="000000"/>
          <w:sz w:val="16"/>
          <w:szCs w:val="16"/>
        </w:rPr>
        <w:t xml:space="preserve"> purchase obligations with MVPDs include contractual arrangements with MVPDs for the purchase of TV viewing data that is used in our products, primarily reported in the Ratings and Planning solution group. If these arrangements are canceled by the MVPDs, w</w:t>
      </w:r>
      <w:r>
        <w:rPr>
          <w:rFonts w:eastAsia="Times New Roman"/>
          <w:i/>
          <w:iCs/>
          <w:color w:val="000000"/>
          <w:sz w:val="16"/>
          <w:szCs w:val="16"/>
        </w:rPr>
        <w:t>e have the ability to terminate contracts with our end customers. Commitments reflected herein relate to service periods after December 31, 2020.</w:t>
      </w:r>
    </w:p>
    <w:p w14:paraId="405DD60D" w14:textId="77777777" w:rsidR="00000000" w:rsidRDefault="00E614A4">
      <w:pPr>
        <w:jc w:val="both"/>
        <w:rPr>
          <w:rFonts w:eastAsia="Times New Roman"/>
        </w:rPr>
      </w:pPr>
      <w:r>
        <w:rPr>
          <w:rFonts w:eastAsia="Times New Roman"/>
          <w:i/>
          <w:iCs/>
          <w:color w:val="000000"/>
          <w:sz w:val="10"/>
          <w:szCs w:val="10"/>
        </w:rPr>
        <w:t>(3)</w:t>
      </w:r>
      <w:r>
        <w:rPr>
          <w:rFonts w:eastAsia="Times New Roman"/>
          <w:i/>
          <w:iCs/>
          <w:color w:val="000000"/>
          <w:sz w:val="10"/>
          <w:szCs w:val="10"/>
        </w:rPr>
        <w:t xml:space="preserve"> </w:t>
      </w:r>
      <w:r>
        <w:rPr>
          <w:rFonts w:eastAsia="Times New Roman"/>
          <w:i/>
          <w:iCs/>
          <w:color w:val="000000"/>
          <w:sz w:val="16"/>
          <w:szCs w:val="16"/>
        </w:rPr>
        <w:t>Operating lease obligations represent future lease commitments, primarily for real estate leases, accounte</w:t>
      </w:r>
      <w:r>
        <w:rPr>
          <w:rFonts w:eastAsia="Times New Roman"/>
          <w:i/>
          <w:iCs/>
          <w:color w:val="000000"/>
          <w:sz w:val="16"/>
          <w:szCs w:val="16"/>
        </w:rPr>
        <w:t>d for under</w:t>
      </w:r>
      <w:r>
        <w:rPr>
          <w:rFonts w:eastAsia="Times New Roman"/>
          <w:b/>
          <w:bCs/>
          <w:i/>
          <w:iCs/>
          <w:color w:val="000000"/>
          <w:sz w:val="16"/>
          <w:szCs w:val="16"/>
        </w:rPr>
        <w:t xml:space="preserve"> </w:t>
      </w:r>
      <w:r>
        <w:rPr>
          <w:rFonts w:eastAsia="Times New Roman"/>
          <w:i/>
          <w:iCs/>
          <w:color w:val="000000"/>
          <w:sz w:val="16"/>
          <w:szCs w:val="16"/>
        </w:rPr>
        <w:t xml:space="preserve">ASC 842. Refer to </w:t>
      </w:r>
      <w:hyperlink w:anchor="ided6989bcc374020961c421c465250ee_151" w:history="1">
        <w:r>
          <w:rPr>
            <w:rStyle w:val="a3"/>
            <w:rFonts w:eastAsia="Times New Roman"/>
            <w:i/>
            <w:iCs/>
            <w:sz w:val="16"/>
            <w:szCs w:val="16"/>
          </w:rPr>
          <w:t>Footnote 8</w:t>
        </w:r>
      </w:hyperlink>
      <w:r>
        <w:rPr>
          <w:rFonts w:eastAsia="Times New Roman"/>
          <w:i/>
          <w:iCs/>
          <w:color w:val="000000"/>
          <w:sz w:val="16"/>
          <w:szCs w:val="16"/>
        </w:rPr>
        <w:t>, Leases.</w:t>
      </w:r>
    </w:p>
    <w:p w14:paraId="6AE987DD" w14:textId="77777777" w:rsidR="00000000" w:rsidRDefault="00E614A4">
      <w:pPr>
        <w:jc w:val="both"/>
        <w:rPr>
          <w:rFonts w:eastAsia="Times New Roman"/>
        </w:rPr>
      </w:pPr>
      <w:r>
        <w:rPr>
          <w:rFonts w:eastAsia="Times New Roman"/>
          <w:i/>
          <w:iCs/>
          <w:color w:val="000000"/>
          <w:sz w:val="10"/>
          <w:szCs w:val="10"/>
        </w:rPr>
        <w:t>(4)</w:t>
      </w:r>
      <w:r>
        <w:rPr>
          <w:rFonts w:eastAsia="Times New Roman"/>
          <w:i/>
          <w:iCs/>
          <w:color w:val="000000"/>
          <w:sz w:val="10"/>
          <w:szCs w:val="10"/>
        </w:rPr>
        <w:t xml:space="preserve"> </w:t>
      </w:r>
      <w:r>
        <w:rPr>
          <w:rFonts w:eastAsia="Times New Roman"/>
          <w:i/>
          <w:iCs/>
          <w:color w:val="000000"/>
          <w:sz w:val="16"/>
          <w:szCs w:val="16"/>
        </w:rPr>
        <w:t xml:space="preserve">Finance lease obligations represent future lease commitments, primarily for equipment leases, accounted for under ASC 842. Refer to </w:t>
      </w:r>
      <w:hyperlink w:anchor="ided6989bcc374020961c421c465250ee_151" w:history="1">
        <w:r>
          <w:rPr>
            <w:rStyle w:val="a3"/>
            <w:rFonts w:eastAsia="Times New Roman"/>
            <w:i/>
            <w:iCs/>
            <w:sz w:val="16"/>
            <w:szCs w:val="16"/>
          </w:rPr>
          <w:t>Footnote 8</w:t>
        </w:r>
      </w:hyperlink>
      <w:r>
        <w:rPr>
          <w:rFonts w:eastAsia="Times New Roman"/>
          <w:i/>
          <w:iCs/>
          <w:color w:val="000000"/>
          <w:sz w:val="16"/>
          <w:szCs w:val="16"/>
        </w:rPr>
        <w:t>, Leases.</w:t>
      </w:r>
    </w:p>
    <w:p w14:paraId="1C0E0CA5" w14:textId="77777777" w:rsidR="00000000" w:rsidRDefault="00E614A4">
      <w:pPr>
        <w:jc w:val="both"/>
        <w:rPr>
          <w:rFonts w:eastAsia="Times New Roman"/>
        </w:rPr>
      </w:pPr>
      <w:r>
        <w:rPr>
          <w:rFonts w:eastAsia="Times New Roman"/>
          <w:i/>
          <w:iCs/>
          <w:color w:val="000000"/>
          <w:sz w:val="10"/>
          <w:szCs w:val="10"/>
        </w:rPr>
        <w:t>(5)</w:t>
      </w:r>
      <w:r>
        <w:rPr>
          <w:rFonts w:eastAsia="Times New Roman"/>
          <w:i/>
          <w:iCs/>
          <w:color w:val="000000"/>
          <w:sz w:val="10"/>
          <w:szCs w:val="10"/>
        </w:rPr>
        <w:t xml:space="preserve"> </w:t>
      </w:r>
      <w:r>
        <w:rPr>
          <w:rFonts w:eastAsia="Times New Roman"/>
          <w:i/>
          <w:iCs/>
          <w:color w:val="000000"/>
          <w:sz w:val="16"/>
          <w:szCs w:val="16"/>
        </w:rPr>
        <w:t xml:space="preserve">We entered into a sale-leaseback arrangement with a vendor in June 2019. See </w:t>
      </w:r>
      <w:hyperlink w:anchor="ided6989bcc374020961c421c465250ee_124" w:history="1">
        <w:r>
          <w:rPr>
            <w:rStyle w:val="a3"/>
            <w:rFonts w:eastAsia="Times New Roman"/>
            <w:i/>
            <w:iCs/>
            <w:sz w:val="16"/>
            <w:szCs w:val="16"/>
          </w:rPr>
          <w:t>Footnote 4</w:t>
        </w:r>
      </w:hyperlink>
      <w:r>
        <w:rPr>
          <w:rFonts w:eastAsia="Times New Roman"/>
          <w:i/>
          <w:iCs/>
          <w:color w:val="000000"/>
          <w:sz w:val="16"/>
          <w:szCs w:val="16"/>
        </w:rPr>
        <w:t>, Debt for more information.</w:t>
      </w:r>
    </w:p>
    <w:p w14:paraId="6207C405" w14:textId="77777777" w:rsidR="00000000" w:rsidRDefault="00E614A4">
      <w:pPr>
        <w:jc w:val="both"/>
        <w:rPr>
          <w:rFonts w:eastAsia="Times New Roman"/>
        </w:rPr>
      </w:pPr>
      <w:r>
        <w:rPr>
          <w:rFonts w:eastAsia="Times New Roman"/>
          <w:i/>
          <w:iCs/>
          <w:color w:val="000000"/>
          <w:sz w:val="10"/>
          <w:szCs w:val="10"/>
        </w:rPr>
        <w:t>(6)</w:t>
      </w:r>
      <w:r>
        <w:rPr>
          <w:rFonts w:eastAsia="Times New Roman"/>
          <w:i/>
          <w:iCs/>
          <w:color w:val="000000"/>
          <w:sz w:val="10"/>
          <w:szCs w:val="10"/>
        </w:rPr>
        <w:t xml:space="preserve"> </w:t>
      </w:r>
      <w:r>
        <w:rPr>
          <w:rFonts w:eastAsia="Times New Roman"/>
          <w:i/>
          <w:iCs/>
          <w:color w:val="000000"/>
          <w:sz w:val="16"/>
          <w:szCs w:val="16"/>
        </w:rPr>
        <w:t>Ot</w:t>
      </w:r>
      <w:r>
        <w:rPr>
          <w:rFonts w:eastAsia="Times New Roman"/>
          <w:i/>
          <w:iCs/>
          <w:color w:val="000000"/>
          <w:sz w:val="16"/>
          <w:szCs w:val="16"/>
        </w:rPr>
        <w:t>her long-term obligations primarily reflect future commitments for software licenses and the right to access cloud-based solutions under long-term contracts.</w:t>
      </w:r>
    </w:p>
    <w:p w14:paraId="5EF7E8DA" w14:textId="77777777" w:rsidR="00000000" w:rsidRDefault="00E614A4">
      <w:pPr>
        <w:jc w:val="both"/>
        <w:divId w:val="309557110"/>
        <w:rPr>
          <w:rFonts w:eastAsia="Times New Roman"/>
        </w:rPr>
      </w:pPr>
      <w:r>
        <w:rPr>
          <w:rFonts w:eastAsia="Times New Roman"/>
          <w:b/>
          <w:bCs/>
          <w:i/>
          <w:iCs/>
          <w:color w:val="000000"/>
          <w:sz w:val="20"/>
          <w:szCs w:val="20"/>
        </w:rPr>
        <w:t>Future Capital Requirements</w:t>
      </w:r>
    </w:p>
    <w:p w14:paraId="67ACE8C1" w14:textId="77777777" w:rsidR="00000000" w:rsidRDefault="00E614A4">
      <w:pPr>
        <w:jc w:val="both"/>
        <w:divId w:val="311954467"/>
        <w:rPr>
          <w:rFonts w:eastAsia="Times New Roman"/>
        </w:rPr>
      </w:pPr>
      <w:r>
        <w:rPr>
          <w:rFonts w:eastAsia="Times New Roman"/>
          <w:color w:val="000000"/>
          <w:sz w:val="20"/>
          <w:szCs w:val="20"/>
        </w:rPr>
        <w:t>Our ability to generate cash is subject to our performance, general economic conditions, industry trends and other factors, including the timing of cash collections from our customers, data costs and other trade payables, service of our debt and lease faci</w:t>
      </w:r>
      <w:r>
        <w:rPr>
          <w:rFonts w:eastAsia="Times New Roman"/>
          <w:color w:val="000000"/>
          <w:sz w:val="20"/>
          <w:szCs w:val="20"/>
        </w:rPr>
        <w:t>lities, dividend payment obligations following the Transactions, and expenses from ongoing compliance efforts and legal matters. As discussed above, we have experienced delays in customer payments and requests to modify contractual terms in connection with</w:t>
      </w:r>
      <w:r>
        <w:rPr>
          <w:rFonts w:eastAsia="Times New Roman"/>
          <w:color w:val="000000"/>
          <w:sz w:val="20"/>
          <w:szCs w:val="20"/>
        </w:rPr>
        <w:t xml:space="preserve"> the COVID-19 pandemic and related government mandates and restrictions. We have also incurred significant costs in connection with our strategic review and the pending Transactions. To the extent that our existing cash, cash equivalents and operating cash</w:t>
      </w:r>
      <w:r>
        <w:rPr>
          <w:rFonts w:eastAsia="Times New Roman"/>
          <w:color w:val="000000"/>
          <w:sz w:val="20"/>
          <w:szCs w:val="20"/>
        </w:rPr>
        <w:t xml:space="preserve"> flow, together with proceeds from the Transactions and savings from cost-reduction initiatives undertaken by management, are insufficient to fund our future activities and requirements, we may need to raise additional funds through public or private equit</w:t>
      </w:r>
      <w:r>
        <w:rPr>
          <w:rFonts w:eastAsia="Times New Roman"/>
          <w:color w:val="000000"/>
          <w:sz w:val="20"/>
          <w:szCs w:val="20"/>
        </w:rPr>
        <w:t>y or debt financing. The current disruption and volatility in global capital and credit markets could impact our ability to access capital resources on terms acceptable to us or allowable under applicable financing arrangements, or at all. If we issue addi</w:t>
      </w:r>
      <w:r>
        <w:rPr>
          <w:rFonts w:eastAsia="Times New Roman"/>
          <w:color w:val="000000"/>
          <w:sz w:val="20"/>
          <w:szCs w:val="20"/>
        </w:rPr>
        <w:t>tional equity securities in order to raise additional funds or pay interest or dividends, further dilution to existing stockholders may occur.</w:t>
      </w:r>
    </w:p>
    <w:p w14:paraId="6F6A3417" w14:textId="77777777" w:rsidR="00000000" w:rsidRDefault="00E614A4">
      <w:pPr>
        <w:jc w:val="both"/>
        <w:divId w:val="480199686"/>
        <w:rPr>
          <w:rFonts w:eastAsia="Times New Roman"/>
        </w:rPr>
      </w:pPr>
      <w:r>
        <w:rPr>
          <w:rFonts w:eastAsia="Times New Roman"/>
          <w:b/>
          <w:bCs/>
          <w:color w:val="000000"/>
          <w:sz w:val="20"/>
          <w:szCs w:val="20"/>
        </w:rPr>
        <w:t>Off-Balance Sheet Arrangements</w:t>
      </w:r>
    </w:p>
    <w:p w14:paraId="585D397C" w14:textId="77777777" w:rsidR="00000000" w:rsidRDefault="00E614A4">
      <w:pPr>
        <w:jc w:val="both"/>
        <w:divId w:val="645667803"/>
        <w:rPr>
          <w:rFonts w:eastAsia="Times New Roman"/>
        </w:rPr>
      </w:pPr>
      <w:r>
        <w:rPr>
          <w:rFonts w:eastAsia="Times New Roman"/>
          <w:color w:val="000000"/>
          <w:sz w:val="20"/>
          <w:szCs w:val="20"/>
        </w:rPr>
        <w:t>We have no material off-balance sheet arrangements (as defined in Item 303 of Regu</w:t>
      </w:r>
      <w:r>
        <w:rPr>
          <w:rFonts w:eastAsia="Times New Roman"/>
          <w:color w:val="000000"/>
          <w:sz w:val="20"/>
          <w:szCs w:val="20"/>
        </w:rPr>
        <w:t>lation S-K).</w:t>
      </w:r>
    </w:p>
    <w:p w14:paraId="0B732FE1" w14:textId="77777777" w:rsidR="00000000" w:rsidRDefault="00E614A4">
      <w:pPr>
        <w:jc w:val="both"/>
        <w:divId w:val="537623729"/>
        <w:rPr>
          <w:rFonts w:eastAsia="Times New Roman"/>
        </w:rPr>
      </w:pPr>
      <w:r>
        <w:rPr>
          <w:rFonts w:eastAsia="Times New Roman"/>
          <w:b/>
          <w:bCs/>
          <w:color w:val="000000"/>
          <w:sz w:val="20"/>
          <w:szCs w:val="20"/>
        </w:rPr>
        <w:t>Critical Accounting Policies</w:t>
      </w:r>
    </w:p>
    <w:p w14:paraId="5D007871" w14:textId="77777777" w:rsidR="00000000" w:rsidRDefault="00E614A4">
      <w:pPr>
        <w:jc w:val="both"/>
        <w:divId w:val="1303316652"/>
        <w:rPr>
          <w:rFonts w:eastAsia="Times New Roman"/>
        </w:rPr>
      </w:pPr>
      <w:r>
        <w:rPr>
          <w:rFonts w:eastAsia="Times New Roman"/>
          <w:color w:val="000000"/>
          <w:sz w:val="20"/>
          <w:szCs w:val="20"/>
        </w:rPr>
        <w:t>Our discussion and analysis of our financial condition and results of operations are based on our Consolidated Financial Statements, which have been prepared in accordance with generally accepted accounting princip</w:t>
      </w:r>
      <w:r>
        <w:rPr>
          <w:rFonts w:eastAsia="Times New Roman"/>
          <w:color w:val="000000"/>
          <w:sz w:val="20"/>
          <w:szCs w:val="20"/>
        </w:rPr>
        <w:t xml:space="preserve">les in the U.S. ("GAAP"). The preparation of these financial statements requires us to make estimates, assumptions and judgments that affect the amounts reported in our Consolidated Financial Statements and the accompanying Notes to Consolidated Financial </w:t>
      </w:r>
      <w:r>
        <w:rPr>
          <w:rFonts w:eastAsia="Times New Roman"/>
          <w:color w:val="000000"/>
          <w:sz w:val="20"/>
          <w:szCs w:val="20"/>
        </w:rPr>
        <w:t>Statements. We base our estimates on historical experience and on various other assumptions that we believe to be reasonable under the circumstances, including the ongoing and potential impacts of the COVID-19 pandemic and related government mandates and r</w:t>
      </w:r>
      <w:r>
        <w:rPr>
          <w:rFonts w:eastAsia="Times New Roman"/>
          <w:color w:val="000000"/>
          <w:sz w:val="20"/>
          <w:szCs w:val="20"/>
        </w:rPr>
        <w:t xml:space="preserve">estrictions. Actual results may differ from these estimates. </w:t>
      </w:r>
    </w:p>
    <w:p w14:paraId="76197F9C" w14:textId="77777777" w:rsidR="00000000" w:rsidRDefault="00E614A4">
      <w:pPr>
        <w:jc w:val="both"/>
        <w:divId w:val="1084451215"/>
        <w:rPr>
          <w:rFonts w:eastAsia="Times New Roman"/>
        </w:rPr>
      </w:pPr>
      <w:r>
        <w:rPr>
          <w:rFonts w:eastAsia="Times New Roman"/>
          <w:color w:val="000000"/>
          <w:sz w:val="20"/>
          <w:szCs w:val="20"/>
        </w:rPr>
        <w:t xml:space="preserve">While our significant accounting policies are described in more detail in the Notes to Consolidated Financial Statements included in </w:t>
      </w:r>
      <w:hyperlink w:anchor="ided6989bcc374020961c421c465250ee_76" w:history="1">
        <w:r>
          <w:rPr>
            <w:rStyle w:val="a3"/>
            <w:rFonts w:eastAsia="Times New Roman"/>
            <w:sz w:val="20"/>
            <w:szCs w:val="20"/>
          </w:rPr>
          <w:t>It</w:t>
        </w:r>
        <w:r>
          <w:rPr>
            <w:rStyle w:val="a3"/>
            <w:rFonts w:eastAsia="Times New Roman"/>
            <w:sz w:val="20"/>
            <w:szCs w:val="20"/>
          </w:rPr>
          <w:t>em 8</w:t>
        </w:r>
      </w:hyperlink>
      <w:r>
        <w:rPr>
          <w:rFonts w:eastAsia="Times New Roman"/>
          <w:color w:val="000000"/>
          <w:sz w:val="20"/>
          <w:szCs w:val="20"/>
        </w:rPr>
        <w:t xml:space="preserve"> of this 10-K, we believe the following accounting policies to be the most critical to the judgments and estimates used in the preparation of our Consolidated Financial Statements.</w:t>
      </w:r>
    </w:p>
    <w:p w14:paraId="4B41677A" w14:textId="77777777" w:rsidR="00000000" w:rsidRDefault="00E614A4">
      <w:pPr>
        <w:jc w:val="both"/>
        <w:divId w:val="1130393966"/>
        <w:rPr>
          <w:rFonts w:eastAsia="Times New Roman"/>
        </w:rPr>
      </w:pPr>
      <w:r>
        <w:rPr>
          <w:rFonts w:eastAsia="Times New Roman"/>
          <w:b/>
          <w:bCs/>
          <w:i/>
          <w:iCs/>
          <w:color w:val="000000"/>
          <w:sz w:val="20"/>
          <w:szCs w:val="20"/>
        </w:rPr>
        <w:t>Accounting for Warrants</w:t>
      </w:r>
    </w:p>
    <w:p w14:paraId="272B8B10" w14:textId="77777777" w:rsidR="00000000" w:rsidRDefault="00E614A4">
      <w:pPr>
        <w:jc w:val="both"/>
        <w:divId w:val="642194707"/>
        <w:rPr>
          <w:rFonts w:eastAsia="Times New Roman"/>
        </w:rPr>
      </w:pPr>
      <w:r>
        <w:rPr>
          <w:rFonts w:eastAsia="Times New Roman"/>
          <w:color w:val="000000"/>
          <w:sz w:val="20"/>
          <w:szCs w:val="20"/>
        </w:rPr>
        <w:t>During 2019, we issued warrants which were dete</w:t>
      </w:r>
      <w:r>
        <w:rPr>
          <w:rFonts w:eastAsia="Times New Roman"/>
          <w:color w:val="000000"/>
          <w:sz w:val="20"/>
          <w:szCs w:val="20"/>
        </w:rPr>
        <w:t>rmined to be freestanding financial instruments that qualify for liability treatment as a result of a net cash settlement feature associated with a cap on the issuance of shares under certain circumstances. Changes in the fair value of these instruments ar</w:t>
      </w:r>
      <w:r>
        <w:rPr>
          <w:rFonts w:eastAsia="Times New Roman"/>
          <w:color w:val="000000"/>
          <w:sz w:val="20"/>
          <w:szCs w:val="20"/>
        </w:rPr>
        <w:t>e immediately recorded in other income (expense), net in the Consolidated Statements of Operations and Comprehensive Loss.</w:t>
      </w:r>
    </w:p>
    <w:p w14:paraId="4C82B330" w14:textId="77777777" w:rsidR="00000000" w:rsidRDefault="00E614A4">
      <w:pPr>
        <w:jc w:val="center"/>
        <w:divId w:val="2051876322"/>
        <w:rPr>
          <w:rFonts w:eastAsia="Times New Roman"/>
        </w:rPr>
      </w:pPr>
      <w:r>
        <w:rPr>
          <w:rFonts w:eastAsia="Times New Roman"/>
          <w:color w:val="000000"/>
          <w:sz w:val="20"/>
          <w:szCs w:val="20"/>
        </w:rPr>
        <w:t>49</w:t>
      </w:r>
    </w:p>
    <w:p w14:paraId="4D211220" w14:textId="77777777" w:rsidR="00000000" w:rsidRDefault="00E614A4">
      <w:pPr>
        <w:rPr>
          <w:rFonts w:eastAsia="Times New Roman"/>
        </w:rPr>
      </w:pPr>
      <w:r>
        <w:rPr>
          <w:rFonts w:eastAsia="Times New Roman"/>
        </w:rPr>
        <w:pict w14:anchorId="42A364E2">
          <v:rect id="_x0000_i1077" style="width:0;height:1.5pt" o:hralign="center" o:hrstd="t" o:hr="t" fillcolor="#a0a0a0" stroked="f"/>
        </w:pict>
      </w:r>
    </w:p>
    <w:p w14:paraId="08C13FBA" w14:textId="77777777" w:rsidR="00000000" w:rsidRDefault="00E614A4">
      <w:pPr>
        <w:divId w:val="89327508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8B67DD6" w14:textId="77777777" w:rsidR="00000000" w:rsidRDefault="00E614A4">
      <w:pPr>
        <w:divId w:val="43331996"/>
        <w:rPr>
          <w:rFonts w:eastAsia="Times New Roman"/>
        </w:rPr>
      </w:pPr>
    </w:p>
    <w:p w14:paraId="0C066E96" w14:textId="77777777" w:rsidR="00000000" w:rsidRDefault="00E614A4">
      <w:pPr>
        <w:jc w:val="both"/>
        <w:divId w:val="814027058"/>
        <w:rPr>
          <w:rFonts w:eastAsia="Times New Roman"/>
        </w:rPr>
      </w:pPr>
      <w:r>
        <w:rPr>
          <w:rFonts w:eastAsia="Times New Roman"/>
          <w:color w:val="000000"/>
          <w:sz w:val="20"/>
          <w:szCs w:val="20"/>
        </w:rPr>
        <w:t xml:space="preserve">The fair value of the warrants is determined using a Monte Carlo simulation analysis within an option pricing model. The fair value estimate is determined using an estimate for our credit rating, probability of change of control, dividend yield, risk-free </w:t>
      </w:r>
      <w:r>
        <w:rPr>
          <w:rFonts w:eastAsia="Times New Roman"/>
          <w:color w:val="000000"/>
          <w:sz w:val="20"/>
          <w:szCs w:val="20"/>
        </w:rPr>
        <w:t xml:space="preserve">rate, remaining term of the warrants and volatility. The valuation is derived from techniques which utilize inputs, certain of which are significant and unobservable, that result in classification of the warrants as a Level 3 fair value measurement. </w:t>
      </w:r>
    </w:p>
    <w:p w14:paraId="6DCD1D12" w14:textId="77777777" w:rsidR="00000000" w:rsidRDefault="00E614A4">
      <w:pPr>
        <w:jc w:val="both"/>
        <w:divId w:val="1057509919"/>
        <w:rPr>
          <w:rFonts w:eastAsia="Times New Roman"/>
        </w:rPr>
      </w:pPr>
      <w:r>
        <w:rPr>
          <w:rFonts w:eastAsia="Times New Roman"/>
          <w:color w:val="000000"/>
          <w:sz w:val="20"/>
          <w:szCs w:val="20"/>
        </w:rPr>
        <w:t>The f</w:t>
      </w:r>
      <w:r>
        <w:rPr>
          <w:rFonts w:eastAsia="Times New Roman"/>
          <w:color w:val="000000"/>
          <w:sz w:val="20"/>
          <w:szCs w:val="20"/>
        </w:rPr>
        <w:t>air value of the warrants is estimated using forward projections of stock issuances with relative certainty and estimated cash payments at each exercise date discounted back to the valuation date at rates commensurate with the remaining term of the related</w:t>
      </w:r>
      <w:r>
        <w:rPr>
          <w:rFonts w:eastAsia="Times New Roman"/>
          <w:color w:val="000000"/>
          <w:sz w:val="20"/>
          <w:szCs w:val="20"/>
        </w:rPr>
        <w:t xml:space="preserve"> warrants. The primary sensitivity in the valuation of the warrant liability is driven by our Common Stock price at the measurement date and the observable volatility of the Common Stock.</w:t>
      </w:r>
    </w:p>
    <w:p w14:paraId="70E13EA9" w14:textId="77777777" w:rsidR="00000000" w:rsidRDefault="00E614A4">
      <w:pPr>
        <w:jc w:val="both"/>
        <w:divId w:val="398984208"/>
        <w:rPr>
          <w:rFonts w:eastAsia="Times New Roman"/>
        </w:rPr>
      </w:pPr>
      <w:r>
        <w:rPr>
          <w:rFonts w:eastAsia="Times New Roman"/>
          <w:color w:val="000000"/>
          <w:sz w:val="20"/>
          <w:szCs w:val="20"/>
        </w:rPr>
        <w:t>The exercise price of our Series A Warrants is subject to anti-dilut</w:t>
      </w:r>
      <w:r>
        <w:rPr>
          <w:rFonts w:eastAsia="Times New Roman"/>
          <w:color w:val="000000"/>
          <w:sz w:val="20"/>
          <w:szCs w:val="20"/>
        </w:rPr>
        <w:t xml:space="preserve">ion adjustment in certain circumstances, including upon certain issuances of capital stock. As a result of the Transactions discussed in </w:t>
      </w:r>
      <w:hyperlink w:anchor="ided6989bcc374020961c421c465250ee_16" w:history="1">
        <w:r>
          <w:rPr>
            <w:rStyle w:val="a3"/>
            <w:rFonts w:eastAsia="Times New Roman"/>
            <w:sz w:val="20"/>
            <w:szCs w:val="20"/>
          </w:rPr>
          <w:t>Item 1</w:t>
        </w:r>
      </w:hyperlink>
      <w:r>
        <w:rPr>
          <w:rFonts w:eastAsia="Times New Roman"/>
          <w:color w:val="000000"/>
          <w:sz w:val="20"/>
          <w:szCs w:val="20"/>
        </w:rPr>
        <w:t xml:space="preserve">, </w:t>
      </w:r>
      <w:r>
        <w:rPr>
          <w:rFonts w:eastAsia="Times New Roman"/>
          <w:i/>
          <w:iCs/>
          <w:color w:val="000000"/>
          <w:sz w:val="20"/>
          <w:szCs w:val="20"/>
        </w:rPr>
        <w:t>Business</w:t>
      </w:r>
      <w:r>
        <w:rPr>
          <w:rFonts w:eastAsia="Times New Roman"/>
          <w:color w:val="000000"/>
          <w:sz w:val="20"/>
          <w:szCs w:val="20"/>
        </w:rPr>
        <w:t>, we expect to adjust the exercise price of the Series A Warrants to the closing price of the Transactions.</w:t>
      </w:r>
    </w:p>
    <w:p w14:paraId="0C2DD4CE" w14:textId="77777777" w:rsidR="00000000" w:rsidRDefault="00E614A4">
      <w:pPr>
        <w:jc w:val="both"/>
        <w:divId w:val="1507087422"/>
        <w:rPr>
          <w:rFonts w:eastAsia="Times New Roman"/>
        </w:rPr>
      </w:pPr>
      <w:r>
        <w:rPr>
          <w:rFonts w:eastAsia="Times New Roman"/>
          <w:color w:val="000000"/>
          <w:sz w:val="20"/>
          <w:szCs w:val="20"/>
        </w:rPr>
        <w:t xml:space="preserve">Refer to </w:t>
      </w:r>
      <w:hyperlink w:anchor="ided6989bcc374020961c421c465250ee_139"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xml:space="preserve"> for the significant inputs used to determin</w:t>
      </w:r>
      <w:r>
        <w:rPr>
          <w:rFonts w:eastAsia="Times New Roman"/>
          <w:color w:val="000000"/>
          <w:sz w:val="20"/>
          <w:szCs w:val="20"/>
        </w:rPr>
        <w:t xml:space="preserve">e the fair value of the warrants as of December 31, 2020. </w:t>
      </w:r>
    </w:p>
    <w:p w14:paraId="55499C9B" w14:textId="77777777" w:rsidR="00000000" w:rsidRDefault="00E614A4">
      <w:pPr>
        <w:jc w:val="both"/>
        <w:divId w:val="2060010121"/>
        <w:rPr>
          <w:rFonts w:eastAsia="Times New Roman"/>
        </w:rPr>
      </w:pPr>
      <w:r>
        <w:rPr>
          <w:rFonts w:eastAsia="Times New Roman"/>
          <w:b/>
          <w:bCs/>
          <w:i/>
          <w:iCs/>
          <w:color w:val="000000"/>
          <w:sz w:val="20"/>
          <w:szCs w:val="20"/>
        </w:rPr>
        <w:t>Impairment of Right-of-use ("ROU") and Long-Lived Assets</w:t>
      </w:r>
    </w:p>
    <w:p w14:paraId="0409C1E0" w14:textId="77777777" w:rsidR="00000000" w:rsidRDefault="00E614A4">
      <w:pPr>
        <w:jc w:val="both"/>
        <w:divId w:val="356126650"/>
        <w:rPr>
          <w:rFonts w:eastAsia="Times New Roman"/>
        </w:rPr>
      </w:pPr>
      <w:r>
        <w:rPr>
          <w:rFonts w:eastAsia="Times New Roman"/>
          <w:color w:val="000000"/>
          <w:sz w:val="20"/>
          <w:szCs w:val="20"/>
        </w:rPr>
        <w:t>Our long-lived assets consist of property and equipment and finite-lived intangible assets. We evaluate our long-lived assets for impairment</w:t>
      </w:r>
      <w:r>
        <w:rPr>
          <w:rFonts w:eastAsia="Times New Roman"/>
          <w:color w:val="000000"/>
          <w:sz w:val="20"/>
          <w:szCs w:val="20"/>
        </w:rPr>
        <w:t xml:space="preserve"> whenever events or changes in circumstances indicate the carrying value of such assets may not be recoverable. If an indication of impairment is present, we compare the estimated undiscounted future cash flows to be generated by the asset group to its car</w:t>
      </w:r>
      <w:r>
        <w:rPr>
          <w:rFonts w:eastAsia="Times New Roman"/>
          <w:color w:val="000000"/>
          <w:sz w:val="20"/>
          <w:szCs w:val="20"/>
        </w:rPr>
        <w:t xml:space="preserve">rying amount. Recoverability measurement and estimation of undiscounted cash flows are grouped at the lowest level for which identifiable cash flows are largely independent of the cash flows of other assets and liabilities. If the undiscounted future cash </w:t>
      </w:r>
      <w:r>
        <w:rPr>
          <w:rFonts w:eastAsia="Times New Roman"/>
          <w:color w:val="000000"/>
          <w:sz w:val="20"/>
          <w:szCs w:val="20"/>
        </w:rPr>
        <w:t>flows are less than the carrying amount of the asset group, we record an impairment loss equal to the excess of the asset group's carrying amount over its fair value. The fair value is determined based on valuation techniques such as a comparison to fair v</w:t>
      </w:r>
      <w:r>
        <w:rPr>
          <w:rFonts w:eastAsia="Times New Roman"/>
          <w:color w:val="000000"/>
          <w:sz w:val="20"/>
          <w:szCs w:val="20"/>
        </w:rPr>
        <w:t xml:space="preserve">alues of similar assets or using a discounted cash flow analysis. </w:t>
      </w:r>
    </w:p>
    <w:p w14:paraId="055F6082" w14:textId="77777777" w:rsidR="00000000" w:rsidRDefault="00E614A4">
      <w:pPr>
        <w:jc w:val="both"/>
        <w:divId w:val="1447113059"/>
        <w:rPr>
          <w:rFonts w:eastAsia="Times New Roman"/>
        </w:rPr>
      </w:pPr>
      <w:r>
        <w:rPr>
          <w:rFonts w:eastAsia="Times New Roman"/>
          <w:color w:val="000000"/>
          <w:sz w:val="20"/>
          <w:szCs w:val="20"/>
        </w:rPr>
        <w:t>During 2019, we evaluated our strategic alliance asset group for recoverability. Our assessment considered the changes in our projected revenue in certain non-U.S. geographic markets due to</w:t>
      </w:r>
      <w:r>
        <w:rPr>
          <w:rFonts w:eastAsia="Times New Roman"/>
          <w:color w:val="000000"/>
          <w:sz w:val="20"/>
          <w:szCs w:val="20"/>
        </w:rPr>
        <w:t xml:space="preserve"> the changing international competitive landscape as well as significant reductions in international staffing during the second quarter, which resulted in a change in our long-term view of the viability of the intangible asset. As such, our analysis yielde</w:t>
      </w:r>
      <w:r>
        <w:rPr>
          <w:rFonts w:eastAsia="Times New Roman"/>
          <w:color w:val="000000"/>
          <w:sz w:val="20"/>
          <w:szCs w:val="20"/>
        </w:rPr>
        <w:t>d that the benefit of the strategic alliance would not be realized, and the related investment would not be recoverable. The fair value of the strategic alliance intangible asset was estimated using the income approach, resulting in a non-cash impairment c</w:t>
      </w:r>
      <w:r>
        <w:rPr>
          <w:rFonts w:eastAsia="Times New Roman"/>
          <w:color w:val="000000"/>
          <w:sz w:val="20"/>
          <w:szCs w:val="20"/>
        </w:rPr>
        <w:t xml:space="preserve">harge for the full carrying value of the asset. Consequently, we recorded a $17.3 million impairment charge during the year ended December 31, 2019 in our Consolidated Statements of Operations and Comprehensive Loss. </w:t>
      </w:r>
    </w:p>
    <w:p w14:paraId="3705FC32" w14:textId="77777777" w:rsidR="00000000" w:rsidRDefault="00E614A4">
      <w:pPr>
        <w:jc w:val="both"/>
        <w:divId w:val="1081952758"/>
        <w:rPr>
          <w:rFonts w:eastAsia="Times New Roman"/>
        </w:rPr>
      </w:pPr>
      <w:r>
        <w:rPr>
          <w:rFonts w:eastAsia="Times New Roman"/>
          <w:color w:val="000000"/>
          <w:sz w:val="20"/>
          <w:szCs w:val="20"/>
        </w:rPr>
        <w:t xml:space="preserve">We apply the provisions of Accounting </w:t>
      </w:r>
      <w:r>
        <w:rPr>
          <w:rFonts w:eastAsia="Times New Roman"/>
          <w:color w:val="000000"/>
          <w:sz w:val="20"/>
          <w:szCs w:val="20"/>
        </w:rPr>
        <w:t>Standards Codification ("ASC") 360, Property, Plant and Equipment, to determine whether our ROU and related long-lived assets may be impaired. We evaluate our ROU and long-lived assets for impairment whenever events or changes in circumstances indicate the</w:t>
      </w:r>
      <w:r>
        <w:rPr>
          <w:rFonts w:eastAsia="Times New Roman"/>
          <w:color w:val="000000"/>
          <w:sz w:val="20"/>
          <w:szCs w:val="20"/>
        </w:rPr>
        <w:t xml:space="preserve"> carrying value of such assets may not be recoverable. For facility lease ROU and related long-lived assets, we compare the estimated undiscounted cash flows generated by a sublease to the current carrying value of the ROU and related long-lived assets. If</w:t>
      </w:r>
      <w:r>
        <w:rPr>
          <w:rFonts w:eastAsia="Times New Roman"/>
          <w:color w:val="000000"/>
          <w:sz w:val="20"/>
          <w:szCs w:val="20"/>
        </w:rPr>
        <w:t xml:space="preserve"> the undiscounted cash flows are less than the carrying value of the ROU and related long-lived assets, we record an impairment loss equal to the excess of the ROU and long-lived assets' carrying value over their fair value consistent with other long-lived</w:t>
      </w:r>
      <w:r>
        <w:rPr>
          <w:rFonts w:eastAsia="Times New Roman"/>
          <w:color w:val="000000"/>
          <w:sz w:val="20"/>
          <w:szCs w:val="20"/>
        </w:rPr>
        <w:t xml:space="preserve"> assets.</w:t>
      </w:r>
    </w:p>
    <w:p w14:paraId="7BA8E101" w14:textId="77777777" w:rsidR="00000000" w:rsidRDefault="00E614A4">
      <w:pPr>
        <w:jc w:val="both"/>
        <w:divId w:val="111636073"/>
        <w:rPr>
          <w:rFonts w:eastAsia="Times New Roman"/>
        </w:rPr>
      </w:pPr>
      <w:r>
        <w:rPr>
          <w:rFonts w:eastAsia="Times New Roman"/>
          <w:color w:val="000000"/>
          <w:sz w:val="20"/>
          <w:szCs w:val="20"/>
        </w:rPr>
        <w:t>We performed an interim analysis as of March 31, 2020, as changes in market conditions indicated the carrying value of certain facility lease ROU and other long-lived assets may not be recoverable, and determined certain ROU assets, and related le</w:t>
      </w:r>
      <w:r>
        <w:rPr>
          <w:rFonts w:eastAsia="Times New Roman"/>
          <w:color w:val="000000"/>
          <w:sz w:val="20"/>
          <w:szCs w:val="20"/>
        </w:rPr>
        <w:t>asehold improvements, were impaired. We recorded a $4.7 million impairment charge related to our ROU assets, and related leasehold improvements, for the three months ended March 31, 2020, with corresponding adjustments of $2.8 million and $1.9 million to t</w:t>
      </w:r>
      <w:r>
        <w:rPr>
          <w:rFonts w:eastAsia="Times New Roman"/>
          <w:color w:val="000000"/>
          <w:sz w:val="20"/>
          <w:szCs w:val="20"/>
        </w:rPr>
        <w:t>he operating lease ROU asset and property and equipment, net line items, respectively, in the Condensed Consolidated Balance Sheet as of March 31, 2020. The impairment charge was driven by changes in our projected undiscounted cash flows for certain proper</w:t>
      </w:r>
      <w:r>
        <w:rPr>
          <w:rFonts w:eastAsia="Times New Roman"/>
          <w:color w:val="000000"/>
          <w:sz w:val="20"/>
          <w:szCs w:val="20"/>
        </w:rPr>
        <w:t>ties, primarily as a result of changes in the real estate market related to the COVID-19 pandemic that led to an increase in the estimated marketing time, and a reduction of expected receipts, for properties on the market for sublease. The fair value of th</w:t>
      </w:r>
      <w:r>
        <w:rPr>
          <w:rFonts w:eastAsia="Times New Roman"/>
          <w:color w:val="000000"/>
          <w:sz w:val="20"/>
          <w:szCs w:val="20"/>
        </w:rPr>
        <w:t>ese ROU assets, and related leasehold improvements, was estimated using an income approach and a discount rate of 12.0%.</w:t>
      </w:r>
    </w:p>
    <w:p w14:paraId="18CCD136" w14:textId="77777777" w:rsidR="00000000" w:rsidRDefault="00E614A4">
      <w:pPr>
        <w:jc w:val="both"/>
        <w:divId w:val="1442528659"/>
        <w:rPr>
          <w:rFonts w:eastAsia="Times New Roman"/>
        </w:rPr>
      </w:pPr>
      <w:r>
        <w:rPr>
          <w:rFonts w:eastAsia="Times New Roman"/>
          <w:color w:val="000000"/>
          <w:sz w:val="20"/>
          <w:szCs w:val="20"/>
        </w:rPr>
        <w:t>Although we believe that the carrying values of our long-lived assets are appropriately stated, changes in strategy or market condition</w:t>
      </w:r>
      <w:r>
        <w:rPr>
          <w:rFonts w:eastAsia="Times New Roman"/>
          <w:color w:val="000000"/>
          <w:sz w:val="20"/>
          <w:szCs w:val="20"/>
        </w:rPr>
        <w:t>s, significant technological developments or significant changes in legal or regulatory factors could significantly impact these judgments and require future adjustments to recorded asset balances. </w:t>
      </w:r>
    </w:p>
    <w:p w14:paraId="0482C330" w14:textId="77777777" w:rsidR="00000000" w:rsidRDefault="00E614A4">
      <w:pPr>
        <w:jc w:val="both"/>
        <w:divId w:val="1404059899"/>
        <w:rPr>
          <w:rFonts w:eastAsia="Times New Roman"/>
        </w:rPr>
      </w:pPr>
      <w:r>
        <w:rPr>
          <w:rFonts w:eastAsia="Times New Roman"/>
          <w:b/>
          <w:bCs/>
          <w:i/>
          <w:iCs/>
          <w:color w:val="000000"/>
          <w:sz w:val="20"/>
          <w:szCs w:val="20"/>
        </w:rPr>
        <w:t>Revenue Recognition</w:t>
      </w:r>
    </w:p>
    <w:p w14:paraId="2786AF41" w14:textId="77777777" w:rsidR="00000000" w:rsidRDefault="00E614A4">
      <w:pPr>
        <w:jc w:val="both"/>
        <w:divId w:val="1981962928"/>
        <w:rPr>
          <w:rFonts w:eastAsia="Times New Roman"/>
        </w:rPr>
      </w:pPr>
      <w:r>
        <w:rPr>
          <w:rFonts w:eastAsia="Times New Roman"/>
          <w:color w:val="000000"/>
          <w:sz w:val="20"/>
          <w:szCs w:val="20"/>
        </w:rPr>
        <w:t xml:space="preserve">We apply the provisions of ASC 606, </w:t>
      </w:r>
      <w:r>
        <w:rPr>
          <w:rFonts w:eastAsia="Times New Roman"/>
          <w:i/>
          <w:iCs/>
          <w:color w:val="000000"/>
          <w:sz w:val="20"/>
          <w:szCs w:val="20"/>
        </w:rPr>
        <w:t>R</w:t>
      </w:r>
      <w:r>
        <w:rPr>
          <w:rFonts w:eastAsia="Times New Roman"/>
          <w:i/>
          <w:iCs/>
          <w:color w:val="000000"/>
          <w:sz w:val="20"/>
          <w:szCs w:val="20"/>
        </w:rPr>
        <w:t>evenue from Contracts with Customers</w:t>
      </w:r>
      <w:r>
        <w:rPr>
          <w:rFonts w:eastAsia="Times New Roman"/>
          <w:color w:val="000000"/>
          <w:sz w:val="20"/>
          <w:szCs w:val="20"/>
        </w:rPr>
        <w:t xml:space="preserve"> and all related appropriate guidance. We recognize revenue under the core principle of depicting the transfer of promised goods and services to our customers in an amount that reflects the consideration to which we expe</w:t>
      </w:r>
      <w:r>
        <w:rPr>
          <w:rFonts w:eastAsia="Times New Roman"/>
          <w:color w:val="000000"/>
          <w:sz w:val="20"/>
          <w:szCs w:val="20"/>
        </w:rPr>
        <w:t xml:space="preserve">ct to be entitled. In order to achieve that core principle, we apply the following five-step approach: (1) identify the contract with a customer, (2) identify the performance obligations in the contract, (3) determine the transaction price, </w:t>
      </w:r>
    </w:p>
    <w:p w14:paraId="74FE0788" w14:textId="77777777" w:rsidR="00000000" w:rsidRDefault="00E614A4">
      <w:pPr>
        <w:jc w:val="center"/>
        <w:divId w:val="610743689"/>
        <w:rPr>
          <w:rFonts w:eastAsia="Times New Roman"/>
        </w:rPr>
      </w:pPr>
      <w:r>
        <w:rPr>
          <w:rFonts w:eastAsia="Times New Roman"/>
          <w:color w:val="000000"/>
          <w:sz w:val="20"/>
          <w:szCs w:val="20"/>
        </w:rPr>
        <w:t>50</w:t>
      </w:r>
    </w:p>
    <w:p w14:paraId="5073F214" w14:textId="77777777" w:rsidR="00000000" w:rsidRDefault="00E614A4">
      <w:pPr>
        <w:rPr>
          <w:rFonts w:eastAsia="Times New Roman"/>
        </w:rPr>
      </w:pPr>
      <w:r>
        <w:rPr>
          <w:rFonts w:eastAsia="Times New Roman"/>
        </w:rPr>
        <w:pict w14:anchorId="1161FAA3">
          <v:rect id="_x0000_i1078" style="width:0;height:1.5pt" o:hralign="center" o:hrstd="t" o:hr="t" fillcolor="#a0a0a0" stroked="f"/>
        </w:pict>
      </w:r>
    </w:p>
    <w:p w14:paraId="0B1AC4E8" w14:textId="77777777" w:rsidR="00000000" w:rsidRDefault="00E614A4">
      <w:pPr>
        <w:divId w:val="1574386362"/>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D00B161" w14:textId="77777777" w:rsidR="00000000" w:rsidRDefault="00E614A4">
      <w:pPr>
        <w:divId w:val="216863125"/>
        <w:rPr>
          <w:rFonts w:eastAsia="Times New Roman"/>
        </w:rPr>
      </w:pPr>
    </w:p>
    <w:p w14:paraId="3EA19973" w14:textId="77777777" w:rsidR="00000000" w:rsidRDefault="00E614A4">
      <w:pPr>
        <w:jc w:val="both"/>
        <w:divId w:val="340552356"/>
        <w:rPr>
          <w:rFonts w:eastAsia="Times New Roman"/>
        </w:rPr>
      </w:pPr>
      <w:r>
        <w:rPr>
          <w:rFonts w:eastAsia="Times New Roman"/>
          <w:color w:val="000000"/>
          <w:sz w:val="20"/>
          <w:szCs w:val="20"/>
        </w:rPr>
        <w:t>(4) a</w:t>
      </w:r>
      <w:r>
        <w:rPr>
          <w:rFonts w:eastAsia="Times New Roman"/>
          <w:color w:val="000000"/>
          <w:sz w:val="20"/>
          <w:szCs w:val="20"/>
        </w:rPr>
        <w:t xml:space="preserve">llocate the transaction price to the performance obligations in the contract, and (5) recognize revenue when a performance obligation is satisfied. </w:t>
      </w:r>
    </w:p>
    <w:p w14:paraId="5888A7FE" w14:textId="77777777" w:rsidR="00000000" w:rsidRDefault="00E614A4">
      <w:pPr>
        <w:jc w:val="both"/>
        <w:divId w:val="864827032"/>
        <w:rPr>
          <w:rFonts w:eastAsia="Times New Roman"/>
        </w:rPr>
      </w:pPr>
      <w:r>
        <w:rPr>
          <w:rFonts w:eastAsia="Times New Roman"/>
          <w:color w:val="000000"/>
          <w:sz w:val="20"/>
          <w:szCs w:val="20"/>
        </w:rPr>
        <w:t xml:space="preserve">Our contracts with customers may include multiple promised goods and services, </w:t>
      </w:r>
      <w:r>
        <w:rPr>
          <w:rFonts w:eastAsia="Times New Roman"/>
          <w:color w:val="000000"/>
          <w:sz w:val="22"/>
          <w:szCs w:val="22"/>
        </w:rPr>
        <w:t>c</w:t>
      </w:r>
      <w:r>
        <w:rPr>
          <w:rFonts w:eastAsia="Times New Roman"/>
          <w:color w:val="000000"/>
          <w:sz w:val="20"/>
          <w:szCs w:val="20"/>
        </w:rPr>
        <w:t>onsisting of the various se</w:t>
      </w:r>
      <w:r>
        <w:rPr>
          <w:rFonts w:eastAsia="Times New Roman"/>
          <w:color w:val="000000"/>
          <w:sz w:val="20"/>
          <w:szCs w:val="20"/>
        </w:rPr>
        <w:t xml:space="preserve">rvices we offer. Contracts with multiple performance obligations typically consist of a mix of subscriptions to online products, our online database and custom products and services. At contract inception, we identify performance obligations by evaluating </w:t>
      </w:r>
      <w:r>
        <w:rPr>
          <w:rFonts w:eastAsia="Times New Roman"/>
          <w:color w:val="000000"/>
          <w:sz w:val="20"/>
          <w:szCs w:val="20"/>
        </w:rPr>
        <w:t xml:space="preserve">whether the promised goods and services are capable of being distinct within the context of the contract. Promised goods and services that are not distinct are combined until the combined bundle of goods and services is distinct. </w:t>
      </w:r>
    </w:p>
    <w:p w14:paraId="0DA1A59A" w14:textId="77777777" w:rsidR="00000000" w:rsidRDefault="00E614A4">
      <w:pPr>
        <w:jc w:val="both"/>
        <w:divId w:val="1839078463"/>
        <w:rPr>
          <w:rFonts w:eastAsia="Times New Roman"/>
        </w:rPr>
      </w:pPr>
      <w:r>
        <w:rPr>
          <w:rFonts w:eastAsia="Times New Roman"/>
          <w:color w:val="000000"/>
          <w:sz w:val="20"/>
          <w:szCs w:val="20"/>
        </w:rPr>
        <w:t>In general, transaction p</w:t>
      </w:r>
      <w:r>
        <w:rPr>
          <w:rFonts w:eastAsia="Times New Roman"/>
          <w:color w:val="000000"/>
          <w:sz w:val="20"/>
          <w:szCs w:val="20"/>
        </w:rPr>
        <w:t>rice is determined by estimating the fixed amount of consideration to which we are entitled for transfer of goods and services and all relevant sources and components of variable consideration. Variable consideration is estimated based on the most likely a</w:t>
      </w:r>
      <w:r>
        <w:rPr>
          <w:rFonts w:eastAsia="Times New Roman"/>
          <w:color w:val="000000"/>
          <w:sz w:val="20"/>
          <w:szCs w:val="20"/>
        </w:rPr>
        <w:t>mount or expected value approach. Once we select a method to estimate variable consideration for a particular type of performance obligation, we will apply that method consistently. We will constrain estimates of variable consideration only to the extent t</w:t>
      </w:r>
      <w:r>
        <w:rPr>
          <w:rFonts w:eastAsia="Times New Roman"/>
          <w:color w:val="000000"/>
          <w:sz w:val="20"/>
          <w:szCs w:val="20"/>
        </w:rPr>
        <w:t xml:space="preserve">hat it is probable that significant reversal in the amount of cumulative revenue recognized will not occur. </w:t>
      </w:r>
    </w:p>
    <w:p w14:paraId="0D5AAEC2" w14:textId="77777777" w:rsidR="00000000" w:rsidRDefault="00E614A4">
      <w:pPr>
        <w:jc w:val="both"/>
        <w:divId w:val="758405231"/>
        <w:rPr>
          <w:rFonts w:eastAsia="Times New Roman"/>
        </w:rPr>
      </w:pPr>
      <w:r>
        <w:rPr>
          <w:rFonts w:eastAsia="Times New Roman"/>
          <w:color w:val="000000"/>
          <w:sz w:val="20"/>
          <w:szCs w:val="20"/>
        </w:rPr>
        <w:t xml:space="preserve">Significant judgment is required to determine the stand-alone selling price ("SSP") for each performance obligation. We allocate transaction price </w:t>
      </w:r>
      <w:r>
        <w:rPr>
          <w:rFonts w:eastAsia="Times New Roman"/>
          <w:color w:val="000000"/>
          <w:sz w:val="20"/>
          <w:szCs w:val="20"/>
        </w:rPr>
        <w:t xml:space="preserve">to each performance obligation based on relative SSP. </w:t>
      </w:r>
    </w:p>
    <w:p w14:paraId="6AEF0996" w14:textId="77777777" w:rsidR="00000000" w:rsidRDefault="00E614A4">
      <w:pPr>
        <w:jc w:val="both"/>
        <w:divId w:val="1057046430"/>
        <w:rPr>
          <w:rFonts w:eastAsia="Times New Roman"/>
        </w:rPr>
      </w:pPr>
      <w:r>
        <w:rPr>
          <w:rFonts w:eastAsia="Times New Roman"/>
          <w:color w:val="000000"/>
          <w:sz w:val="20"/>
          <w:szCs w:val="20"/>
        </w:rPr>
        <w:t>For the majority of our products and services, we apply an adjusted market assessment approach for the determination of SSP for identified performance obligations. In general, we bundle multiple produc</w:t>
      </w:r>
      <w:r>
        <w:rPr>
          <w:rFonts w:eastAsia="Times New Roman"/>
          <w:color w:val="000000"/>
          <w:sz w:val="20"/>
          <w:szCs w:val="20"/>
        </w:rPr>
        <w:t>ts and very few are sold on a standalone basis. We use rate cards and pricing calculators that are periodically reviewed and updated to reflect the latest sales data and observable inputs by industry, channel, geography, customer size, and other relevant g</w:t>
      </w:r>
      <w:r>
        <w:rPr>
          <w:rFonts w:eastAsia="Times New Roman"/>
          <w:color w:val="000000"/>
          <w:sz w:val="20"/>
          <w:szCs w:val="20"/>
        </w:rPr>
        <w:t xml:space="preserve">roupings. Certain products are sold on a standalone basis in a narrow band of prices. If a product is sold outside of the narrow band of prices, it will be assigned the midpoint of the narrow band for purposes of allocating transaction price on a relative </w:t>
      </w:r>
      <w:r>
        <w:rPr>
          <w:rFonts w:eastAsia="Times New Roman"/>
          <w:color w:val="000000"/>
          <w:sz w:val="20"/>
          <w:szCs w:val="20"/>
        </w:rPr>
        <w:t xml:space="preserve">SSP basis. </w:t>
      </w:r>
    </w:p>
    <w:p w14:paraId="6F4FB9C6" w14:textId="77777777" w:rsidR="00000000" w:rsidRDefault="00E614A4">
      <w:pPr>
        <w:jc w:val="both"/>
        <w:divId w:val="928738736"/>
        <w:rPr>
          <w:rFonts w:eastAsia="Times New Roman"/>
        </w:rPr>
      </w:pPr>
      <w:r>
        <w:rPr>
          <w:rFonts w:eastAsia="Times New Roman"/>
          <w:color w:val="000000"/>
          <w:sz w:val="20"/>
          <w:szCs w:val="20"/>
        </w:rPr>
        <w:t>We recognize revenue when (or as) we satisfy a performance obligation by transferring promised goods or services to a customer. Customers may obtain the control of promised goods or services over time or at a point in time.</w:t>
      </w:r>
    </w:p>
    <w:p w14:paraId="6096CB8D" w14:textId="77777777" w:rsidR="00000000" w:rsidRDefault="00E614A4">
      <w:pPr>
        <w:jc w:val="both"/>
        <w:divId w:val="762410035"/>
        <w:rPr>
          <w:rFonts w:eastAsia="Times New Roman"/>
        </w:rPr>
      </w:pPr>
      <w:r>
        <w:rPr>
          <w:rFonts w:eastAsia="Times New Roman"/>
          <w:color w:val="000000"/>
          <w:sz w:val="20"/>
          <w:szCs w:val="20"/>
        </w:rPr>
        <w:t>We enter into a limi</w:t>
      </w:r>
      <w:r>
        <w:rPr>
          <w:rFonts w:eastAsia="Times New Roman"/>
          <w:color w:val="000000"/>
          <w:sz w:val="20"/>
          <w:szCs w:val="20"/>
        </w:rPr>
        <w:t>ted number of monetary contracts that involve both the purchase and sale of services with a single counterparty. We assess each contract to determine if the revenue and expense should be presented gross or net. In some instances, we may provide free distin</w:t>
      </w:r>
      <w:r>
        <w:rPr>
          <w:rFonts w:eastAsia="Times New Roman"/>
          <w:color w:val="000000"/>
          <w:sz w:val="20"/>
          <w:szCs w:val="20"/>
        </w:rPr>
        <w:t xml:space="preserve">ct goods or services as a form of non-cash consideration to the counterparty. We recognize revenue for these contracts to the extent that SSP is established for distinct services provided. Any excess consideration above the established SSP is presented as </w:t>
      </w:r>
      <w:r>
        <w:rPr>
          <w:rFonts w:eastAsia="Times New Roman"/>
          <w:color w:val="000000"/>
          <w:sz w:val="20"/>
          <w:szCs w:val="20"/>
        </w:rPr>
        <w:t xml:space="preserve">an offset to cost of revenues in the Consolidated Statements of Operations and Comprehensive Loss. </w:t>
      </w:r>
    </w:p>
    <w:p w14:paraId="140BCC59" w14:textId="77777777" w:rsidR="00000000" w:rsidRDefault="00E614A4">
      <w:pPr>
        <w:jc w:val="both"/>
        <w:divId w:val="1836913988"/>
        <w:rPr>
          <w:rFonts w:eastAsia="Times New Roman"/>
        </w:rPr>
      </w:pPr>
      <w:r>
        <w:rPr>
          <w:rFonts w:eastAsia="Times New Roman"/>
          <w:b/>
          <w:bCs/>
          <w:i/>
          <w:iCs/>
          <w:color w:val="000000"/>
          <w:sz w:val="20"/>
          <w:szCs w:val="20"/>
        </w:rPr>
        <w:t xml:space="preserve">Goodwill </w:t>
      </w:r>
    </w:p>
    <w:p w14:paraId="23AB29EE" w14:textId="77777777" w:rsidR="00000000" w:rsidRDefault="00E614A4">
      <w:pPr>
        <w:jc w:val="both"/>
        <w:divId w:val="1301687933"/>
        <w:rPr>
          <w:rFonts w:eastAsia="Times New Roman"/>
        </w:rPr>
      </w:pPr>
      <w:r>
        <w:rPr>
          <w:rFonts w:eastAsia="Times New Roman"/>
          <w:color w:val="000000"/>
          <w:sz w:val="20"/>
          <w:szCs w:val="20"/>
        </w:rPr>
        <w:t>Goodwill represents the excess of the purchase price over the fair value of identifiable assets acquired and liabilities assumed when a business i</w:t>
      </w:r>
      <w:r>
        <w:rPr>
          <w:rFonts w:eastAsia="Times New Roman"/>
          <w:color w:val="000000"/>
          <w:sz w:val="20"/>
          <w:szCs w:val="20"/>
        </w:rPr>
        <w:t>s acquired. The valuation of goodwill involves the use of management's estimates and assumptions and can have a significant impact on future operating results. Goodwill is not amortized but is evaluated for impairment at least annually, as of October 1, by</w:t>
      </w:r>
      <w:r>
        <w:rPr>
          <w:rFonts w:eastAsia="Times New Roman"/>
          <w:color w:val="000000"/>
          <w:sz w:val="20"/>
          <w:szCs w:val="20"/>
        </w:rPr>
        <w:t xml:space="preserve"> comparing the fair value of a reporting unit to its carrying value including goodwill recorded by the reporting unit.</w:t>
      </w:r>
    </w:p>
    <w:p w14:paraId="787460C1" w14:textId="77777777" w:rsidR="00000000" w:rsidRDefault="00E614A4">
      <w:pPr>
        <w:jc w:val="both"/>
        <w:divId w:val="1965384897"/>
        <w:rPr>
          <w:rFonts w:eastAsia="Times New Roman"/>
        </w:rPr>
      </w:pPr>
      <w:r>
        <w:rPr>
          <w:rFonts w:eastAsia="Times New Roman"/>
          <w:color w:val="000000"/>
          <w:sz w:val="20"/>
          <w:szCs w:val="20"/>
        </w:rPr>
        <w:t xml:space="preserve">We have one reporting unit. As such, we perform the impairment assessment for goodwill at the enterprise level. Goodwill is reviewed for </w:t>
      </w:r>
      <w:r>
        <w:rPr>
          <w:rFonts w:eastAsia="Times New Roman"/>
          <w:color w:val="000000"/>
          <w:sz w:val="20"/>
          <w:szCs w:val="20"/>
        </w:rPr>
        <w:t>possible impairment between annual tests if an event occurs or circumstances change that would more likely than not reduce the fair value of the reporting unit below the carrying value. We initially assess qualitative factors to determine if it is necessar</w:t>
      </w:r>
      <w:r>
        <w:rPr>
          <w:rFonts w:eastAsia="Times New Roman"/>
          <w:color w:val="000000"/>
          <w:sz w:val="20"/>
          <w:szCs w:val="20"/>
        </w:rPr>
        <w:t>y to perform the goodwill impairment review. We review the goodwill for impairment if, based on our assessment of the qualitative factors, we determine that it is more likely than not that the fair value of our reporting unit is less than the carrying valu</w:t>
      </w:r>
      <w:r>
        <w:rPr>
          <w:rFonts w:eastAsia="Times New Roman"/>
          <w:color w:val="000000"/>
          <w:sz w:val="20"/>
          <w:szCs w:val="20"/>
        </w:rPr>
        <w:t>e, or if we decide to bypass the qualitative assessment. We review the carrying value of our reporting unit utilizing a combination of the discounted cash flow model and a market value approach. We make assumptions regarding estimated future cash flows, di</w:t>
      </w:r>
      <w:r>
        <w:rPr>
          <w:rFonts w:eastAsia="Times New Roman"/>
          <w:color w:val="000000"/>
          <w:sz w:val="20"/>
          <w:szCs w:val="20"/>
        </w:rPr>
        <w:t>scount rates, long-term growth rates and market values to determine the estimated fair value of our reporting unit.</w:t>
      </w:r>
    </w:p>
    <w:p w14:paraId="23B0CF64" w14:textId="77777777" w:rsidR="00000000" w:rsidRDefault="00E614A4">
      <w:pPr>
        <w:jc w:val="both"/>
        <w:divId w:val="1897936248"/>
        <w:rPr>
          <w:rFonts w:eastAsia="Times New Roman"/>
        </w:rPr>
      </w:pPr>
      <w:r>
        <w:rPr>
          <w:rFonts w:eastAsia="Times New Roman"/>
          <w:color w:val="000000"/>
          <w:sz w:val="20"/>
          <w:szCs w:val="20"/>
        </w:rPr>
        <w:t>A discounted cash flow analysis requires the use of various assumptions, including; expectations of future cash flows, growth rates, tax rat</w:t>
      </w:r>
      <w:r>
        <w:rPr>
          <w:rFonts w:eastAsia="Times New Roman"/>
          <w:color w:val="000000"/>
          <w:sz w:val="20"/>
          <w:szCs w:val="20"/>
        </w:rPr>
        <w:t>es, and discount rates in developing the present value of projected cash flows. The following assumptions are significant to our discounted cash flow analysis:</w:t>
      </w:r>
    </w:p>
    <w:p w14:paraId="5110EBCB" w14:textId="77777777" w:rsidR="00000000" w:rsidRDefault="00E614A4">
      <w:pPr>
        <w:jc w:val="both"/>
        <w:divId w:val="1539316366"/>
        <w:rPr>
          <w:rFonts w:eastAsia="Times New Roman"/>
        </w:rPr>
      </w:pPr>
      <w:r>
        <w:rPr>
          <w:rFonts w:eastAsia="Times New Roman"/>
          <w:i/>
          <w:iCs/>
          <w:color w:val="000000"/>
          <w:sz w:val="20"/>
          <w:szCs w:val="20"/>
        </w:rPr>
        <w:t xml:space="preserve">Projected financial performance: </w:t>
      </w:r>
      <w:r>
        <w:rPr>
          <w:rFonts w:eastAsia="Times New Roman"/>
          <w:color w:val="000000"/>
          <w:sz w:val="20"/>
          <w:szCs w:val="20"/>
        </w:rPr>
        <w:t>expected future cash flows and growth rates are based upon assumptions of our future revenue growth and operating costs. Actual results of operations and cash flows will likely differ from those utilized in our discounted cash flow analysis, and it is poss</w:t>
      </w:r>
      <w:r>
        <w:rPr>
          <w:rFonts w:eastAsia="Times New Roman"/>
          <w:color w:val="000000"/>
          <w:sz w:val="20"/>
          <w:szCs w:val="20"/>
        </w:rPr>
        <w:t>ible that those differences could be material. We monitor for events and circumstances that could negatively impact the key assumptions in determining fair value, including long-term revenue growth projects, profitability, discount rates, volatility in our</w:t>
      </w:r>
      <w:r>
        <w:rPr>
          <w:rFonts w:eastAsia="Times New Roman"/>
          <w:color w:val="000000"/>
          <w:sz w:val="20"/>
          <w:szCs w:val="20"/>
        </w:rPr>
        <w:t xml:space="preserve"> market capitalization, and general industry, micro and macro-economic conditions.</w:t>
      </w:r>
    </w:p>
    <w:p w14:paraId="1132BAFE" w14:textId="77777777" w:rsidR="00000000" w:rsidRDefault="00E614A4">
      <w:pPr>
        <w:jc w:val="both"/>
        <w:divId w:val="1528179931"/>
        <w:rPr>
          <w:rFonts w:eastAsia="Times New Roman"/>
        </w:rPr>
      </w:pPr>
      <w:r>
        <w:rPr>
          <w:rFonts w:eastAsia="Times New Roman"/>
          <w:i/>
          <w:iCs/>
          <w:color w:val="000000"/>
          <w:sz w:val="20"/>
          <w:szCs w:val="20"/>
        </w:rPr>
        <w:t xml:space="preserve">Long-term growth rate: </w:t>
      </w:r>
      <w:r>
        <w:rPr>
          <w:rFonts w:eastAsia="Times New Roman"/>
          <w:color w:val="000000"/>
          <w:sz w:val="20"/>
          <w:szCs w:val="20"/>
        </w:rPr>
        <w:t>the long-term growth rate represents the rate at which our single reporting unit's earnings are expected to grow or losses to decrease. Our assumed lo</w:t>
      </w:r>
      <w:r>
        <w:rPr>
          <w:rFonts w:eastAsia="Times New Roman"/>
          <w:color w:val="000000"/>
          <w:sz w:val="20"/>
          <w:szCs w:val="20"/>
        </w:rPr>
        <w:t>ng-term growth rate was based on projected long-term inflation and gross domestic product growth estimates for the countries in which we operate and a long-term growth estimate for our business and the industry in which we operate. The long-term growth rat</w:t>
      </w:r>
      <w:r>
        <w:rPr>
          <w:rFonts w:eastAsia="Times New Roman"/>
          <w:color w:val="000000"/>
          <w:sz w:val="20"/>
          <w:szCs w:val="20"/>
        </w:rPr>
        <w:t>e utilized in the 2020 annual impairment analysis was 3.0%.</w:t>
      </w:r>
    </w:p>
    <w:p w14:paraId="623C597E" w14:textId="77777777" w:rsidR="00000000" w:rsidRDefault="00E614A4">
      <w:pPr>
        <w:jc w:val="center"/>
        <w:divId w:val="1612476053"/>
        <w:rPr>
          <w:rFonts w:eastAsia="Times New Roman"/>
        </w:rPr>
      </w:pPr>
      <w:r>
        <w:rPr>
          <w:rFonts w:eastAsia="Times New Roman"/>
          <w:color w:val="000000"/>
          <w:sz w:val="20"/>
          <w:szCs w:val="20"/>
        </w:rPr>
        <w:t>51</w:t>
      </w:r>
    </w:p>
    <w:p w14:paraId="404231F5" w14:textId="77777777" w:rsidR="00000000" w:rsidRDefault="00E614A4">
      <w:pPr>
        <w:rPr>
          <w:rFonts w:eastAsia="Times New Roman"/>
        </w:rPr>
      </w:pPr>
      <w:r>
        <w:rPr>
          <w:rFonts w:eastAsia="Times New Roman"/>
        </w:rPr>
        <w:pict w14:anchorId="76D8EC18">
          <v:rect id="_x0000_i1079" style="width:0;height:1.5pt" o:hralign="center" o:hrstd="t" o:hr="t" fillcolor="#a0a0a0" stroked="f"/>
        </w:pict>
      </w:r>
    </w:p>
    <w:p w14:paraId="46834F28" w14:textId="77777777" w:rsidR="00000000" w:rsidRDefault="00E614A4">
      <w:pPr>
        <w:divId w:val="86490553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680927D" w14:textId="77777777" w:rsidR="00000000" w:rsidRDefault="00E614A4">
      <w:pPr>
        <w:divId w:val="1527057854"/>
        <w:rPr>
          <w:rFonts w:eastAsia="Times New Roman"/>
        </w:rPr>
      </w:pPr>
    </w:p>
    <w:p w14:paraId="7D80A0E5" w14:textId="77777777" w:rsidR="00000000" w:rsidRDefault="00E614A4">
      <w:pPr>
        <w:jc w:val="both"/>
        <w:divId w:val="1603687573"/>
        <w:rPr>
          <w:rFonts w:eastAsia="Times New Roman"/>
        </w:rPr>
      </w:pPr>
      <w:r>
        <w:rPr>
          <w:rFonts w:eastAsia="Times New Roman"/>
          <w:i/>
          <w:iCs/>
          <w:color w:val="000000"/>
          <w:sz w:val="20"/>
          <w:szCs w:val="20"/>
        </w:rPr>
        <w:t xml:space="preserve">Discount rate: </w:t>
      </w:r>
      <w:r>
        <w:rPr>
          <w:rFonts w:eastAsia="Times New Roman"/>
          <w:color w:val="000000"/>
          <w:sz w:val="20"/>
          <w:szCs w:val="20"/>
        </w:rPr>
        <w:t>our reporting unit's future cash flows are discounted at a rate that is consistent with our average weighted cost of capital that is likely to be utilized by market participants. The weighted-average cost of capital is our estimate of the ov</w:t>
      </w:r>
      <w:r>
        <w:rPr>
          <w:rFonts w:eastAsia="Times New Roman"/>
          <w:color w:val="000000"/>
          <w:sz w:val="20"/>
          <w:szCs w:val="20"/>
        </w:rPr>
        <w:t>erall returns required by both debt and equity investors, weighted by their respective contributions of capital. We used a discount rate of 13.5% in the 2020 annual impairment analysis.</w:t>
      </w:r>
    </w:p>
    <w:p w14:paraId="4AA96914" w14:textId="77777777" w:rsidR="00000000" w:rsidRDefault="00E614A4">
      <w:pPr>
        <w:jc w:val="both"/>
        <w:divId w:val="1964385683"/>
        <w:rPr>
          <w:rFonts w:eastAsia="Times New Roman"/>
        </w:rPr>
      </w:pPr>
      <w:r>
        <w:rPr>
          <w:rFonts w:eastAsia="Times New Roman"/>
          <w:color w:val="000000"/>
          <w:sz w:val="20"/>
          <w:szCs w:val="20"/>
        </w:rPr>
        <w:t>In addition, we also use a market-based approach to estimate the value</w:t>
      </w:r>
      <w:r>
        <w:rPr>
          <w:rFonts w:eastAsia="Times New Roman"/>
          <w:color w:val="000000"/>
          <w:sz w:val="20"/>
          <w:szCs w:val="20"/>
        </w:rPr>
        <w:t xml:space="preserve"> of our reporting unit, including a guideline public company method and guideline transaction method based on multiples of EBITDA and revenue for the last twelve months. The market value is estimated by comparing our reporting unit to publicly-traded compa</w:t>
      </w:r>
      <w:r>
        <w:rPr>
          <w:rFonts w:eastAsia="Times New Roman"/>
          <w:color w:val="000000"/>
          <w:sz w:val="20"/>
          <w:szCs w:val="20"/>
        </w:rPr>
        <w:t>nies and/or to publicly-disclosed business mergers and acquisitions in similar lines of business. The value of the business entity is based on pricing multiples of certain financial parameters observed in the comparable companies.</w:t>
      </w:r>
    </w:p>
    <w:p w14:paraId="6030EFB7" w14:textId="77777777" w:rsidR="00000000" w:rsidRDefault="00E614A4">
      <w:pPr>
        <w:jc w:val="both"/>
        <w:divId w:val="2029018164"/>
        <w:rPr>
          <w:rFonts w:eastAsia="Times New Roman"/>
        </w:rPr>
      </w:pPr>
      <w:r>
        <w:rPr>
          <w:rFonts w:eastAsia="Times New Roman"/>
          <w:color w:val="000000"/>
          <w:sz w:val="20"/>
          <w:szCs w:val="20"/>
        </w:rPr>
        <w:t>Goodwill allocated to our</w:t>
      </w:r>
      <w:r>
        <w:rPr>
          <w:rFonts w:eastAsia="Times New Roman"/>
          <w:color w:val="000000"/>
          <w:sz w:val="20"/>
          <w:szCs w:val="20"/>
        </w:rPr>
        <w:t xml:space="preserve"> single reporting unit as of December 31, 2020 was $418.3 million. As of our October 1, 2020 annual assessment, the estimated fair value of our reporting unit exceeded its carrying value by approximately 30%. The projected long-term cash flows used in our </w:t>
      </w:r>
      <w:r>
        <w:rPr>
          <w:rFonts w:eastAsia="Times New Roman"/>
          <w:color w:val="000000"/>
          <w:sz w:val="20"/>
          <w:szCs w:val="20"/>
        </w:rPr>
        <w:t>fair value estimate are consistent with our most recent operating plan and are dependent on the successful execution of our business plan, overall industry growth rates and the competitive environment.</w:t>
      </w:r>
    </w:p>
    <w:p w14:paraId="50693C4F" w14:textId="77777777" w:rsidR="00000000" w:rsidRDefault="00E614A4">
      <w:pPr>
        <w:jc w:val="both"/>
        <w:divId w:val="1323965364"/>
        <w:rPr>
          <w:rFonts w:eastAsia="Times New Roman"/>
        </w:rPr>
      </w:pPr>
      <w:r>
        <w:rPr>
          <w:rFonts w:eastAsia="Times New Roman"/>
          <w:color w:val="000000"/>
          <w:sz w:val="20"/>
          <w:szCs w:val="20"/>
        </w:rPr>
        <w:t>We monitor for events and circumstances that could neg</w:t>
      </w:r>
      <w:r>
        <w:rPr>
          <w:rFonts w:eastAsia="Times New Roman"/>
          <w:color w:val="000000"/>
          <w:sz w:val="20"/>
          <w:szCs w:val="20"/>
        </w:rPr>
        <w:t>atively impact the key assumptions in determining fair value, including long-term growth projections, profitability, discount rates, volatility in our market capitalization, and general industry, market and macro-economic conditions. If the reporting unit'</w:t>
      </w:r>
      <w:r>
        <w:rPr>
          <w:rFonts w:eastAsia="Times New Roman"/>
          <w:color w:val="000000"/>
          <w:sz w:val="20"/>
          <w:szCs w:val="20"/>
        </w:rPr>
        <w:t>s future performance falls below our expectations, or there are negative revisions to other significant assumptions, including the long-term growth rate or discount rate, we may need to record a material, non-cash goodwill impairment charge in a future per</w:t>
      </w:r>
      <w:r>
        <w:rPr>
          <w:rFonts w:eastAsia="Times New Roman"/>
          <w:color w:val="000000"/>
          <w:sz w:val="20"/>
          <w:szCs w:val="20"/>
        </w:rPr>
        <w:t>iod.</w:t>
      </w:r>
    </w:p>
    <w:p w14:paraId="703B9410" w14:textId="77777777" w:rsidR="00000000" w:rsidRDefault="00E614A4">
      <w:pPr>
        <w:jc w:val="both"/>
        <w:divId w:val="1736195454"/>
        <w:rPr>
          <w:rFonts w:eastAsia="Times New Roman"/>
        </w:rPr>
      </w:pPr>
      <w:r>
        <w:rPr>
          <w:rFonts w:eastAsia="Times New Roman"/>
          <w:b/>
          <w:bCs/>
          <w:i/>
          <w:iCs/>
          <w:color w:val="000000"/>
          <w:sz w:val="20"/>
          <w:szCs w:val="20"/>
        </w:rPr>
        <w:t>Derivative Financial Instruments</w:t>
      </w:r>
    </w:p>
    <w:p w14:paraId="38AC2332" w14:textId="77777777" w:rsidR="00000000" w:rsidRDefault="00E614A4">
      <w:pPr>
        <w:jc w:val="both"/>
        <w:divId w:val="898591791"/>
        <w:rPr>
          <w:rFonts w:eastAsia="Times New Roman"/>
        </w:rPr>
      </w:pPr>
      <w:r>
        <w:rPr>
          <w:rFonts w:eastAsia="Times New Roman"/>
          <w:color w:val="000000"/>
          <w:sz w:val="20"/>
          <w:szCs w:val="20"/>
        </w:rPr>
        <w:t>We have derivative financial instruments that are not hedges and do not qualify for hedge accounting. Changes in the fair value of these instruments are immediately recorded in other income (expense), net in the Consol</w:t>
      </w:r>
      <w:r>
        <w:rPr>
          <w:rFonts w:eastAsia="Times New Roman"/>
          <w:color w:val="000000"/>
          <w:sz w:val="20"/>
          <w:szCs w:val="20"/>
        </w:rPr>
        <w:t xml:space="preserve">idated Statements of Operations and Comprehensive Loss. </w:t>
      </w:r>
    </w:p>
    <w:p w14:paraId="3ECF18E5" w14:textId="77777777" w:rsidR="00000000" w:rsidRDefault="00E614A4">
      <w:pPr>
        <w:jc w:val="both"/>
        <w:divId w:val="1817257076"/>
        <w:rPr>
          <w:rFonts w:eastAsia="Times New Roman"/>
        </w:rPr>
      </w:pPr>
      <w:r>
        <w:rPr>
          <w:rFonts w:eastAsia="Times New Roman"/>
          <w:color w:val="000000"/>
          <w:sz w:val="20"/>
          <w:szCs w:val="20"/>
        </w:rPr>
        <w:t>The fair value of our interest rate reset derivative liability is determined using a with-and-without approach, using a standard binomial tree convertible bond model. The fair value estimate is deter</w:t>
      </w:r>
      <w:r>
        <w:rPr>
          <w:rFonts w:eastAsia="Times New Roman"/>
          <w:color w:val="000000"/>
          <w:sz w:val="20"/>
          <w:szCs w:val="20"/>
        </w:rPr>
        <w:t>mined using an estimate for the Company's credit rating, the premium attributable to the payment-in-kind feature of the Notes, and premium estimates for company-specific risk factors (together, the credit adjusted discount rate). The valuation is derived f</w:t>
      </w:r>
      <w:r>
        <w:rPr>
          <w:rFonts w:eastAsia="Times New Roman"/>
          <w:color w:val="000000"/>
          <w:sz w:val="20"/>
          <w:szCs w:val="20"/>
        </w:rPr>
        <w:t>rom techniques which utilize inputs, certain of which are significant and unobservable, that result in classification of the interest rate reset derivative liability as a Level 3 fair value measurement.</w:t>
      </w:r>
    </w:p>
    <w:p w14:paraId="29FAD9F7" w14:textId="77777777" w:rsidR="00000000" w:rsidRDefault="00E614A4">
      <w:pPr>
        <w:jc w:val="both"/>
        <w:divId w:val="193664935"/>
        <w:rPr>
          <w:rFonts w:eastAsia="Times New Roman"/>
        </w:rPr>
      </w:pPr>
      <w:r>
        <w:rPr>
          <w:rFonts w:eastAsia="Times New Roman"/>
          <w:color w:val="000000"/>
          <w:sz w:val="20"/>
          <w:szCs w:val="20"/>
        </w:rPr>
        <w:t>The fair values of change of control redemption deriv</w:t>
      </w:r>
      <w:r>
        <w:rPr>
          <w:rFonts w:eastAsia="Times New Roman"/>
          <w:color w:val="000000"/>
          <w:sz w:val="20"/>
          <w:szCs w:val="20"/>
        </w:rPr>
        <w:t>ative liabilities are determined using a probability adjusted binomial lattice model. The fair value estimates are determined using management's estimate for the probability of change of control, credit adjusted discount rate, risk-free rate, and remaining</w:t>
      </w:r>
      <w:r>
        <w:rPr>
          <w:rFonts w:eastAsia="Times New Roman"/>
          <w:color w:val="000000"/>
          <w:sz w:val="20"/>
          <w:szCs w:val="20"/>
        </w:rPr>
        <w:t xml:space="preserve"> term of the redemption features. The valuations are derived from techniques which utilize inputs, certain of which are significant and unobservable, that result in classification of the change of control redemption liabilities as Level 3 fair value measur</w:t>
      </w:r>
      <w:r>
        <w:rPr>
          <w:rFonts w:eastAsia="Times New Roman"/>
          <w:color w:val="000000"/>
          <w:sz w:val="20"/>
          <w:szCs w:val="20"/>
        </w:rPr>
        <w:t>ements.</w:t>
      </w:r>
    </w:p>
    <w:p w14:paraId="1788AB3B" w14:textId="77777777" w:rsidR="00000000" w:rsidRDefault="00E614A4">
      <w:pPr>
        <w:jc w:val="both"/>
        <w:divId w:val="1965456155"/>
        <w:rPr>
          <w:rFonts w:eastAsia="Times New Roman"/>
        </w:rPr>
      </w:pPr>
      <w:r>
        <w:rPr>
          <w:rFonts w:eastAsia="Times New Roman"/>
          <w:color w:val="000000"/>
          <w:sz w:val="20"/>
          <w:szCs w:val="20"/>
        </w:rPr>
        <w:t>The fair values of our financing derivatives are estimated using forward projections and are discounted back at rates commensurate with the remaining term of the related derivative. The primary sensitivity in the interest rate reset derivative liab</w:t>
      </w:r>
      <w:r>
        <w:rPr>
          <w:rFonts w:eastAsia="Times New Roman"/>
          <w:color w:val="000000"/>
          <w:sz w:val="20"/>
          <w:szCs w:val="20"/>
        </w:rPr>
        <w:t>ility is driven by our Common Stock price at the measurement date, the observable volatility of the Common Stock, and the discount rate used to determine the present value of the instrument. The primary sensitivity for the change of control redemption deri</w:t>
      </w:r>
      <w:r>
        <w:rPr>
          <w:rFonts w:eastAsia="Times New Roman"/>
          <w:color w:val="000000"/>
          <w:sz w:val="20"/>
          <w:szCs w:val="20"/>
        </w:rPr>
        <w:t xml:space="preserve">vative liabilities is driven by the probability of a change of control. </w:t>
      </w:r>
    </w:p>
    <w:p w14:paraId="711DA962" w14:textId="77777777" w:rsidR="00000000" w:rsidRDefault="00E614A4">
      <w:pPr>
        <w:jc w:val="both"/>
        <w:divId w:val="1798181511"/>
        <w:rPr>
          <w:rFonts w:eastAsia="Times New Roman"/>
        </w:rPr>
      </w:pPr>
      <w:r>
        <w:rPr>
          <w:rFonts w:eastAsia="Times New Roman"/>
          <w:color w:val="000000"/>
          <w:sz w:val="20"/>
          <w:szCs w:val="20"/>
        </w:rPr>
        <w:t xml:space="preserve">Refer to </w:t>
      </w:r>
      <w:hyperlink w:anchor="ided6989bcc374020961c421c465250ee_139"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xml:space="preserve"> for the significant inputs used to determine the fair value of the derivatives</w:t>
      </w:r>
      <w:r>
        <w:rPr>
          <w:rFonts w:eastAsia="Times New Roman"/>
          <w:color w:val="000000"/>
          <w:sz w:val="20"/>
          <w:szCs w:val="20"/>
        </w:rPr>
        <w:t xml:space="preserve"> as of December 31, 2020.</w:t>
      </w:r>
    </w:p>
    <w:p w14:paraId="19F80239" w14:textId="77777777" w:rsidR="00000000" w:rsidRDefault="00E614A4">
      <w:pPr>
        <w:jc w:val="both"/>
        <w:divId w:val="1162815068"/>
        <w:rPr>
          <w:rFonts w:eastAsia="Times New Roman"/>
        </w:rPr>
      </w:pPr>
    </w:p>
    <w:p w14:paraId="5A7A14A7" w14:textId="77777777" w:rsidR="00000000" w:rsidRDefault="00E614A4">
      <w:pPr>
        <w:jc w:val="center"/>
        <w:divId w:val="628365905"/>
        <w:rPr>
          <w:rFonts w:eastAsia="Times New Roman"/>
        </w:rPr>
      </w:pPr>
      <w:r>
        <w:rPr>
          <w:rFonts w:eastAsia="Times New Roman"/>
          <w:color w:val="000000"/>
          <w:sz w:val="20"/>
          <w:szCs w:val="20"/>
        </w:rPr>
        <w:t>52</w:t>
      </w:r>
    </w:p>
    <w:p w14:paraId="1877439B" w14:textId="77777777" w:rsidR="00000000" w:rsidRDefault="00E614A4">
      <w:pPr>
        <w:rPr>
          <w:rFonts w:eastAsia="Times New Roman"/>
        </w:rPr>
      </w:pPr>
      <w:r>
        <w:rPr>
          <w:rFonts w:eastAsia="Times New Roman"/>
        </w:rPr>
        <w:pict w14:anchorId="7AE64D5A">
          <v:rect id="_x0000_i1080" style="width:0;height:1.5pt" o:hralign="center" o:hrstd="t" o:hr="t" fillcolor="#a0a0a0" stroked="f"/>
        </w:pict>
      </w:r>
    </w:p>
    <w:p w14:paraId="32694B3B" w14:textId="77777777" w:rsidR="00000000" w:rsidRDefault="00E614A4">
      <w:pPr>
        <w:divId w:val="93706222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C77D993" w14:textId="77777777" w:rsidR="00000000" w:rsidRDefault="00E614A4">
      <w:pPr>
        <w:divId w:val="229656642"/>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94"/>
        <w:gridCol w:w="815"/>
        <w:gridCol w:w="36"/>
        <w:gridCol w:w="37"/>
        <w:gridCol w:w="6861"/>
        <w:gridCol w:w="36"/>
      </w:tblGrid>
      <w:tr w:rsidR="00000000" w14:paraId="71A3600E" w14:textId="77777777">
        <w:trPr>
          <w:divId w:val="2062901146"/>
        </w:trPr>
        <w:tc>
          <w:tcPr>
            <w:tcW w:w="50" w:type="pct"/>
            <w:vAlign w:val="center"/>
            <w:hideMark/>
          </w:tcPr>
          <w:p w14:paraId="6CE28649" w14:textId="77777777" w:rsidR="00000000" w:rsidRDefault="00E614A4">
            <w:pPr>
              <w:rPr>
                <w:rFonts w:eastAsia="Times New Roman"/>
              </w:rPr>
            </w:pPr>
          </w:p>
        </w:tc>
        <w:tc>
          <w:tcPr>
            <w:tcW w:w="435" w:type="pct"/>
            <w:vAlign w:val="center"/>
            <w:hideMark/>
          </w:tcPr>
          <w:p w14:paraId="49468CF7" w14:textId="77777777" w:rsidR="00000000" w:rsidRDefault="00E614A4">
            <w:pPr>
              <w:rPr>
                <w:rFonts w:eastAsia="Times New Roman"/>
                <w:sz w:val="20"/>
                <w:szCs w:val="20"/>
              </w:rPr>
            </w:pPr>
          </w:p>
        </w:tc>
        <w:tc>
          <w:tcPr>
            <w:tcW w:w="5" w:type="pct"/>
            <w:vAlign w:val="center"/>
            <w:hideMark/>
          </w:tcPr>
          <w:p w14:paraId="329AAFAE" w14:textId="77777777" w:rsidR="00000000" w:rsidRDefault="00E614A4">
            <w:pPr>
              <w:rPr>
                <w:rFonts w:eastAsia="Times New Roman"/>
                <w:sz w:val="20"/>
                <w:szCs w:val="20"/>
              </w:rPr>
            </w:pPr>
          </w:p>
        </w:tc>
        <w:tc>
          <w:tcPr>
            <w:tcW w:w="50" w:type="pct"/>
            <w:vAlign w:val="center"/>
            <w:hideMark/>
          </w:tcPr>
          <w:p w14:paraId="735278C7" w14:textId="77777777" w:rsidR="00000000" w:rsidRDefault="00E614A4">
            <w:pPr>
              <w:rPr>
                <w:rFonts w:eastAsia="Times New Roman"/>
                <w:sz w:val="20"/>
                <w:szCs w:val="20"/>
              </w:rPr>
            </w:pPr>
          </w:p>
        </w:tc>
        <w:tc>
          <w:tcPr>
            <w:tcW w:w="4454" w:type="pct"/>
            <w:vAlign w:val="center"/>
            <w:hideMark/>
          </w:tcPr>
          <w:p w14:paraId="3DF070F1" w14:textId="77777777" w:rsidR="00000000" w:rsidRDefault="00E614A4">
            <w:pPr>
              <w:rPr>
                <w:rFonts w:eastAsia="Times New Roman"/>
                <w:sz w:val="20"/>
                <w:szCs w:val="20"/>
              </w:rPr>
            </w:pPr>
          </w:p>
        </w:tc>
        <w:tc>
          <w:tcPr>
            <w:tcW w:w="5" w:type="pct"/>
            <w:vAlign w:val="center"/>
            <w:hideMark/>
          </w:tcPr>
          <w:p w14:paraId="4C2990C3" w14:textId="77777777" w:rsidR="00000000" w:rsidRDefault="00E614A4">
            <w:pPr>
              <w:rPr>
                <w:rFonts w:eastAsia="Times New Roman"/>
                <w:sz w:val="20"/>
                <w:szCs w:val="20"/>
              </w:rPr>
            </w:pPr>
          </w:p>
        </w:tc>
      </w:tr>
      <w:tr w:rsidR="00000000" w14:paraId="3D7401C6" w14:textId="77777777">
        <w:trPr>
          <w:divId w:val="2062901146"/>
        </w:trPr>
        <w:tc>
          <w:tcPr>
            <w:tcW w:w="0" w:type="auto"/>
            <w:gridSpan w:val="3"/>
            <w:tcMar>
              <w:top w:w="30" w:type="dxa"/>
              <w:left w:w="20" w:type="dxa"/>
              <w:bottom w:w="30" w:type="dxa"/>
              <w:right w:w="20" w:type="dxa"/>
            </w:tcMar>
            <w:vAlign w:val="bottom"/>
            <w:hideMark/>
          </w:tcPr>
          <w:p w14:paraId="23A8E369" w14:textId="77777777" w:rsidR="00000000" w:rsidRDefault="00E614A4">
            <w:pPr>
              <w:rPr>
                <w:rFonts w:eastAsia="Times New Roman"/>
              </w:rPr>
            </w:pPr>
            <w:r>
              <w:rPr>
                <w:rFonts w:eastAsia="Times New Roman"/>
                <w:b/>
                <w:bCs/>
                <w:color w:val="000000"/>
                <w:sz w:val="20"/>
                <w:szCs w:val="20"/>
              </w:rPr>
              <w:t xml:space="preserve">ITEM 7A. </w:t>
            </w:r>
          </w:p>
        </w:tc>
        <w:tc>
          <w:tcPr>
            <w:tcW w:w="0" w:type="auto"/>
            <w:gridSpan w:val="3"/>
            <w:tcMar>
              <w:top w:w="30" w:type="dxa"/>
              <w:left w:w="20" w:type="dxa"/>
              <w:bottom w:w="30" w:type="dxa"/>
              <w:right w:w="20" w:type="dxa"/>
            </w:tcMar>
            <w:hideMark/>
          </w:tcPr>
          <w:p w14:paraId="21290365" w14:textId="77777777" w:rsidR="00000000" w:rsidRDefault="00E614A4">
            <w:pPr>
              <w:rPr>
                <w:rFonts w:eastAsia="Times New Roman"/>
              </w:rPr>
            </w:pPr>
            <w:r>
              <w:rPr>
                <w:rFonts w:eastAsia="Times New Roman"/>
                <w:b/>
                <w:bCs/>
                <w:i/>
                <w:iCs/>
                <w:color w:val="000000"/>
                <w:sz w:val="20"/>
                <w:szCs w:val="20"/>
              </w:rPr>
              <w:t>QUANTITATIVE AND QUALITATIVE DISCLOSURES ABOUT MARKET RISK</w:t>
            </w:r>
          </w:p>
        </w:tc>
      </w:tr>
    </w:tbl>
    <w:p w14:paraId="2674D8BB" w14:textId="77777777" w:rsidR="00000000" w:rsidRDefault="00E614A4">
      <w:pPr>
        <w:jc w:val="both"/>
        <w:divId w:val="982660500"/>
        <w:rPr>
          <w:rFonts w:eastAsia="Times New Roman"/>
        </w:rPr>
      </w:pPr>
      <w:r>
        <w:rPr>
          <w:rFonts w:eastAsia="Times New Roman"/>
          <w:color w:val="000000"/>
          <w:sz w:val="20"/>
          <w:szCs w:val="20"/>
        </w:rPr>
        <w:t xml:space="preserve">Market risk represents the risk of loss that may impact our financial position due to adverse changes in financial market prices and rates. As of December 31, 2020, we were subject to interest </w:t>
      </w:r>
      <w:r>
        <w:rPr>
          <w:rFonts w:eastAsia="Times New Roman"/>
          <w:color w:val="000000"/>
          <w:sz w:val="20"/>
          <w:szCs w:val="20"/>
        </w:rPr>
        <w:t>rate risk in connection with the Notes, and we hold derivative financial instruments and have outstanding warrants that are subject to market risk. We also have foreign currency exchange rate risk from our global operations.</w:t>
      </w:r>
    </w:p>
    <w:p w14:paraId="6BAB4291" w14:textId="77777777" w:rsidR="00000000" w:rsidRDefault="00E614A4">
      <w:pPr>
        <w:jc w:val="both"/>
        <w:divId w:val="342632484"/>
        <w:rPr>
          <w:rFonts w:eastAsia="Times New Roman"/>
        </w:rPr>
      </w:pPr>
      <w:r>
        <w:rPr>
          <w:rFonts w:eastAsia="Times New Roman"/>
          <w:b/>
          <w:bCs/>
          <w:color w:val="000000"/>
          <w:sz w:val="20"/>
          <w:szCs w:val="20"/>
        </w:rPr>
        <w:t>Interest rate risk</w:t>
      </w:r>
    </w:p>
    <w:p w14:paraId="24259D34" w14:textId="77777777" w:rsidR="00000000" w:rsidRDefault="00E614A4">
      <w:pPr>
        <w:jc w:val="both"/>
        <w:divId w:val="215121718"/>
        <w:rPr>
          <w:rFonts w:eastAsia="Times New Roman"/>
        </w:rPr>
      </w:pPr>
      <w:r>
        <w:rPr>
          <w:rFonts w:eastAsia="Times New Roman"/>
          <w:color w:val="000000"/>
          <w:sz w:val="20"/>
          <w:szCs w:val="20"/>
        </w:rPr>
        <w:t xml:space="preserve">As a result </w:t>
      </w:r>
      <w:r>
        <w:rPr>
          <w:rFonts w:eastAsia="Times New Roman"/>
          <w:color w:val="000000"/>
          <w:sz w:val="20"/>
          <w:szCs w:val="20"/>
        </w:rPr>
        <w:t>of having $204.0 million aggregate principal amount of the Notes outstanding, which are convertible into shares of Common Stock at a conversion price of $31.29 per share, we were subject to interest rate risk as of December 31, 2020. As of such date, the i</w:t>
      </w:r>
      <w:r>
        <w:rPr>
          <w:rFonts w:eastAsia="Times New Roman"/>
          <w:color w:val="000000"/>
          <w:sz w:val="20"/>
          <w:szCs w:val="20"/>
        </w:rPr>
        <w:t xml:space="preserve">nterest rate on the Notes was 12.0% per year. On February 1, 2021, the interest rate was determined to remain at 12.0% (subject to certain conditions) until the maturity of the Notes. </w:t>
      </w:r>
    </w:p>
    <w:p w14:paraId="520C965A" w14:textId="77777777" w:rsidR="00000000" w:rsidRDefault="00E614A4">
      <w:pPr>
        <w:jc w:val="both"/>
        <w:divId w:val="1745103432"/>
        <w:rPr>
          <w:rFonts w:eastAsia="Times New Roman"/>
        </w:rPr>
      </w:pPr>
      <w:r>
        <w:rPr>
          <w:rFonts w:eastAsia="Times New Roman"/>
          <w:color w:val="000000"/>
          <w:sz w:val="20"/>
          <w:szCs w:val="20"/>
        </w:rPr>
        <w:t xml:space="preserve">As discussed in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we have the ability, subject to certain conditions, to pay interest on the Notes through the issuance of PIK Interest Shares. We elected to pay the interest due on January 2, 2020, April 1, 2020 and July 1, 2020 in cash. We elected t</w:t>
      </w:r>
      <w:r>
        <w:rPr>
          <w:rFonts w:eastAsia="Times New Roman"/>
          <w:color w:val="000000"/>
          <w:sz w:val="20"/>
          <w:szCs w:val="20"/>
        </w:rPr>
        <w:t>o pay the interest due on October 1, 2020 through a combination of cash and the issuance of PIK Interest Shares. For the amount due for the fourth quarter of 2020 we elected to pay through the issuance of PIK Interest Shares which were delivered on January</w:t>
      </w:r>
      <w:r>
        <w:rPr>
          <w:rFonts w:eastAsia="Times New Roman"/>
          <w:color w:val="000000"/>
          <w:sz w:val="20"/>
          <w:szCs w:val="20"/>
        </w:rPr>
        <w:t xml:space="preserve"> 25, 2021. </w:t>
      </w:r>
    </w:p>
    <w:p w14:paraId="47F0D8F4" w14:textId="77777777" w:rsidR="00000000" w:rsidRDefault="00E614A4">
      <w:pPr>
        <w:jc w:val="both"/>
        <w:divId w:val="531382731"/>
        <w:rPr>
          <w:rFonts w:eastAsia="Times New Roman"/>
        </w:rPr>
      </w:pPr>
      <w:r>
        <w:rPr>
          <w:rFonts w:eastAsia="Times New Roman"/>
          <w:color w:val="000000"/>
          <w:sz w:val="20"/>
          <w:szCs w:val="20"/>
        </w:rPr>
        <w:t xml:space="preserve">As described in </w:t>
      </w:r>
      <w:hyperlink w:anchor="ided6989bcc374020961c421c465250ee_103"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Organization,</w:t>
      </w:r>
      <w:r>
        <w:rPr>
          <w:rFonts w:eastAsia="Times New Roman"/>
          <w:color w:val="000000"/>
          <w:sz w:val="20"/>
          <w:szCs w:val="20"/>
        </w:rPr>
        <w:t xml:space="preserve"> and </w:t>
      </w:r>
      <w:hyperlink w:anchor="ided6989bcc374020961c421c465250ee_277" w:history="1">
        <w:r>
          <w:rPr>
            <w:rStyle w:val="a3"/>
            <w:rFonts w:eastAsia="Times New Roman"/>
            <w:sz w:val="20"/>
            <w:szCs w:val="20"/>
          </w:rPr>
          <w:t>Footnote 16</w:t>
        </w:r>
      </w:hyperlink>
      <w:r>
        <w:rPr>
          <w:rFonts w:eastAsia="Times New Roman"/>
          <w:color w:val="000000"/>
          <w:sz w:val="20"/>
          <w:szCs w:val="20"/>
        </w:rPr>
        <w:t xml:space="preserve">, </w:t>
      </w:r>
      <w:r>
        <w:rPr>
          <w:rFonts w:eastAsia="Times New Roman"/>
          <w:i/>
          <w:iCs/>
          <w:color w:val="000000"/>
          <w:sz w:val="20"/>
          <w:szCs w:val="20"/>
        </w:rPr>
        <w:t xml:space="preserve">Subsequent Events, </w:t>
      </w:r>
      <w:r>
        <w:rPr>
          <w:rFonts w:eastAsia="Times New Roman"/>
          <w:color w:val="000000"/>
          <w:sz w:val="20"/>
          <w:szCs w:val="20"/>
        </w:rPr>
        <w:t>on March 9, 2021, our stockholders approved Transactions to issue preferred securities. The proceeds of the Transactions will be used to repay the Notes prior to maturity. For the remaining interest payment from January 1, 2021 through the closing of the T</w:t>
      </w:r>
      <w:r>
        <w:rPr>
          <w:rFonts w:eastAsia="Times New Roman"/>
          <w:color w:val="000000"/>
          <w:sz w:val="20"/>
          <w:szCs w:val="20"/>
        </w:rPr>
        <w:t>ransactions, we intend to pay interest due through the issuance of PIK Interest Shares.</w:t>
      </w:r>
    </w:p>
    <w:p w14:paraId="7DBFF5CF" w14:textId="77777777" w:rsidR="00000000" w:rsidRDefault="00E614A4">
      <w:pPr>
        <w:jc w:val="both"/>
        <w:divId w:val="675503025"/>
        <w:rPr>
          <w:rFonts w:eastAsia="Times New Roman"/>
        </w:rPr>
      </w:pPr>
      <w:r>
        <w:rPr>
          <w:rFonts w:eastAsia="Times New Roman"/>
          <w:b/>
          <w:bCs/>
          <w:color w:val="000000"/>
          <w:sz w:val="20"/>
          <w:szCs w:val="20"/>
        </w:rPr>
        <w:t>Derivative financial instrument risk</w:t>
      </w:r>
    </w:p>
    <w:p w14:paraId="4845F8FD" w14:textId="77777777" w:rsidR="00000000" w:rsidRDefault="00E614A4">
      <w:pPr>
        <w:jc w:val="both"/>
        <w:divId w:val="709573969"/>
        <w:rPr>
          <w:rFonts w:eastAsia="Times New Roman"/>
        </w:rPr>
      </w:pPr>
      <w:r>
        <w:rPr>
          <w:rFonts w:eastAsia="Times New Roman"/>
          <w:color w:val="000000"/>
          <w:sz w:val="20"/>
          <w:szCs w:val="20"/>
        </w:rPr>
        <w:t>The interest rate reset feature of the Notes represents a complex derivative financial instrument, which is classified as a liability in the Consolidated Balance Sheets. This derivative is not considered a hedging instrument. We determine the fair value of</w:t>
      </w:r>
      <w:r>
        <w:rPr>
          <w:rFonts w:eastAsia="Times New Roman"/>
          <w:color w:val="000000"/>
          <w:sz w:val="20"/>
          <w:szCs w:val="20"/>
        </w:rPr>
        <w:t xml:space="preserve"> our derivative financial instrument, relying in part on the work of an independent valuation firm engaged by us to provide inputs as to the fair value of the liability, including the valuation models and assumptions used to determine its fair value. As of</w:t>
      </w:r>
      <w:r>
        <w:rPr>
          <w:rFonts w:eastAsia="Times New Roman"/>
          <w:color w:val="000000"/>
          <w:sz w:val="20"/>
          <w:szCs w:val="20"/>
        </w:rPr>
        <w:t xml:space="preserve"> December 31, 2020, the fair value of our interest rate reset derivative financial instrument of $11.3 million was recorded in financing derivatives within the Consolidated Balance Sheets.</w:t>
      </w:r>
    </w:p>
    <w:p w14:paraId="3F6DE63D" w14:textId="77777777" w:rsidR="00000000" w:rsidRDefault="00E614A4">
      <w:pPr>
        <w:jc w:val="both"/>
        <w:divId w:val="1691640187"/>
        <w:rPr>
          <w:rFonts w:eastAsia="Times New Roman"/>
        </w:rPr>
      </w:pPr>
      <w:r>
        <w:rPr>
          <w:rFonts w:eastAsia="Times New Roman"/>
          <w:color w:val="000000"/>
          <w:sz w:val="20"/>
          <w:szCs w:val="20"/>
        </w:rPr>
        <w:t>The fair value of our interest rate reset derivative liability rela</w:t>
      </w:r>
      <w:r>
        <w:rPr>
          <w:rFonts w:eastAsia="Times New Roman"/>
          <w:color w:val="000000"/>
          <w:sz w:val="20"/>
          <w:szCs w:val="20"/>
        </w:rPr>
        <w:t>tes to the interest rate reset feature of the Notes. Changes in the fair value of the interest rate reset derivative liability are primarily driven by changes in the price and volatility of a share of our Common Stock. As described above, the interest rate</w:t>
      </w:r>
      <w:r>
        <w:rPr>
          <w:rFonts w:eastAsia="Times New Roman"/>
          <w:color w:val="000000"/>
          <w:sz w:val="20"/>
          <w:szCs w:val="20"/>
        </w:rPr>
        <w:t xml:space="preserve"> on the Notes will remain at 12.0% (subject to certain conditions) until the maturity of the Notes. As a result, changes in our stock price no longer affect the fair value of the interest rate reset derivative liability. The value of the interest rate rese</w:t>
      </w:r>
      <w:r>
        <w:rPr>
          <w:rFonts w:eastAsia="Times New Roman"/>
          <w:color w:val="000000"/>
          <w:sz w:val="20"/>
          <w:szCs w:val="20"/>
        </w:rPr>
        <w:t>t derivative liability will decrease as the time to maturity shortens and interest on the Notes is paid.</w:t>
      </w:r>
    </w:p>
    <w:p w14:paraId="76269450" w14:textId="77777777" w:rsidR="00000000" w:rsidRDefault="00E614A4">
      <w:pPr>
        <w:jc w:val="both"/>
        <w:divId w:val="1456603148"/>
        <w:rPr>
          <w:rFonts w:eastAsia="Times New Roman"/>
        </w:rPr>
      </w:pPr>
      <w:r>
        <w:rPr>
          <w:rFonts w:eastAsia="Times New Roman"/>
          <w:color w:val="000000"/>
          <w:sz w:val="20"/>
          <w:szCs w:val="20"/>
        </w:rPr>
        <w:t xml:space="preserve">For additional information on the determination of fair value, including the assumptions used in those determinations, 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and </w:t>
      </w:r>
      <w:hyperlink w:anchor="ided6989bcc374020961c421c465250ee_139"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xml:space="preserve">. </w:t>
      </w:r>
    </w:p>
    <w:p w14:paraId="4114BF51" w14:textId="77777777" w:rsidR="00000000" w:rsidRDefault="00E614A4">
      <w:pPr>
        <w:jc w:val="both"/>
        <w:divId w:val="1244409850"/>
        <w:rPr>
          <w:rFonts w:eastAsia="Times New Roman"/>
        </w:rPr>
      </w:pPr>
      <w:r>
        <w:rPr>
          <w:rFonts w:eastAsia="Times New Roman"/>
          <w:b/>
          <w:bCs/>
          <w:color w:val="000000"/>
          <w:sz w:val="20"/>
          <w:szCs w:val="20"/>
        </w:rPr>
        <w:t>Warrants liability financial instrument risk</w:t>
      </w:r>
    </w:p>
    <w:p w14:paraId="53FC62D0" w14:textId="77777777" w:rsidR="00000000" w:rsidRDefault="00E614A4">
      <w:pPr>
        <w:jc w:val="both"/>
        <w:divId w:val="361632660"/>
        <w:rPr>
          <w:rFonts w:eastAsia="Times New Roman"/>
        </w:rPr>
      </w:pPr>
      <w:r>
        <w:rPr>
          <w:rFonts w:eastAsia="Times New Roman"/>
          <w:color w:val="000000"/>
          <w:sz w:val="20"/>
          <w:szCs w:val="20"/>
        </w:rPr>
        <w:t>As a result of having $2.8 million in liability related</w:t>
      </w:r>
      <w:r>
        <w:rPr>
          <w:rFonts w:eastAsia="Times New Roman"/>
          <w:color w:val="000000"/>
          <w:sz w:val="20"/>
          <w:szCs w:val="20"/>
        </w:rPr>
        <w:t xml:space="preserve"> to outstanding warrants as of December 31, 2020, which warrants are exercisable for shares of Common Stock under certain conditions, we are subject to market risk. The value of the warrants, and the number of shares likely to be issued under the warrants,</w:t>
      </w:r>
      <w:r>
        <w:rPr>
          <w:rFonts w:eastAsia="Times New Roman"/>
          <w:color w:val="000000"/>
          <w:sz w:val="20"/>
          <w:szCs w:val="20"/>
        </w:rPr>
        <w:t xml:space="preserve"> is impacted by changes in the market price of our Common Stock.</w:t>
      </w:r>
    </w:p>
    <w:p w14:paraId="14679DFB" w14:textId="77777777" w:rsidR="00000000" w:rsidRDefault="00E614A4">
      <w:pPr>
        <w:jc w:val="both"/>
        <w:divId w:val="575897446"/>
        <w:rPr>
          <w:rFonts w:eastAsia="Times New Roman"/>
        </w:rPr>
      </w:pPr>
      <w:r>
        <w:rPr>
          <w:rFonts w:eastAsia="Times New Roman"/>
          <w:color w:val="000000"/>
          <w:sz w:val="20"/>
          <w:szCs w:val="20"/>
        </w:rPr>
        <w:t xml:space="preserve">As described in </w:t>
      </w:r>
      <w:hyperlink w:anchor="ided6989bcc374020961c421c465250ee_103"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Organization,</w:t>
      </w:r>
      <w:r>
        <w:rPr>
          <w:rFonts w:eastAsia="Times New Roman"/>
          <w:color w:val="000000"/>
          <w:sz w:val="20"/>
          <w:szCs w:val="20"/>
        </w:rPr>
        <w:t xml:space="preserve"> and </w:t>
      </w:r>
      <w:hyperlink w:anchor="ided6989bcc374020961c421c465250ee_277" w:history="1">
        <w:r>
          <w:rPr>
            <w:rStyle w:val="a3"/>
            <w:rFonts w:eastAsia="Times New Roman"/>
            <w:sz w:val="20"/>
            <w:szCs w:val="20"/>
          </w:rPr>
          <w:t>Footnote 16</w:t>
        </w:r>
      </w:hyperlink>
      <w:r>
        <w:rPr>
          <w:rFonts w:eastAsia="Times New Roman"/>
          <w:color w:val="000000"/>
          <w:sz w:val="20"/>
          <w:szCs w:val="20"/>
        </w:rPr>
        <w:t xml:space="preserve">, </w:t>
      </w:r>
      <w:r>
        <w:rPr>
          <w:rFonts w:eastAsia="Times New Roman"/>
          <w:i/>
          <w:iCs/>
          <w:color w:val="000000"/>
          <w:sz w:val="20"/>
          <w:szCs w:val="20"/>
        </w:rPr>
        <w:t>Subsequent E</w:t>
      </w:r>
      <w:r>
        <w:rPr>
          <w:rFonts w:eastAsia="Times New Roman"/>
          <w:i/>
          <w:iCs/>
          <w:color w:val="000000"/>
          <w:sz w:val="20"/>
          <w:szCs w:val="20"/>
        </w:rPr>
        <w:t xml:space="preserve">vents, </w:t>
      </w:r>
      <w:r>
        <w:rPr>
          <w:rFonts w:eastAsia="Times New Roman"/>
          <w:color w:val="000000"/>
          <w:sz w:val="20"/>
          <w:szCs w:val="20"/>
        </w:rPr>
        <w:t>on March 9, 2021 our stockholders approved Transactions to issue preferred securities. The exercise price of our Series A Warrants is subject to anti-dilution adjustment in certain circumstances, including upon certain issuances of capital stock. As</w:t>
      </w:r>
      <w:r>
        <w:rPr>
          <w:rFonts w:eastAsia="Times New Roman"/>
          <w:color w:val="000000"/>
          <w:sz w:val="20"/>
          <w:szCs w:val="20"/>
        </w:rPr>
        <w:t xml:space="preserve"> a result of the Transactions, we expect to adjust the exercise price of the Series A Warrants to the closing price of the Transactions. If the Series A Warrants had been measured as of December 31, 2020 based on the closing price of the Transactions of $2</w:t>
      </w:r>
      <w:r>
        <w:rPr>
          <w:rFonts w:eastAsia="Times New Roman"/>
          <w:color w:val="000000"/>
          <w:sz w:val="20"/>
          <w:szCs w:val="20"/>
        </w:rPr>
        <w:t>.4719, then the estimated fair value of the warrants would have increased from $2.8 million to $7.5 million. Thereafter, a 10% increase in the market price of our Common Stock would result in a $1.0 million increase in the fair value of the Series A Warran</w:t>
      </w:r>
      <w:r>
        <w:rPr>
          <w:rFonts w:eastAsia="Times New Roman"/>
          <w:color w:val="000000"/>
          <w:sz w:val="20"/>
          <w:szCs w:val="20"/>
        </w:rPr>
        <w:t>ts, while a 10% decrease in the market price of our Common Stock would result in a $1.1 million decrease in fair value of the Series A Warrants.</w:t>
      </w:r>
    </w:p>
    <w:p w14:paraId="6624668C" w14:textId="77777777" w:rsidR="00000000" w:rsidRDefault="00E614A4">
      <w:pPr>
        <w:jc w:val="both"/>
        <w:divId w:val="696540345"/>
        <w:rPr>
          <w:rFonts w:eastAsia="Times New Roman"/>
        </w:rPr>
      </w:pPr>
      <w:r>
        <w:rPr>
          <w:rFonts w:eastAsia="Times New Roman"/>
          <w:color w:val="000000"/>
          <w:sz w:val="20"/>
          <w:szCs w:val="20"/>
        </w:rPr>
        <w:t xml:space="preserve">For further information regarding our outstanding warrants, see </w:t>
      </w:r>
      <w:hyperlink w:anchor="ided6989bcc374020961c421c465250ee_133"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Stockholders' Equity</w:t>
      </w:r>
      <w:r>
        <w:rPr>
          <w:rFonts w:eastAsia="Times New Roman"/>
          <w:color w:val="000000"/>
          <w:sz w:val="20"/>
          <w:szCs w:val="20"/>
        </w:rPr>
        <w:t>.</w:t>
      </w:r>
    </w:p>
    <w:p w14:paraId="1D7EE3D3" w14:textId="77777777" w:rsidR="00000000" w:rsidRDefault="00E614A4">
      <w:pPr>
        <w:jc w:val="both"/>
        <w:divId w:val="1086733589"/>
        <w:rPr>
          <w:rFonts w:eastAsia="Times New Roman"/>
        </w:rPr>
      </w:pPr>
      <w:r>
        <w:rPr>
          <w:rFonts w:eastAsia="Times New Roman"/>
          <w:b/>
          <w:bCs/>
          <w:color w:val="000000"/>
          <w:sz w:val="20"/>
          <w:szCs w:val="20"/>
        </w:rPr>
        <w:t>Foreign currency risk</w:t>
      </w:r>
    </w:p>
    <w:p w14:paraId="27F6DCC3" w14:textId="77777777" w:rsidR="00000000" w:rsidRDefault="00E614A4">
      <w:pPr>
        <w:jc w:val="both"/>
        <w:divId w:val="2076967681"/>
        <w:rPr>
          <w:rFonts w:eastAsia="Times New Roman"/>
        </w:rPr>
      </w:pPr>
      <w:r>
        <w:rPr>
          <w:rFonts w:eastAsia="Times New Roman"/>
          <w:color w:val="000000"/>
          <w:sz w:val="20"/>
          <w:szCs w:val="20"/>
        </w:rPr>
        <w:t xml:space="preserve">We operate globally, and we predominantly generate revenues and expenses in local currencies. We operate in several countries in Europe, as well as countries throughout South America and </w:t>
      </w:r>
      <w:r>
        <w:rPr>
          <w:rFonts w:eastAsia="Times New Roman"/>
          <w:color w:val="000000"/>
          <w:sz w:val="20"/>
          <w:szCs w:val="20"/>
        </w:rPr>
        <w:t xml:space="preserve">Asia Pacific. As such, we have exposure to adverse changes in exchange rates associated with revenues and operating expenses of our foreign operations, but we believe this exposure is not material at this time. We have not engaged in any transactions that </w:t>
      </w:r>
      <w:r>
        <w:rPr>
          <w:rFonts w:eastAsia="Times New Roman"/>
          <w:color w:val="000000"/>
          <w:sz w:val="20"/>
          <w:szCs w:val="20"/>
        </w:rPr>
        <w:t>hedge foreign currency exchange rate risk.</w:t>
      </w:r>
    </w:p>
    <w:p w14:paraId="447FE6C7" w14:textId="77777777" w:rsidR="00000000" w:rsidRDefault="00E614A4">
      <w:pPr>
        <w:jc w:val="center"/>
        <w:divId w:val="1209146856"/>
        <w:rPr>
          <w:rFonts w:eastAsia="Times New Roman"/>
        </w:rPr>
      </w:pPr>
      <w:r>
        <w:rPr>
          <w:rFonts w:eastAsia="Times New Roman"/>
          <w:color w:val="000000"/>
          <w:sz w:val="20"/>
          <w:szCs w:val="20"/>
        </w:rPr>
        <w:t>53</w:t>
      </w:r>
    </w:p>
    <w:p w14:paraId="79C53422" w14:textId="77777777" w:rsidR="00000000" w:rsidRDefault="00E614A4">
      <w:pPr>
        <w:rPr>
          <w:rFonts w:eastAsia="Times New Roman"/>
        </w:rPr>
      </w:pPr>
      <w:r>
        <w:rPr>
          <w:rFonts w:eastAsia="Times New Roman"/>
        </w:rPr>
        <w:pict w14:anchorId="7032609E">
          <v:rect id="_x0000_i1081" style="width:0;height:1.5pt" o:hralign="center" o:hrstd="t" o:hr="t" fillcolor="#a0a0a0" stroked="f"/>
        </w:pict>
      </w:r>
    </w:p>
    <w:p w14:paraId="1D6E065F" w14:textId="77777777" w:rsidR="00000000" w:rsidRDefault="00E614A4">
      <w:pPr>
        <w:divId w:val="78461655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0F73478" w14:textId="77777777" w:rsidR="00000000" w:rsidRDefault="00E614A4">
      <w:pPr>
        <w:divId w:val="269824307"/>
        <w:rPr>
          <w:rFonts w:eastAsia="Times New Roman"/>
        </w:rPr>
      </w:pPr>
    </w:p>
    <w:p w14:paraId="46A49DC9" w14:textId="77777777" w:rsidR="00000000" w:rsidRDefault="00E614A4">
      <w:pPr>
        <w:jc w:val="both"/>
        <w:divId w:val="43332551"/>
        <w:rPr>
          <w:rFonts w:eastAsia="Times New Roman"/>
        </w:rPr>
      </w:pPr>
      <w:r>
        <w:rPr>
          <w:rFonts w:eastAsia="Times New Roman"/>
          <w:color w:val="000000"/>
          <w:sz w:val="20"/>
          <w:szCs w:val="20"/>
        </w:rPr>
        <w:t>There can be no guarantee that exchange rates will remain constant in future periods. In addition to the impact from the U.S. Dollar to Euro exchange rate movements, we are also impacted by th</w:t>
      </w:r>
      <w:r>
        <w:rPr>
          <w:rFonts w:eastAsia="Times New Roman"/>
          <w:color w:val="000000"/>
          <w:sz w:val="20"/>
          <w:szCs w:val="20"/>
        </w:rPr>
        <w:t>e movements in the exchange rates between the U.S. Dollar and various South American, Asia Pacific and other European currencies. We have evaluated and assessed the potential effect of this risk and believe that near-term changes in currency rates should n</w:t>
      </w:r>
      <w:r>
        <w:rPr>
          <w:rFonts w:eastAsia="Times New Roman"/>
          <w:color w:val="000000"/>
          <w:sz w:val="20"/>
          <w:szCs w:val="20"/>
        </w:rPr>
        <w:t>ot materially affect our financial position, results of operations or cash flows. We performed a sensitivity analysis, assuming a 10% decrease or increase in the value of foreign currencies in which we operate. Our analysis has determined that a 10% decrea</w:t>
      </w:r>
      <w:r>
        <w:rPr>
          <w:rFonts w:eastAsia="Times New Roman"/>
          <w:color w:val="000000"/>
          <w:sz w:val="20"/>
          <w:szCs w:val="20"/>
        </w:rPr>
        <w:t>se in value would have resulted in a decrease to our net loss of approximately $6.8 million for 2020, and a 10% increase in value would have resulted in an increase to our net loss of approximately $6.0 million for the year ended December 31, 2020.</w:t>
      </w:r>
    </w:p>
    <w:p w14:paraId="3445F8B8" w14:textId="77777777" w:rsidR="00000000" w:rsidRDefault="00E614A4">
      <w:pPr>
        <w:jc w:val="both"/>
        <w:divId w:val="1977032144"/>
        <w:rPr>
          <w:rFonts w:eastAsia="Times New Roman"/>
        </w:rPr>
      </w:pPr>
      <w:r>
        <w:rPr>
          <w:rFonts w:eastAsia="Times New Roman"/>
          <w:color w:val="000000"/>
          <w:sz w:val="20"/>
          <w:szCs w:val="20"/>
        </w:rPr>
        <w:t>As of D</w:t>
      </w:r>
      <w:r>
        <w:rPr>
          <w:rFonts w:eastAsia="Times New Roman"/>
          <w:color w:val="000000"/>
          <w:sz w:val="20"/>
          <w:szCs w:val="20"/>
        </w:rPr>
        <w:t>ecember 31, 2020, of the total $50.7 million in cash and cash equivalents, including restricted cash, $25.5 million was held by foreign subsidiaries. Of this amount, we believe $3.4 million could be subject to income tax withholding of 5% to 15% if the fun</w:t>
      </w:r>
      <w:r>
        <w:rPr>
          <w:rFonts w:eastAsia="Times New Roman"/>
          <w:color w:val="000000"/>
          <w:sz w:val="20"/>
          <w:szCs w:val="20"/>
        </w:rPr>
        <w:t>ds were repatriated to the U.S.</w:t>
      </w:r>
    </w:p>
    <w:p w14:paraId="7B63765E" w14:textId="77777777" w:rsidR="00000000" w:rsidRDefault="00E614A4">
      <w:pPr>
        <w:jc w:val="center"/>
        <w:divId w:val="1308432526"/>
        <w:rPr>
          <w:rFonts w:eastAsia="Times New Roman"/>
        </w:rPr>
      </w:pPr>
      <w:r>
        <w:rPr>
          <w:rFonts w:eastAsia="Times New Roman"/>
          <w:color w:val="000000"/>
          <w:sz w:val="20"/>
          <w:szCs w:val="20"/>
        </w:rPr>
        <w:t>54</w:t>
      </w:r>
    </w:p>
    <w:p w14:paraId="31C0F7F3" w14:textId="77777777" w:rsidR="00000000" w:rsidRDefault="00E614A4">
      <w:pPr>
        <w:rPr>
          <w:rFonts w:eastAsia="Times New Roman"/>
        </w:rPr>
      </w:pPr>
      <w:r>
        <w:rPr>
          <w:rFonts w:eastAsia="Times New Roman"/>
        </w:rPr>
        <w:pict w14:anchorId="57B16F07">
          <v:rect id="_x0000_i1082" style="width:0;height:1.5pt" o:hralign="center" o:hrstd="t" o:hr="t" fillcolor="#a0a0a0" stroked="f"/>
        </w:pict>
      </w:r>
    </w:p>
    <w:p w14:paraId="52F4EC3C" w14:textId="77777777" w:rsidR="00000000" w:rsidRDefault="00E614A4">
      <w:pPr>
        <w:divId w:val="198916446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917942A" w14:textId="77777777" w:rsidR="00000000" w:rsidRDefault="00E614A4">
      <w:pPr>
        <w:divId w:val="1916815840"/>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295C513E" w14:textId="77777777">
        <w:trPr>
          <w:divId w:val="1914006966"/>
        </w:trPr>
        <w:tc>
          <w:tcPr>
            <w:tcW w:w="50" w:type="pct"/>
            <w:vAlign w:val="center"/>
            <w:hideMark/>
          </w:tcPr>
          <w:p w14:paraId="389BC4FB" w14:textId="77777777" w:rsidR="00000000" w:rsidRDefault="00E614A4">
            <w:pPr>
              <w:rPr>
                <w:rFonts w:eastAsia="Times New Roman"/>
              </w:rPr>
            </w:pPr>
          </w:p>
        </w:tc>
        <w:tc>
          <w:tcPr>
            <w:tcW w:w="494" w:type="pct"/>
            <w:vAlign w:val="center"/>
            <w:hideMark/>
          </w:tcPr>
          <w:p w14:paraId="4AE0B417" w14:textId="77777777" w:rsidR="00000000" w:rsidRDefault="00E614A4">
            <w:pPr>
              <w:rPr>
                <w:rFonts w:eastAsia="Times New Roman"/>
                <w:sz w:val="20"/>
                <w:szCs w:val="20"/>
              </w:rPr>
            </w:pPr>
          </w:p>
        </w:tc>
        <w:tc>
          <w:tcPr>
            <w:tcW w:w="5" w:type="pct"/>
            <w:vAlign w:val="center"/>
            <w:hideMark/>
          </w:tcPr>
          <w:p w14:paraId="2969A734" w14:textId="77777777" w:rsidR="00000000" w:rsidRDefault="00E614A4">
            <w:pPr>
              <w:rPr>
                <w:rFonts w:eastAsia="Times New Roman"/>
                <w:sz w:val="20"/>
                <w:szCs w:val="20"/>
              </w:rPr>
            </w:pPr>
          </w:p>
        </w:tc>
        <w:tc>
          <w:tcPr>
            <w:tcW w:w="50" w:type="pct"/>
            <w:vAlign w:val="center"/>
            <w:hideMark/>
          </w:tcPr>
          <w:p w14:paraId="55404F5B" w14:textId="77777777" w:rsidR="00000000" w:rsidRDefault="00E614A4">
            <w:pPr>
              <w:rPr>
                <w:rFonts w:eastAsia="Times New Roman"/>
                <w:sz w:val="20"/>
                <w:szCs w:val="20"/>
              </w:rPr>
            </w:pPr>
          </w:p>
        </w:tc>
        <w:tc>
          <w:tcPr>
            <w:tcW w:w="4396" w:type="pct"/>
            <w:vAlign w:val="center"/>
            <w:hideMark/>
          </w:tcPr>
          <w:p w14:paraId="1F312B41" w14:textId="77777777" w:rsidR="00000000" w:rsidRDefault="00E614A4">
            <w:pPr>
              <w:rPr>
                <w:rFonts w:eastAsia="Times New Roman"/>
                <w:sz w:val="20"/>
                <w:szCs w:val="20"/>
              </w:rPr>
            </w:pPr>
          </w:p>
        </w:tc>
        <w:tc>
          <w:tcPr>
            <w:tcW w:w="5" w:type="pct"/>
            <w:vAlign w:val="center"/>
            <w:hideMark/>
          </w:tcPr>
          <w:p w14:paraId="3C55243F" w14:textId="77777777" w:rsidR="00000000" w:rsidRDefault="00E614A4">
            <w:pPr>
              <w:rPr>
                <w:rFonts w:eastAsia="Times New Roman"/>
                <w:sz w:val="20"/>
                <w:szCs w:val="20"/>
              </w:rPr>
            </w:pPr>
          </w:p>
        </w:tc>
      </w:tr>
      <w:tr w:rsidR="00000000" w14:paraId="48A200BC" w14:textId="77777777">
        <w:trPr>
          <w:divId w:val="1914006966"/>
        </w:trPr>
        <w:tc>
          <w:tcPr>
            <w:tcW w:w="0" w:type="auto"/>
            <w:gridSpan w:val="3"/>
            <w:tcMar>
              <w:top w:w="30" w:type="dxa"/>
              <w:left w:w="20" w:type="dxa"/>
              <w:bottom w:w="30" w:type="dxa"/>
              <w:right w:w="20" w:type="dxa"/>
            </w:tcMar>
            <w:hideMark/>
          </w:tcPr>
          <w:p w14:paraId="55A56E85" w14:textId="77777777" w:rsidR="00000000" w:rsidRDefault="00E614A4">
            <w:pPr>
              <w:rPr>
                <w:rFonts w:eastAsia="Times New Roman"/>
              </w:rPr>
            </w:pPr>
            <w:r>
              <w:rPr>
                <w:rFonts w:eastAsia="Times New Roman"/>
                <w:b/>
                <w:bCs/>
                <w:color w:val="000000"/>
                <w:sz w:val="20"/>
                <w:szCs w:val="20"/>
              </w:rPr>
              <w:t>ITEM 8.</w:t>
            </w:r>
          </w:p>
        </w:tc>
        <w:tc>
          <w:tcPr>
            <w:tcW w:w="0" w:type="auto"/>
            <w:gridSpan w:val="3"/>
            <w:tcMar>
              <w:top w:w="30" w:type="dxa"/>
              <w:left w:w="20" w:type="dxa"/>
              <w:bottom w:w="30" w:type="dxa"/>
              <w:right w:w="20" w:type="dxa"/>
            </w:tcMar>
            <w:hideMark/>
          </w:tcPr>
          <w:p w14:paraId="468DCA98" w14:textId="77777777" w:rsidR="00000000" w:rsidRDefault="00E614A4">
            <w:pPr>
              <w:rPr>
                <w:rFonts w:eastAsia="Times New Roman"/>
              </w:rPr>
            </w:pPr>
            <w:r>
              <w:rPr>
                <w:rFonts w:eastAsia="Times New Roman"/>
                <w:b/>
                <w:bCs/>
                <w:i/>
                <w:iCs/>
                <w:color w:val="000000"/>
                <w:sz w:val="20"/>
                <w:szCs w:val="20"/>
              </w:rPr>
              <w:t>FINANCIAL STATEMENTS AND SUPPLEMENTARY DATA</w:t>
            </w:r>
          </w:p>
        </w:tc>
      </w:tr>
    </w:tbl>
    <w:p w14:paraId="0A030C22" w14:textId="77777777" w:rsidR="00000000" w:rsidRDefault="00E614A4">
      <w:pPr>
        <w:jc w:val="center"/>
        <w:divId w:val="1958443114"/>
        <w:rPr>
          <w:rFonts w:eastAsia="Times New Roman"/>
        </w:rPr>
      </w:pPr>
      <w:r>
        <w:rPr>
          <w:rFonts w:eastAsia="Times New Roman"/>
          <w:b/>
          <w:bCs/>
          <w:color w:val="000000"/>
          <w:sz w:val="20"/>
          <w:szCs w:val="20"/>
        </w:rPr>
        <w:t>INDEX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600"/>
        <w:gridCol w:w="39"/>
        <w:gridCol w:w="69"/>
        <w:gridCol w:w="494"/>
        <w:gridCol w:w="36"/>
      </w:tblGrid>
      <w:tr w:rsidR="00000000" w14:paraId="3C7A8520" w14:textId="77777777">
        <w:trPr>
          <w:divId w:val="1933586093"/>
        </w:trPr>
        <w:tc>
          <w:tcPr>
            <w:tcW w:w="50" w:type="pct"/>
            <w:vAlign w:val="center"/>
            <w:hideMark/>
          </w:tcPr>
          <w:p w14:paraId="31F5340B" w14:textId="77777777" w:rsidR="00000000" w:rsidRDefault="00E614A4">
            <w:pPr>
              <w:jc w:val="center"/>
              <w:rPr>
                <w:rFonts w:eastAsia="Times New Roman"/>
              </w:rPr>
            </w:pPr>
          </w:p>
        </w:tc>
        <w:tc>
          <w:tcPr>
            <w:tcW w:w="4583" w:type="pct"/>
            <w:vAlign w:val="center"/>
            <w:hideMark/>
          </w:tcPr>
          <w:p w14:paraId="26DA4C9C" w14:textId="77777777" w:rsidR="00000000" w:rsidRDefault="00E614A4">
            <w:pPr>
              <w:rPr>
                <w:rFonts w:eastAsia="Times New Roman"/>
                <w:sz w:val="20"/>
                <w:szCs w:val="20"/>
              </w:rPr>
            </w:pPr>
          </w:p>
        </w:tc>
        <w:tc>
          <w:tcPr>
            <w:tcW w:w="5" w:type="pct"/>
            <w:vAlign w:val="center"/>
            <w:hideMark/>
          </w:tcPr>
          <w:p w14:paraId="1FB9C282" w14:textId="77777777" w:rsidR="00000000" w:rsidRDefault="00E614A4">
            <w:pPr>
              <w:rPr>
                <w:rFonts w:eastAsia="Times New Roman"/>
                <w:sz w:val="20"/>
                <w:szCs w:val="20"/>
              </w:rPr>
            </w:pPr>
          </w:p>
        </w:tc>
        <w:tc>
          <w:tcPr>
            <w:tcW w:w="50" w:type="pct"/>
            <w:vAlign w:val="center"/>
            <w:hideMark/>
          </w:tcPr>
          <w:p w14:paraId="3467B3CB" w14:textId="77777777" w:rsidR="00000000" w:rsidRDefault="00E614A4">
            <w:pPr>
              <w:rPr>
                <w:rFonts w:eastAsia="Times New Roman"/>
                <w:sz w:val="20"/>
                <w:szCs w:val="20"/>
              </w:rPr>
            </w:pPr>
          </w:p>
        </w:tc>
        <w:tc>
          <w:tcPr>
            <w:tcW w:w="306" w:type="pct"/>
            <w:vAlign w:val="center"/>
            <w:hideMark/>
          </w:tcPr>
          <w:p w14:paraId="09693FED" w14:textId="77777777" w:rsidR="00000000" w:rsidRDefault="00E614A4">
            <w:pPr>
              <w:rPr>
                <w:rFonts w:eastAsia="Times New Roman"/>
                <w:sz w:val="20"/>
                <w:szCs w:val="20"/>
              </w:rPr>
            </w:pPr>
          </w:p>
        </w:tc>
        <w:tc>
          <w:tcPr>
            <w:tcW w:w="5" w:type="pct"/>
            <w:vAlign w:val="center"/>
            <w:hideMark/>
          </w:tcPr>
          <w:p w14:paraId="25C61E06" w14:textId="77777777" w:rsidR="00000000" w:rsidRDefault="00E614A4">
            <w:pPr>
              <w:rPr>
                <w:rFonts w:eastAsia="Times New Roman"/>
                <w:sz w:val="20"/>
                <w:szCs w:val="20"/>
              </w:rPr>
            </w:pPr>
          </w:p>
        </w:tc>
      </w:tr>
      <w:tr w:rsidR="00000000" w14:paraId="4087D8AF" w14:textId="77777777">
        <w:trPr>
          <w:divId w:val="1933586093"/>
        </w:trPr>
        <w:tc>
          <w:tcPr>
            <w:tcW w:w="0" w:type="auto"/>
            <w:gridSpan w:val="3"/>
            <w:tcMar>
              <w:top w:w="30" w:type="dxa"/>
              <w:left w:w="20" w:type="dxa"/>
              <w:bottom w:w="30" w:type="dxa"/>
              <w:right w:w="20" w:type="dxa"/>
            </w:tcMar>
            <w:vAlign w:val="bottom"/>
            <w:hideMark/>
          </w:tcPr>
          <w:p w14:paraId="4351F843" w14:textId="77777777" w:rsidR="00000000" w:rsidRDefault="00E614A4">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3AAE01CD" w14:textId="77777777" w:rsidR="00000000" w:rsidRDefault="00E614A4">
            <w:pPr>
              <w:jc w:val="center"/>
              <w:rPr>
                <w:rFonts w:eastAsia="Times New Roman"/>
              </w:rPr>
            </w:pPr>
            <w:r>
              <w:rPr>
                <w:rFonts w:eastAsia="Times New Roman"/>
                <w:b/>
                <w:bCs/>
                <w:color w:val="000000"/>
                <w:sz w:val="18"/>
                <w:szCs w:val="18"/>
                <w:u w:val="single"/>
              </w:rPr>
              <w:t>Page</w:t>
            </w:r>
          </w:p>
        </w:tc>
      </w:tr>
      <w:tr w:rsidR="00000000" w14:paraId="66B4CAED" w14:textId="77777777">
        <w:trPr>
          <w:divId w:val="1933586093"/>
        </w:trPr>
        <w:tc>
          <w:tcPr>
            <w:tcW w:w="0" w:type="auto"/>
            <w:gridSpan w:val="3"/>
            <w:tcMar>
              <w:top w:w="30" w:type="dxa"/>
              <w:left w:w="20" w:type="dxa"/>
              <w:bottom w:w="30" w:type="dxa"/>
              <w:right w:w="20" w:type="dxa"/>
            </w:tcMar>
            <w:hideMark/>
          </w:tcPr>
          <w:p w14:paraId="369088CB" w14:textId="77777777" w:rsidR="00000000" w:rsidRDefault="00E614A4">
            <w:pPr>
              <w:rPr>
                <w:rFonts w:eastAsia="Times New Roman"/>
              </w:rPr>
            </w:pPr>
            <w:r>
              <w:rPr>
                <w:rFonts w:eastAsia="Times New Roman"/>
                <w:b/>
                <w:bCs/>
                <w:color w:val="000000"/>
                <w:sz w:val="18"/>
                <w:szCs w:val="18"/>
              </w:rPr>
              <w:t>comScore, Inc. Consolidated Financial Statements</w:t>
            </w:r>
          </w:p>
        </w:tc>
        <w:tc>
          <w:tcPr>
            <w:tcW w:w="0" w:type="auto"/>
            <w:gridSpan w:val="3"/>
            <w:tcMar>
              <w:top w:w="0" w:type="dxa"/>
              <w:left w:w="20" w:type="dxa"/>
              <w:bottom w:w="0" w:type="dxa"/>
              <w:right w:w="20" w:type="dxa"/>
            </w:tcMar>
            <w:vAlign w:val="center"/>
            <w:hideMark/>
          </w:tcPr>
          <w:p w14:paraId="61DC97B4" w14:textId="77777777" w:rsidR="00000000" w:rsidRDefault="00E614A4">
            <w:pPr>
              <w:rPr>
                <w:rFonts w:eastAsia="Times New Roman"/>
              </w:rPr>
            </w:pPr>
          </w:p>
        </w:tc>
      </w:tr>
      <w:tr w:rsidR="00000000" w14:paraId="4D9FB869" w14:textId="77777777">
        <w:trPr>
          <w:divId w:val="1933586093"/>
        </w:trPr>
        <w:tc>
          <w:tcPr>
            <w:tcW w:w="0" w:type="auto"/>
            <w:gridSpan w:val="3"/>
            <w:tcMar>
              <w:top w:w="30" w:type="dxa"/>
              <w:left w:w="20" w:type="dxa"/>
              <w:bottom w:w="30" w:type="dxa"/>
              <w:right w:w="20" w:type="dxa"/>
            </w:tcMar>
            <w:vAlign w:val="bottom"/>
            <w:hideMark/>
          </w:tcPr>
          <w:p w14:paraId="40D9CD93" w14:textId="77777777" w:rsidR="00000000" w:rsidRDefault="00E614A4">
            <w:pPr>
              <w:divId w:val="448398993"/>
              <w:rPr>
                <w:rFonts w:eastAsia="Times New Roman"/>
              </w:rPr>
            </w:pPr>
            <w:hyperlink w:anchor="ided6989bcc374020961c421c465250ee_79" w:history="1">
              <w:r>
                <w:rPr>
                  <w:rStyle w:val="a3"/>
                  <w:rFonts w:eastAsia="Times New Roman"/>
                  <w:sz w:val="18"/>
                  <w:szCs w:val="18"/>
                </w:rPr>
                <w:t>REPORT OF INDEPENDENT REGISTERED PUBLIC ACCOUNTING FIRM</w:t>
              </w:r>
            </w:hyperlink>
          </w:p>
        </w:tc>
        <w:tc>
          <w:tcPr>
            <w:tcW w:w="0" w:type="auto"/>
            <w:gridSpan w:val="3"/>
            <w:tcMar>
              <w:top w:w="30" w:type="dxa"/>
              <w:left w:w="20" w:type="dxa"/>
              <w:bottom w:w="30" w:type="dxa"/>
              <w:right w:w="20" w:type="dxa"/>
            </w:tcMar>
            <w:vAlign w:val="bottom"/>
            <w:hideMark/>
          </w:tcPr>
          <w:p w14:paraId="7EB05452" w14:textId="77777777" w:rsidR="00000000" w:rsidRDefault="00E614A4">
            <w:pPr>
              <w:jc w:val="right"/>
              <w:rPr>
                <w:rFonts w:eastAsia="Times New Roman"/>
              </w:rPr>
            </w:pPr>
            <w:hyperlink w:anchor="ided6989bcc374020961c421c465250ee_79" w:history="1">
              <w:r>
                <w:rPr>
                  <w:rStyle w:val="a3"/>
                  <w:rFonts w:eastAsia="Times New Roman"/>
                  <w:sz w:val="18"/>
                  <w:szCs w:val="18"/>
                </w:rPr>
                <w:t>56</w:t>
              </w:r>
            </w:hyperlink>
          </w:p>
        </w:tc>
      </w:tr>
      <w:tr w:rsidR="00000000" w14:paraId="1C00E10F" w14:textId="77777777">
        <w:trPr>
          <w:divId w:val="1933586093"/>
        </w:trPr>
        <w:tc>
          <w:tcPr>
            <w:tcW w:w="0" w:type="auto"/>
            <w:gridSpan w:val="3"/>
            <w:tcMar>
              <w:top w:w="30" w:type="dxa"/>
              <w:left w:w="20" w:type="dxa"/>
              <w:bottom w:w="30" w:type="dxa"/>
              <w:right w:w="20" w:type="dxa"/>
            </w:tcMar>
            <w:vAlign w:val="bottom"/>
            <w:hideMark/>
          </w:tcPr>
          <w:p w14:paraId="03728045" w14:textId="77777777" w:rsidR="00000000" w:rsidRDefault="00E614A4">
            <w:pPr>
              <w:divId w:val="1697735713"/>
              <w:rPr>
                <w:rFonts w:eastAsia="Times New Roman"/>
              </w:rPr>
            </w:pPr>
            <w:hyperlink w:anchor="ided6989bcc374020961c421c465250ee_82" w:history="1">
              <w:r>
                <w:rPr>
                  <w:rStyle w:val="a3"/>
                  <w:rFonts w:eastAsia="Times New Roman"/>
                  <w:sz w:val="18"/>
                  <w:szCs w:val="18"/>
                </w:rPr>
                <w:t>CONSOLIDATED BALANCE SHEETS</w:t>
              </w:r>
            </w:hyperlink>
          </w:p>
        </w:tc>
        <w:tc>
          <w:tcPr>
            <w:tcW w:w="0" w:type="auto"/>
            <w:gridSpan w:val="3"/>
            <w:tcMar>
              <w:top w:w="30" w:type="dxa"/>
              <w:left w:w="20" w:type="dxa"/>
              <w:bottom w:w="30" w:type="dxa"/>
              <w:right w:w="20" w:type="dxa"/>
            </w:tcMar>
            <w:vAlign w:val="bottom"/>
            <w:hideMark/>
          </w:tcPr>
          <w:p w14:paraId="5AAF8EA9" w14:textId="77777777" w:rsidR="00000000" w:rsidRDefault="00E614A4">
            <w:pPr>
              <w:jc w:val="right"/>
              <w:rPr>
                <w:rFonts w:eastAsia="Times New Roman"/>
              </w:rPr>
            </w:pPr>
            <w:hyperlink w:anchor="ided6989bcc374020961c421c465250ee_82" w:history="1">
              <w:r>
                <w:rPr>
                  <w:rStyle w:val="a3"/>
                  <w:rFonts w:eastAsia="Times New Roman"/>
                  <w:sz w:val="18"/>
                  <w:szCs w:val="18"/>
                </w:rPr>
                <w:t>59</w:t>
              </w:r>
            </w:hyperlink>
          </w:p>
        </w:tc>
      </w:tr>
      <w:tr w:rsidR="00000000" w14:paraId="55D09C79" w14:textId="77777777">
        <w:trPr>
          <w:divId w:val="1933586093"/>
        </w:trPr>
        <w:tc>
          <w:tcPr>
            <w:tcW w:w="0" w:type="auto"/>
            <w:gridSpan w:val="3"/>
            <w:tcMar>
              <w:top w:w="30" w:type="dxa"/>
              <w:left w:w="20" w:type="dxa"/>
              <w:bottom w:w="30" w:type="dxa"/>
              <w:right w:w="20" w:type="dxa"/>
            </w:tcMar>
            <w:vAlign w:val="bottom"/>
            <w:hideMark/>
          </w:tcPr>
          <w:p w14:paraId="68C6B2FF" w14:textId="77777777" w:rsidR="00000000" w:rsidRDefault="00E614A4">
            <w:pPr>
              <w:divId w:val="1757556621"/>
              <w:rPr>
                <w:rFonts w:eastAsia="Times New Roman"/>
              </w:rPr>
            </w:pPr>
            <w:hyperlink w:anchor="ided6989bcc374020961c421c465250ee_88" w:history="1">
              <w:r>
                <w:rPr>
                  <w:rStyle w:val="a3"/>
                  <w:rFonts w:eastAsia="Times New Roman"/>
                  <w:sz w:val="18"/>
                  <w:szCs w:val="18"/>
                </w:rPr>
                <w:t>CONSOLIDATED STATEMENTS OF OPERATIONS AND C</w:t>
              </w:r>
              <w:r>
                <w:rPr>
                  <w:rStyle w:val="a3"/>
                  <w:rFonts w:eastAsia="Times New Roman"/>
                  <w:sz w:val="18"/>
                  <w:szCs w:val="18"/>
                </w:rPr>
                <w:t>OMPREHENSIVE LOSS</w:t>
              </w:r>
            </w:hyperlink>
          </w:p>
        </w:tc>
        <w:tc>
          <w:tcPr>
            <w:tcW w:w="0" w:type="auto"/>
            <w:gridSpan w:val="3"/>
            <w:tcMar>
              <w:top w:w="30" w:type="dxa"/>
              <w:left w:w="20" w:type="dxa"/>
              <w:bottom w:w="30" w:type="dxa"/>
              <w:right w:w="20" w:type="dxa"/>
            </w:tcMar>
            <w:vAlign w:val="bottom"/>
            <w:hideMark/>
          </w:tcPr>
          <w:p w14:paraId="29CDC378" w14:textId="77777777" w:rsidR="00000000" w:rsidRDefault="00E614A4">
            <w:pPr>
              <w:jc w:val="right"/>
              <w:rPr>
                <w:rFonts w:eastAsia="Times New Roman"/>
              </w:rPr>
            </w:pPr>
            <w:hyperlink w:anchor="ided6989bcc374020961c421c465250ee_88" w:history="1">
              <w:r>
                <w:rPr>
                  <w:rStyle w:val="a3"/>
                  <w:rFonts w:eastAsia="Times New Roman"/>
                  <w:sz w:val="18"/>
                  <w:szCs w:val="18"/>
                </w:rPr>
                <w:t>60</w:t>
              </w:r>
            </w:hyperlink>
          </w:p>
        </w:tc>
      </w:tr>
      <w:tr w:rsidR="00000000" w14:paraId="1EF59695" w14:textId="77777777">
        <w:trPr>
          <w:divId w:val="1933586093"/>
        </w:trPr>
        <w:tc>
          <w:tcPr>
            <w:tcW w:w="0" w:type="auto"/>
            <w:gridSpan w:val="3"/>
            <w:tcMar>
              <w:top w:w="30" w:type="dxa"/>
              <w:left w:w="20" w:type="dxa"/>
              <w:bottom w:w="30" w:type="dxa"/>
              <w:right w:w="20" w:type="dxa"/>
            </w:tcMar>
            <w:vAlign w:val="bottom"/>
            <w:hideMark/>
          </w:tcPr>
          <w:p w14:paraId="3F0FAB8B" w14:textId="77777777" w:rsidR="00000000" w:rsidRDefault="00E614A4">
            <w:pPr>
              <w:divId w:val="1047217220"/>
              <w:rPr>
                <w:rFonts w:eastAsia="Times New Roman"/>
              </w:rPr>
            </w:pPr>
            <w:hyperlink w:anchor="ided6989bcc374020961c421c465250ee_94" w:history="1">
              <w:r>
                <w:rPr>
                  <w:rStyle w:val="a3"/>
                  <w:rFonts w:eastAsia="Times New Roman"/>
                  <w:sz w:val="18"/>
                  <w:szCs w:val="18"/>
                </w:rPr>
                <w:t xml:space="preserve">CONSOLIDATED STATEMENTS OF STOCKHOLDERS' EQUITY </w:t>
              </w:r>
            </w:hyperlink>
          </w:p>
        </w:tc>
        <w:tc>
          <w:tcPr>
            <w:tcW w:w="0" w:type="auto"/>
            <w:gridSpan w:val="3"/>
            <w:tcMar>
              <w:top w:w="30" w:type="dxa"/>
              <w:left w:w="20" w:type="dxa"/>
              <w:bottom w:w="30" w:type="dxa"/>
              <w:right w:w="20" w:type="dxa"/>
            </w:tcMar>
            <w:vAlign w:val="bottom"/>
            <w:hideMark/>
          </w:tcPr>
          <w:p w14:paraId="5734C850" w14:textId="77777777" w:rsidR="00000000" w:rsidRDefault="00E614A4">
            <w:pPr>
              <w:jc w:val="right"/>
              <w:rPr>
                <w:rFonts w:eastAsia="Times New Roman"/>
              </w:rPr>
            </w:pPr>
            <w:hyperlink w:anchor="ided6989bcc374020961c421c465250ee_94" w:history="1">
              <w:r>
                <w:rPr>
                  <w:rStyle w:val="a3"/>
                  <w:rFonts w:eastAsia="Times New Roman"/>
                  <w:sz w:val="18"/>
                  <w:szCs w:val="18"/>
                </w:rPr>
                <w:t>61</w:t>
              </w:r>
            </w:hyperlink>
          </w:p>
        </w:tc>
      </w:tr>
      <w:tr w:rsidR="00000000" w14:paraId="3AB52E30" w14:textId="77777777">
        <w:trPr>
          <w:divId w:val="1933586093"/>
        </w:trPr>
        <w:tc>
          <w:tcPr>
            <w:tcW w:w="0" w:type="auto"/>
            <w:gridSpan w:val="3"/>
            <w:tcMar>
              <w:top w:w="30" w:type="dxa"/>
              <w:left w:w="20" w:type="dxa"/>
              <w:bottom w:w="30" w:type="dxa"/>
              <w:right w:w="20" w:type="dxa"/>
            </w:tcMar>
            <w:vAlign w:val="bottom"/>
            <w:hideMark/>
          </w:tcPr>
          <w:p w14:paraId="4E9E8CB9" w14:textId="77777777" w:rsidR="00000000" w:rsidRDefault="00E614A4">
            <w:pPr>
              <w:divId w:val="2125537981"/>
              <w:rPr>
                <w:rFonts w:eastAsia="Times New Roman"/>
              </w:rPr>
            </w:pPr>
            <w:hyperlink w:anchor="ided6989bcc374020961c421c465250ee_97" w:history="1">
              <w:r>
                <w:rPr>
                  <w:rStyle w:val="a3"/>
                  <w:rFonts w:eastAsia="Times New Roman"/>
                  <w:sz w:val="18"/>
                  <w:szCs w:val="18"/>
                </w:rPr>
                <w:t xml:space="preserve">CONSOLIDATED STATEMENTS OF CASH FLOWS </w:t>
              </w:r>
            </w:hyperlink>
          </w:p>
        </w:tc>
        <w:tc>
          <w:tcPr>
            <w:tcW w:w="0" w:type="auto"/>
            <w:gridSpan w:val="3"/>
            <w:tcMar>
              <w:top w:w="30" w:type="dxa"/>
              <w:left w:w="20" w:type="dxa"/>
              <w:bottom w:w="30" w:type="dxa"/>
              <w:right w:w="20" w:type="dxa"/>
            </w:tcMar>
            <w:vAlign w:val="bottom"/>
            <w:hideMark/>
          </w:tcPr>
          <w:p w14:paraId="338970B2" w14:textId="77777777" w:rsidR="00000000" w:rsidRDefault="00E614A4">
            <w:pPr>
              <w:jc w:val="right"/>
              <w:rPr>
                <w:rFonts w:eastAsia="Times New Roman"/>
              </w:rPr>
            </w:pPr>
            <w:hyperlink w:anchor="ided6989bcc374020961c421c465250ee_97" w:history="1">
              <w:r>
                <w:rPr>
                  <w:rStyle w:val="a3"/>
                  <w:rFonts w:eastAsia="Times New Roman"/>
                  <w:sz w:val="18"/>
                  <w:szCs w:val="18"/>
                </w:rPr>
                <w:t>62</w:t>
              </w:r>
            </w:hyperlink>
          </w:p>
        </w:tc>
      </w:tr>
      <w:tr w:rsidR="00000000" w14:paraId="18884D9E" w14:textId="77777777">
        <w:trPr>
          <w:divId w:val="1933586093"/>
        </w:trPr>
        <w:tc>
          <w:tcPr>
            <w:tcW w:w="0" w:type="auto"/>
            <w:gridSpan w:val="3"/>
            <w:tcMar>
              <w:top w:w="30" w:type="dxa"/>
              <w:left w:w="20" w:type="dxa"/>
              <w:bottom w:w="30" w:type="dxa"/>
              <w:right w:w="20" w:type="dxa"/>
            </w:tcMar>
            <w:vAlign w:val="bottom"/>
            <w:hideMark/>
          </w:tcPr>
          <w:p w14:paraId="53B9B2E4" w14:textId="77777777" w:rsidR="00000000" w:rsidRDefault="00E614A4">
            <w:pPr>
              <w:divId w:val="1226720523"/>
              <w:rPr>
                <w:rFonts w:eastAsia="Times New Roman"/>
              </w:rPr>
            </w:pPr>
            <w:hyperlink w:anchor="ided6989bcc374020961c421c465250ee_103" w:history="1">
              <w:r>
                <w:rPr>
                  <w:rStyle w:val="a3"/>
                  <w:rFonts w:eastAsia="Times New Roman"/>
                  <w:sz w:val="18"/>
                  <w:szCs w:val="18"/>
                </w:rPr>
                <w:t xml:space="preserve">NOTES TO CONSOLIDATED FINANCIAL STATEMENTS </w:t>
              </w:r>
            </w:hyperlink>
          </w:p>
        </w:tc>
        <w:tc>
          <w:tcPr>
            <w:tcW w:w="0" w:type="auto"/>
            <w:gridSpan w:val="3"/>
            <w:tcMar>
              <w:top w:w="30" w:type="dxa"/>
              <w:left w:w="20" w:type="dxa"/>
              <w:bottom w:w="30" w:type="dxa"/>
              <w:right w:w="20" w:type="dxa"/>
            </w:tcMar>
            <w:vAlign w:val="bottom"/>
            <w:hideMark/>
          </w:tcPr>
          <w:p w14:paraId="1610AB4C" w14:textId="77777777" w:rsidR="00000000" w:rsidRDefault="00E614A4">
            <w:pPr>
              <w:jc w:val="right"/>
              <w:rPr>
                <w:rFonts w:eastAsia="Times New Roman"/>
              </w:rPr>
            </w:pPr>
            <w:hyperlink w:anchor="ided6989bcc374020961c421c465250ee_103" w:history="1">
              <w:r>
                <w:rPr>
                  <w:rStyle w:val="a3"/>
                  <w:rFonts w:eastAsia="Times New Roman"/>
                  <w:sz w:val="18"/>
                  <w:szCs w:val="18"/>
                </w:rPr>
                <w:t>64</w:t>
              </w:r>
            </w:hyperlink>
          </w:p>
        </w:tc>
      </w:tr>
    </w:tbl>
    <w:p w14:paraId="4016530E" w14:textId="77777777" w:rsidR="00000000" w:rsidRDefault="00E614A4">
      <w:pPr>
        <w:jc w:val="center"/>
        <w:divId w:val="966008011"/>
        <w:rPr>
          <w:rFonts w:eastAsia="Times New Roman"/>
        </w:rPr>
      </w:pPr>
      <w:r>
        <w:rPr>
          <w:rFonts w:eastAsia="Times New Roman"/>
          <w:color w:val="000000"/>
          <w:sz w:val="20"/>
          <w:szCs w:val="20"/>
        </w:rPr>
        <w:t>55</w:t>
      </w:r>
    </w:p>
    <w:p w14:paraId="337D23D1" w14:textId="77777777" w:rsidR="00000000" w:rsidRDefault="00E614A4">
      <w:pPr>
        <w:rPr>
          <w:rFonts w:eastAsia="Times New Roman"/>
        </w:rPr>
      </w:pPr>
      <w:r>
        <w:rPr>
          <w:rFonts w:eastAsia="Times New Roman"/>
        </w:rPr>
        <w:pict w14:anchorId="4CFD5375">
          <v:rect id="_x0000_i1083" style="width:0;height:1.5pt" o:hralign="center" o:hrstd="t" o:hr="t" fillcolor="#a0a0a0" stroked="f"/>
        </w:pict>
      </w:r>
    </w:p>
    <w:p w14:paraId="62D3D9B2" w14:textId="77777777" w:rsidR="00000000" w:rsidRDefault="00E614A4">
      <w:pPr>
        <w:divId w:val="1614169657"/>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4537A85" w14:textId="77777777" w:rsidR="00000000" w:rsidRDefault="00E614A4">
      <w:pPr>
        <w:divId w:val="515734599"/>
        <w:rPr>
          <w:rFonts w:eastAsia="Times New Roman"/>
        </w:rPr>
      </w:pPr>
    </w:p>
    <w:p w14:paraId="41903FFF" w14:textId="77777777" w:rsidR="00000000" w:rsidRDefault="00E614A4">
      <w:pPr>
        <w:divId w:val="1039622124"/>
        <w:rPr>
          <w:rFonts w:eastAsia="Times New Roman"/>
        </w:rPr>
      </w:pPr>
      <w:r>
        <w:rPr>
          <w:rFonts w:eastAsia="Times New Roman"/>
          <w:b/>
          <w:bCs/>
          <w:color w:val="000000"/>
          <w:sz w:val="20"/>
          <w:szCs w:val="20"/>
        </w:rPr>
        <w:t>REPORT OF INDEPENDENT REGISTERED PUBLIC ACCOUNTING FIRM</w:t>
      </w:r>
    </w:p>
    <w:p w14:paraId="55F3E0E4" w14:textId="77777777" w:rsidR="00000000" w:rsidRDefault="00E614A4">
      <w:pPr>
        <w:divId w:val="2011984518"/>
        <w:rPr>
          <w:rFonts w:eastAsia="Times New Roman"/>
        </w:rPr>
      </w:pPr>
      <w:r>
        <w:rPr>
          <w:rFonts w:eastAsia="Times New Roman"/>
          <w:color w:val="000000"/>
          <w:sz w:val="20"/>
          <w:szCs w:val="20"/>
        </w:rPr>
        <w:t xml:space="preserve">To the stockholders and the Board of Directors of comScore, Inc. </w:t>
      </w:r>
    </w:p>
    <w:p w14:paraId="08078112" w14:textId="77777777" w:rsidR="00000000" w:rsidRDefault="00E614A4">
      <w:pPr>
        <w:divId w:val="383142096"/>
        <w:rPr>
          <w:rFonts w:eastAsia="Times New Roman"/>
        </w:rPr>
      </w:pPr>
      <w:r>
        <w:rPr>
          <w:rFonts w:eastAsia="Times New Roman"/>
          <w:b/>
          <w:bCs/>
          <w:color w:val="000000"/>
          <w:sz w:val="20"/>
          <w:szCs w:val="20"/>
        </w:rPr>
        <w:t>Opinion on the Financial Statements</w:t>
      </w:r>
    </w:p>
    <w:p w14:paraId="22EF34C8" w14:textId="77777777" w:rsidR="00000000" w:rsidRDefault="00E614A4">
      <w:pPr>
        <w:jc w:val="both"/>
        <w:divId w:val="1839692114"/>
        <w:rPr>
          <w:rFonts w:eastAsia="Times New Roman"/>
        </w:rPr>
      </w:pPr>
      <w:r>
        <w:rPr>
          <w:rFonts w:eastAsia="Times New Roman"/>
          <w:color w:val="000000"/>
          <w:sz w:val="20"/>
          <w:szCs w:val="20"/>
        </w:rPr>
        <w:t>We have audited the accompanying consolidated balance sheets of comScore, Inc. and subsidiaries (t</w:t>
      </w:r>
      <w:r>
        <w:rPr>
          <w:rFonts w:eastAsia="Times New Roman"/>
          <w:color w:val="000000"/>
          <w:sz w:val="20"/>
          <w:szCs w:val="20"/>
        </w:rPr>
        <w:t>he "Company") as of December 31, 2020 and 2019, the related consolidated statements of operations and comprehensive loss, stockholders' equity, and cash flows, for each of the three years in the period ended December 31, 2020, and the related notes (collec</w:t>
      </w:r>
      <w:r>
        <w:rPr>
          <w:rFonts w:eastAsia="Times New Roman"/>
          <w:color w:val="000000"/>
          <w:sz w:val="20"/>
          <w:szCs w:val="20"/>
        </w:rPr>
        <w:t>tively referred to as the "financial statements"). In our opinion, the financial statements present fairly, in all material respects, the financial position of the Company as of December 31, 2020 and 2019, and the results of its operations and its cash flo</w:t>
      </w:r>
      <w:r>
        <w:rPr>
          <w:rFonts w:eastAsia="Times New Roman"/>
          <w:color w:val="000000"/>
          <w:sz w:val="20"/>
          <w:szCs w:val="20"/>
        </w:rPr>
        <w:t>ws for each of the three years in the period ended December 31, 2020, in conformity with accounting principles generally accepted in the United States of America.</w:t>
      </w:r>
    </w:p>
    <w:p w14:paraId="4DC89AB2" w14:textId="77777777" w:rsidR="00000000" w:rsidRDefault="00E614A4">
      <w:pPr>
        <w:jc w:val="both"/>
        <w:divId w:val="1678536526"/>
        <w:rPr>
          <w:rFonts w:eastAsia="Times New Roman"/>
        </w:rPr>
      </w:pPr>
      <w:r>
        <w:rPr>
          <w:rFonts w:eastAsia="Times New Roman"/>
          <w:color w:val="000000"/>
          <w:sz w:val="20"/>
          <w:szCs w:val="20"/>
        </w:rPr>
        <w:t xml:space="preserve">We have also audited, in accordance with the standards of the Public Company Accounting Oversight Board (United States) (PCAOB), the Company's internal control over financial reporting as of December 31, 2020, based on criteria established in </w:t>
      </w:r>
      <w:r>
        <w:rPr>
          <w:rFonts w:eastAsia="Times New Roman"/>
          <w:i/>
          <w:iCs/>
          <w:color w:val="000000"/>
          <w:sz w:val="20"/>
          <w:szCs w:val="20"/>
        </w:rPr>
        <w:t>Internal Cont</w:t>
      </w:r>
      <w:r>
        <w:rPr>
          <w:rFonts w:eastAsia="Times New Roman"/>
          <w:i/>
          <w:iCs/>
          <w:color w:val="000000"/>
          <w:sz w:val="20"/>
          <w:szCs w:val="20"/>
        </w:rPr>
        <w:t>rol – Integrated Framework (2013)</w:t>
      </w:r>
      <w:r>
        <w:rPr>
          <w:rFonts w:eastAsia="Times New Roman"/>
          <w:color w:val="000000"/>
          <w:sz w:val="20"/>
          <w:szCs w:val="20"/>
        </w:rPr>
        <w:t xml:space="preserve"> issued by the Committee of Sponsoring Organizations of the Treadway Commission and our report dated March 9, 2021, expressed an unqualified opinion on the Company's internal control over financial reporting.</w:t>
      </w:r>
    </w:p>
    <w:p w14:paraId="23E387CA" w14:textId="77777777" w:rsidR="00000000" w:rsidRDefault="00E614A4">
      <w:pPr>
        <w:divId w:val="994138509"/>
        <w:rPr>
          <w:rFonts w:eastAsia="Times New Roman"/>
        </w:rPr>
      </w:pPr>
      <w:r>
        <w:rPr>
          <w:rFonts w:eastAsia="Times New Roman"/>
          <w:b/>
          <w:bCs/>
          <w:color w:val="000000"/>
          <w:sz w:val="20"/>
          <w:szCs w:val="20"/>
        </w:rPr>
        <w:t>Change in Acco</w:t>
      </w:r>
      <w:r>
        <w:rPr>
          <w:rFonts w:eastAsia="Times New Roman"/>
          <w:b/>
          <w:bCs/>
          <w:color w:val="000000"/>
          <w:sz w:val="20"/>
          <w:szCs w:val="20"/>
        </w:rPr>
        <w:t>unting Principle</w:t>
      </w:r>
    </w:p>
    <w:p w14:paraId="6ADD2426" w14:textId="77777777" w:rsidR="00000000" w:rsidRDefault="00E614A4">
      <w:pPr>
        <w:jc w:val="both"/>
        <w:divId w:val="501051621"/>
        <w:rPr>
          <w:rFonts w:eastAsia="Times New Roman"/>
        </w:rPr>
      </w:pPr>
      <w:r>
        <w:rPr>
          <w:rFonts w:eastAsia="Times New Roman"/>
          <w:color w:val="000000"/>
          <w:sz w:val="20"/>
          <w:szCs w:val="20"/>
        </w:rPr>
        <w:t xml:space="preserve">As discussed in Note 2 to the financial statements, the Company has changed its method of accounting for leases as of January 1, 2019 due to adoption of Accounting Standards Codification (ASC) 842, </w:t>
      </w:r>
      <w:r>
        <w:rPr>
          <w:rFonts w:eastAsia="Times New Roman"/>
          <w:i/>
          <w:iCs/>
          <w:color w:val="000000"/>
          <w:sz w:val="20"/>
          <w:szCs w:val="20"/>
        </w:rPr>
        <w:t xml:space="preserve">Leases. </w:t>
      </w:r>
      <w:r>
        <w:rPr>
          <w:rFonts w:eastAsia="Times New Roman"/>
          <w:color w:val="000000"/>
          <w:sz w:val="20"/>
          <w:szCs w:val="20"/>
        </w:rPr>
        <w:t>The Company adopted ASC 842 using</w:t>
      </w:r>
      <w:r>
        <w:rPr>
          <w:rFonts w:eastAsia="Times New Roman"/>
          <w:color w:val="000000"/>
          <w:sz w:val="20"/>
          <w:szCs w:val="20"/>
        </w:rPr>
        <w:t xml:space="preserve"> the modified retrospective transition method with optional transition relief.</w:t>
      </w:r>
    </w:p>
    <w:p w14:paraId="40C0C8DB" w14:textId="77777777" w:rsidR="00000000" w:rsidRDefault="00E614A4">
      <w:pPr>
        <w:divId w:val="963006285"/>
        <w:rPr>
          <w:rFonts w:eastAsia="Times New Roman"/>
        </w:rPr>
      </w:pPr>
      <w:r>
        <w:rPr>
          <w:rFonts w:eastAsia="Times New Roman"/>
          <w:b/>
          <w:bCs/>
          <w:color w:val="000000"/>
          <w:sz w:val="20"/>
          <w:szCs w:val="20"/>
        </w:rPr>
        <w:t>Basis for Opinion</w:t>
      </w:r>
    </w:p>
    <w:p w14:paraId="3EE6478F" w14:textId="77777777" w:rsidR="00000000" w:rsidRDefault="00E614A4">
      <w:pPr>
        <w:jc w:val="both"/>
        <w:divId w:val="1618675559"/>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w:t>
      </w:r>
      <w:r>
        <w:rPr>
          <w:rFonts w:eastAsia="Times New Roman"/>
          <w:color w:val="000000"/>
          <w:sz w:val="20"/>
          <w:szCs w:val="20"/>
        </w:rPr>
        <w:t>s based on our audits. We are a public accounting firm registered with the PCAOB and are required to be independent with respect to the Company in accordance with the U.S. federal securities laws and the applicable rules and regulations of the Securities a</w:t>
      </w:r>
      <w:r>
        <w:rPr>
          <w:rFonts w:eastAsia="Times New Roman"/>
          <w:color w:val="000000"/>
          <w:sz w:val="20"/>
          <w:szCs w:val="20"/>
        </w:rPr>
        <w:t>nd Exchange Commission and the PCAOB.</w:t>
      </w:r>
    </w:p>
    <w:p w14:paraId="23541629" w14:textId="77777777" w:rsidR="00000000" w:rsidRDefault="00E614A4">
      <w:pPr>
        <w:jc w:val="both"/>
        <w:divId w:val="1943410665"/>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assurance about whether the financial statements are free of materi</w:t>
      </w:r>
      <w:r>
        <w:rPr>
          <w:rFonts w:eastAsia="Times New Roman"/>
          <w:color w:val="000000"/>
          <w:sz w:val="20"/>
          <w:szCs w:val="20"/>
        </w:rPr>
        <w:t>al misstatement, whether due to error or fraud. Our audits included performing procedures to assess the risks of material misstatement of the financial statements, whether due to error or fraud, and performing procedures that respond to those risks. Such p</w:t>
      </w:r>
      <w:r>
        <w:rPr>
          <w:rFonts w:eastAsia="Times New Roman"/>
          <w:color w:val="000000"/>
          <w:sz w:val="20"/>
          <w:szCs w:val="20"/>
        </w:rPr>
        <w:t>rocedures included examining, on a test basis, evidence regarding the amounts and disclosures in the financial statements. Our audits also included evaluating the accounting principles used and significant estimates made by management, as well as evaluatin</w:t>
      </w:r>
      <w:r>
        <w:rPr>
          <w:rFonts w:eastAsia="Times New Roman"/>
          <w:color w:val="000000"/>
          <w:sz w:val="20"/>
          <w:szCs w:val="20"/>
        </w:rPr>
        <w:t>g the overall presentation of the financial statements. We believe that our audits provide a reasonable basis for our opinion.</w:t>
      </w:r>
    </w:p>
    <w:p w14:paraId="6BE2FB3C" w14:textId="77777777" w:rsidR="00000000" w:rsidRDefault="00E614A4">
      <w:pPr>
        <w:divId w:val="1739743869"/>
        <w:rPr>
          <w:rFonts w:eastAsia="Times New Roman"/>
        </w:rPr>
      </w:pPr>
      <w:r>
        <w:rPr>
          <w:rFonts w:eastAsia="Times New Roman"/>
          <w:b/>
          <w:bCs/>
          <w:color w:val="000000"/>
          <w:sz w:val="20"/>
          <w:szCs w:val="20"/>
        </w:rPr>
        <w:t>Critical Audit Matters</w:t>
      </w:r>
    </w:p>
    <w:p w14:paraId="7DCD0C8D" w14:textId="77777777" w:rsidR="00000000" w:rsidRDefault="00E614A4">
      <w:pPr>
        <w:jc w:val="both"/>
        <w:divId w:val="48114786"/>
        <w:rPr>
          <w:rFonts w:eastAsia="Times New Roman"/>
        </w:rPr>
      </w:pPr>
      <w:r>
        <w:rPr>
          <w:rFonts w:eastAsia="Times New Roman"/>
          <w:color w:val="000000"/>
          <w:sz w:val="20"/>
          <w:szCs w:val="20"/>
        </w:rPr>
        <w:t>The critical audit matters communicated below are matters arising from the current-period audit of the fin</w:t>
      </w:r>
      <w:r>
        <w:rPr>
          <w:rFonts w:eastAsia="Times New Roman"/>
          <w:color w:val="000000"/>
          <w:sz w:val="20"/>
          <w:szCs w:val="20"/>
        </w:rPr>
        <w:t xml:space="preserve">ancial statements that were communicated or required to be communicated to the audit committee and that (1) relate to accounts or disclosures that are material to the financial statements and (2) involved our especially challenging, subjective, or complex </w:t>
      </w:r>
      <w:r>
        <w:rPr>
          <w:rFonts w:eastAsia="Times New Roman"/>
          <w:color w:val="000000"/>
          <w:sz w:val="20"/>
          <w:szCs w:val="20"/>
        </w:rPr>
        <w:t>judgments. The communication of critical audit matters does not alter in any way our opinion on the financial statements, taken as a whole, and we are not, by communicating the critical audit matters below, providing separate opinions on the critical audit</w:t>
      </w:r>
      <w:r>
        <w:rPr>
          <w:rFonts w:eastAsia="Times New Roman"/>
          <w:color w:val="000000"/>
          <w:sz w:val="20"/>
          <w:szCs w:val="20"/>
        </w:rPr>
        <w:t xml:space="preserve"> matters or on the accounts or disclosures to which they relate.</w:t>
      </w:r>
    </w:p>
    <w:p w14:paraId="3E6782D2" w14:textId="77777777" w:rsidR="00000000" w:rsidRDefault="00E614A4">
      <w:pPr>
        <w:divId w:val="948706160"/>
        <w:rPr>
          <w:rFonts w:eastAsia="Times New Roman"/>
        </w:rPr>
      </w:pPr>
      <w:r>
        <w:rPr>
          <w:rFonts w:eastAsia="Times New Roman"/>
          <w:b/>
          <w:bCs/>
          <w:i/>
          <w:iCs/>
          <w:color w:val="000000"/>
          <w:sz w:val="20"/>
          <w:szCs w:val="20"/>
        </w:rPr>
        <w:t>Revenues – Refer to Notes 2 and 3 to the financial statements</w:t>
      </w:r>
    </w:p>
    <w:p w14:paraId="24128709" w14:textId="77777777" w:rsidR="00000000" w:rsidRDefault="00E614A4">
      <w:pPr>
        <w:divId w:val="673335651"/>
        <w:rPr>
          <w:rFonts w:eastAsia="Times New Roman"/>
        </w:rPr>
      </w:pPr>
      <w:r>
        <w:rPr>
          <w:rFonts w:eastAsia="Times New Roman"/>
          <w:i/>
          <w:iCs/>
          <w:color w:val="000000"/>
          <w:sz w:val="20"/>
          <w:szCs w:val="20"/>
        </w:rPr>
        <w:t>Critical Audit Matter Description</w:t>
      </w:r>
    </w:p>
    <w:p w14:paraId="75D32874" w14:textId="77777777" w:rsidR="00000000" w:rsidRDefault="00E614A4">
      <w:pPr>
        <w:jc w:val="both"/>
        <w:divId w:val="113059613"/>
        <w:rPr>
          <w:rFonts w:eastAsia="Times New Roman"/>
        </w:rPr>
      </w:pPr>
      <w:r>
        <w:rPr>
          <w:rFonts w:eastAsia="Times New Roman"/>
          <w:color w:val="000000"/>
          <w:sz w:val="20"/>
          <w:szCs w:val="20"/>
        </w:rPr>
        <w:t xml:space="preserve">The Company applies the provisions of ASC 606, </w:t>
      </w:r>
      <w:r>
        <w:rPr>
          <w:rFonts w:eastAsia="Times New Roman"/>
          <w:i/>
          <w:iCs/>
          <w:color w:val="000000"/>
          <w:sz w:val="20"/>
          <w:szCs w:val="20"/>
        </w:rPr>
        <w:t>Revenue from Contracts with Customers</w:t>
      </w:r>
      <w:r>
        <w:rPr>
          <w:rFonts w:eastAsia="Times New Roman"/>
          <w:color w:val="000000"/>
          <w:sz w:val="20"/>
          <w:szCs w:val="20"/>
        </w:rPr>
        <w:t>, and all r</w:t>
      </w:r>
      <w:r>
        <w:rPr>
          <w:rFonts w:eastAsia="Times New Roman"/>
          <w:color w:val="000000"/>
          <w:sz w:val="20"/>
          <w:szCs w:val="20"/>
        </w:rPr>
        <w:t>elated applicable guidance. The Company's contracts with customers may include multiple promised goods and services. Contracts with multiple performance obligations typically consist of a mix of subscriptions to the Company's online database, customized da</w:t>
      </w:r>
      <w:r>
        <w:rPr>
          <w:rFonts w:eastAsia="Times New Roman"/>
          <w:color w:val="000000"/>
          <w:sz w:val="20"/>
          <w:szCs w:val="20"/>
        </w:rPr>
        <w:t>ta services, and delivery of periodic custom reports based on information obtained from the database. In such cases, the Company identifies performance obligations by evaluating whether the promised goods and services are capable of being distinct and dist</w:t>
      </w:r>
      <w:r>
        <w:rPr>
          <w:rFonts w:eastAsia="Times New Roman"/>
          <w:color w:val="000000"/>
          <w:sz w:val="20"/>
          <w:szCs w:val="20"/>
        </w:rPr>
        <w:t>inct within the context of the contract at contract inception. Promised goods and services that are not distinct at contract inception are combined as one performance obligation. Once the Company identifies the performance obligations, the Company will det</w:t>
      </w:r>
      <w:r>
        <w:rPr>
          <w:rFonts w:eastAsia="Times New Roman"/>
          <w:color w:val="000000"/>
          <w:sz w:val="20"/>
          <w:szCs w:val="20"/>
        </w:rPr>
        <w:t>ermine the transaction price based on contractually fixed amounts and an estimate of variable consideration. In general, the transaction price is determined by estimating the fixed amount of consideration to which the Company is entitled for transfer of go</w:t>
      </w:r>
      <w:r>
        <w:rPr>
          <w:rFonts w:eastAsia="Times New Roman"/>
          <w:color w:val="000000"/>
          <w:sz w:val="20"/>
          <w:szCs w:val="20"/>
        </w:rPr>
        <w:t>ods and services and all relevant sources and components of variable consideration. Variable consideration is estimated based on the most likely amount or expected value approach, depending on which method the Company expects to better predict the amount o</w:t>
      </w:r>
      <w:r>
        <w:rPr>
          <w:rFonts w:eastAsia="Times New Roman"/>
          <w:color w:val="000000"/>
          <w:sz w:val="20"/>
          <w:szCs w:val="20"/>
        </w:rPr>
        <w:t>f consideration to which it will be entitled. Once the Company elects one of the methods to estimate variable consideration for a particular type of performance obligation, the Company will apply that method consistently. The Company allocates the transact</w:t>
      </w:r>
      <w:r>
        <w:rPr>
          <w:rFonts w:eastAsia="Times New Roman"/>
          <w:color w:val="000000"/>
          <w:sz w:val="20"/>
          <w:szCs w:val="20"/>
        </w:rPr>
        <w:t xml:space="preserve">ion price to each performance obligation based on </w:t>
      </w:r>
    </w:p>
    <w:p w14:paraId="40C3CF38" w14:textId="77777777" w:rsidR="00000000" w:rsidRDefault="00E614A4">
      <w:pPr>
        <w:jc w:val="center"/>
        <w:divId w:val="666834475"/>
        <w:rPr>
          <w:rFonts w:eastAsia="Times New Roman"/>
        </w:rPr>
      </w:pPr>
      <w:r>
        <w:rPr>
          <w:rFonts w:eastAsia="Times New Roman"/>
          <w:color w:val="000000"/>
          <w:sz w:val="20"/>
          <w:szCs w:val="20"/>
        </w:rPr>
        <w:t>56</w:t>
      </w:r>
    </w:p>
    <w:p w14:paraId="32F17288" w14:textId="77777777" w:rsidR="00000000" w:rsidRDefault="00E614A4">
      <w:pPr>
        <w:rPr>
          <w:rFonts w:eastAsia="Times New Roman"/>
        </w:rPr>
      </w:pPr>
      <w:r>
        <w:rPr>
          <w:rFonts w:eastAsia="Times New Roman"/>
        </w:rPr>
        <w:pict w14:anchorId="2D778945">
          <v:rect id="_x0000_i1084" style="width:0;height:1.5pt" o:hralign="center" o:hrstd="t" o:hr="t" fillcolor="#a0a0a0" stroked="f"/>
        </w:pict>
      </w:r>
    </w:p>
    <w:p w14:paraId="73C3A76A" w14:textId="77777777" w:rsidR="00000000" w:rsidRDefault="00E614A4">
      <w:pPr>
        <w:divId w:val="11083218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3FA8FCF" w14:textId="77777777" w:rsidR="00000000" w:rsidRDefault="00E614A4">
      <w:pPr>
        <w:divId w:val="359013895"/>
        <w:rPr>
          <w:rFonts w:eastAsia="Times New Roman"/>
        </w:rPr>
      </w:pPr>
    </w:p>
    <w:p w14:paraId="2E6BCD3F" w14:textId="77777777" w:rsidR="00000000" w:rsidRDefault="00E614A4">
      <w:pPr>
        <w:jc w:val="both"/>
        <w:divId w:val="966662036"/>
        <w:rPr>
          <w:rFonts w:eastAsia="Times New Roman"/>
        </w:rPr>
      </w:pPr>
      <w:r>
        <w:rPr>
          <w:rFonts w:eastAsia="Times New Roman"/>
          <w:color w:val="000000"/>
          <w:sz w:val="20"/>
          <w:szCs w:val="20"/>
        </w:rPr>
        <w:t>relative standalone selling price ("SSP"). Judgment is exercised to determine the SSP of each distinct performance obligation. The Company will constrain estimates of variable consideration based on its expectation of recovery from the customer. The Compan</w:t>
      </w:r>
      <w:r>
        <w:rPr>
          <w:rFonts w:eastAsia="Times New Roman"/>
          <w:color w:val="000000"/>
          <w:sz w:val="20"/>
          <w:szCs w:val="20"/>
        </w:rPr>
        <w:t>y recognizes revenue when (or as) it satisfies a performance obligation by transferring promised goods or services to a customer. Customers may obtain the control of promised goods or services over time or at a point in time.</w:t>
      </w:r>
    </w:p>
    <w:p w14:paraId="78ADA394" w14:textId="77777777" w:rsidR="00000000" w:rsidRDefault="00E614A4">
      <w:pPr>
        <w:jc w:val="both"/>
        <w:divId w:val="508369781"/>
        <w:rPr>
          <w:rFonts w:eastAsia="Times New Roman"/>
        </w:rPr>
      </w:pPr>
      <w:r>
        <w:rPr>
          <w:rFonts w:eastAsia="Times New Roman"/>
          <w:color w:val="000000"/>
          <w:sz w:val="20"/>
          <w:szCs w:val="20"/>
        </w:rPr>
        <w:t>Given the complexity of certai</w:t>
      </w:r>
      <w:r>
        <w:rPr>
          <w:rFonts w:eastAsia="Times New Roman"/>
          <w:color w:val="000000"/>
          <w:sz w:val="20"/>
          <w:szCs w:val="20"/>
        </w:rPr>
        <w:t>n of the Company's contracts, we concluded that revenue recognition from these contracts represents a critical audit matter because of the judgments necessary for management to identify performance obligations, determine the transaction price, allocate tra</w:t>
      </w:r>
      <w:r>
        <w:rPr>
          <w:rFonts w:eastAsia="Times New Roman"/>
          <w:color w:val="000000"/>
          <w:sz w:val="20"/>
          <w:szCs w:val="20"/>
        </w:rPr>
        <w:t>nsaction price to the performance obligations and recognize revenue when performance obligations are satisfied. Performing audit procedures related to revenue recognition for these contracts required more extensive audit effort and a higher degree of audit</w:t>
      </w:r>
      <w:r>
        <w:rPr>
          <w:rFonts w:eastAsia="Times New Roman"/>
          <w:color w:val="000000"/>
          <w:sz w:val="20"/>
          <w:szCs w:val="20"/>
        </w:rPr>
        <w:t>or judgment.</w:t>
      </w:r>
    </w:p>
    <w:p w14:paraId="38695FB9" w14:textId="77777777" w:rsidR="00000000" w:rsidRDefault="00E614A4">
      <w:pPr>
        <w:jc w:val="both"/>
        <w:divId w:val="1506089641"/>
        <w:rPr>
          <w:rFonts w:eastAsia="Times New Roman"/>
        </w:rPr>
      </w:pPr>
      <w:r>
        <w:rPr>
          <w:rFonts w:eastAsia="Times New Roman"/>
          <w:i/>
          <w:iCs/>
          <w:color w:val="000000"/>
          <w:sz w:val="20"/>
          <w:szCs w:val="20"/>
        </w:rPr>
        <w:t>How the Critical Audit Matter Was Addressed in the Audit</w:t>
      </w:r>
    </w:p>
    <w:p w14:paraId="3D8A18E5" w14:textId="77777777" w:rsidR="00000000" w:rsidRDefault="00E614A4">
      <w:pPr>
        <w:jc w:val="both"/>
        <w:divId w:val="1303731636"/>
        <w:rPr>
          <w:rFonts w:eastAsia="Times New Roman"/>
        </w:rPr>
      </w:pPr>
      <w:r>
        <w:rPr>
          <w:rFonts w:eastAsia="Times New Roman"/>
          <w:color w:val="000000"/>
          <w:sz w:val="20"/>
          <w:szCs w:val="20"/>
        </w:rPr>
        <w:t xml:space="preserve">Our audit procedures related to evaluating the significant estimates and judgments used by management in the determination of the accounting for certain revenue contracts, including the </w:t>
      </w:r>
      <w:r>
        <w:rPr>
          <w:rFonts w:eastAsia="Times New Roman"/>
          <w:color w:val="000000"/>
          <w:sz w:val="20"/>
          <w:szCs w:val="20"/>
        </w:rPr>
        <w:t>identification of performance obligations, determination of the transaction price, allocation of the transaction price to the performance obligations and recognition of revenue when performance obligations are satisfied, included the following, among other</w:t>
      </w:r>
      <w:r>
        <w:rPr>
          <w:rFonts w:eastAsia="Times New Roman"/>
          <w:color w:val="000000"/>
          <w:sz w:val="20"/>
          <w:szCs w:val="20"/>
        </w:rPr>
        <w:t>s:</w:t>
      </w:r>
    </w:p>
    <w:p w14:paraId="75E9D71D" w14:textId="77777777" w:rsidR="00000000" w:rsidRDefault="00E614A4">
      <w:pPr>
        <w:ind w:hanging="360"/>
        <w:jc w:val="both"/>
        <w:divId w:val="1697849362"/>
        <w:rPr>
          <w:rFonts w:eastAsia="Times New Roman"/>
        </w:rPr>
      </w:pPr>
      <w:r>
        <w:rPr>
          <w:rFonts w:eastAsia="Times New Roman"/>
          <w:color w:val="000000"/>
          <w:sz w:val="20"/>
          <w:szCs w:val="20"/>
        </w:rPr>
        <w:t>•We tested the effectiveness of controls, including controls over the identification of performance obligations, determination of the transaction price, allocation of the transaction price, and determination of when performance obligations are satisfied</w:t>
      </w:r>
      <w:r>
        <w:rPr>
          <w:rFonts w:eastAsia="Times New Roman"/>
          <w:color w:val="000000"/>
          <w:sz w:val="20"/>
          <w:szCs w:val="20"/>
        </w:rPr>
        <w:t>.</w:t>
      </w:r>
    </w:p>
    <w:p w14:paraId="26EE7025" w14:textId="77777777" w:rsidR="00000000" w:rsidRDefault="00E614A4">
      <w:pPr>
        <w:ind w:hanging="360"/>
        <w:jc w:val="both"/>
        <w:divId w:val="1371684737"/>
        <w:rPr>
          <w:rFonts w:eastAsia="Times New Roman"/>
        </w:rPr>
      </w:pPr>
      <w:r>
        <w:rPr>
          <w:rFonts w:eastAsia="Times New Roman"/>
          <w:color w:val="000000"/>
          <w:sz w:val="20"/>
          <w:szCs w:val="20"/>
        </w:rPr>
        <w:t>•For a selection of revenue contracts identified as having more complex terms, we performed the following:</w:t>
      </w:r>
    </w:p>
    <w:p w14:paraId="2450F19E" w14:textId="77777777" w:rsidR="00000000" w:rsidRDefault="00E614A4">
      <w:pPr>
        <w:spacing w:before="100"/>
        <w:ind w:hanging="360"/>
        <w:jc w:val="both"/>
        <w:divId w:val="1417358156"/>
        <w:rPr>
          <w:rFonts w:eastAsia="Times New Roman"/>
        </w:rPr>
      </w:pPr>
      <w:r>
        <w:rPr>
          <w:rFonts w:eastAsia="Times New Roman"/>
          <w:color w:val="000000"/>
          <w:sz w:val="20"/>
          <w:szCs w:val="20"/>
        </w:rPr>
        <w:t>◦</w:t>
      </w:r>
      <w:r>
        <w:rPr>
          <w:rFonts w:eastAsia="Times New Roman"/>
          <w:color w:val="000000"/>
          <w:sz w:val="20"/>
          <w:szCs w:val="20"/>
        </w:rPr>
        <w:t>Analysed the contract to determine if all arrangement terms that may have an impact on revenue recognition were identified and independently evalu</w:t>
      </w:r>
      <w:r>
        <w:rPr>
          <w:rFonts w:eastAsia="Times New Roman"/>
          <w:color w:val="000000"/>
          <w:sz w:val="20"/>
          <w:szCs w:val="20"/>
        </w:rPr>
        <w:t>ated management's accounting for the contract.</w:t>
      </w:r>
    </w:p>
    <w:p w14:paraId="5051FA63" w14:textId="77777777" w:rsidR="00000000" w:rsidRDefault="00E614A4">
      <w:pPr>
        <w:spacing w:before="60"/>
        <w:ind w:hanging="360"/>
        <w:jc w:val="both"/>
        <w:divId w:val="680163611"/>
        <w:rPr>
          <w:rFonts w:eastAsia="Times New Roman"/>
        </w:rPr>
      </w:pPr>
      <w:r>
        <w:rPr>
          <w:rFonts w:eastAsia="Times New Roman"/>
          <w:color w:val="000000"/>
          <w:sz w:val="20"/>
          <w:szCs w:val="20"/>
        </w:rPr>
        <w:t>◦</w:t>
      </w:r>
      <w:r>
        <w:rPr>
          <w:rFonts w:eastAsia="Times New Roman"/>
          <w:color w:val="000000"/>
          <w:sz w:val="20"/>
          <w:szCs w:val="20"/>
        </w:rPr>
        <w:t>Tested management's identification of distinct performance obligations by evaluating whether the underlying goods, services, or both were capable of being distinct and distinct within the context of the contr</w:t>
      </w:r>
      <w:r>
        <w:rPr>
          <w:rFonts w:eastAsia="Times New Roman"/>
          <w:color w:val="000000"/>
          <w:sz w:val="20"/>
          <w:szCs w:val="20"/>
        </w:rPr>
        <w:t>act.</w:t>
      </w:r>
    </w:p>
    <w:p w14:paraId="73FF8672" w14:textId="77777777" w:rsidR="00000000" w:rsidRDefault="00E614A4">
      <w:pPr>
        <w:spacing w:before="60"/>
        <w:ind w:hanging="360"/>
        <w:jc w:val="both"/>
        <w:divId w:val="978875098"/>
        <w:rPr>
          <w:rFonts w:eastAsia="Times New Roman"/>
        </w:rPr>
      </w:pPr>
      <w:r>
        <w:rPr>
          <w:rFonts w:eastAsia="Times New Roman"/>
          <w:color w:val="000000"/>
          <w:sz w:val="20"/>
          <w:szCs w:val="20"/>
        </w:rPr>
        <w:t>◦</w:t>
      </w:r>
      <w:r>
        <w:rPr>
          <w:rFonts w:eastAsia="Times New Roman"/>
          <w:color w:val="000000"/>
          <w:sz w:val="20"/>
          <w:szCs w:val="20"/>
        </w:rPr>
        <w:t xml:space="preserve">Tested the relative stand-alone selling prices by recalculating the stand-alone selling pricing of the performance obligations and evaluating the assumptions used by the Company to determine the standalone selling price for each distinct performance </w:t>
      </w:r>
      <w:r>
        <w:rPr>
          <w:rFonts w:eastAsia="Times New Roman"/>
          <w:color w:val="000000"/>
          <w:sz w:val="20"/>
          <w:szCs w:val="20"/>
        </w:rPr>
        <w:t>obligation. We evaluated the methodology used to determine the standalone selling price by comparison to historical analyses prepared by the Company and practices observed in the industry. We also tested the data used in the analysis.</w:t>
      </w:r>
    </w:p>
    <w:p w14:paraId="2CD5C57E" w14:textId="77777777" w:rsidR="00000000" w:rsidRDefault="00E614A4">
      <w:pPr>
        <w:spacing w:before="60"/>
        <w:ind w:hanging="360"/>
        <w:jc w:val="both"/>
        <w:divId w:val="1188258200"/>
        <w:rPr>
          <w:rFonts w:eastAsia="Times New Roman"/>
        </w:rPr>
      </w:pPr>
      <w:r>
        <w:rPr>
          <w:rFonts w:eastAsia="Times New Roman"/>
          <w:color w:val="000000"/>
          <w:sz w:val="20"/>
          <w:szCs w:val="20"/>
        </w:rPr>
        <w:t>◦</w:t>
      </w:r>
      <w:r>
        <w:rPr>
          <w:rFonts w:eastAsia="Times New Roman"/>
          <w:color w:val="000000"/>
          <w:sz w:val="20"/>
          <w:szCs w:val="20"/>
        </w:rPr>
        <w:t>Tested the timing of</w:t>
      </w:r>
      <w:r>
        <w:rPr>
          <w:rFonts w:eastAsia="Times New Roman"/>
          <w:color w:val="000000"/>
          <w:sz w:val="20"/>
          <w:szCs w:val="20"/>
        </w:rPr>
        <w:t xml:space="preserve"> revenue recognition by evaluating whether revenue should be recognized over time or at a point in time, and whether the revenue was recognized in the appropriate period by examining evidence of delivery or access to support the timing of revenue recogniti</w:t>
      </w:r>
      <w:r>
        <w:rPr>
          <w:rFonts w:eastAsia="Times New Roman"/>
          <w:color w:val="000000"/>
          <w:sz w:val="20"/>
          <w:szCs w:val="20"/>
        </w:rPr>
        <w:t>on based on the product or service type.</w:t>
      </w:r>
    </w:p>
    <w:p w14:paraId="200632D7" w14:textId="77777777" w:rsidR="00000000" w:rsidRDefault="00E614A4">
      <w:pPr>
        <w:spacing w:before="60"/>
        <w:ind w:hanging="360"/>
        <w:jc w:val="both"/>
        <w:divId w:val="448011320"/>
        <w:rPr>
          <w:rFonts w:eastAsia="Times New Roman"/>
        </w:rPr>
      </w:pPr>
      <w:r>
        <w:rPr>
          <w:rFonts w:eastAsia="Times New Roman"/>
          <w:color w:val="000000"/>
          <w:sz w:val="20"/>
          <w:szCs w:val="20"/>
        </w:rPr>
        <w:t>◦</w:t>
      </w:r>
      <w:r>
        <w:rPr>
          <w:rFonts w:eastAsia="Times New Roman"/>
          <w:color w:val="000000"/>
          <w:sz w:val="20"/>
          <w:szCs w:val="20"/>
        </w:rPr>
        <w:t>Tested the mathematical accuracy of management's calculation of revenue.</w:t>
      </w:r>
    </w:p>
    <w:p w14:paraId="28D92132" w14:textId="77777777" w:rsidR="00000000" w:rsidRDefault="00E614A4">
      <w:pPr>
        <w:spacing w:before="100"/>
        <w:ind w:hanging="360"/>
        <w:jc w:val="both"/>
        <w:divId w:val="693655443"/>
        <w:rPr>
          <w:rFonts w:eastAsia="Times New Roman"/>
        </w:rPr>
      </w:pPr>
      <w:r>
        <w:rPr>
          <w:rFonts w:eastAsia="Times New Roman"/>
          <w:color w:val="000000"/>
          <w:sz w:val="20"/>
          <w:szCs w:val="20"/>
        </w:rPr>
        <w:t>◦</w:t>
      </w:r>
      <w:r>
        <w:rPr>
          <w:rFonts w:eastAsia="Times New Roman"/>
          <w:color w:val="000000"/>
          <w:sz w:val="20"/>
          <w:szCs w:val="20"/>
        </w:rPr>
        <w:t>Obtained external confirmations evidencing the delivery of the performance obligation(s) and confirming there are no side agreements.</w:t>
      </w:r>
    </w:p>
    <w:p w14:paraId="2CDB52C2" w14:textId="77777777" w:rsidR="00000000" w:rsidRDefault="00E614A4">
      <w:pPr>
        <w:spacing w:before="60"/>
        <w:ind w:hanging="360"/>
        <w:jc w:val="both"/>
        <w:divId w:val="1259946545"/>
        <w:rPr>
          <w:rFonts w:eastAsia="Times New Roman"/>
        </w:rPr>
      </w:pPr>
      <w:r>
        <w:rPr>
          <w:rFonts w:eastAsia="Times New Roman"/>
          <w:color w:val="000000"/>
          <w:sz w:val="20"/>
          <w:szCs w:val="20"/>
        </w:rPr>
        <w:t>◦</w:t>
      </w:r>
      <w:r>
        <w:rPr>
          <w:rFonts w:eastAsia="Times New Roman"/>
          <w:color w:val="000000"/>
          <w:sz w:val="20"/>
          <w:szCs w:val="20"/>
        </w:rPr>
        <w:t>With the assistance of professionals in our firm having expertise in the recognition of revenue, we evaluated revenue recognition in accordance with ASC 606.</w:t>
      </w:r>
    </w:p>
    <w:p w14:paraId="75029CE9" w14:textId="77777777" w:rsidR="00000000" w:rsidRDefault="00E614A4">
      <w:pPr>
        <w:jc w:val="both"/>
        <w:divId w:val="1819103464"/>
        <w:rPr>
          <w:rFonts w:eastAsia="Times New Roman"/>
        </w:rPr>
      </w:pPr>
      <w:r>
        <w:rPr>
          <w:rFonts w:eastAsia="Times New Roman"/>
          <w:b/>
          <w:bCs/>
          <w:i/>
          <w:iCs/>
          <w:color w:val="000000"/>
          <w:sz w:val="20"/>
          <w:szCs w:val="20"/>
        </w:rPr>
        <w:t>Goodwill – Goodwill Impairment Analysis – Refer to Notes 2 and 9 to the financial statements</w:t>
      </w:r>
    </w:p>
    <w:p w14:paraId="004A9EF1" w14:textId="77777777" w:rsidR="00000000" w:rsidRDefault="00E614A4">
      <w:pPr>
        <w:jc w:val="both"/>
        <w:divId w:val="1861427061"/>
        <w:rPr>
          <w:rFonts w:eastAsia="Times New Roman"/>
        </w:rPr>
      </w:pPr>
      <w:r>
        <w:rPr>
          <w:rFonts w:eastAsia="Times New Roman"/>
          <w:i/>
          <w:iCs/>
          <w:color w:val="000000"/>
          <w:sz w:val="20"/>
          <w:szCs w:val="20"/>
        </w:rPr>
        <w:t>Criti</w:t>
      </w:r>
      <w:r>
        <w:rPr>
          <w:rFonts w:eastAsia="Times New Roman"/>
          <w:i/>
          <w:iCs/>
          <w:color w:val="000000"/>
          <w:sz w:val="20"/>
          <w:szCs w:val="20"/>
        </w:rPr>
        <w:t>cal Audit Matter Description</w:t>
      </w:r>
    </w:p>
    <w:p w14:paraId="49C0469D" w14:textId="77777777" w:rsidR="00000000" w:rsidRDefault="00E614A4">
      <w:pPr>
        <w:jc w:val="both"/>
        <w:divId w:val="1485589693"/>
        <w:rPr>
          <w:rFonts w:eastAsia="Times New Roman"/>
        </w:rPr>
      </w:pPr>
      <w:r>
        <w:rPr>
          <w:rFonts w:eastAsia="Times New Roman"/>
          <w:color w:val="000000"/>
          <w:sz w:val="20"/>
          <w:szCs w:val="20"/>
        </w:rPr>
        <w:t>Goodwill is evaluated for impairment at least annually, as of October 1, by comparing the fair value of a reporting unit to its carrying value including goodwill. The Company has a single reporting unit. Accordingly, the impair</w:t>
      </w:r>
      <w:r>
        <w:rPr>
          <w:rFonts w:eastAsia="Times New Roman"/>
          <w:color w:val="000000"/>
          <w:sz w:val="20"/>
          <w:szCs w:val="20"/>
        </w:rPr>
        <w:t>ment assessment for goodwill is performed at the enterprise level. Goodwill is reviewed for possible impairment between annual tests if an event occurs or circumstances change that would more likely than not reduce the fair value of the reporting unit belo</w:t>
      </w:r>
      <w:r>
        <w:rPr>
          <w:rFonts w:eastAsia="Times New Roman"/>
          <w:color w:val="000000"/>
          <w:sz w:val="20"/>
          <w:szCs w:val="20"/>
        </w:rPr>
        <w:t>w its carrying value. The carrying value of the reporting unit is reviewed utilizing a combination of the discounted cash flow model and a market value approach. The estimated fair value of a reporting unit is determined based on assumptions regarding esti</w:t>
      </w:r>
      <w:r>
        <w:rPr>
          <w:rFonts w:eastAsia="Times New Roman"/>
          <w:color w:val="000000"/>
          <w:sz w:val="20"/>
          <w:szCs w:val="20"/>
        </w:rPr>
        <w:t>mated future cash flows, discount rates, long-term growth rates and market values.</w:t>
      </w:r>
    </w:p>
    <w:p w14:paraId="7061BE50" w14:textId="77777777" w:rsidR="00000000" w:rsidRDefault="00E614A4">
      <w:pPr>
        <w:jc w:val="both"/>
        <w:divId w:val="295069680"/>
        <w:rPr>
          <w:rFonts w:eastAsia="Times New Roman"/>
        </w:rPr>
      </w:pPr>
      <w:r>
        <w:rPr>
          <w:rFonts w:eastAsia="Times New Roman"/>
          <w:color w:val="000000"/>
          <w:sz w:val="20"/>
          <w:szCs w:val="20"/>
        </w:rPr>
        <w:t>The Company monitors for events and circumstances that could negatively impact the key assumptions in determining fair value, including long-term growth rates, profitability</w:t>
      </w:r>
      <w:r>
        <w:rPr>
          <w:rFonts w:eastAsia="Times New Roman"/>
          <w:color w:val="000000"/>
          <w:sz w:val="20"/>
          <w:szCs w:val="20"/>
        </w:rPr>
        <w:t>, discount rates, volatility in the Company's market capitalization, general industry, and market and macro-economic conditions.</w:t>
      </w:r>
    </w:p>
    <w:p w14:paraId="70CF0403" w14:textId="77777777" w:rsidR="00000000" w:rsidRDefault="00E614A4">
      <w:pPr>
        <w:jc w:val="both"/>
        <w:divId w:val="1208420"/>
        <w:rPr>
          <w:rFonts w:eastAsia="Times New Roman"/>
        </w:rPr>
      </w:pPr>
      <w:r>
        <w:rPr>
          <w:rFonts w:eastAsia="Times New Roman"/>
          <w:color w:val="000000"/>
          <w:sz w:val="20"/>
          <w:szCs w:val="20"/>
        </w:rPr>
        <w:t>The Company completed its annual assessment on October 1, 2020, and there was no impairment of goodwill at the assessment date.</w:t>
      </w:r>
      <w:r>
        <w:rPr>
          <w:rFonts w:eastAsia="Times New Roman"/>
          <w:color w:val="000000"/>
          <w:sz w:val="20"/>
          <w:szCs w:val="20"/>
        </w:rPr>
        <w:t xml:space="preserve"> The goodwill balance was $418.3 million as of December 31, 2020.</w:t>
      </w:r>
    </w:p>
    <w:p w14:paraId="50D9D828" w14:textId="77777777" w:rsidR="00000000" w:rsidRDefault="00E614A4">
      <w:pPr>
        <w:jc w:val="both"/>
        <w:divId w:val="1326519233"/>
        <w:rPr>
          <w:rFonts w:eastAsia="Times New Roman"/>
        </w:rPr>
      </w:pPr>
      <w:r>
        <w:rPr>
          <w:rFonts w:eastAsia="Times New Roman"/>
          <w:color w:val="000000"/>
          <w:sz w:val="20"/>
          <w:szCs w:val="20"/>
        </w:rPr>
        <w:t>We identified goodwill for the Company as a critical audit matter because of the significant judgments made by management to estimate the fair value of the reporting unit, specifically relat</w:t>
      </w:r>
      <w:r>
        <w:rPr>
          <w:rFonts w:eastAsia="Times New Roman"/>
          <w:color w:val="000000"/>
          <w:sz w:val="20"/>
          <w:szCs w:val="20"/>
        </w:rPr>
        <w:t xml:space="preserve">ed to the selection of the discount rate and forecasts of future revenue. Performing audit procedures to evaluate the reasonableness of management's estimates and assumptions related to selection of the </w:t>
      </w:r>
    </w:p>
    <w:p w14:paraId="5046541E" w14:textId="77777777" w:rsidR="00000000" w:rsidRDefault="00E614A4">
      <w:pPr>
        <w:jc w:val="center"/>
        <w:divId w:val="1571118143"/>
        <w:rPr>
          <w:rFonts w:eastAsia="Times New Roman"/>
        </w:rPr>
      </w:pPr>
      <w:r>
        <w:rPr>
          <w:rFonts w:eastAsia="Times New Roman"/>
          <w:color w:val="000000"/>
          <w:sz w:val="20"/>
          <w:szCs w:val="20"/>
        </w:rPr>
        <w:t>57</w:t>
      </w:r>
    </w:p>
    <w:p w14:paraId="3515D7B8" w14:textId="77777777" w:rsidR="00000000" w:rsidRDefault="00E614A4">
      <w:pPr>
        <w:rPr>
          <w:rFonts w:eastAsia="Times New Roman"/>
        </w:rPr>
      </w:pPr>
      <w:r>
        <w:rPr>
          <w:rFonts w:eastAsia="Times New Roman"/>
        </w:rPr>
        <w:pict w14:anchorId="5DD9E6C5">
          <v:rect id="_x0000_i1085" style="width:0;height:1.5pt" o:hralign="center" o:hrstd="t" o:hr="t" fillcolor="#a0a0a0" stroked="f"/>
        </w:pict>
      </w:r>
    </w:p>
    <w:p w14:paraId="22017900" w14:textId="77777777" w:rsidR="00000000" w:rsidRDefault="00E614A4">
      <w:pPr>
        <w:divId w:val="111767338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D8BAF98" w14:textId="77777777" w:rsidR="00000000" w:rsidRDefault="00E614A4">
      <w:pPr>
        <w:divId w:val="1645084960"/>
        <w:rPr>
          <w:rFonts w:eastAsia="Times New Roman"/>
        </w:rPr>
      </w:pPr>
    </w:p>
    <w:p w14:paraId="62DC35B4" w14:textId="77777777" w:rsidR="00000000" w:rsidRDefault="00E614A4">
      <w:pPr>
        <w:jc w:val="both"/>
        <w:divId w:val="1151672235"/>
        <w:rPr>
          <w:rFonts w:eastAsia="Times New Roman"/>
        </w:rPr>
      </w:pPr>
      <w:r>
        <w:rPr>
          <w:rFonts w:eastAsia="Times New Roman"/>
          <w:color w:val="000000"/>
          <w:sz w:val="20"/>
          <w:szCs w:val="20"/>
        </w:rPr>
        <w:t>discount rate and forecasts of future revenue required a high degree of auditor judgment and an increased extent of effort, including the need to involve our fair value specialists.</w:t>
      </w:r>
    </w:p>
    <w:p w14:paraId="35053247" w14:textId="77777777" w:rsidR="00000000" w:rsidRDefault="00E614A4">
      <w:pPr>
        <w:jc w:val="both"/>
        <w:divId w:val="1906639991"/>
        <w:rPr>
          <w:rFonts w:eastAsia="Times New Roman"/>
        </w:rPr>
      </w:pPr>
      <w:r>
        <w:rPr>
          <w:rFonts w:eastAsia="Times New Roman"/>
          <w:i/>
          <w:iCs/>
          <w:color w:val="000000"/>
          <w:sz w:val="20"/>
          <w:szCs w:val="20"/>
        </w:rPr>
        <w:t>How the Critical Audit Matter Was Addressed in the Audit</w:t>
      </w:r>
    </w:p>
    <w:p w14:paraId="2366993F" w14:textId="77777777" w:rsidR="00000000" w:rsidRDefault="00E614A4">
      <w:pPr>
        <w:jc w:val="both"/>
        <w:divId w:val="1411390662"/>
        <w:rPr>
          <w:rFonts w:eastAsia="Times New Roman"/>
        </w:rPr>
      </w:pPr>
      <w:r>
        <w:rPr>
          <w:rFonts w:eastAsia="Times New Roman"/>
          <w:color w:val="000000"/>
          <w:sz w:val="20"/>
          <w:szCs w:val="20"/>
        </w:rPr>
        <w:t>Our audit procedu</w:t>
      </w:r>
      <w:r>
        <w:rPr>
          <w:rFonts w:eastAsia="Times New Roman"/>
          <w:color w:val="000000"/>
          <w:sz w:val="20"/>
          <w:szCs w:val="20"/>
        </w:rPr>
        <w:t>res related to the forecasts of future revenue and the selection of the discount rate for the Company's goodwill impairment included the following, among others:</w:t>
      </w:r>
    </w:p>
    <w:p w14:paraId="3211DC5B" w14:textId="77777777" w:rsidR="00000000" w:rsidRDefault="00E614A4">
      <w:pPr>
        <w:ind w:hanging="360"/>
        <w:jc w:val="both"/>
        <w:divId w:val="1977637922"/>
        <w:rPr>
          <w:rFonts w:eastAsia="Times New Roman"/>
        </w:rPr>
      </w:pPr>
      <w:r>
        <w:rPr>
          <w:rFonts w:eastAsia="Times New Roman"/>
          <w:color w:val="000000"/>
          <w:sz w:val="20"/>
          <w:szCs w:val="20"/>
        </w:rPr>
        <w:t>•We tested the effectiveness of controls over management's goodwill impairment evaluations, in</w:t>
      </w:r>
      <w:r>
        <w:rPr>
          <w:rFonts w:eastAsia="Times New Roman"/>
          <w:color w:val="000000"/>
          <w:sz w:val="20"/>
          <w:szCs w:val="20"/>
        </w:rPr>
        <w:t>cluding those over the forecasts of future revenue and management's selection of the discount rate.</w:t>
      </w:r>
    </w:p>
    <w:p w14:paraId="723F5A0F" w14:textId="77777777" w:rsidR="00000000" w:rsidRDefault="00E614A4">
      <w:pPr>
        <w:ind w:hanging="360"/>
        <w:jc w:val="both"/>
        <w:divId w:val="719208017"/>
        <w:rPr>
          <w:rFonts w:eastAsia="Times New Roman"/>
        </w:rPr>
      </w:pPr>
      <w:r>
        <w:rPr>
          <w:rFonts w:eastAsia="Times New Roman"/>
          <w:color w:val="000000"/>
          <w:sz w:val="20"/>
          <w:szCs w:val="20"/>
        </w:rPr>
        <w:t>•We evaluated management's ability to accurately forecast revenue by comparing the actual results to management's historical projections from 2019.</w:t>
      </w:r>
    </w:p>
    <w:p w14:paraId="036EEAD6" w14:textId="77777777" w:rsidR="00000000" w:rsidRDefault="00E614A4">
      <w:pPr>
        <w:ind w:hanging="360"/>
        <w:jc w:val="both"/>
        <w:divId w:val="1167553800"/>
        <w:rPr>
          <w:rFonts w:eastAsia="Times New Roman"/>
        </w:rPr>
      </w:pPr>
      <w:r>
        <w:rPr>
          <w:rFonts w:eastAsia="Times New Roman"/>
          <w:color w:val="000000"/>
          <w:sz w:val="20"/>
          <w:szCs w:val="20"/>
        </w:rPr>
        <w:t>•We eval</w:t>
      </w:r>
      <w:r>
        <w:rPr>
          <w:rFonts w:eastAsia="Times New Roman"/>
          <w:color w:val="000000"/>
          <w:sz w:val="20"/>
          <w:szCs w:val="20"/>
        </w:rPr>
        <w:t>uated the reasonableness of management's forecasted revenue by comparing the forecasts to:</w:t>
      </w:r>
    </w:p>
    <w:p w14:paraId="5133D11C" w14:textId="77777777" w:rsidR="00000000" w:rsidRDefault="00E614A4">
      <w:pPr>
        <w:spacing w:before="60"/>
        <w:ind w:hanging="360"/>
        <w:jc w:val="both"/>
        <w:divId w:val="1420516897"/>
        <w:rPr>
          <w:rFonts w:eastAsia="Times New Roman"/>
        </w:rPr>
      </w:pPr>
      <w:r>
        <w:rPr>
          <w:rFonts w:eastAsia="Times New Roman"/>
          <w:color w:val="000000"/>
          <w:sz w:val="20"/>
          <w:szCs w:val="20"/>
        </w:rPr>
        <w:t>◦</w:t>
      </w:r>
      <w:r>
        <w:rPr>
          <w:rFonts w:eastAsia="Times New Roman"/>
          <w:color w:val="000000"/>
          <w:sz w:val="20"/>
          <w:szCs w:val="20"/>
        </w:rPr>
        <w:t>Historical revenue growth.</w:t>
      </w:r>
    </w:p>
    <w:p w14:paraId="4BE9EFF2" w14:textId="77777777" w:rsidR="00000000" w:rsidRDefault="00E614A4">
      <w:pPr>
        <w:spacing w:before="60"/>
        <w:ind w:hanging="360"/>
        <w:jc w:val="both"/>
        <w:divId w:val="737363860"/>
        <w:rPr>
          <w:rFonts w:eastAsia="Times New Roman"/>
        </w:rPr>
      </w:pPr>
      <w:r>
        <w:rPr>
          <w:rFonts w:eastAsia="Times New Roman"/>
          <w:color w:val="000000"/>
          <w:sz w:val="20"/>
          <w:szCs w:val="20"/>
        </w:rPr>
        <w:t>◦</w:t>
      </w:r>
      <w:r>
        <w:rPr>
          <w:rFonts w:eastAsia="Times New Roman"/>
          <w:color w:val="000000"/>
          <w:sz w:val="20"/>
          <w:szCs w:val="20"/>
        </w:rPr>
        <w:t>Historical industry revenue growth rates and revenue growth rates of peer group companies.</w:t>
      </w:r>
    </w:p>
    <w:p w14:paraId="68A6E968" w14:textId="77777777" w:rsidR="00000000" w:rsidRDefault="00E614A4">
      <w:pPr>
        <w:spacing w:before="60"/>
        <w:ind w:hanging="360"/>
        <w:jc w:val="both"/>
        <w:divId w:val="225265442"/>
        <w:rPr>
          <w:rFonts w:eastAsia="Times New Roman"/>
        </w:rPr>
      </w:pPr>
      <w:r>
        <w:rPr>
          <w:rFonts w:eastAsia="Times New Roman"/>
          <w:color w:val="000000"/>
          <w:sz w:val="20"/>
          <w:szCs w:val="20"/>
        </w:rPr>
        <w:t>◦</w:t>
      </w:r>
      <w:r>
        <w:rPr>
          <w:rFonts w:eastAsia="Times New Roman"/>
          <w:color w:val="000000"/>
          <w:sz w:val="20"/>
          <w:szCs w:val="20"/>
        </w:rPr>
        <w:t>Economic forecasts considering the impact of</w:t>
      </w:r>
      <w:r>
        <w:rPr>
          <w:rFonts w:eastAsia="Times New Roman"/>
          <w:color w:val="000000"/>
          <w:sz w:val="20"/>
          <w:szCs w:val="20"/>
        </w:rPr>
        <w:t xml:space="preserve"> macro-economic conditions.</w:t>
      </w:r>
    </w:p>
    <w:p w14:paraId="66553A75" w14:textId="77777777" w:rsidR="00000000" w:rsidRDefault="00E614A4">
      <w:pPr>
        <w:spacing w:before="60"/>
        <w:ind w:hanging="360"/>
        <w:jc w:val="both"/>
        <w:divId w:val="2049639597"/>
        <w:rPr>
          <w:rFonts w:eastAsia="Times New Roman"/>
        </w:rPr>
      </w:pPr>
      <w:r>
        <w:rPr>
          <w:rFonts w:eastAsia="Times New Roman"/>
          <w:color w:val="000000"/>
          <w:sz w:val="20"/>
          <w:szCs w:val="20"/>
        </w:rPr>
        <w:t>◦</w:t>
      </w:r>
      <w:r>
        <w:rPr>
          <w:rFonts w:eastAsia="Times New Roman"/>
          <w:color w:val="000000"/>
          <w:sz w:val="20"/>
          <w:szCs w:val="20"/>
        </w:rPr>
        <w:t>Internal communications to management and the Board of Directors.</w:t>
      </w:r>
    </w:p>
    <w:p w14:paraId="6EB0881F" w14:textId="77777777" w:rsidR="00000000" w:rsidRDefault="00E614A4">
      <w:pPr>
        <w:spacing w:before="60"/>
        <w:ind w:hanging="360"/>
        <w:jc w:val="both"/>
        <w:divId w:val="1761365292"/>
        <w:rPr>
          <w:rFonts w:eastAsia="Times New Roman"/>
        </w:rPr>
      </w:pPr>
      <w:r>
        <w:rPr>
          <w:rFonts w:eastAsia="Times New Roman"/>
          <w:color w:val="000000"/>
          <w:sz w:val="20"/>
          <w:szCs w:val="20"/>
        </w:rPr>
        <w:t>◦</w:t>
      </w:r>
      <w:r>
        <w:rPr>
          <w:rFonts w:eastAsia="Times New Roman"/>
          <w:color w:val="000000"/>
          <w:sz w:val="20"/>
          <w:szCs w:val="20"/>
        </w:rPr>
        <w:t>Forecasted information included in analyst and industry reports for the Company and certain of its peer group.</w:t>
      </w:r>
    </w:p>
    <w:p w14:paraId="05630381" w14:textId="77777777" w:rsidR="00000000" w:rsidRDefault="00E614A4">
      <w:pPr>
        <w:ind w:hanging="360"/>
        <w:jc w:val="both"/>
        <w:divId w:val="994064461"/>
        <w:rPr>
          <w:rFonts w:eastAsia="Times New Roman"/>
        </w:rPr>
      </w:pPr>
      <w:r>
        <w:rPr>
          <w:rFonts w:eastAsia="Times New Roman"/>
          <w:color w:val="000000"/>
          <w:sz w:val="20"/>
          <w:szCs w:val="20"/>
        </w:rPr>
        <w:t>•With the assistance of our fair value specialist</w:t>
      </w:r>
      <w:r>
        <w:rPr>
          <w:rFonts w:eastAsia="Times New Roman"/>
          <w:color w:val="000000"/>
          <w:sz w:val="20"/>
          <w:szCs w:val="20"/>
        </w:rPr>
        <w:t>s, we evaluated the reasonableness of the (1) valuation methodology and (2) discount rates by:</w:t>
      </w:r>
    </w:p>
    <w:p w14:paraId="428A1141" w14:textId="77777777" w:rsidR="00000000" w:rsidRDefault="00E614A4">
      <w:pPr>
        <w:spacing w:before="60"/>
        <w:ind w:hanging="360"/>
        <w:jc w:val="both"/>
        <w:divId w:val="1985700895"/>
        <w:rPr>
          <w:rFonts w:eastAsia="Times New Roman"/>
        </w:rPr>
      </w:pPr>
      <w:r>
        <w:rPr>
          <w:rFonts w:eastAsia="Times New Roman"/>
          <w:color w:val="000000"/>
          <w:sz w:val="20"/>
          <w:szCs w:val="20"/>
        </w:rPr>
        <w:t>◦</w:t>
      </w:r>
      <w:r>
        <w:rPr>
          <w:rFonts w:eastAsia="Times New Roman"/>
          <w:color w:val="000000"/>
          <w:sz w:val="20"/>
          <w:szCs w:val="20"/>
        </w:rPr>
        <w:t>Testing the source information underlying the determination of the discount rate and the mathematical accuracy of the calculation.</w:t>
      </w:r>
    </w:p>
    <w:p w14:paraId="45C4B697" w14:textId="77777777" w:rsidR="00000000" w:rsidRDefault="00E614A4">
      <w:pPr>
        <w:spacing w:before="60"/>
        <w:ind w:hanging="360"/>
        <w:jc w:val="both"/>
        <w:divId w:val="596252263"/>
        <w:rPr>
          <w:rFonts w:eastAsia="Times New Roman"/>
        </w:rPr>
      </w:pPr>
      <w:r>
        <w:rPr>
          <w:rFonts w:eastAsia="Times New Roman"/>
          <w:color w:val="000000"/>
          <w:sz w:val="20"/>
          <w:szCs w:val="20"/>
        </w:rPr>
        <w:t>◦</w:t>
      </w:r>
      <w:r>
        <w:rPr>
          <w:rFonts w:eastAsia="Times New Roman"/>
          <w:color w:val="000000"/>
          <w:sz w:val="20"/>
          <w:szCs w:val="20"/>
        </w:rPr>
        <w:t>Developing a range of indepe</w:t>
      </w:r>
      <w:r>
        <w:rPr>
          <w:rFonts w:eastAsia="Times New Roman"/>
          <w:color w:val="000000"/>
          <w:sz w:val="20"/>
          <w:szCs w:val="20"/>
        </w:rPr>
        <w:t>ndent estimates and comparing those to the discount rates selected by management.</w:t>
      </w:r>
    </w:p>
    <w:p w14:paraId="269D9FBD" w14:textId="77777777" w:rsidR="00000000" w:rsidRDefault="00E614A4">
      <w:pPr>
        <w:ind w:hanging="360"/>
        <w:jc w:val="both"/>
        <w:divId w:val="1764035624"/>
        <w:rPr>
          <w:rFonts w:eastAsia="Times New Roman"/>
        </w:rPr>
      </w:pPr>
      <w:r>
        <w:rPr>
          <w:rFonts w:eastAsia="Times New Roman"/>
          <w:color w:val="000000"/>
          <w:sz w:val="20"/>
          <w:szCs w:val="20"/>
        </w:rPr>
        <w:t>•We evaluated the impact of changes in management's revenue forecasts from the October 1, 2020 annual measurement date to December 31, 2020.</w:t>
      </w:r>
    </w:p>
    <w:p w14:paraId="0805EA2F" w14:textId="77777777" w:rsidR="00000000" w:rsidRDefault="00E614A4">
      <w:pPr>
        <w:divId w:val="1786070686"/>
        <w:rPr>
          <w:rFonts w:eastAsia="Times New Roman"/>
        </w:rPr>
      </w:pPr>
      <w:r>
        <w:rPr>
          <w:rFonts w:eastAsia="Times New Roman"/>
          <w:color w:val="000000"/>
          <w:sz w:val="20"/>
          <w:szCs w:val="20"/>
        </w:rPr>
        <w:t>/s/ Deloitte &amp; Touche LLP</w:t>
      </w:r>
    </w:p>
    <w:p w14:paraId="65F5BC5A" w14:textId="77777777" w:rsidR="00000000" w:rsidRDefault="00E614A4">
      <w:pPr>
        <w:divId w:val="759062099"/>
        <w:rPr>
          <w:rFonts w:eastAsia="Times New Roman"/>
        </w:rPr>
      </w:pPr>
      <w:r>
        <w:rPr>
          <w:rFonts w:eastAsia="Times New Roman"/>
          <w:color w:val="000000"/>
          <w:sz w:val="20"/>
          <w:szCs w:val="20"/>
        </w:rPr>
        <w:t>McLean, Virginia</w:t>
      </w:r>
    </w:p>
    <w:p w14:paraId="1F47BA24" w14:textId="77777777" w:rsidR="00000000" w:rsidRDefault="00E614A4">
      <w:pPr>
        <w:divId w:val="893274552"/>
        <w:rPr>
          <w:rFonts w:eastAsia="Times New Roman"/>
        </w:rPr>
      </w:pPr>
      <w:r>
        <w:rPr>
          <w:rFonts w:eastAsia="Times New Roman"/>
          <w:color w:val="000000"/>
          <w:sz w:val="20"/>
          <w:szCs w:val="20"/>
        </w:rPr>
        <w:t>March 9, 2021</w:t>
      </w:r>
    </w:p>
    <w:p w14:paraId="1DBCAAB5" w14:textId="77777777" w:rsidR="00000000" w:rsidRDefault="00E614A4">
      <w:pPr>
        <w:divId w:val="758915165"/>
        <w:rPr>
          <w:rFonts w:eastAsia="Times New Roman"/>
        </w:rPr>
      </w:pPr>
      <w:r>
        <w:rPr>
          <w:rFonts w:eastAsia="Times New Roman"/>
          <w:color w:val="000000"/>
          <w:sz w:val="20"/>
          <w:szCs w:val="20"/>
        </w:rPr>
        <w:t>We have served as the Company's auditor since 2017.</w:t>
      </w:r>
    </w:p>
    <w:p w14:paraId="69ED9AFF" w14:textId="77777777" w:rsidR="00000000" w:rsidRDefault="00E614A4">
      <w:pPr>
        <w:jc w:val="both"/>
        <w:rPr>
          <w:rFonts w:eastAsia="Times New Roman"/>
        </w:rPr>
      </w:pPr>
    </w:p>
    <w:p w14:paraId="5B602025" w14:textId="77777777" w:rsidR="00000000" w:rsidRDefault="00E614A4">
      <w:pPr>
        <w:jc w:val="both"/>
        <w:rPr>
          <w:rFonts w:eastAsia="Times New Roman"/>
        </w:rPr>
      </w:pPr>
    </w:p>
    <w:p w14:paraId="11BE20C8" w14:textId="77777777" w:rsidR="00000000" w:rsidRDefault="00E614A4">
      <w:pPr>
        <w:jc w:val="center"/>
        <w:divId w:val="549612491"/>
        <w:rPr>
          <w:rFonts w:eastAsia="Times New Roman"/>
        </w:rPr>
      </w:pPr>
      <w:r>
        <w:rPr>
          <w:rFonts w:eastAsia="Times New Roman"/>
          <w:color w:val="000000"/>
          <w:sz w:val="20"/>
          <w:szCs w:val="20"/>
        </w:rPr>
        <w:t>58</w:t>
      </w:r>
    </w:p>
    <w:p w14:paraId="45FC5D5E" w14:textId="77777777" w:rsidR="00000000" w:rsidRDefault="00E614A4">
      <w:pPr>
        <w:rPr>
          <w:rFonts w:eastAsia="Times New Roman"/>
        </w:rPr>
      </w:pPr>
      <w:r>
        <w:rPr>
          <w:rFonts w:eastAsia="Times New Roman"/>
        </w:rPr>
        <w:pict w14:anchorId="0B76F115">
          <v:rect id="_x0000_i1086" style="width:0;height:1.5pt" o:hralign="center" o:hrstd="t" o:hr="t" fillcolor="#a0a0a0" stroked="f"/>
        </w:pict>
      </w:r>
    </w:p>
    <w:p w14:paraId="7D96A846" w14:textId="77777777" w:rsidR="00000000" w:rsidRDefault="00E614A4">
      <w:pPr>
        <w:divId w:val="59679575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7C2906D" w14:textId="77777777" w:rsidR="00000000" w:rsidRDefault="00E614A4">
      <w:pPr>
        <w:divId w:val="298390013"/>
        <w:rPr>
          <w:rFonts w:eastAsia="Times New Roman"/>
        </w:rPr>
      </w:pPr>
    </w:p>
    <w:p w14:paraId="1E2B56FA" w14:textId="77777777" w:rsidR="00000000" w:rsidRDefault="00E614A4">
      <w:pPr>
        <w:jc w:val="center"/>
        <w:rPr>
          <w:rFonts w:eastAsia="Times New Roman"/>
        </w:rPr>
      </w:pPr>
      <w:r>
        <w:rPr>
          <w:rFonts w:eastAsia="Times New Roman"/>
          <w:b/>
          <w:bCs/>
          <w:color w:val="000000"/>
          <w:sz w:val="20"/>
          <w:szCs w:val="20"/>
        </w:rPr>
        <w:t>COMSCORE, INC.</w:t>
      </w:r>
    </w:p>
    <w:p w14:paraId="7FB48331" w14:textId="77777777" w:rsidR="00000000" w:rsidRDefault="00E614A4">
      <w:pPr>
        <w:jc w:val="center"/>
        <w:rPr>
          <w:rFonts w:eastAsia="Times New Roman"/>
        </w:rPr>
      </w:pPr>
      <w:r>
        <w:rPr>
          <w:rFonts w:eastAsia="Times New Roman"/>
          <w:b/>
          <w:bCs/>
          <w:color w:val="000000"/>
          <w:sz w:val="20"/>
          <w:szCs w:val="20"/>
        </w:rPr>
        <w:t>CONSOLIDATED BALANCE SHEETS</w:t>
      </w:r>
    </w:p>
    <w:p w14:paraId="4B19EEDA" w14:textId="77777777" w:rsidR="00000000" w:rsidRDefault="00E614A4">
      <w:pPr>
        <w:jc w:val="center"/>
        <w:rPr>
          <w:rFonts w:eastAsia="Times New Roman"/>
        </w:rPr>
      </w:pPr>
      <w:r>
        <w:rPr>
          <w:rFonts w:eastAsia="Times New Roman"/>
          <w:b/>
          <w:bCs/>
          <w:color w:val="000000"/>
          <w:sz w:val="16"/>
          <w:szCs w:val="16"/>
        </w:rPr>
        <w:t>(In thousands, except share and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72"/>
        <w:gridCol w:w="38"/>
        <w:gridCol w:w="112"/>
        <w:gridCol w:w="976"/>
        <w:gridCol w:w="36"/>
        <w:gridCol w:w="36"/>
        <w:gridCol w:w="36"/>
        <w:gridCol w:w="36"/>
        <w:gridCol w:w="112"/>
        <w:gridCol w:w="976"/>
        <w:gridCol w:w="36"/>
      </w:tblGrid>
      <w:tr w:rsidR="00000000" w14:paraId="60DA5449" w14:textId="77777777">
        <w:trPr>
          <w:divId w:val="1329595639"/>
          <w:jc w:val="center"/>
        </w:trPr>
        <w:tc>
          <w:tcPr>
            <w:tcW w:w="50" w:type="pct"/>
            <w:vAlign w:val="center"/>
            <w:hideMark/>
          </w:tcPr>
          <w:p w14:paraId="3CED0B5F" w14:textId="77777777" w:rsidR="00000000" w:rsidRDefault="00E614A4">
            <w:pPr>
              <w:jc w:val="center"/>
              <w:rPr>
                <w:rFonts w:eastAsia="Times New Roman"/>
              </w:rPr>
            </w:pPr>
          </w:p>
        </w:tc>
        <w:tc>
          <w:tcPr>
            <w:tcW w:w="3570" w:type="pct"/>
            <w:vAlign w:val="center"/>
            <w:hideMark/>
          </w:tcPr>
          <w:p w14:paraId="6CD9FDBF" w14:textId="77777777" w:rsidR="00000000" w:rsidRDefault="00E614A4">
            <w:pPr>
              <w:rPr>
                <w:rFonts w:eastAsia="Times New Roman"/>
                <w:sz w:val="20"/>
                <w:szCs w:val="20"/>
              </w:rPr>
            </w:pPr>
          </w:p>
        </w:tc>
        <w:tc>
          <w:tcPr>
            <w:tcW w:w="5" w:type="pct"/>
            <w:vAlign w:val="center"/>
            <w:hideMark/>
          </w:tcPr>
          <w:p w14:paraId="01E8781C" w14:textId="77777777" w:rsidR="00000000" w:rsidRDefault="00E614A4">
            <w:pPr>
              <w:rPr>
                <w:rFonts w:eastAsia="Times New Roman"/>
                <w:sz w:val="20"/>
                <w:szCs w:val="20"/>
              </w:rPr>
            </w:pPr>
          </w:p>
        </w:tc>
        <w:tc>
          <w:tcPr>
            <w:tcW w:w="50" w:type="pct"/>
            <w:vAlign w:val="center"/>
            <w:hideMark/>
          </w:tcPr>
          <w:p w14:paraId="4E54770E" w14:textId="77777777" w:rsidR="00000000" w:rsidRDefault="00E614A4">
            <w:pPr>
              <w:rPr>
                <w:rFonts w:eastAsia="Times New Roman"/>
                <w:sz w:val="20"/>
                <w:szCs w:val="20"/>
              </w:rPr>
            </w:pPr>
          </w:p>
        </w:tc>
        <w:tc>
          <w:tcPr>
            <w:tcW w:w="618" w:type="pct"/>
            <w:vAlign w:val="center"/>
            <w:hideMark/>
          </w:tcPr>
          <w:p w14:paraId="1968265D" w14:textId="77777777" w:rsidR="00000000" w:rsidRDefault="00E614A4">
            <w:pPr>
              <w:rPr>
                <w:rFonts w:eastAsia="Times New Roman"/>
                <w:sz w:val="20"/>
                <w:szCs w:val="20"/>
              </w:rPr>
            </w:pPr>
          </w:p>
        </w:tc>
        <w:tc>
          <w:tcPr>
            <w:tcW w:w="5" w:type="pct"/>
            <w:vAlign w:val="center"/>
            <w:hideMark/>
          </w:tcPr>
          <w:p w14:paraId="4B9472D6" w14:textId="77777777" w:rsidR="00000000" w:rsidRDefault="00E614A4">
            <w:pPr>
              <w:rPr>
                <w:rFonts w:eastAsia="Times New Roman"/>
                <w:sz w:val="20"/>
                <w:szCs w:val="20"/>
              </w:rPr>
            </w:pPr>
          </w:p>
        </w:tc>
        <w:tc>
          <w:tcPr>
            <w:tcW w:w="5" w:type="pct"/>
            <w:vAlign w:val="center"/>
            <w:hideMark/>
          </w:tcPr>
          <w:p w14:paraId="1906464C" w14:textId="77777777" w:rsidR="00000000" w:rsidRDefault="00E614A4">
            <w:pPr>
              <w:rPr>
                <w:rFonts w:eastAsia="Times New Roman"/>
                <w:sz w:val="20"/>
                <w:szCs w:val="20"/>
              </w:rPr>
            </w:pPr>
          </w:p>
        </w:tc>
        <w:tc>
          <w:tcPr>
            <w:tcW w:w="17" w:type="pct"/>
            <w:vAlign w:val="center"/>
            <w:hideMark/>
          </w:tcPr>
          <w:p w14:paraId="20C3A12F" w14:textId="77777777" w:rsidR="00000000" w:rsidRDefault="00E614A4">
            <w:pPr>
              <w:rPr>
                <w:rFonts w:eastAsia="Times New Roman"/>
                <w:sz w:val="20"/>
                <w:szCs w:val="20"/>
              </w:rPr>
            </w:pPr>
          </w:p>
        </w:tc>
        <w:tc>
          <w:tcPr>
            <w:tcW w:w="5" w:type="pct"/>
            <w:vAlign w:val="center"/>
            <w:hideMark/>
          </w:tcPr>
          <w:p w14:paraId="0C0B5E2C" w14:textId="77777777" w:rsidR="00000000" w:rsidRDefault="00E614A4">
            <w:pPr>
              <w:rPr>
                <w:rFonts w:eastAsia="Times New Roman"/>
                <w:sz w:val="20"/>
                <w:szCs w:val="20"/>
              </w:rPr>
            </w:pPr>
          </w:p>
        </w:tc>
        <w:tc>
          <w:tcPr>
            <w:tcW w:w="50" w:type="pct"/>
            <w:vAlign w:val="center"/>
            <w:hideMark/>
          </w:tcPr>
          <w:p w14:paraId="2B286626" w14:textId="77777777" w:rsidR="00000000" w:rsidRDefault="00E614A4">
            <w:pPr>
              <w:rPr>
                <w:rFonts w:eastAsia="Times New Roman"/>
                <w:sz w:val="20"/>
                <w:szCs w:val="20"/>
              </w:rPr>
            </w:pPr>
          </w:p>
        </w:tc>
        <w:tc>
          <w:tcPr>
            <w:tcW w:w="618" w:type="pct"/>
            <w:vAlign w:val="center"/>
            <w:hideMark/>
          </w:tcPr>
          <w:p w14:paraId="47E38111" w14:textId="77777777" w:rsidR="00000000" w:rsidRDefault="00E614A4">
            <w:pPr>
              <w:rPr>
                <w:rFonts w:eastAsia="Times New Roman"/>
                <w:sz w:val="20"/>
                <w:szCs w:val="20"/>
              </w:rPr>
            </w:pPr>
          </w:p>
        </w:tc>
        <w:tc>
          <w:tcPr>
            <w:tcW w:w="5" w:type="pct"/>
            <w:vAlign w:val="center"/>
            <w:hideMark/>
          </w:tcPr>
          <w:p w14:paraId="7DDB4B07" w14:textId="77777777" w:rsidR="00000000" w:rsidRDefault="00E614A4">
            <w:pPr>
              <w:rPr>
                <w:rFonts w:eastAsia="Times New Roman"/>
                <w:sz w:val="20"/>
                <w:szCs w:val="20"/>
              </w:rPr>
            </w:pPr>
          </w:p>
        </w:tc>
      </w:tr>
      <w:tr w:rsidR="00000000" w14:paraId="0E4D0F57" w14:textId="77777777">
        <w:trPr>
          <w:divId w:val="1329595639"/>
          <w:jc w:val="center"/>
        </w:trPr>
        <w:tc>
          <w:tcPr>
            <w:tcW w:w="0" w:type="auto"/>
            <w:gridSpan w:val="3"/>
            <w:tcMar>
              <w:top w:w="0" w:type="dxa"/>
              <w:left w:w="20" w:type="dxa"/>
              <w:bottom w:w="0" w:type="dxa"/>
              <w:right w:w="20" w:type="dxa"/>
            </w:tcMar>
            <w:vAlign w:val="center"/>
            <w:hideMark/>
          </w:tcPr>
          <w:p w14:paraId="32E06164"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6505103E"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2212916C" w14:textId="77777777">
        <w:trPr>
          <w:divId w:val="1329595639"/>
          <w:jc w:val="center"/>
        </w:trPr>
        <w:tc>
          <w:tcPr>
            <w:tcW w:w="0" w:type="auto"/>
            <w:gridSpan w:val="3"/>
            <w:tcMar>
              <w:top w:w="30" w:type="dxa"/>
              <w:left w:w="20" w:type="dxa"/>
              <w:bottom w:w="30" w:type="dxa"/>
              <w:right w:w="20" w:type="dxa"/>
            </w:tcMar>
            <w:vAlign w:val="bottom"/>
            <w:hideMark/>
          </w:tcPr>
          <w:p w14:paraId="3D5236E6" w14:textId="77777777" w:rsidR="00000000" w:rsidRDefault="00E614A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610FB89"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48E726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C81677" w14:textId="77777777" w:rsidR="00000000" w:rsidRDefault="00E614A4">
            <w:pPr>
              <w:jc w:val="center"/>
              <w:rPr>
                <w:rFonts w:eastAsia="Times New Roman"/>
              </w:rPr>
            </w:pPr>
            <w:r>
              <w:rPr>
                <w:rFonts w:eastAsia="Times New Roman"/>
                <w:b/>
                <w:bCs/>
                <w:color w:val="000000"/>
                <w:sz w:val="16"/>
                <w:szCs w:val="16"/>
              </w:rPr>
              <w:t>2019</w:t>
            </w:r>
          </w:p>
        </w:tc>
      </w:tr>
      <w:tr w:rsidR="00000000" w14:paraId="7894F630" w14:textId="77777777">
        <w:trPr>
          <w:divId w:val="1329595639"/>
          <w:jc w:val="center"/>
        </w:trPr>
        <w:tc>
          <w:tcPr>
            <w:tcW w:w="0" w:type="auto"/>
            <w:gridSpan w:val="3"/>
            <w:shd w:val="clear" w:color="auto" w:fill="CCEEFF"/>
            <w:tcMar>
              <w:top w:w="30" w:type="dxa"/>
              <w:left w:w="20" w:type="dxa"/>
              <w:bottom w:w="30" w:type="dxa"/>
              <w:right w:w="20" w:type="dxa"/>
            </w:tcMar>
            <w:hideMark/>
          </w:tcPr>
          <w:p w14:paraId="3D61ACEF" w14:textId="77777777" w:rsidR="00000000" w:rsidRDefault="00E614A4">
            <w:pPr>
              <w:rPr>
                <w:rFonts w:eastAsia="Times New Roman"/>
              </w:rPr>
            </w:pPr>
            <w:r>
              <w:rPr>
                <w:rFonts w:eastAsia="Times New Roman"/>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34185A"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971221"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9F693C" w14:textId="77777777" w:rsidR="00000000" w:rsidRDefault="00E614A4">
            <w:pPr>
              <w:rPr>
                <w:rFonts w:eastAsia="Times New Roman"/>
                <w:sz w:val="20"/>
                <w:szCs w:val="20"/>
              </w:rPr>
            </w:pPr>
          </w:p>
        </w:tc>
      </w:tr>
      <w:tr w:rsidR="00000000" w14:paraId="304111F4" w14:textId="77777777">
        <w:trPr>
          <w:divId w:val="1329595639"/>
          <w:jc w:val="center"/>
        </w:trPr>
        <w:tc>
          <w:tcPr>
            <w:tcW w:w="0" w:type="auto"/>
            <w:gridSpan w:val="3"/>
            <w:shd w:val="clear" w:color="auto" w:fill="FFFFFF"/>
            <w:tcMar>
              <w:top w:w="30" w:type="dxa"/>
              <w:left w:w="20" w:type="dxa"/>
              <w:bottom w:w="30" w:type="dxa"/>
              <w:right w:w="20" w:type="dxa"/>
            </w:tcMar>
            <w:hideMark/>
          </w:tcPr>
          <w:p w14:paraId="05B59603" w14:textId="77777777" w:rsidR="00000000" w:rsidRDefault="00E614A4">
            <w:pPr>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14:paraId="2248AD42"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B9158"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73CB09" w14:textId="77777777" w:rsidR="00000000" w:rsidRDefault="00E614A4">
            <w:pPr>
              <w:rPr>
                <w:rFonts w:eastAsia="Times New Roman"/>
                <w:sz w:val="20"/>
                <w:szCs w:val="20"/>
              </w:rPr>
            </w:pPr>
          </w:p>
        </w:tc>
      </w:tr>
      <w:tr w:rsidR="00000000" w14:paraId="5615FC4C" w14:textId="77777777">
        <w:trPr>
          <w:divId w:val="1329595639"/>
          <w:jc w:val="center"/>
        </w:trPr>
        <w:tc>
          <w:tcPr>
            <w:tcW w:w="0" w:type="auto"/>
            <w:gridSpan w:val="3"/>
            <w:shd w:val="clear" w:color="auto" w:fill="CCEEFF"/>
            <w:tcMar>
              <w:top w:w="30" w:type="dxa"/>
              <w:left w:w="260" w:type="dxa"/>
              <w:bottom w:w="30" w:type="dxa"/>
              <w:right w:w="20" w:type="dxa"/>
            </w:tcMar>
            <w:hideMark/>
          </w:tcPr>
          <w:p w14:paraId="4B5A96E1" w14:textId="77777777" w:rsidR="00000000" w:rsidRDefault="00E614A4">
            <w:pPr>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14:paraId="6D5B1C63"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B5CFC52" w14:textId="77777777" w:rsidR="00000000" w:rsidRDefault="00E614A4">
            <w:pPr>
              <w:jc w:val="right"/>
              <w:rPr>
                <w:rFonts w:eastAsia="Times New Roman"/>
              </w:rPr>
            </w:pPr>
            <w:r>
              <w:rPr>
                <w:rFonts w:eastAsia="Times New Roman"/>
                <w:color w:val="000000"/>
                <w:sz w:val="18"/>
                <w:szCs w:val="18"/>
              </w:rPr>
              <w:t>31,126 </w:t>
            </w:r>
          </w:p>
        </w:tc>
        <w:tc>
          <w:tcPr>
            <w:tcW w:w="0" w:type="auto"/>
            <w:shd w:val="clear" w:color="auto" w:fill="CCEEFF"/>
            <w:tcMar>
              <w:top w:w="30" w:type="dxa"/>
              <w:left w:w="0" w:type="dxa"/>
              <w:bottom w:w="30" w:type="dxa"/>
              <w:right w:w="20" w:type="dxa"/>
            </w:tcMar>
            <w:vAlign w:val="bottom"/>
            <w:hideMark/>
          </w:tcPr>
          <w:p w14:paraId="1948C77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89C0A"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26D885"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44D123A" w14:textId="77777777" w:rsidR="00000000" w:rsidRDefault="00E614A4">
            <w:pPr>
              <w:jc w:val="right"/>
              <w:rPr>
                <w:rFonts w:eastAsia="Times New Roman"/>
              </w:rPr>
            </w:pPr>
            <w:r>
              <w:rPr>
                <w:rFonts w:eastAsia="Times New Roman"/>
                <w:color w:val="000000"/>
                <w:sz w:val="18"/>
                <w:szCs w:val="18"/>
              </w:rPr>
              <w:t>46,590 </w:t>
            </w:r>
          </w:p>
        </w:tc>
        <w:tc>
          <w:tcPr>
            <w:tcW w:w="0" w:type="auto"/>
            <w:shd w:val="clear" w:color="auto" w:fill="CCEEFF"/>
            <w:tcMar>
              <w:top w:w="30" w:type="dxa"/>
              <w:left w:w="0" w:type="dxa"/>
              <w:bottom w:w="30" w:type="dxa"/>
              <w:right w:w="20" w:type="dxa"/>
            </w:tcMar>
            <w:vAlign w:val="bottom"/>
            <w:hideMark/>
          </w:tcPr>
          <w:p w14:paraId="1BC0FF7C" w14:textId="77777777" w:rsidR="00000000" w:rsidRDefault="00E614A4">
            <w:pPr>
              <w:jc w:val="right"/>
              <w:rPr>
                <w:rFonts w:eastAsia="Times New Roman"/>
              </w:rPr>
            </w:pPr>
          </w:p>
        </w:tc>
      </w:tr>
      <w:tr w:rsidR="00000000" w14:paraId="0E58CBE8" w14:textId="77777777">
        <w:trPr>
          <w:divId w:val="1329595639"/>
          <w:jc w:val="center"/>
        </w:trPr>
        <w:tc>
          <w:tcPr>
            <w:tcW w:w="0" w:type="auto"/>
            <w:gridSpan w:val="3"/>
            <w:shd w:val="clear" w:color="auto" w:fill="FFFFFF"/>
            <w:tcMar>
              <w:top w:w="30" w:type="dxa"/>
              <w:left w:w="260" w:type="dxa"/>
              <w:bottom w:w="30" w:type="dxa"/>
              <w:right w:w="20" w:type="dxa"/>
            </w:tcMar>
            <w:hideMark/>
          </w:tcPr>
          <w:p w14:paraId="247CCC69" w14:textId="77777777" w:rsidR="00000000" w:rsidRDefault="00E614A4">
            <w:pPr>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62BA9D60" w14:textId="77777777" w:rsidR="00000000" w:rsidRDefault="00E614A4">
            <w:pPr>
              <w:jc w:val="right"/>
              <w:rPr>
                <w:rFonts w:eastAsia="Times New Roman"/>
              </w:rPr>
            </w:pPr>
            <w:r>
              <w:rPr>
                <w:rFonts w:eastAsia="Times New Roman"/>
                <w:color w:val="000000"/>
                <w:sz w:val="18"/>
                <w:szCs w:val="18"/>
              </w:rPr>
              <w:t>19,615 </w:t>
            </w:r>
          </w:p>
        </w:tc>
        <w:tc>
          <w:tcPr>
            <w:tcW w:w="0" w:type="auto"/>
            <w:shd w:val="clear" w:color="auto" w:fill="FFFFFF"/>
            <w:tcMar>
              <w:top w:w="30" w:type="dxa"/>
              <w:left w:w="0" w:type="dxa"/>
              <w:bottom w:w="30" w:type="dxa"/>
              <w:right w:w="20" w:type="dxa"/>
            </w:tcMar>
            <w:vAlign w:val="bottom"/>
            <w:hideMark/>
          </w:tcPr>
          <w:p w14:paraId="2C3465C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197C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96DC4" w14:textId="77777777" w:rsidR="00000000" w:rsidRDefault="00E614A4">
            <w:pPr>
              <w:jc w:val="right"/>
              <w:rPr>
                <w:rFonts w:eastAsia="Times New Roman"/>
              </w:rPr>
            </w:pPr>
            <w:r>
              <w:rPr>
                <w:rFonts w:eastAsia="Times New Roman"/>
                <w:color w:val="000000"/>
                <w:sz w:val="18"/>
                <w:szCs w:val="18"/>
              </w:rPr>
              <w:t>20,183 </w:t>
            </w:r>
          </w:p>
        </w:tc>
        <w:tc>
          <w:tcPr>
            <w:tcW w:w="0" w:type="auto"/>
            <w:shd w:val="clear" w:color="auto" w:fill="FFFFFF"/>
            <w:tcMar>
              <w:top w:w="30" w:type="dxa"/>
              <w:left w:w="0" w:type="dxa"/>
              <w:bottom w:w="30" w:type="dxa"/>
              <w:right w:w="20" w:type="dxa"/>
            </w:tcMar>
            <w:vAlign w:val="bottom"/>
            <w:hideMark/>
          </w:tcPr>
          <w:p w14:paraId="1714A709" w14:textId="77777777" w:rsidR="00000000" w:rsidRDefault="00E614A4">
            <w:pPr>
              <w:jc w:val="right"/>
              <w:rPr>
                <w:rFonts w:eastAsia="Times New Roman"/>
              </w:rPr>
            </w:pPr>
          </w:p>
        </w:tc>
      </w:tr>
      <w:tr w:rsidR="00000000" w14:paraId="4B259420" w14:textId="77777777">
        <w:trPr>
          <w:divId w:val="1329595639"/>
          <w:jc w:val="center"/>
        </w:trPr>
        <w:tc>
          <w:tcPr>
            <w:tcW w:w="0" w:type="auto"/>
            <w:gridSpan w:val="3"/>
            <w:shd w:val="clear" w:color="auto" w:fill="CCEEFF"/>
            <w:tcMar>
              <w:top w:w="30" w:type="dxa"/>
              <w:left w:w="20" w:type="dxa"/>
              <w:bottom w:w="30" w:type="dxa"/>
              <w:right w:w="20" w:type="dxa"/>
            </w:tcMar>
            <w:hideMark/>
          </w:tcPr>
          <w:p w14:paraId="7F932944" w14:textId="77777777" w:rsidR="00000000" w:rsidRDefault="00E614A4">
            <w:pPr>
              <w:divId w:val="995033489"/>
              <w:rPr>
                <w:rFonts w:eastAsia="Times New Roman"/>
              </w:rPr>
            </w:pPr>
            <w:r>
              <w:rPr>
                <w:rFonts w:eastAsia="Times New Roman"/>
                <w:color w:val="000000"/>
                <w:sz w:val="18"/>
                <w:szCs w:val="18"/>
              </w:rPr>
              <w:t xml:space="preserve">Accounts receivable, net of allowances of $2,757 and $1,919, respectively ($4,045 and $2,698 </w:t>
            </w:r>
            <w:r>
              <w:rPr>
                <w:rFonts w:eastAsia="Times New Roman"/>
                <w:color w:val="000000"/>
                <w:sz w:val="18"/>
                <w:szCs w:val="18"/>
              </w:rPr>
              <w:t>of accounts receivable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4BA3196D" w14:textId="77777777" w:rsidR="00000000" w:rsidRDefault="00E614A4">
            <w:pPr>
              <w:jc w:val="right"/>
              <w:rPr>
                <w:rFonts w:eastAsia="Times New Roman"/>
              </w:rPr>
            </w:pPr>
            <w:r>
              <w:rPr>
                <w:rFonts w:eastAsia="Times New Roman"/>
                <w:color w:val="000000"/>
                <w:sz w:val="18"/>
                <w:szCs w:val="18"/>
              </w:rPr>
              <w:t>69,379 </w:t>
            </w:r>
          </w:p>
        </w:tc>
        <w:tc>
          <w:tcPr>
            <w:tcW w:w="0" w:type="auto"/>
            <w:shd w:val="clear" w:color="auto" w:fill="CCEEFF"/>
            <w:tcMar>
              <w:top w:w="30" w:type="dxa"/>
              <w:left w:w="0" w:type="dxa"/>
              <w:bottom w:w="30" w:type="dxa"/>
              <w:right w:w="20" w:type="dxa"/>
            </w:tcMar>
            <w:vAlign w:val="bottom"/>
            <w:hideMark/>
          </w:tcPr>
          <w:p w14:paraId="4B13510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838A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417672" w14:textId="77777777" w:rsidR="00000000" w:rsidRDefault="00E614A4">
            <w:pPr>
              <w:jc w:val="right"/>
              <w:rPr>
                <w:rFonts w:eastAsia="Times New Roman"/>
              </w:rPr>
            </w:pPr>
            <w:r>
              <w:rPr>
                <w:rFonts w:eastAsia="Times New Roman"/>
                <w:color w:val="000000"/>
                <w:sz w:val="18"/>
                <w:szCs w:val="18"/>
              </w:rPr>
              <w:t>71,853 </w:t>
            </w:r>
          </w:p>
        </w:tc>
        <w:tc>
          <w:tcPr>
            <w:tcW w:w="0" w:type="auto"/>
            <w:shd w:val="clear" w:color="auto" w:fill="CCEEFF"/>
            <w:tcMar>
              <w:top w:w="30" w:type="dxa"/>
              <w:left w:w="0" w:type="dxa"/>
              <w:bottom w:w="30" w:type="dxa"/>
              <w:right w:w="20" w:type="dxa"/>
            </w:tcMar>
            <w:vAlign w:val="bottom"/>
            <w:hideMark/>
          </w:tcPr>
          <w:p w14:paraId="2D69B3DB" w14:textId="77777777" w:rsidR="00000000" w:rsidRDefault="00E614A4">
            <w:pPr>
              <w:jc w:val="right"/>
              <w:rPr>
                <w:rFonts w:eastAsia="Times New Roman"/>
              </w:rPr>
            </w:pPr>
          </w:p>
        </w:tc>
      </w:tr>
      <w:tr w:rsidR="00000000" w14:paraId="40F93C5C" w14:textId="77777777">
        <w:trPr>
          <w:divId w:val="1329595639"/>
          <w:jc w:val="center"/>
        </w:trPr>
        <w:tc>
          <w:tcPr>
            <w:tcW w:w="0" w:type="auto"/>
            <w:gridSpan w:val="3"/>
            <w:shd w:val="clear" w:color="auto" w:fill="FFFFFF"/>
            <w:tcMar>
              <w:top w:w="30" w:type="dxa"/>
              <w:left w:w="20" w:type="dxa"/>
              <w:bottom w:w="30" w:type="dxa"/>
              <w:right w:w="20" w:type="dxa"/>
            </w:tcMar>
            <w:hideMark/>
          </w:tcPr>
          <w:p w14:paraId="7BB078F9" w14:textId="77777777" w:rsidR="00000000" w:rsidRDefault="00E614A4">
            <w:pPr>
              <w:divId w:val="684358294"/>
              <w:rPr>
                <w:rFonts w:eastAsia="Times New Roman"/>
              </w:rPr>
            </w:pPr>
            <w:r>
              <w:rPr>
                <w:rFonts w:eastAsia="Times New Roman"/>
                <w:color w:val="000000"/>
                <w:sz w:val="18"/>
                <w:szCs w:val="18"/>
              </w:rPr>
              <w:t>Prepaid expenses and other current assets ($1,496 and $1,180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3C1DD122" w14:textId="77777777" w:rsidR="00000000" w:rsidRDefault="00E614A4">
            <w:pPr>
              <w:jc w:val="right"/>
              <w:rPr>
                <w:rFonts w:eastAsia="Times New Roman"/>
              </w:rPr>
            </w:pPr>
            <w:r>
              <w:rPr>
                <w:rFonts w:eastAsia="Times New Roman"/>
                <w:color w:val="000000"/>
                <w:sz w:val="18"/>
                <w:szCs w:val="18"/>
              </w:rPr>
              <w:t>16,910 </w:t>
            </w:r>
          </w:p>
        </w:tc>
        <w:tc>
          <w:tcPr>
            <w:tcW w:w="0" w:type="auto"/>
            <w:shd w:val="clear" w:color="auto" w:fill="FFFFFF"/>
            <w:tcMar>
              <w:top w:w="30" w:type="dxa"/>
              <w:left w:w="0" w:type="dxa"/>
              <w:bottom w:w="30" w:type="dxa"/>
              <w:right w:w="20" w:type="dxa"/>
            </w:tcMar>
            <w:vAlign w:val="bottom"/>
            <w:hideMark/>
          </w:tcPr>
          <w:p w14:paraId="5EECD5C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0FCC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DD91F" w14:textId="77777777" w:rsidR="00000000" w:rsidRDefault="00E614A4">
            <w:pPr>
              <w:jc w:val="right"/>
              <w:rPr>
                <w:rFonts w:eastAsia="Times New Roman"/>
              </w:rPr>
            </w:pPr>
            <w:r>
              <w:rPr>
                <w:rFonts w:eastAsia="Times New Roman"/>
                <w:color w:val="000000"/>
                <w:sz w:val="18"/>
                <w:szCs w:val="18"/>
              </w:rPr>
              <w:t>15,357 </w:t>
            </w:r>
          </w:p>
        </w:tc>
        <w:tc>
          <w:tcPr>
            <w:tcW w:w="0" w:type="auto"/>
            <w:shd w:val="clear" w:color="auto" w:fill="FFFFFF"/>
            <w:tcMar>
              <w:top w:w="30" w:type="dxa"/>
              <w:left w:w="0" w:type="dxa"/>
              <w:bottom w:w="30" w:type="dxa"/>
              <w:right w:w="20" w:type="dxa"/>
            </w:tcMar>
            <w:vAlign w:val="bottom"/>
            <w:hideMark/>
          </w:tcPr>
          <w:p w14:paraId="60FF6602" w14:textId="77777777" w:rsidR="00000000" w:rsidRDefault="00E614A4">
            <w:pPr>
              <w:jc w:val="right"/>
              <w:rPr>
                <w:rFonts w:eastAsia="Times New Roman"/>
              </w:rPr>
            </w:pPr>
          </w:p>
        </w:tc>
      </w:tr>
      <w:tr w:rsidR="00000000" w14:paraId="15787C62" w14:textId="77777777">
        <w:trPr>
          <w:divId w:val="1329595639"/>
          <w:jc w:val="center"/>
        </w:trPr>
        <w:tc>
          <w:tcPr>
            <w:tcW w:w="0" w:type="auto"/>
            <w:gridSpan w:val="3"/>
            <w:shd w:val="clear" w:color="auto" w:fill="CCEEFF"/>
            <w:tcMar>
              <w:top w:w="30" w:type="dxa"/>
              <w:left w:w="155" w:type="dxa"/>
              <w:bottom w:w="30" w:type="dxa"/>
              <w:right w:w="20" w:type="dxa"/>
            </w:tcMar>
            <w:hideMark/>
          </w:tcPr>
          <w:p w14:paraId="348D62E6" w14:textId="77777777" w:rsidR="00000000" w:rsidRDefault="00E614A4">
            <w:pPr>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17E45A" w14:textId="77777777" w:rsidR="00000000" w:rsidRDefault="00E614A4">
            <w:pPr>
              <w:jc w:val="right"/>
              <w:rPr>
                <w:rFonts w:eastAsia="Times New Roman"/>
              </w:rPr>
            </w:pPr>
            <w:r>
              <w:rPr>
                <w:rFonts w:eastAsia="Times New Roman"/>
                <w:color w:val="000000"/>
                <w:sz w:val="18"/>
                <w:szCs w:val="18"/>
              </w:rPr>
              <w:t>137,030 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A01F8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60E75"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C54982" w14:textId="77777777" w:rsidR="00000000" w:rsidRDefault="00E614A4">
            <w:pPr>
              <w:jc w:val="right"/>
              <w:rPr>
                <w:rFonts w:eastAsia="Times New Roman"/>
              </w:rPr>
            </w:pPr>
            <w:r>
              <w:rPr>
                <w:rFonts w:eastAsia="Times New Roman"/>
                <w:color w:val="000000"/>
                <w:sz w:val="18"/>
                <w:szCs w:val="18"/>
              </w:rPr>
              <w:t>153,983 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A20A78" w14:textId="77777777" w:rsidR="00000000" w:rsidRDefault="00E614A4">
            <w:pPr>
              <w:jc w:val="right"/>
              <w:rPr>
                <w:rFonts w:eastAsia="Times New Roman"/>
              </w:rPr>
            </w:pPr>
          </w:p>
        </w:tc>
      </w:tr>
      <w:tr w:rsidR="00000000" w14:paraId="2237CF70" w14:textId="77777777">
        <w:trPr>
          <w:divId w:val="1329595639"/>
          <w:jc w:val="center"/>
        </w:trPr>
        <w:tc>
          <w:tcPr>
            <w:tcW w:w="0" w:type="auto"/>
            <w:gridSpan w:val="3"/>
            <w:shd w:val="clear" w:color="auto" w:fill="FFFFFF"/>
            <w:tcMar>
              <w:top w:w="30" w:type="dxa"/>
              <w:left w:w="20" w:type="dxa"/>
              <w:bottom w:w="30" w:type="dxa"/>
              <w:right w:w="20" w:type="dxa"/>
            </w:tcMar>
            <w:hideMark/>
          </w:tcPr>
          <w:p w14:paraId="4A486676" w14:textId="77777777" w:rsidR="00000000" w:rsidRDefault="00E614A4">
            <w:pPr>
              <w:rPr>
                <w:rFonts w:eastAsia="Times New Roman"/>
              </w:rPr>
            </w:pPr>
            <w:r>
              <w:rPr>
                <w:rFonts w:eastAsia="Times New Roman"/>
                <w:color w:val="000000"/>
                <w:sz w:val="18"/>
                <w:szCs w:val="18"/>
              </w:rPr>
              <w:t xml:space="preserve">Property and equipment, net </w:t>
            </w:r>
          </w:p>
        </w:tc>
        <w:tc>
          <w:tcPr>
            <w:tcW w:w="0" w:type="auto"/>
            <w:gridSpan w:val="2"/>
            <w:shd w:val="clear" w:color="auto" w:fill="FFFFFF"/>
            <w:tcMar>
              <w:top w:w="30" w:type="dxa"/>
              <w:left w:w="20" w:type="dxa"/>
              <w:bottom w:w="30" w:type="dxa"/>
              <w:right w:w="0" w:type="dxa"/>
            </w:tcMar>
            <w:vAlign w:val="bottom"/>
            <w:hideMark/>
          </w:tcPr>
          <w:p w14:paraId="568F92CF" w14:textId="77777777" w:rsidR="00000000" w:rsidRDefault="00E614A4">
            <w:pPr>
              <w:jc w:val="right"/>
              <w:rPr>
                <w:rFonts w:eastAsia="Times New Roman"/>
              </w:rPr>
            </w:pPr>
            <w:r>
              <w:rPr>
                <w:rFonts w:eastAsia="Times New Roman"/>
                <w:color w:val="000000"/>
                <w:sz w:val="18"/>
                <w:szCs w:val="18"/>
              </w:rPr>
              <w:t>30,973 </w:t>
            </w:r>
          </w:p>
        </w:tc>
        <w:tc>
          <w:tcPr>
            <w:tcW w:w="0" w:type="auto"/>
            <w:shd w:val="clear" w:color="auto" w:fill="FFFFFF"/>
            <w:tcMar>
              <w:top w:w="30" w:type="dxa"/>
              <w:left w:w="0" w:type="dxa"/>
              <w:bottom w:w="30" w:type="dxa"/>
              <w:right w:w="20" w:type="dxa"/>
            </w:tcMar>
            <w:vAlign w:val="bottom"/>
            <w:hideMark/>
          </w:tcPr>
          <w:p w14:paraId="5CFFF62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2FFA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674A98" w14:textId="77777777" w:rsidR="00000000" w:rsidRDefault="00E614A4">
            <w:pPr>
              <w:jc w:val="right"/>
              <w:rPr>
                <w:rFonts w:eastAsia="Times New Roman"/>
              </w:rPr>
            </w:pPr>
            <w:r>
              <w:rPr>
                <w:rFonts w:eastAsia="Times New Roman"/>
                <w:color w:val="000000"/>
                <w:sz w:val="18"/>
                <w:szCs w:val="18"/>
              </w:rPr>
              <w:t>31,693 </w:t>
            </w:r>
          </w:p>
        </w:tc>
        <w:tc>
          <w:tcPr>
            <w:tcW w:w="0" w:type="auto"/>
            <w:shd w:val="clear" w:color="auto" w:fill="FFFFFF"/>
            <w:tcMar>
              <w:top w:w="30" w:type="dxa"/>
              <w:left w:w="0" w:type="dxa"/>
              <w:bottom w:w="30" w:type="dxa"/>
              <w:right w:w="20" w:type="dxa"/>
            </w:tcMar>
            <w:vAlign w:val="bottom"/>
            <w:hideMark/>
          </w:tcPr>
          <w:p w14:paraId="61A56C47" w14:textId="77777777" w:rsidR="00000000" w:rsidRDefault="00E614A4">
            <w:pPr>
              <w:jc w:val="right"/>
              <w:rPr>
                <w:rFonts w:eastAsia="Times New Roman"/>
              </w:rPr>
            </w:pPr>
          </w:p>
        </w:tc>
      </w:tr>
      <w:tr w:rsidR="00000000" w14:paraId="709CF651" w14:textId="77777777">
        <w:trPr>
          <w:divId w:val="1329595639"/>
          <w:jc w:val="center"/>
        </w:trPr>
        <w:tc>
          <w:tcPr>
            <w:tcW w:w="0" w:type="auto"/>
            <w:gridSpan w:val="3"/>
            <w:shd w:val="clear" w:color="auto" w:fill="CCEEFF"/>
            <w:tcMar>
              <w:top w:w="30" w:type="dxa"/>
              <w:left w:w="20" w:type="dxa"/>
              <w:bottom w:w="30" w:type="dxa"/>
              <w:right w:w="20" w:type="dxa"/>
            </w:tcMar>
            <w:hideMark/>
          </w:tcPr>
          <w:p w14:paraId="521DC7E4" w14:textId="77777777" w:rsidR="00000000" w:rsidRDefault="00E614A4">
            <w:pPr>
              <w:rPr>
                <w:rFonts w:eastAsia="Times New Roman"/>
              </w:rPr>
            </w:pPr>
            <w:r>
              <w:rPr>
                <w:rFonts w:eastAsia="Times New Roman"/>
                <w:color w:val="000000"/>
                <w:sz w:val="18"/>
                <w:szCs w:val="18"/>
              </w:rPr>
              <w:t>Operating right-of-use assets</w:t>
            </w:r>
          </w:p>
        </w:tc>
        <w:tc>
          <w:tcPr>
            <w:tcW w:w="0" w:type="auto"/>
            <w:gridSpan w:val="2"/>
            <w:shd w:val="clear" w:color="auto" w:fill="CCEEFF"/>
            <w:tcMar>
              <w:top w:w="30" w:type="dxa"/>
              <w:left w:w="20" w:type="dxa"/>
              <w:bottom w:w="30" w:type="dxa"/>
              <w:right w:w="0" w:type="dxa"/>
            </w:tcMar>
            <w:vAlign w:val="bottom"/>
            <w:hideMark/>
          </w:tcPr>
          <w:p w14:paraId="5B8A4540" w14:textId="77777777" w:rsidR="00000000" w:rsidRDefault="00E614A4">
            <w:pPr>
              <w:jc w:val="right"/>
              <w:rPr>
                <w:rFonts w:eastAsia="Times New Roman"/>
              </w:rPr>
            </w:pPr>
            <w:r>
              <w:rPr>
                <w:rFonts w:eastAsia="Times New Roman"/>
                <w:color w:val="000000"/>
                <w:sz w:val="18"/>
                <w:szCs w:val="18"/>
              </w:rPr>
              <w:t>28,959 </w:t>
            </w:r>
          </w:p>
        </w:tc>
        <w:tc>
          <w:tcPr>
            <w:tcW w:w="0" w:type="auto"/>
            <w:shd w:val="clear" w:color="auto" w:fill="CCEEFF"/>
            <w:tcMar>
              <w:top w:w="30" w:type="dxa"/>
              <w:left w:w="0" w:type="dxa"/>
              <w:bottom w:w="30" w:type="dxa"/>
              <w:right w:w="20" w:type="dxa"/>
            </w:tcMar>
            <w:vAlign w:val="bottom"/>
            <w:hideMark/>
          </w:tcPr>
          <w:p w14:paraId="628F96C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7DA5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9FD5C2" w14:textId="77777777" w:rsidR="00000000" w:rsidRDefault="00E614A4">
            <w:pPr>
              <w:jc w:val="right"/>
              <w:rPr>
                <w:rFonts w:eastAsia="Times New Roman"/>
              </w:rPr>
            </w:pPr>
            <w:r>
              <w:rPr>
                <w:rFonts w:eastAsia="Times New Roman"/>
                <w:color w:val="000000"/>
                <w:sz w:val="18"/>
                <w:szCs w:val="18"/>
              </w:rPr>
              <w:t>36,689 </w:t>
            </w:r>
          </w:p>
        </w:tc>
        <w:tc>
          <w:tcPr>
            <w:tcW w:w="0" w:type="auto"/>
            <w:shd w:val="clear" w:color="auto" w:fill="CCEEFF"/>
            <w:tcMar>
              <w:top w:w="30" w:type="dxa"/>
              <w:left w:w="0" w:type="dxa"/>
              <w:bottom w:w="30" w:type="dxa"/>
              <w:right w:w="20" w:type="dxa"/>
            </w:tcMar>
            <w:vAlign w:val="bottom"/>
            <w:hideMark/>
          </w:tcPr>
          <w:p w14:paraId="3BD83603" w14:textId="77777777" w:rsidR="00000000" w:rsidRDefault="00E614A4">
            <w:pPr>
              <w:jc w:val="right"/>
              <w:rPr>
                <w:rFonts w:eastAsia="Times New Roman"/>
              </w:rPr>
            </w:pPr>
          </w:p>
        </w:tc>
      </w:tr>
      <w:tr w:rsidR="00000000" w14:paraId="78DB13A2" w14:textId="77777777">
        <w:trPr>
          <w:divId w:val="1329595639"/>
          <w:jc w:val="center"/>
        </w:trPr>
        <w:tc>
          <w:tcPr>
            <w:tcW w:w="0" w:type="auto"/>
            <w:gridSpan w:val="3"/>
            <w:shd w:val="clear" w:color="auto" w:fill="FFFFFF"/>
            <w:tcMar>
              <w:top w:w="30" w:type="dxa"/>
              <w:left w:w="20" w:type="dxa"/>
              <w:bottom w:w="30" w:type="dxa"/>
              <w:right w:w="20" w:type="dxa"/>
            </w:tcMar>
            <w:hideMark/>
          </w:tcPr>
          <w:p w14:paraId="50A26A79" w14:textId="77777777" w:rsidR="00000000" w:rsidRDefault="00E614A4">
            <w:pPr>
              <w:rPr>
                <w:rFonts w:eastAsia="Times New Roman"/>
              </w:rPr>
            </w:pPr>
            <w:r>
              <w:rPr>
                <w:rFonts w:eastAsia="Times New Roman"/>
                <w:color w:val="000000"/>
                <w:sz w:val="18"/>
                <w:szCs w:val="18"/>
              </w:rPr>
              <w:t xml:space="preserve">Goodwill </w:t>
            </w:r>
          </w:p>
        </w:tc>
        <w:tc>
          <w:tcPr>
            <w:tcW w:w="0" w:type="auto"/>
            <w:gridSpan w:val="2"/>
            <w:shd w:val="clear" w:color="auto" w:fill="FFFFFF"/>
            <w:tcMar>
              <w:top w:w="30" w:type="dxa"/>
              <w:left w:w="20" w:type="dxa"/>
              <w:bottom w:w="30" w:type="dxa"/>
              <w:right w:w="0" w:type="dxa"/>
            </w:tcMar>
            <w:vAlign w:val="bottom"/>
            <w:hideMark/>
          </w:tcPr>
          <w:p w14:paraId="01DB9747" w14:textId="77777777" w:rsidR="00000000" w:rsidRDefault="00E614A4">
            <w:pPr>
              <w:jc w:val="right"/>
              <w:rPr>
                <w:rFonts w:eastAsia="Times New Roman"/>
              </w:rPr>
            </w:pPr>
            <w:r>
              <w:rPr>
                <w:rFonts w:eastAsia="Times New Roman"/>
                <w:color w:val="000000"/>
                <w:sz w:val="18"/>
                <w:szCs w:val="18"/>
              </w:rPr>
              <w:t>418,327 </w:t>
            </w:r>
          </w:p>
        </w:tc>
        <w:tc>
          <w:tcPr>
            <w:tcW w:w="0" w:type="auto"/>
            <w:shd w:val="clear" w:color="auto" w:fill="FFFFFF"/>
            <w:tcMar>
              <w:top w:w="30" w:type="dxa"/>
              <w:left w:w="0" w:type="dxa"/>
              <w:bottom w:w="30" w:type="dxa"/>
              <w:right w:w="20" w:type="dxa"/>
            </w:tcMar>
            <w:vAlign w:val="bottom"/>
            <w:hideMark/>
          </w:tcPr>
          <w:p w14:paraId="604720C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290E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3CAC86" w14:textId="77777777" w:rsidR="00000000" w:rsidRDefault="00E614A4">
            <w:pPr>
              <w:jc w:val="right"/>
              <w:rPr>
                <w:rFonts w:eastAsia="Times New Roman"/>
              </w:rPr>
            </w:pPr>
            <w:r>
              <w:rPr>
                <w:rFonts w:eastAsia="Times New Roman"/>
                <w:color w:val="000000"/>
                <w:sz w:val="18"/>
                <w:szCs w:val="18"/>
              </w:rPr>
              <w:t>416,418 </w:t>
            </w:r>
          </w:p>
        </w:tc>
        <w:tc>
          <w:tcPr>
            <w:tcW w:w="0" w:type="auto"/>
            <w:shd w:val="clear" w:color="auto" w:fill="FFFFFF"/>
            <w:tcMar>
              <w:top w:w="30" w:type="dxa"/>
              <w:left w:w="0" w:type="dxa"/>
              <w:bottom w:w="30" w:type="dxa"/>
              <w:right w:w="20" w:type="dxa"/>
            </w:tcMar>
            <w:vAlign w:val="bottom"/>
            <w:hideMark/>
          </w:tcPr>
          <w:p w14:paraId="04B39801" w14:textId="77777777" w:rsidR="00000000" w:rsidRDefault="00E614A4">
            <w:pPr>
              <w:jc w:val="right"/>
              <w:rPr>
                <w:rFonts w:eastAsia="Times New Roman"/>
              </w:rPr>
            </w:pPr>
          </w:p>
        </w:tc>
      </w:tr>
      <w:tr w:rsidR="00000000" w14:paraId="417522E7" w14:textId="77777777">
        <w:trPr>
          <w:divId w:val="1329595639"/>
          <w:jc w:val="center"/>
        </w:trPr>
        <w:tc>
          <w:tcPr>
            <w:tcW w:w="0" w:type="auto"/>
            <w:gridSpan w:val="3"/>
            <w:shd w:val="clear" w:color="auto" w:fill="CCEEFF"/>
            <w:tcMar>
              <w:top w:w="30" w:type="dxa"/>
              <w:left w:w="20" w:type="dxa"/>
              <w:bottom w:w="30" w:type="dxa"/>
              <w:right w:w="20" w:type="dxa"/>
            </w:tcMar>
            <w:hideMark/>
          </w:tcPr>
          <w:p w14:paraId="078D33AD" w14:textId="77777777" w:rsidR="00000000" w:rsidRDefault="00E614A4">
            <w:pPr>
              <w:rPr>
                <w:rFonts w:eastAsia="Times New Roman"/>
              </w:rPr>
            </w:pPr>
            <w:r>
              <w:rPr>
                <w:rFonts w:eastAsia="Times New Roman"/>
                <w:color w:val="000000"/>
                <w:sz w:val="18"/>
                <w:szCs w:val="18"/>
              </w:rPr>
              <w:t xml:space="preserve">Intangible assets, net </w:t>
            </w:r>
          </w:p>
        </w:tc>
        <w:tc>
          <w:tcPr>
            <w:tcW w:w="0" w:type="auto"/>
            <w:gridSpan w:val="2"/>
            <w:shd w:val="clear" w:color="auto" w:fill="CCEEFF"/>
            <w:tcMar>
              <w:top w:w="30" w:type="dxa"/>
              <w:left w:w="20" w:type="dxa"/>
              <w:bottom w:w="30" w:type="dxa"/>
              <w:right w:w="0" w:type="dxa"/>
            </w:tcMar>
            <w:vAlign w:val="bottom"/>
            <w:hideMark/>
          </w:tcPr>
          <w:p w14:paraId="4F043735" w14:textId="77777777" w:rsidR="00000000" w:rsidRDefault="00E614A4">
            <w:pPr>
              <w:jc w:val="right"/>
              <w:rPr>
                <w:rFonts w:eastAsia="Times New Roman"/>
              </w:rPr>
            </w:pPr>
            <w:r>
              <w:rPr>
                <w:rFonts w:eastAsia="Times New Roman"/>
                <w:color w:val="000000"/>
                <w:sz w:val="18"/>
                <w:szCs w:val="18"/>
              </w:rPr>
              <w:t>52,340 </w:t>
            </w:r>
          </w:p>
        </w:tc>
        <w:tc>
          <w:tcPr>
            <w:tcW w:w="0" w:type="auto"/>
            <w:shd w:val="clear" w:color="auto" w:fill="CCEEFF"/>
            <w:tcMar>
              <w:top w:w="30" w:type="dxa"/>
              <w:left w:w="0" w:type="dxa"/>
              <w:bottom w:w="30" w:type="dxa"/>
              <w:right w:w="20" w:type="dxa"/>
            </w:tcMar>
            <w:vAlign w:val="bottom"/>
            <w:hideMark/>
          </w:tcPr>
          <w:p w14:paraId="6FC6D16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C64D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964349" w14:textId="77777777" w:rsidR="00000000" w:rsidRDefault="00E614A4">
            <w:pPr>
              <w:jc w:val="right"/>
              <w:rPr>
                <w:rFonts w:eastAsia="Times New Roman"/>
              </w:rPr>
            </w:pPr>
            <w:r>
              <w:rPr>
                <w:rFonts w:eastAsia="Times New Roman"/>
                <w:color w:val="000000"/>
                <w:sz w:val="18"/>
                <w:szCs w:val="18"/>
              </w:rPr>
              <w:t>79,559 </w:t>
            </w:r>
          </w:p>
        </w:tc>
        <w:tc>
          <w:tcPr>
            <w:tcW w:w="0" w:type="auto"/>
            <w:shd w:val="clear" w:color="auto" w:fill="CCEEFF"/>
            <w:tcMar>
              <w:top w:w="30" w:type="dxa"/>
              <w:left w:w="0" w:type="dxa"/>
              <w:bottom w:w="30" w:type="dxa"/>
              <w:right w:w="20" w:type="dxa"/>
            </w:tcMar>
            <w:vAlign w:val="bottom"/>
            <w:hideMark/>
          </w:tcPr>
          <w:p w14:paraId="27A0088F" w14:textId="77777777" w:rsidR="00000000" w:rsidRDefault="00E614A4">
            <w:pPr>
              <w:jc w:val="right"/>
              <w:rPr>
                <w:rFonts w:eastAsia="Times New Roman"/>
              </w:rPr>
            </w:pPr>
          </w:p>
        </w:tc>
      </w:tr>
      <w:tr w:rsidR="00000000" w14:paraId="32C44034" w14:textId="77777777">
        <w:trPr>
          <w:divId w:val="1329595639"/>
          <w:jc w:val="center"/>
        </w:trPr>
        <w:tc>
          <w:tcPr>
            <w:tcW w:w="0" w:type="auto"/>
            <w:gridSpan w:val="3"/>
            <w:shd w:val="clear" w:color="auto" w:fill="FFFFFF"/>
            <w:tcMar>
              <w:top w:w="30" w:type="dxa"/>
              <w:left w:w="20" w:type="dxa"/>
              <w:bottom w:w="30" w:type="dxa"/>
              <w:right w:w="20" w:type="dxa"/>
            </w:tcMar>
            <w:hideMark/>
          </w:tcPr>
          <w:p w14:paraId="45C8C04C" w14:textId="77777777" w:rsidR="00000000" w:rsidRDefault="00E614A4">
            <w:pPr>
              <w:rPr>
                <w:rFonts w:eastAsia="Times New Roman"/>
              </w:rPr>
            </w:pPr>
            <w:r>
              <w:rPr>
                <w:rFonts w:eastAsia="Times New Roman"/>
                <w:color w:val="000000"/>
                <w:sz w:val="18"/>
                <w:szCs w:val="18"/>
              </w:rPr>
              <w:t xml:space="preserve">Deferred tax assets </w:t>
            </w:r>
          </w:p>
        </w:tc>
        <w:tc>
          <w:tcPr>
            <w:tcW w:w="0" w:type="auto"/>
            <w:gridSpan w:val="2"/>
            <w:shd w:val="clear" w:color="auto" w:fill="FFFFFF"/>
            <w:tcMar>
              <w:top w:w="30" w:type="dxa"/>
              <w:left w:w="20" w:type="dxa"/>
              <w:bottom w:w="30" w:type="dxa"/>
              <w:right w:w="0" w:type="dxa"/>
            </w:tcMar>
            <w:vAlign w:val="bottom"/>
            <w:hideMark/>
          </w:tcPr>
          <w:p w14:paraId="41860F48" w14:textId="77777777" w:rsidR="00000000" w:rsidRDefault="00E614A4">
            <w:pPr>
              <w:jc w:val="right"/>
              <w:rPr>
                <w:rFonts w:eastAsia="Times New Roman"/>
              </w:rPr>
            </w:pPr>
            <w:r>
              <w:rPr>
                <w:rFonts w:eastAsia="Times New Roman"/>
                <w:color w:val="000000"/>
                <w:sz w:val="18"/>
                <w:szCs w:val="18"/>
              </w:rPr>
              <w:t>2,741 </w:t>
            </w:r>
          </w:p>
        </w:tc>
        <w:tc>
          <w:tcPr>
            <w:tcW w:w="0" w:type="auto"/>
            <w:shd w:val="clear" w:color="auto" w:fill="FFFFFF"/>
            <w:tcMar>
              <w:top w:w="30" w:type="dxa"/>
              <w:left w:w="0" w:type="dxa"/>
              <w:bottom w:w="30" w:type="dxa"/>
              <w:right w:w="20" w:type="dxa"/>
            </w:tcMar>
            <w:vAlign w:val="bottom"/>
            <w:hideMark/>
          </w:tcPr>
          <w:p w14:paraId="4F0517A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9E52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88971B" w14:textId="77777777" w:rsidR="00000000" w:rsidRDefault="00E614A4">
            <w:pPr>
              <w:jc w:val="right"/>
              <w:rPr>
                <w:rFonts w:eastAsia="Times New Roman"/>
              </w:rPr>
            </w:pPr>
            <w:r>
              <w:rPr>
                <w:rFonts w:eastAsia="Times New Roman"/>
                <w:color w:val="000000"/>
                <w:sz w:val="18"/>
                <w:szCs w:val="18"/>
              </w:rPr>
              <w:t>2,374 </w:t>
            </w:r>
          </w:p>
        </w:tc>
        <w:tc>
          <w:tcPr>
            <w:tcW w:w="0" w:type="auto"/>
            <w:shd w:val="clear" w:color="auto" w:fill="FFFFFF"/>
            <w:tcMar>
              <w:top w:w="30" w:type="dxa"/>
              <w:left w:w="0" w:type="dxa"/>
              <w:bottom w:w="30" w:type="dxa"/>
              <w:right w:w="20" w:type="dxa"/>
            </w:tcMar>
            <w:vAlign w:val="bottom"/>
            <w:hideMark/>
          </w:tcPr>
          <w:p w14:paraId="6119B867" w14:textId="77777777" w:rsidR="00000000" w:rsidRDefault="00E614A4">
            <w:pPr>
              <w:jc w:val="right"/>
              <w:rPr>
                <w:rFonts w:eastAsia="Times New Roman"/>
              </w:rPr>
            </w:pPr>
          </w:p>
        </w:tc>
      </w:tr>
      <w:tr w:rsidR="00000000" w14:paraId="0A63AA13" w14:textId="77777777">
        <w:trPr>
          <w:divId w:val="1329595639"/>
          <w:jc w:val="center"/>
        </w:trPr>
        <w:tc>
          <w:tcPr>
            <w:tcW w:w="0" w:type="auto"/>
            <w:gridSpan w:val="3"/>
            <w:shd w:val="clear" w:color="auto" w:fill="CCEEFF"/>
            <w:tcMar>
              <w:top w:w="30" w:type="dxa"/>
              <w:left w:w="20" w:type="dxa"/>
              <w:bottom w:w="30" w:type="dxa"/>
              <w:right w:w="20" w:type="dxa"/>
            </w:tcMar>
            <w:hideMark/>
          </w:tcPr>
          <w:p w14:paraId="2DDFDD3D" w14:textId="77777777" w:rsidR="00000000" w:rsidRDefault="00E614A4">
            <w:pPr>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14:paraId="0037388B" w14:textId="77777777" w:rsidR="00000000" w:rsidRDefault="00E614A4">
            <w:pPr>
              <w:jc w:val="right"/>
              <w:rPr>
                <w:rFonts w:eastAsia="Times New Roman"/>
              </w:rPr>
            </w:pPr>
            <w:r>
              <w:rPr>
                <w:rFonts w:eastAsia="Times New Roman"/>
                <w:color w:val="000000"/>
                <w:sz w:val="18"/>
                <w:szCs w:val="18"/>
              </w:rPr>
              <w:t>7,600 </w:t>
            </w:r>
          </w:p>
        </w:tc>
        <w:tc>
          <w:tcPr>
            <w:tcW w:w="0" w:type="auto"/>
            <w:shd w:val="clear" w:color="auto" w:fill="CCEEFF"/>
            <w:tcMar>
              <w:top w:w="30" w:type="dxa"/>
              <w:left w:w="0" w:type="dxa"/>
              <w:bottom w:w="30" w:type="dxa"/>
              <w:right w:w="20" w:type="dxa"/>
            </w:tcMar>
            <w:vAlign w:val="bottom"/>
            <w:hideMark/>
          </w:tcPr>
          <w:p w14:paraId="6180D5A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076F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3135DB" w14:textId="77777777" w:rsidR="00000000" w:rsidRDefault="00E614A4">
            <w:pPr>
              <w:jc w:val="right"/>
              <w:rPr>
                <w:rFonts w:eastAsia="Times New Roman"/>
              </w:rPr>
            </w:pPr>
            <w:r>
              <w:rPr>
                <w:rFonts w:eastAsia="Times New Roman"/>
                <w:color w:val="000000"/>
                <w:sz w:val="18"/>
                <w:szCs w:val="18"/>
              </w:rPr>
              <w:t>2,979 </w:t>
            </w:r>
          </w:p>
        </w:tc>
        <w:tc>
          <w:tcPr>
            <w:tcW w:w="0" w:type="auto"/>
            <w:shd w:val="clear" w:color="auto" w:fill="CCEEFF"/>
            <w:tcMar>
              <w:top w:w="30" w:type="dxa"/>
              <w:left w:w="0" w:type="dxa"/>
              <w:bottom w:w="30" w:type="dxa"/>
              <w:right w:w="20" w:type="dxa"/>
            </w:tcMar>
            <w:vAlign w:val="bottom"/>
            <w:hideMark/>
          </w:tcPr>
          <w:p w14:paraId="6DEBCEA6" w14:textId="77777777" w:rsidR="00000000" w:rsidRDefault="00E614A4">
            <w:pPr>
              <w:jc w:val="right"/>
              <w:rPr>
                <w:rFonts w:eastAsia="Times New Roman"/>
              </w:rPr>
            </w:pPr>
          </w:p>
        </w:tc>
      </w:tr>
      <w:tr w:rsidR="00000000" w14:paraId="7817F107" w14:textId="77777777">
        <w:trPr>
          <w:divId w:val="1329595639"/>
          <w:jc w:val="center"/>
        </w:trPr>
        <w:tc>
          <w:tcPr>
            <w:tcW w:w="0" w:type="auto"/>
            <w:gridSpan w:val="3"/>
            <w:shd w:val="clear" w:color="auto" w:fill="FFFFFF"/>
            <w:tcMar>
              <w:top w:w="30" w:type="dxa"/>
              <w:left w:w="155" w:type="dxa"/>
              <w:bottom w:w="30" w:type="dxa"/>
              <w:right w:w="20" w:type="dxa"/>
            </w:tcMar>
            <w:hideMark/>
          </w:tcPr>
          <w:p w14:paraId="2C804071" w14:textId="77777777" w:rsidR="00000000" w:rsidRDefault="00E614A4">
            <w:pPr>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3508F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A5C45F" w14:textId="77777777" w:rsidR="00000000" w:rsidRDefault="00E614A4">
            <w:pPr>
              <w:jc w:val="right"/>
              <w:rPr>
                <w:rFonts w:eastAsia="Times New Roman"/>
              </w:rPr>
            </w:pPr>
            <w:r>
              <w:rPr>
                <w:rFonts w:eastAsia="Times New Roman"/>
                <w:color w:val="000000"/>
                <w:sz w:val="18"/>
                <w:szCs w:val="18"/>
              </w:rPr>
              <w:t>677,970 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6B45C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0D841"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55243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5AE2FD" w14:textId="77777777" w:rsidR="00000000" w:rsidRDefault="00E614A4">
            <w:pPr>
              <w:jc w:val="right"/>
              <w:rPr>
                <w:rFonts w:eastAsia="Times New Roman"/>
              </w:rPr>
            </w:pPr>
            <w:r>
              <w:rPr>
                <w:rFonts w:eastAsia="Times New Roman"/>
                <w:color w:val="000000"/>
                <w:sz w:val="18"/>
                <w:szCs w:val="18"/>
              </w:rPr>
              <w:t>723,695 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C2E6AA" w14:textId="77777777" w:rsidR="00000000" w:rsidRDefault="00E614A4">
            <w:pPr>
              <w:jc w:val="right"/>
              <w:rPr>
                <w:rFonts w:eastAsia="Times New Roman"/>
              </w:rPr>
            </w:pPr>
          </w:p>
        </w:tc>
      </w:tr>
      <w:tr w:rsidR="00000000" w14:paraId="066C0261" w14:textId="77777777">
        <w:trPr>
          <w:divId w:val="1329595639"/>
          <w:jc w:val="center"/>
        </w:trPr>
        <w:tc>
          <w:tcPr>
            <w:tcW w:w="0" w:type="auto"/>
            <w:gridSpan w:val="3"/>
            <w:shd w:val="clear" w:color="auto" w:fill="CCEEFF"/>
            <w:tcMar>
              <w:top w:w="30" w:type="dxa"/>
              <w:left w:w="20" w:type="dxa"/>
              <w:bottom w:w="30" w:type="dxa"/>
              <w:right w:w="20" w:type="dxa"/>
            </w:tcMar>
            <w:hideMark/>
          </w:tcPr>
          <w:p w14:paraId="4986A19D" w14:textId="77777777" w:rsidR="00000000" w:rsidRDefault="00E614A4">
            <w:pPr>
              <w:rPr>
                <w:rFonts w:eastAsia="Times New Roman"/>
              </w:rPr>
            </w:pPr>
            <w:r>
              <w:rPr>
                <w:rFonts w:eastAsia="Times New Roman"/>
                <w:color w:val="000000"/>
                <w:sz w:val="18"/>
                <w:szCs w:val="18"/>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CF2D87B"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67B55C"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4A5599E" w14:textId="77777777" w:rsidR="00000000" w:rsidRDefault="00E614A4">
            <w:pPr>
              <w:rPr>
                <w:rFonts w:eastAsia="Times New Roman"/>
                <w:sz w:val="20"/>
                <w:szCs w:val="20"/>
              </w:rPr>
            </w:pPr>
          </w:p>
        </w:tc>
      </w:tr>
      <w:tr w:rsidR="00000000" w14:paraId="034980A4" w14:textId="77777777">
        <w:trPr>
          <w:divId w:val="1329595639"/>
          <w:jc w:val="center"/>
        </w:trPr>
        <w:tc>
          <w:tcPr>
            <w:tcW w:w="0" w:type="auto"/>
            <w:gridSpan w:val="3"/>
            <w:shd w:val="clear" w:color="auto" w:fill="FFFFFF"/>
            <w:tcMar>
              <w:top w:w="30" w:type="dxa"/>
              <w:left w:w="20" w:type="dxa"/>
              <w:bottom w:w="30" w:type="dxa"/>
              <w:right w:w="20" w:type="dxa"/>
            </w:tcMar>
            <w:hideMark/>
          </w:tcPr>
          <w:p w14:paraId="78A40001" w14:textId="77777777" w:rsidR="00000000" w:rsidRDefault="00E614A4">
            <w:pPr>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46A10C1E"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AA827"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F19E0F" w14:textId="77777777" w:rsidR="00000000" w:rsidRDefault="00E614A4">
            <w:pPr>
              <w:rPr>
                <w:rFonts w:eastAsia="Times New Roman"/>
                <w:sz w:val="20"/>
                <w:szCs w:val="20"/>
              </w:rPr>
            </w:pPr>
          </w:p>
        </w:tc>
      </w:tr>
      <w:tr w:rsidR="00000000" w14:paraId="759D1BA7" w14:textId="77777777">
        <w:trPr>
          <w:divId w:val="1329595639"/>
          <w:jc w:val="center"/>
        </w:trPr>
        <w:tc>
          <w:tcPr>
            <w:tcW w:w="0" w:type="auto"/>
            <w:gridSpan w:val="3"/>
            <w:shd w:val="clear" w:color="auto" w:fill="CCEEFF"/>
            <w:tcMar>
              <w:top w:w="30" w:type="dxa"/>
              <w:left w:w="20" w:type="dxa"/>
              <w:bottom w:w="30" w:type="dxa"/>
              <w:right w:w="20" w:type="dxa"/>
            </w:tcMar>
            <w:hideMark/>
          </w:tcPr>
          <w:p w14:paraId="35D8C93A" w14:textId="77777777" w:rsidR="00000000" w:rsidRDefault="00E614A4">
            <w:pPr>
              <w:divId w:val="138770001"/>
              <w:rPr>
                <w:rFonts w:eastAsia="Times New Roman"/>
              </w:rPr>
            </w:pPr>
            <w:r>
              <w:rPr>
                <w:rFonts w:eastAsia="Times New Roman"/>
                <w:color w:val="000000"/>
                <w:sz w:val="18"/>
                <w:szCs w:val="18"/>
              </w:rPr>
              <w:t>Accounts payable ($2,817 and $2,510 attributable to related parties, respectively)</w:t>
            </w:r>
          </w:p>
        </w:tc>
        <w:tc>
          <w:tcPr>
            <w:tcW w:w="0" w:type="auto"/>
            <w:shd w:val="clear" w:color="auto" w:fill="CCEEFF"/>
            <w:tcMar>
              <w:top w:w="30" w:type="dxa"/>
              <w:left w:w="20" w:type="dxa"/>
              <w:bottom w:w="30" w:type="dxa"/>
              <w:right w:w="0" w:type="dxa"/>
            </w:tcMar>
            <w:vAlign w:val="bottom"/>
            <w:hideMark/>
          </w:tcPr>
          <w:p w14:paraId="58AC9202"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F6A42B2" w14:textId="77777777" w:rsidR="00000000" w:rsidRDefault="00E614A4">
            <w:pPr>
              <w:jc w:val="right"/>
              <w:rPr>
                <w:rFonts w:eastAsia="Times New Roman"/>
              </w:rPr>
            </w:pPr>
            <w:r>
              <w:rPr>
                <w:rFonts w:eastAsia="Times New Roman"/>
                <w:color w:val="000000"/>
                <w:sz w:val="18"/>
                <w:szCs w:val="18"/>
              </w:rPr>
              <w:t>36,640 </w:t>
            </w:r>
          </w:p>
        </w:tc>
        <w:tc>
          <w:tcPr>
            <w:tcW w:w="0" w:type="auto"/>
            <w:shd w:val="clear" w:color="auto" w:fill="CCEEFF"/>
            <w:tcMar>
              <w:top w:w="30" w:type="dxa"/>
              <w:left w:w="0" w:type="dxa"/>
              <w:bottom w:w="30" w:type="dxa"/>
              <w:right w:w="20" w:type="dxa"/>
            </w:tcMar>
            <w:vAlign w:val="bottom"/>
            <w:hideMark/>
          </w:tcPr>
          <w:p w14:paraId="5A8D9D0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ED544"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D84780"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63BE361" w14:textId="77777777" w:rsidR="00000000" w:rsidRDefault="00E614A4">
            <w:pPr>
              <w:jc w:val="right"/>
              <w:rPr>
                <w:rFonts w:eastAsia="Times New Roman"/>
              </w:rPr>
            </w:pPr>
            <w:r>
              <w:rPr>
                <w:rFonts w:eastAsia="Times New Roman"/>
                <w:color w:val="000000"/>
                <w:sz w:val="18"/>
                <w:szCs w:val="18"/>
              </w:rPr>
              <w:t>44,804 </w:t>
            </w:r>
          </w:p>
        </w:tc>
        <w:tc>
          <w:tcPr>
            <w:tcW w:w="0" w:type="auto"/>
            <w:shd w:val="clear" w:color="auto" w:fill="CCEEFF"/>
            <w:tcMar>
              <w:top w:w="30" w:type="dxa"/>
              <w:left w:w="0" w:type="dxa"/>
              <w:bottom w:w="30" w:type="dxa"/>
              <w:right w:w="20" w:type="dxa"/>
            </w:tcMar>
            <w:vAlign w:val="bottom"/>
            <w:hideMark/>
          </w:tcPr>
          <w:p w14:paraId="428EA6AD" w14:textId="77777777" w:rsidR="00000000" w:rsidRDefault="00E614A4">
            <w:pPr>
              <w:jc w:val="right"/>
              <w:rPr>
                <w:rFonts w:eastAsia="Times New Roman"/>
              </w:rPr>
            </w:pPr>
          </w:p>
        </w:tc>
      </w:tr>
      <w:tr w:rsidR="00000000" w14:paraId="0E4D449A" w14:textId="77777777">
        <w:trPr>
          <w:divId w:val="1329595639"/>
          <w:jc w:val="center"/>
        </w:trPr>
        <w:tc>
          <w:tcPr>
            <w:tcW w:w="0" w:type="auto"/>
            <w:gridSpan w:val="3"/>
            <w:shd w:val="clear" w:color="auto" w:fill="FFFFFF"/>
            <w:tcMar>
              <w:top w:w="30" w:type="dxa"/>
              <w:left w:w="20" w:type="dxa"/>
              <w:bottom w:w="30" w:type="dxa"/>
              <w:right w:w="20" w:type="dxa"/>
            </w:tcMar>
            <w:hideMark/>
          </w:tcPr>
          <w:p w14:paraId="273AC995" w14:textId="77777777" w:rsidR="00000000" w:rsidRDefault="00E614A4">
            <w:pPr>
              <w:divId w:val="569776171"/>
              <w:rPr>
                <w:rFonts w:eastAsia="Times New Roman"/>
              </w:rPr>
            </w:pPr>
            <w:r>
              <w:rPr>
                <w:rFonts w:eastAsia="Times New Roman"/>
                <w:color w:val="000000"/>
                <w:sz w:val="18"/>
                <w:szCs w:val="18"/>
              </w:rPr>
              <w:t>Accrued expenses ($835 and $6,902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155432F9" w14:textId="77777777" w:rsidR="00000000" w:rsidRDefault="00E614A4">
            <w:pPr>
              <w:jc w:val="right"/>
              <w:rPr>
                <w:rFonts w:eastAsia="Times New Roman"/>
              </w:rPr>
            </w:pPr>
            <w:r>
              <w:rPr>
                <w:rFonts w:eastAsia="Times New Roman"/>
                <w:color w:val="000000"/>
                <w:sz w:val="18"/>
                <w:szCs w:val="18"/>
              </w:rPr>
              <w:t>48,380 </w:t>
            </w:r>
          </w:p>
        </w:tc>
        <w:tc>
          <w:tcPr>
            <w:tcW w:w="0" w:type="auto"/>
            <w:shd w:val="clear" w:color="auto" w:fill="FFFFFF"/>
            <w:tcMar>
              <w:top w:w="30" w:type="dxa"/>
              <w:left w:w="0" w:type="dxa"/>
              <w:bottom w:w="30" w:type="dxa"/>
              <w:right w:w="20" w:type="dxa"/>
            </w:tcMar>
            <w:vAlign w:val="bottom"/>
            <w:hideMark/>
          </w:tcPr>
          <w:p w14:paraId="5A3425C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9A9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BFA72" w14:textId="77777777" w:rsidR="00000000" w:rsidRDefault="00E614A4">
            <w:pPr>
              <w:jc w:val="right"/>
              <w:rPr>
                <w:rFonts w:eastAsia="Times New Roman"/>
              </w:rPr>
            </w:pPr>
            <w:r>
              <w:rPr>
                <w:rFonts w:eastAsia="Times New Roman"/>
                <w:color w:val="000000"/>
                <w:sz w:val="18"/>
                <w:szCs w:val="18"/>
              </w:rPr>
              <w:t>55,507 </w:t>
            </w:r>
          </w:p>
        </w:tc>
        <w:tc>
          <w:tcPr>
            <w:tcW w:w="0" w:type="auto"/>
            <w:shd w:val="clear" w:color="auto" w:fill="FFFFFF"/>
            <w:tcMar>
              <w:top w:w="30" w:type="dxa"/>
              <w:left w:w="0" w:type="dxa"/>
              <w:bottom w:w="30" w:type="dxa"/>
              <w:right w:w="20" w:type="dxa"/>
            </w:tcMar>
            <w:vAlign w:val="bottom"/>
            <w:hideMark/>
          </w:tcPr>
          <w:p w14:paraId="0593B32C" w14:textId="77777777" w:rsidR="00000000" w:rsidRDefault="00E614A4">
            <w:pPr>
              <w:jc w:val="right"/>
              <w:rPr>
                <w:rFonts w:eastAsia="Times New Roman"/>
              </w:rPr>
            </w:pPr>
          </w:p>
        </w:tc>
      </w:tr>
      <w:tr w:rsidR="00000000" w14:paraId="45666450" w14:textId="77777777">
        <w:trPr>
          <w:divId w:val="1329595639"/>
          <w:jc w:val="center"/>
        </w:trPr>
        <w:tc>
          <w:tcPr>
            <w:tcW w:w="0" w:type="auto"/>
            <w:gridSpan w:val="3"/>
            <w:shd w:val="clear" w:color="auto" w:fill="CCEEFF"/>
            <w:tcMar>
              <w:top w:w="30" w:type="dxa"/>
              <w:left w:w="20" w:type="dxa"/>
              <w:bottom w:w="30" w:type="dxa"/>
              <w:right w:w="20" w:type="dxa"/>
            </w:tcMar>
            <w:hideMark/>
          </w:tcPr>
          <w:p w14:paraId="454D8277" w14:textId="77777777" w:rsidR="00000000" w:rsidRDefault="00E614A4">
            <w:pPr>
              <w:divId w:val="1073283855"/>
              <w:rPr>
                <w:rFonts w:eastAsia="Times New Roman"/>
              </w:rPr>
            </w:pPr>
            <w:r>
              <w:rPr>
                <w:rFonts w:eastAsia="Times New Roman"/>
                <w:color w:val="000000"/>
                <w:sz w:val="18"/>
                <w:szCs w:val="18"/>
              </w:rPr>
              <w:t>Contract liabilities ($3,538 and $1,519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4992E3C0" w14:textId="77777777" w:rsidR="00000000" w:rsidRDefault="00E614A4">
            <w:pPr>
              <w:jc w:val="right"/>
              <w:rPr>
                <w:rFonts w:eastAsia="Times New Roman"/>
              </w:rPr>
            </w:pPr>
            <w:r>
              <w:rPr>
                <w:rFonts w:eastAsia="Times New Roman"/>
                <w:color w:val="000000"/>
                <w:sz w:val="18"/>
                <w:szCs w:val="18"/>
              </w:rPr>
              <w:t>58,529 </w:t>
            </w:r>
          </w:p>
        </w:tc>
        <w:tc>
          <w:tcPr>
            <w:tcW w:w="0" w:type="auto"/>
            <w:shd w:val="clear" w:color="auto" w:fill="CCEEFF"/>
            <w:tcMar>
              <w:top w:w="30" w:type="dxa"/>
              <w:left w:w="0" w:type="dxa"/>
              <w:bottom w:w="30" w:type="dxa"/>
              <w:right w:w="20" w:type="dxa"/>
            </w:tcMar>
            <w:vAlign w:val="bottom"/>
            <w:hideMark/>
          </w:tcPr>
          <w:p w14:paraId="2338126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677C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CD9A8F" w14:textId="77777777" w:rsidR="00000000" w:rsidRDefault="00E614A4">
            <w:pPr>
              <w:jc w:val="right"/>
              <w:rPr>
                <w:rFonts w:eastAsia="Times New Roman"/>
              </w:rPr>
            </w:pPr>
            <w:r>
              <w:rPr>
                <w:rFonts w:eastAsia="Times New Roman"/>
                <w:color w:val="000000"/>
                <w:sz w:val="18"/>
                <w:szCs w:val="18"/>
              </w:rPr>
              <w:t>58,158 </w:t>
            </w:r>
          </w:p>
        </w:tc>
        <w:tc>
          <w:tcPr>
            <w:tcW w:w="0" w:type="auto"/>
            <w:shd w:val="clear" w:color="auto" w:fill="CCEEFF"/>
            <w:tcMar>
              <w:top w:w="30" w:type="dxa"/>
              <w:left w:w="0" w:type="dxa"/>
              <w:bottom w:w="30" w:type="dxa"/>
              <w:right w:w="20" w:type="dxa"/>
            </w:tcMar>
            <w:vAlign w:val="bottom"/>
            <w:hideMark/>
          </w:tcPr>
          <w:p w14:paraId="51AF1932" w14:textId="77777777" w:rsidR="00000000" w:rsidRDefault="00E614A4">
            <w:pPr>
              <w:jc w:val="right"/>
              <w:rPr>
                <w:rFonts w:eastAsia="Times New Roman"/>
              </w:rPr>
            </w:pPr>
          </w:p>
        </w:tc>
      </w:tr>
      <w:tr w:rsidR="00000000" w14:paraId="4D601268" w14:textId="77777777">
        <w:trPr>
          <w:divId w:val="1329595639"/>
          <w:jc w:val="center"/>
        </w:trPr>
        <w:tc>
          <w:tcPr>
            <w:tcW w:w="0" w:type="auto"/>
            <w:gridSpan w:val="3"/>
            <w:shd w:val="clear" w:color="auto" w:fill="FFFFFF"/>
            <w:tcMar>
              <w:top w:w="30" w:type="dxa"/>
              <w:left w:w="260" w:type="dxa"/>
              <w:bottom w:w="30" w:type="dxa"/>
              <w:right w:w="20" w:type="dxa"/>
            </w:tcMar>
            <w:hideMark/>
          </w:tcPr>
          <w:p w14:paraId="0423200A" w14:textId="77777777" w:rsidR="00000000" w:rsidRDefault="00E614A4">
            <w:pPr>
              <w:rPr>
                <w:rFonts w:eastAsia="Times New Roman"/>
              </w:rPr>
            </w:pPr>
            <w:r>
              <w:rPr>
                <w:rFonts w:eastAsia="Times New Roman"/>
                <w:color w:val="000000"/>
                <w:sz w:val="18"/>
                <w:szCs w:val="18"/>
              </w:rPr>
              <w:t xml:space="preserve">Customer advances </w:t>
            </w:r>
          </w:p>
        </w:tc>
        <w:tc>
          <w:tcPr>
            <w:tcW w:w="0" w:type="auto"/>
            <w:gridSpan w:val="2"/>
            <w:shd w:val="clear" w:color="auto" w:fill="FFFFFF"/>
            <w:tcMar>
              <w:top w:w="30" w:type="dxa"/>
              <w:left w:w="20" w:type="dxa"/>
              <w:bottom w:w="30" w:type="dxa"/>
              <w:right w:w="0" w:type="dxa"/>
            </w:tcMar>
            <w:vAlign w:val="bottom"/>
            <w:hideMark/>
          </w:tcPr>
          <w:p w14:paraId="5290E457" w14:textId="77777777" w:rsidR="00000000" w:rsidRDefault="00E614A4">
            <w:pPr>
              <w:jc w:val="right"/>
              <w:rPr>
                <w:rFonts w:eastAsia="Times New Roman"/>
              </w:rPr>
            </w:pPr>
            <w:r>
              <w:rPr>
                <w:rFonts w:eastAsia="Times New Roman"/>
                <w:color w:val="000000"/>
                <w:sz w:val="18"/>
                <w:szCs w:val="18"/>
              </w:rPr>
              <w:t>12,477 </w:t>
            </w:r>
          </w:p>
        </w:tc>
        <w:tc>
          <w:tcPr>
            <w:tcW w:w="0" w:type="auto"/>
            <w:shd w:val="clear" w:color="auto" w:fill="FFFFFF"/>
            <w:tcMar>
              <w:top w:w="30" w:type="dxa"/>
              <w:left w:w="0" w:type="dxa"/>
              <w:bottom w:w="30" w:type="dxa"/>
              <w:right w:w="20" w:type="dxa"/>
            </w:tcMar>
            <w:vAlign w:val="bottom"/>
            <w:hideMark/>
          </w:tcPr>
          <w:p w14:paraId="1B94CD1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8D1CB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9349C8" w14:textId="77777777" w:rsidR="00000000" w:rsidRDefault="00E614A4">
            <w:pPr>
              <w:jc w:val="right"/>
              <w:rPr>
                <w:rFonts w:eastAsia="Times New Roman"/>
              </w:rPr>
            </w:pPr>
            <w:r>
              <w:rPr>
                <w:rFonts w:eastAsia="Times New Roman"/>
                <w:color w:val="000000"/>
                <w:sz w:val="18"/>
                <w:szCs w:val="18"/>
              </w:rPr>
              <w:t>9,886 </w:t>
            </w:r>
          </w:p>
        </w:tc>
        <w:tc>
          <w:tcPr>
            <w:tcW w:w="0" w:type="auto"/>
            <w:shd w:val="clear" w:color="auto" w:fill="FFFFFF"/>
            <w:tcMar>
              <w:top w:w="30" w:type="dxa"/>
              <w:left w:w="0" w:type="dxa"/>
              <w:bottom w:w="30" w:type="dxa"/>
              <w:right w:w="20" w:type="dxa"/>
            </w:tcMar>
            <w:vAlign w:val="bottom"/>
            <w:hideMark/>
          </w:tcPr>
          <w:p w14:paraId="53826B6D" w14:textId="77777777" w:rsidR="00000000" w:rsidRDefault="00E614A4">
            <w:pPr>
              <w:jc w:val="right"/>
              <w:rPr>
                <w:rFonts w:eastAsia="Times New Roman"/>
              </w:rPr>
            </w:pPr>
          </w:p>
        </w:tc>
      </w:tr>
      <w:tr w:rsidR="00000000" w14:paraId="16C66842" w14:textId="77777777">
        <w:trPr>
          <w:divId w:val="1329595639"/>
          <w:jc w:val="center"/>
        </w:trPr>
        <w:tc>
          <w:tcPr>
            <w:tcW w:w="0" w:type="auto"/>
            <w:gridSpan w:val="3"/>
            <w:shd w:val="clear" w:color="auto" w:fill="CCEEFF"/>
            <w:tcMar>
              <w:top w:w="30" w:type="dxa"/>
              <w:left w:w="260" w:type="dxa"/>
              <w:bottom w:w="30" w:type="dxa"/>
              <w:right w:w="20" w:type="dxa"/>
            </w:tcMar>
            <w:hideMark/>
          </w:tcPr>
          <w:p w14:paraId="79AF0980" w14:textId="77777777" w:rsidR="00000000" w:rsidRDefault="00E614A4">
            <w:pPr>
              <w:rPr>
                <w:rFonts w:eastAsia="Times New Roman"/>
              </w:rPr>
            </w:pPr>
            <w:r>
              <w:rPr>
                <w:rFonts w:eastAsia="Times New Roman"/>
                <w:color w:val="000000"/>
                <w:sz w:val="18"/>
                <w:szCs w:val="18"/>
              </w:rPr>
              <w:t>Current portion of secured term note</w:t>
            </w:r>
          </w:p>
        </w:tc>
        <w:tc>
          <w:tcPr>
            <w:tcW w:w="0" w:type="auto"/>
            <w:gridSpan w:val="2"/>
            <w:shd w:val="clear" w:color="auto" w:fill="CCEEFF"/>
            <w:tcMar>
              <w:top w:w="30" w:type="dxa"/>
              <w:left w:w="20" w:type="dxa"/>
              <w:bottom w:w="30" w:type="dxa"/>
              <w:right w:w="0" w:type="dxa"/>
            </w:tcMar>
            <w:vAlign w:val="bottom"/>
            <w:hideMark/>
          </w:tcPr>
          <w:p w14:paraId="4B0C7F04" w14:textId="77777777" w:rsidR="00000000" w:rsidRDefault="00E614A4">
            <w:pPr>
              <w:jc w:val="right"/>
              <w:rPr>
                <w:rFonts w:eastAsia="Times New Roman"/>
              </w:rPr>
            </w:pPr>
            <w:r>
              <w:rPr>
                <w:rFonts w:eastAsia="Times New Roman"/>
                <w:color w:val="000000"/>
                <w:sz w:val="18"/>
                <w:szCs w:val="18"/>
              </w:rPr>
              <w:t>12,644 </w:t>
            </w:r>
          </w:p>
        </w:tc>
        <w:tc>
          <w:tcPr>
            <w:tcW w:w="0" w:type="auto"/>
            <w:shd w:val="clear" w:color="auto" w:fill="CCEEFF"/>
            <w:tcMar>
              <w:top w:w="30" w:type="dxa"/>
              <w:left w:w="0" w:type="dxa"/>
              <w:bottom w:w="30" w:type="dxa"/>
              <w:right w:w="20" w:type="dxa"/>
            </w:tcMar>
            <w:vAlign w:val="bottom"/>
            <w:hideMark/>
          </w:tcPr>
          <w:p w14:paraId="39719EA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17E6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BC408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03D9C7" w14:textId="77777777" w:rsidR="00000000" w:rsidRDefault="00E614A4">
            <w:pPr>
              <w:jc w:val="right"/>
              <w:rPr>
                <w:rFonts w:eastAsia="Times New Roman"/>
              </w:rPr>
            </w:pPr>
          </w:p>
        </w:tc>
      </w:tr>
      <w:tr w:rsidR="00000000" w14:paraId="24BE00BA" w14:textId="77777777">
        <w:trPr>
          <w:divId w:val="1329595639"/>
          <w:jc w:val="center"/>
        </w:trPr>
        <w:tc>
          <w:tcPr>
            <w:tcW w:w="0" w:type="auto"/>
            <w:gridSpan w:val="3"/>
            <w:shd w:val="clear" w:color="auto" w:fill="FFFFFF"/>
            <w:tcMar>
              <w:top w:w="30" w:type="dxa"/>
              <w:left w:w="260" w:type="dxa"/>
              <w:bottom w:w="30" w:type="dxa"/>
              <w:right w:w="20" w:type="dxa"/>
            </w:tcMar>
            <w:hideMark/>
          </w:tcPr>
          <w:p w14:paraId="549A71F5" w14:textId="77777777" w:rsidR="00000000" w:rsidRDefault="00E614A4">
            <w:pPr>
              <w:rPr>
                <w:rFonts w:eastAsia="Times New Roman"/>
              </w:rPr>
            </w:pPr>
            <w:r>
              <w:rPr>
                <w:rFonts w:eastAsia="Times New Roman"/>
                <w:color w:val="000000"/>
                <w:sz w:val="18"/>
                <w:szCs w:val="18"/>
              </w:rPr>
              <w:t>Current operating lease liabilities</w:t>
            </w:r>
          </w:p>
        </w:tc>
        <w:tc>
          <w:tcPr>
            <w:tcW w:w="0" w:type="auto"/>
            <w:gridSpan w:val="2"/>
            <w:shd w:val="clear" w:color="auto" w:fill="FFFFFF"/>
            <w:tcMar>
              <w:top w:w="30" w:type="dxa"/>
              <w:left w:w="20" w:type="dxa"/>
              <w:bottom w:w="30" w:type="dxa"/>
              <w:right w:w="0" w:type="dxa"/>
            </w:tcMar>
            <w:vAlign w:val="bottom"/>
            <w:hideMark/>
          </w:tcPr>
          <w:p w14:paraId="4412B6DE" w14:textId="77777777" w:rsidR="00000000" w:rsidRDefault="00E614A4">
            <w:pPr>
              <w:jc w:val="right"/>
              <w:rPr>
                <w:rFonts w:eastAsia="Times New Roman"/>
              </w:rPr>
            </w:pPr>
            <w:r>
              <w:rPr>
                <w:rFonts w:eastAsia="Times New Roman"/>
                <w:color w:val="000000"/>
                <w:sz w:val="18"/>
                <w:szCs w:val="18"/>
              </w:rPr>
              <w:t>7,024 </w:t>
            </w:r>
          </w:p>
        </w:tc>
        <w:tc>
          <w:tcPr>
            <w:tcW w:w="0" w:type="auto"/>
            <w:shd w:val="clear" w:color="auto" w:fill="FFFFFF"/>
            <w:tcMar>
              <w:top w:w="30" w:type="dxa"/>
              <w:left w:w="0" w:type="dxa"/>
              <w:bottom w:w="30" w:type="dxa"/>
              <w:right w:w="20" w:type="dxa"/>
            </w:tcMar>
            <w:vAlign w:val="bottom"/>
            <w:hideMark/>
          </w:tcPr>
          <w:p w14:paraId="1CFE4DF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11AF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73B48B" w14:textId="77777777" w:rsidR="00000000" w:rsidRDefault="00E614A4">
            <w:pPr>
              <w:jc w:val="right"/>
              <w:rPr>
                <w:rFonts w:eastAsia="Times New Roman"/>
              </w:rPr>
            </w:pPr>
            <w:r>
              <w:rPr>
                <w:rFonts w:eastAsia="Times New Roman"/>
                <w:color w:val="000000"/>
                <w:sz w:val="18"/>
                <w:szCs w:val="18"/>
              </w:rPr>
              <w:t>6,764 </w:t>
            </w:r>
          </w:p>
        </w:tc>
        <w:tc>
          <w:tcPr>
            <w:tcW w:w="0" w:type="auto"/>
            <w:shd w:val="clear" w:color="auto" w:fill="FFFFFF"/>
            <w:tcMar>
              <w:top w:w="30" w:type="dxa"/>
              <w:left w:w="0" w:type="dxa"/>
              <w:bottom w:w="30" w:type="dxa"/>
              <w:right w:w="20" w:type="dxa"/>
            </w:tcMar>
            <w:vAlign w:val="bottom"/>
            <w:hideMark/>
          </w:tcPr>
          <w:p w14:paraId="3DE21149" w14:textId="77777777" w:rsidR="00000000" w:rsidRDefault="00E614A4">
            <w:pPr>
              <w:jc w:val="right"/>
              <w:rPr>
                <w:rFonts w:eastAsia="Times New Roman"/>
              </w:rPr>
            </w:pPr>
          </w:p>
        </w:tc>
      </w:tr>
      <w:tr w:rsidR="00000000" w14:paraId="0D824B58" w14:textId="77777777">
        <w:trPr>
          <w:divId w:val="1329595639"/>
          <w:jc w:val="center"/>
        </w:trPr>
        <w:tc>
          <w:tcPr>
            <w:tcW w:w="0" w:type="auto"/>
            <w:gridSpan w:val="3"/>
            <w:shd w:val="clear" w:color="auto" w:fill="CCEEFF"/>
            <w:tcMar>
              <w:top w:w="30" w:type="dxa"/>
              <w:left w:w="260" w:type="dxa"/>
              <w:bottom w:w="30" w:type="dxa"/>
              <w:right w:w="20" w:type="dxa"/>
            </w:tcMar>
            <w:hideMark/>
          </w:tcPr>
          <w:p w14:paraId="282EA5EE" w14:textId="77777777" w:rsidR="00000000" w:rsidRDefault="00E614A4">
            <w:pPr>
              <w:rPr>
                <w:rFonts w:eastAsia="Times New Roman"/>
              </w:rPr>
            </w:pPr>
            <w:r>
              <w:rPr>
                <w:rFonts w:eastAsia="Times New Roman"/>
                <w:color w:val="000000"/>
                <w:sz w:val="18"/>
                <w:szCs w:val="18"/>
              </w:rPr>
              <w:t>Warrants liability</w:t>
            </w:r>
          </w:p>
        </w:tc>
        <w:tc>
          <w:tcPr>
            <w:tcW w:w="0" w:type="auto"/>
            <w:gridSpan w:val="2"/>
            <w:shd w:val="clear" w:color="auto" w:fill="CCEEFF"/>
            <w:tcMar>
              <w:top w:w="30" w:type="dxa"/>
              <w:left w:w="20" w:type="dxa"/>
              <w:bottom w:w="30" w:type="dxa"/>
              <w:right w:w="0" w:type="dxa"/>
            </w:tcMar>
            <w:vAlign w:val="bottom"/>
            <w:hideMark/>
          </w:tcPr>
          <w:p w14:paraId="20A06471" w14:textId="77777777" w:rsidR="00000000" w:rsidRDefault="00E614A4">
            <w:pPr>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14:paraId="443A19B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A6DF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58307B" w14:textId="77777777" w:rsidR="00000000" w:rsidRDefault="00E614A4">
            <w:pPr>
              <w:jc w:val="right"/>
              <w:rPr>
                <w:rFonts w:eastAsia="Times New Roman"/>
              </w:rPr>
            </w:pPr>
            <w:r>
              <w:rPr>
                <w:rFonts w:eastAsia="Times New Roman"/>
                <w:color w:val="000000"/>
                <w:sz w:val="18"/>
                <w:szCs w:val="18"/>
              </w:rPr>
              <w:t>7,725 </w:t>
            </w:r>
          </w:p>
        </w:tc>
        <w:tc>
          <w:tcPr>
            <w:tcW w:w="0" w:type="auto"/>
            <w:shd w:val="clear" w:color="auto" w:fill="CCEEFF"/>
            <w:tcMar>
              <w:top w:w="30" w:type="dxa"/>
              <w:left w:w="0" w:type="dxa"/>
              <w:bottom w:w="30" w:type="dxa"/>
              <w:right w:w="20" w:type="dxa"/>
            </w:tcMar>
            <w:vAlign w:val="bottom"/>
            <w:hideMark/>
          </w:tcPr>
          <w:p w14:paraId="0748C38A" w14:textId="77777777" w:rsidR="00000000" w:rsidRDefault="00E614A4">
            <w:pPr>
              <w:jc w:val="right"/>
              <w:rPr>
                <w:rFonts w:eastAsia="Times New Roman"/>
              </w:rPr>
            </w:pPr>
          </w:p>
        </w:tc>
      </w:tr>
      <w:tr w:rsidR="00000000" w14:paraId="3C65D4FB" w14:textId="77777777">
        <w:trPr>
          <w:divId w:val="1329595639"/>
          <w:jc w:val="center"/>
        </w:trPr>
        <w:tc>
          <w:tcPr>
            <w:tcW w:w="0" w:type="auto"/>
            <w:gridSpan w:val="3"/>
            <w:shd w:val="clear" w:color="auto" w:fill="FFFFFF"/>
            <w:tcMar>
              <w:top w:w="30" w:type="dxa"/>
              <w:left w:w="260" w:type="dxa"/>
              <w:bottom w:w="30" w:type="dxa"/>
              <w:right w:w="20" w:type="dxa"/>
            </w:tcMar>
            <w:hideMark/>
          </w:tcPr>
          <w:p w14:paraId="5A912A03" w14:textId="77777777" w:rsidR="00000000" w:rsidRDefault="00E614A4">
            <w:pPr>
              <w:rPr>
                <w:rFonts w:eastAsia="Times New Roman"/>
              </w:rPr>
            </w:pPr>
            <w:r>
              <w:rPr>
                <w:rFonts w:eastAsia="Times New Roman"/>
                <w:color w:val="000000"/>
                <w:sz w:val="18"/>
                <w:szCs w:val="18"/>
              </w:rPr>
              <w:t>Other current liabilities</w:t>
            </w:r>
          </w:p>
        </w:tc>
        <w:tc>
          <w:tcPr>
            <w:tcW w:w="0" w:type="auto"/>
            <w:gridSpan w:val="2"/>
            <w:shd w:val="clear" w:color="auto" w:fill="FFFFFF"/>
            <w:tcMar>
              <w:top w:w="30" w:type="dxa"/>
              <w:left w:w="20" w:type="dxa"/>
              <w:bottom w:w="30" w:type="dxa"/>
              <w:right w:w="0" w:type="dxa"/>
            </w:tcMar>
            <w:vAlign w:val="bottom"/>
            <w:hideMark/>
          </w:tcPr>
          <w:p w14:paraId="0E059407" w14:textId="77777777" w:rsidR="00000000" w:rsidRDefault="00E614A4">
            <w:pPr>
              <w:jc w:val="right"/>
              <w:rPr>
                <w:rFonts w:eastAsia="Times New Roman"/>
              </w:rPr>
            </w:pPr>
            <w:r>
              <w:rPr>
                <w:rFonts w:eastAsia="Times New Roman"/>
                <w:color w:val="000000"/>
                <w:sz w:val="18"/>
                <w:szCs w:val="18"/>
              </w:rPr>
              <w:t>5,750 </w:t>
            </w:r>
          </w:p>
        </w:tc>
        <w:tc>
          <w:tcPr>
            <w:tcW w:w="0" w:type="auto"/>
            <w:shd w:val="clear" w:color="auto" w:fill="FFFFFF"/>
            <w:tcMar>
              <w:top w:w="30" w:type="dxa"/>
              <w:left w:w="0" w:type="dxa"/>
              <w:bottom w:w="30" w:type="dxa"/>
              <w:right w:w="20" w:type="dxa"/>
            </w:tcMar>
            <w:vAlign w:val="bottom"/>
            <w:hideMark/>
          </w:tcPr>
          <w:p w14:paraId="070C895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D9C4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624409" w14:textId="77777777" w:rsidR="00000000" w:rsidRDefault="00E614A4">
            <w:pPr>
              <w:jc w:val="right"/>
              <w:rPr>
                <w:rFonts w:eastAsia="Times New Roman"/>
              </w:rPr>
            </w:pPr>
            <w:r>
              <w:rPr>
                <w:rFonts w:eastAsia="Times New Roman"/>
                <w:color w:val="000000"/>
                <w:sz w:val="18"/>
                <w:szCs w:val="18"/>
              </w:rPr>
              <w:t>7,393 </w:t>
            </w:r>
          </w:p>
        </w:tc>
        <w:tc>
          <w:tcPr>
            <w:tcW w:w="0" w:type="auto"/>
            <w:shd w:val="clear" w:color="auto" w:fill="FFFFFF"/>
            <w:tcMar>
              <w:top w:w="30" w:type="dxa"/>
              <w:left w:w="0" w:type="dxa"/>
              <w:bottom w:w="30" w:type="dxa"/>
              <w:right w:w="20" w:type="dxa"/>
            </w:tcMar>
            <w:vAlign w:val="bottom"/>
            <w:hideMark/>
          </w:tcPr>
          <w:p w14:paraId="36D8F618" w14:textId="77777777" w:rsidR="00000000" w:rsidRDefault="00E614A4">
            <w:pPr>
              <w:jc w:val="right"/>
              <w:rPr>
                <w:rFonts w:eastAsia="Times New Roman"/>
              </w:rPr>
            </w:pPr>
          </w:p>
        </w:tc>
      </w:tr>
      <w:tr w:rsidR="00000000" w14:paraId="11501862" w14:textId="77777777">
        <w:trPr>
          <w:divId w:val="1329595639"/>
          <w:jc w:val="center"/>
        </w:trPr>
        <w:tc>
          <w:tcPr>
            <w:tcW w:w="0" w:type="auto"/>
            <w:gridSpan w:val="3"/>
            <w:shd w:val="clear" w:color="auto" w:fill="CCEEFF"/>
            <w:tcMar>
              <w:top w:w="30" w:type="dxa"/>
              <w:left w:w="155" w:type="dxa"/>
              <w:bottom w:w="30" w:type="dxa"/>
              <w:right w:w="20" w:type="dxa"/>
            </w:tcMar>
            <w:hideMark/>
          </w:tcPr>
          <w:p w14:paraId="29A867FE" w14:textId="77777777" w:rsidR="00000000" w:rsidRDefault="00E614A4">
            <w:pPr>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AA47B3" w14:textId="77777777" w:rsidR="00000000" w:rsidRDefault="00E614A4">
            <w:pPr>
              <w:jc w:val="right"/>
              <w:rPr>
                <w:rFonts w:eastAsia="Times New Roman"/>
              </w:rPr>
            </w:pPr>
            <w:r>
              <w:rPr>
                <w:rFonts w:eastAsia="Times New Roman"/>
                <w:color w:val="000000"/>
                <w:sz w:val="18"/>
                <w:szCs w:val="18"/>
              </w:rPr>
              <w:t>184,275 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8D825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EBF37"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8A7905" w14:textId="77777777" w:rsidR="00000000" w:rsidRDefault="00E614A4">
            <w:pPr>
              <w:jc w:val="right"/>
              <w:rPr>
                <w:rFonts w:eastAsia="Times New Roman"/>
              </w:rPr>
            </w:pPr>
            <w:r>
              <w:rPr>
                <w:rFonts w:eastAsia="Times New Roman"/>
                <w:color w:val="000000"/>
                <w:sz w:val="18"/>
                <w:szCs w:val="18"/>
              </w:rPr>
              <w:t>190,237 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519F10" w14:textId="77777777" w:rsidR="00000000" w:rsidRDefault="00E614A4">
            <w:pPr>
              <w:jc w:val="right"/>
              <w:rPr>
                <w:rFonts w:eastAsia="Times New Roman"/>
              </w:rPr>
            </w:pPr>
          </w:p>
        </w:tc>
      </w:tr>
      <w:tr w:rsidR="00000000" w14:paraId="0BA891F7" w14:textId="77777777">
        <w:trPr>
          <w:divId w:val="1329595639"/>
          <w:jc w:val="center"/>
        </w:trPr>
        <w:tc>
          <w:tcPr>
            <w:tcW w:w="0" w:type="auto"/>
            <w:gridSpan w:val="3"/>
            <w:shd w:val="clear" w:color="auto" w:fill="FFFFFF"/>
            <w:tcMar>
              <w:top w:w="30" w:type="dxa"/>
              <w:left w:w="20" w:type="dxa"/>
              <w:bottom w:w="30" w:type="dxa"/>
              <w:right w:w="20" w:type="dxa"/>
            </w:tcMar>
            <w:hideMark/>
          </w:tcPr>
          <w:p w14:paraId="48C42CE9" w14:textId="77777777" w:rsidR="00000000" w:rsidRDefault="00E614A4">
            <w:pPr>
              <w:rPr>
                <w:rFonts w:eastAsia="Times New Roman"/>
              </w:rPr>
            </w:pPr>
            <w:r>
              <w:rPr>
                <w:rFonts w:eastAsia="Times New Roman"/>
                <w:color w:val="000000"/>
                <w:sz w:val="18"/>
                <w:szCs w:val="18"/>
              </w:rPr>
              <w:t>Senior secured convertible notes (related party)</w:t>
            </w:r>
          </w:p>
        </w:tc>
        <w:tc>
          <w:tcPr>
            <w:tcW w:w="0" w:type="auto"/>
            <w:gridSpan w:val="2"/>
            <w:shd w:val="clear" w:color="auto" w:fill="FFFFFF"/>
            <w:tcMar>
              <w:top w:w="30" w:type="dxa"/>
              <w:left w:w="20" w:type="dxa"/>
              <w:bottom w:w="30" w:type="dxa"/>
              <w:right w:w="0" w:type="dxa"/>
            </w:tcMar>
            <w:vAlign w:val="bottom"/>
            <w:hideMark/>
          </w:tcPr>
          <w:p w14:paraId="28FBC129" w14:textId="77777777" w:rsidR="00000000" w:rsidRDefault="00E614A4">
            <w:pPr>
              <w:jc w:val="right"/>
              <w:rPr>
                <w:rFonts w:eastAsia="Times New Roman"/>
              </w:rPr>
            </w:pPr>
            <w:r>
              <w:rPr>
                <w:rFonts w:eastAsia="Times New Roman"/>
                <w:color w:val="000000"/>
                <w:sz w:val="18"/>
                <w:szCs w:val="18"/>
              </w:rPr>
              <w:t>192,895 </w:t>
            </w:r>
          </w:p>
        </w:tc>
        <w:tc>
          <w:tcPr>
            <w:tcW w:w="0" w:type="auto"/>
            <w:shd w:val="clear" w:color="auto" w:fill="FFFFFF"/>
            <w:tcMar>
              <w:top w:w="30" w:type="dxa"/>
              <w:left w:w="0" w:type="dxa"/>
              <w:bottom w:w="30" w:type="dxa"/>
              <w:right w:w="20" w:type="dxa"/>
            </w:tcMar>
            <w:vAlign w:val="bottom"/>
            <w:hideMark/>
          </w:tcPr>
          <w:p w14:paraId="5D2E058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97F34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5BAFD8" w14:textId="77777777" w:rsidR="00000000" w:rsidRDefault="00E614A4">
            <w:pPr>
              <w:jc w:val="right"/>
              <w:rPr>
                <w:rFonts w:eastAsia="Times New Roman"/>
              </w:rPr>
            </w:pPr>
            <w:r>
              <w:rPr>
                <w:rFonts w:eastAsia="Times New Roman"/>
                <w:color w:val="000000"/>
                <w:sz w:val="18"/>
                <w:szCs w:val="18"/>
              </w:rPr>
              <w:t>184,075 </w:t>
            </w:r>
          </w:p>
        </w:tc>
        <w:tc>
          <w:tcPr>
            <w:tcW w:w="0" w:type="auto"/>
            <w:shd w:val="clear" w:color="auto" w:fill="FFFFFF"/>
            <w:tcMar>
              <w:top w:w="30" w:type="dxa"/>
              <w:left w:w="0" w:type="dxa"/>
              <w:bottom w:w="30" w:type="dxa"/>
              <w:right w:w="20" w:type="dxa"/>
            </w:tcMar>
            <w:vAlign w:val="bottom"/>
            <w:hideMark/>
          </w:tcPr>
          <w:p w14:paraId="0975EA42" w14:textId="77777777" w:rsidR="00000000" w:rsidRDefault="00E614A4">
            <w:pPr>
              <w:jc w:val="right"/>
              <w:rPr>
                <w:rFonts w:eastAsia="Times New Roman"/>
              </w:rPr>
            </w:pPr>
          </w:p>
        </w:tc>
      </w:tr>
      <w:tr w:rsidR="00000000" w14:paraId="520003AF" w14:textId="77777777">
        <w:trPr>
          <w:divId w:val="1329595639"/>
          <w:jc w:val="center"/>
        </w:trPr>
        <w:tc>
          <w:tcPr>
            <w:tcW w:w="0" w:type="auto"/>
            <w:gridSpan w:val="3"/>
            <w:shd w:val="clear" w:color="auto" w:fill="CCEEFF"/>
            <w:tcMar>
              <w:top w:w="30" w:type="dxa"/>
              <w:left w:w="20" w:type="dxa"/>
              <w:bottom w:w="30" w:type="dxa"/>
              <w:right w:w="20" w:type="dxa"/>
            </w:tcMar>
            <w:hideMark/>
          </w:tcPr>
          <w:p w14:paraId="5CF455BE" w14:textId="77777777" w:rsidR="00000000" w:rsidRDefault="00E614A4">
            <w:pPr>
              <w:rPr>
                <w:rFonts w:eastAsia="Times New Roman"/>
              </w:rPr>
            </w:pPr>
            <w:r>
              <w:rPr>
                <w:rFonts w:eastAsia="Times New Roman"/>
                <w:color w:val="000000"/>
                <w:sz w:val="18"/>
                <w:szCs w:val="18"/>
              </w:rPr>
              <w:t>Financing derivatives (related party)</w:t>
            </w:r>
          </w:p>
        </w:tc>
        <w:tc>
          <w:tcPr>
            <w:tcW w:w="0" w:type="auto"/>
            <w:gridSpan w:val="2"/>
            <w:shd w:val="clear" w:color="auto" w:fill="CCEEFF"/>
            <w:tcMar>
              <w:top w:w="30" w:type="dxa"/>
              <w:left w:w="20" w:type="dxa"/>
              <w:bottom w:w="30" w:type="dxa"/>
              <w:right w:w="0" w:type="dxa"/>
            </w:tcMar>
            <w:vAlign w:val="bottom"/>
            <w:hideMark/>
          </w:tcPr>
          <w:p w14:paraId="248A4FE3" w14:textId="77777777" w:rsidR="00000000" w:rsidRDefault="00E614A4">
            <w:pPr>
              <w:jc w:val="right"/>
              <w:rPr>
                <w:rFonts w:eastAsia="Times New Roman"/>
              </w:rPr>
            </w:pPr>
            <w:r>
              <w:rPr>
                <w:rFonts w:eastAsia="Times New Roman"/>
                <w:color w:val="000000"/>
                <w:sz w:val="18"/>
                <w:szCs w:val="18"/>
              </w:rPr>
              <w:t>11,300 </w:t>
            </w:r>
          </w:p>
        </w:tc>
        <w:tc>
          <w:tcPr>
            <w:tcW w:w="0" w:type="auto"/>
            <w:shd w:val="clear" w:color="auto" w:fill="CCEEFF"/>
            <w:tcMar>
              <w:top w:w="30" w:type="dxa"/>
              <w:left w:w="0" w:type="dxa"/>
              <w:bottom w:w="30" w:type="dxa"/>
              <w:right w:w="20" w:type="dxa"/>
            </w:tcMar>
            <w:vAlign w:val="bottom"/>
            <w:hideMark/>
          </w:tcPr>
          <w:p w14:paraId="6927869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3218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0912C0" w14:textId="77777777" w:rsidR="00000000" w:rsidRDefault="00E614A4">
            <w:pPr>
              <w:jc w:val="right"/>
              <w:rPr>
                <w:rFonts w:eastAsia="Times New Roman"/>
              </w:rPr>
            </w:pPr>
            <w:r>
              <w:rPr>
                <w:rFonts w:eastAsia="Times New Roman"/>
                <w:color w:val="000000"/>
                <w:sz w:val="18"/>
                <w:szCs w:val="18"/>
              </w:rPr>
              <w:t>21,587 </w:t>
            </w:r>
          </w:p>
        </w:tc>
        <w:tc>
          <w:tcPr>
            <w:tcW w:w="0" w:type="auto"/>
            <w:shd w:val="clear" w:color="auto" w:fill="CCEEFF"/>
            <w:tcMar>
              <w:top w:w="30" w:type="dxa"/>
              <w:left w:w="0" w:type="dxa"/>
              <w:bottom w:w="30" w:type="dxa"/>
              <w:right w:w="20" w:type="dxa"/>
            </w:tcMar>
            <w:vAlign w:val="bottom"/>
            <w:hideMark/>
          </w:tcPr>
          <w:p w14:paraId="61213520" w14:textId="77777777" w:rsidR="00000000" w:rsidRDefault="00E614A4">
            <w:pPr>
              <w:jc w:val="right"/>
              <w:rPr>
                <w:rFonts w:eastAsia="Times New Roman"/>
              </w:rPr>
            </w:pPr>
          </w:p>
        </w:tc>
      </w:tr>
      <w:tr w:rsidR="00000000" w14:paraId="306E3E2E" w14:textId="77777777">
        <w:trPr>
          <w:divId w:val="1329595639"/>
          <w:jc w:val="center"/>
        </w:trPr>
        <w:tc>
          <w:tcPr>
            <w:tcW w:w="0" w:type="auto"/>
            <w:gridSpan w:val="3"/>
            <w:shd w:val="clear" w:color="auto" w:fill="FFFFFF"/>
            <w:tcMar>
              <w:top w:w="30" w:type="dxa"/>
              <w:left w:w="20" w:type="dxa"/>
              <w:bottom w:w="30" w:type="dxa"/>
              <w:right w:w="20" w:type="dxa"/>
            </w:tcMar>
            <w:hideMark/>
          </w:tcPr>
          <w:p w14:paraId="659A4277" w14:textId="77777777" w:rsidR="00000000" w:rsidRDefault="00E614A4">
            <w:pPr>
              <w:rPr>
                <w:rFonts w:eastAsia="Times New Roman"/>
              </w:rPr>
            </w:pPr>
            <w:r>
              <w:rPr>
                <w:rFonts w:eastAsia="Times New Roman"/>
                <w:color w:val="000000"/>
                <w:sz w:val="18"/>
                <w:szCs w:val="18"/>
              </w:rPr>
              <w:t>Non-current operating lease liabilities</w:t>
            </w:r>
          </w:p>
        </w:tc>
        <w:tc>
          <w:tcPr>
            <w:tcW w:w="0" w:type="auto"/>
            <w:gridSpan w:val="2"/>
            <w:shd w:val="clear" w:color="auto" w:fill="FFFFFF"/>
            <w:tcMar>
              <w:top w:w="30" w:type="dxa"/>
              <w:left w:w="20" w:type="dxa"/>
              <w:bottom w:w="30" w:type="dxa"/>
              <w:right w:w="0" w:type="dxa"/>
            </w:tcMar>
            <w:vAlign w:val="bottom"/>
            <w:hideMark/>
          </w:tcPr>
          <w:p w14:paraId="69F4ACAA" w14:textId="77777777" w:rsidR="00000000" w:rsidRDefault="00E614A4">
            <w:pPr>
              <w:jc w:val="right"/>
              <w:rPr>
                <w:rFonts w:eastAsia="Times New Roman"/>
              </w:rPr>
            </w:pPr>
            <w:r>
              <w:rPr>
                <w:rFonts w:eastAsia="Times New Roman"/>
                <w:color w:val="000000"/>
                <w:sz w:val="18"/>
                <w:szCs w:val="18"/>
              </w:rPr>
              <w:t>36,127 </w:t>
            </w:r>
          </w:p>
        </w:tc>
        <w:tc>
          <w:tcPr>
            <w:tcW w:w="0" w:type="auto"/>
            <w:shd w:val="clear" w:color="auto" w:fill="FFFFFF"/>
            <w:tcMar>
              <w:top w:w="30" w:type="dxa"/>
              <w:left w:w="0" w:type="dxa"/>
              <w:bottom w:w="30" w:type="dxa"/>
              <w:right w:w="20" w:type="dxa"/>
            </w:tcMar>
            <w:vAlign w:val="bottom"/>
            <w:hideMark/>
          </w:tcPr>
          <w:p w14:paraId="6A90E30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170C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2FA2AF" w14:textId="77777777" w:rsidR="00000000" w:rsidRDefault="00E614A4">
            <w:pPr>
              <w:jc w:val="right"/>
              <w:rPr>
                <w:rFonts w:eastAsia="Times New Roman"/>
              </w:rPr>
            </w:pPr>
            <w:r>
              <w:rPr>
                <w:rFonts w:eastAsia="Times New Roman"/>
                <w:color w:val="000000"/>
                <w:sz w:val="18"/>
                <w:szCs w:val="18"/>
              </w:rPr>
              <w:t>42,497 </w:t>
            </w:r>
          </w:p>
        </w:tc>
        <w:tc>
          <w:tcPr>
            <w:tcW w:w="0" w:type="auto"/>
            <w:shd w:val="clear" w:color="auto" w:fill="FFFFFF"/>
            <w:tcMar>
              <w:top w:w="30" w:type="dxa"/>
              <w:left w:w="0" w:type="dxa"/>
              <w:bottom w:w="30" w:type="dxa"/>
              <w:right w:w="20" w:type="dxa"/>
            </w:tcMar>
            <w:vAlign w:val="bottom"/>
            <w:hideMark/>
          </w:tcPr>
          <w:p w14:paraId="2A80F61B" w14:textId="77777777" w:rsidR="00000000" w:rsidRDefault="00E614A4">
            <w:pPr>
              <w:jc w:val="right"/>
              <w:rPr>
                <w:rFonts w:eastAsia="Times New Roman"/>
              </w:rPr>
            </w:pPr>
          </w:p>
        </w:tc>
      </w:tr>
      <w:tr w:rsidR="00000000" w14:paraId="5B668481" w14:textId="77777777">
        <w:trPr>
          <w:divId w:val="1329595639"/>
          <w:jc w:val="center"/>
        </w:trPr>
        <w:tc>
          <w:tcPr>
            <w:tcW w:w="0" w:type="auto"/>
            <w:gridSpan w:val="3"/>
            <w:shd w:val="clear" w:color="auto" w:fill="CCEEFF"/>
            <w:tcMar>
              <w:top w:w="30" w:type="dxa"/>
              <w:left w:w="20" w:type="dxa"/>
              <w:bottom w:w="30" w:type="dxa"/>
              <w:right w:w="20" w:type="dxa"/>
            </w:tcMar>
            <w:hideMark/>
          </w:tcPr>
          <w:p w14:paraId="1054326C" w14:textId="77777777" w:rsidR="00000000" w:rsidRDefault="00E614A4">
            <w:pPr>
              <w:rPr>
                <w:rFonts w:eastAsia="Times New Roman"/>
              </w:rPr>
            </w:pPr>
            <w:r>
              <w:rPr>
                <w:rFonts w:eastAsia="Times New Roman"/>
                <w:color w:val="000000"/>
                <w:sz w:val="18"/>
                <w:szCs w:val="18"/>
              </w:rPr>
              <w:t>Non-current contract liabilities</w:t>
            </w:r>
          </w:p>
        </w:tc>
        <w:tc>
          <w:tcPr>
            <w:tcW w:w="0" w:type="auto"/>
            <w:gridSpan w:val="2"/>
            <w:shd w:val="clear" w:color="auto" w:fill="CCEEFF"/>
            <w:tcMar>
              <w:top w:w="30" w:type="dxa"/>
              <w:left w:w="20" w:type="dxa"/>
              <w:bottom w:w="30" w:type="dxa"/>
              <w:right w:w="0" w:type="dxa"/>
            </w:tcMar>
            <w:vAlign w:val="bottom"/>
            <w:hideMark/>
          </w:tcPr>
          <w:p w14:paraId="091F0632" w14:textId="77777777" w:rsidR="00000000" w:rsidRDefault="00E614A4">
            <w:pPr>
              <w:jc w:val="right"/>
              <w:rPr>
                <w:rFonts w:eastAsia="Times New Roman"/>
              </w:rPr>
            </w:pPr>
            <w:r>
              <w:rPr>
                <w:rFonts w:eastAsia="Times New Roman"/>
                <w:color w:val="000000"/>
                <w:sz w:val="18"/>
                <w:szCs w:val="18"/>
              </w:rPr>
              <w:t>4,156 </w:t>
            </w:r>
          </w:p>
        </w:tc>
        <w:tc>
          <w:tcPr>
            <w:tcW w:w="0" w:type="auto"/>
            <w:shd w:val="clear" w:color="auto" w:fill="CCEEFF"/>
            <w:tcMar>
              <w:top w:w="30" w:type="dxa"/>
              <w:left w:w="0" w:type="dxa"/>
              <w:bottom w:w="30" w:type="dxa"/>
              <w:right w:w="20" w:type="dxa"/>
            </w:tcMar>
            <w:vAlign w:val="bottom"/>
            <w:hideMark/>
          </w:tcPr>
          <w:p w14:paraId="063D5F0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3E94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C96984" w14:textId="77777777" w:rsidR="00000000" w:rsidRDefault="00E614A4">
            <w:pPr>
              <w:jc w:val="right"/>
              <w:rPr>
                <w:rFonts w:eastAsia="Times New Roman"/>
              </w:rPr>
            </w:pPr>
            <w:r>
              <w:rPr>
                <w:rFonts w:eastAsia="Times New Roman"/>
                <w:color w:val="000000"/>
                <w:sz w:val="18"/>
                <w:szCs w:val="18"/>
              </w:rPr>
              <w:t>291 </w:t>
            </w:r>
          </w:p>
        </w:tc>
        <w:tc>
          <w:tcPr>
            <w:tcW w:w="0" w:type="auto"/>
            <w:shd w:val="clear" w:color="auto" w:fill="CCEEFF"/>
            <w:tcMar>
              <w:top w:w="30" w:type="dxa"/>
              <w:left w:w="0" w:type="dxa"/>
              <w:bottom w:w="30" w:type="dxa"/>
              <w:right w:w="20" w:type="dxa"/>
            </w:tcMar>
            <w:vAlign w:val="bottom"/>
            <w:hideMark/>
          </w:tcPr>
          <w:p w14:paraId="51E1B841" w14:textId="77777777" w:rsidR="00000000" w:rsidRDefault="00E614A4">
            <w:pPr>
              <w:jc w:val="right"/>
              <w:rPr>
                <w:rFonts w:eastAsia="Times New Roman"/>
              </w:rPr>
            </w:pPr>
          </w:p>
        </w:tc>
      </w:tr>
      <w:tr w:rsidR="00000000" w14:paraId="27F0ED51" w14:textId="77777777">
        <w:trPr>
          <w:divId w:val="1329595639"/>
          <w:jc w:val="center"/>
        </w:trPr>
        <w:tc>
          <w:tcPr>
            <w:tcW w:w="0" w:type="auto"/>
            <w:gridSpan w:val="3"/>
            <w:shd w:val="clear" w:color="auto" w:fill="FFFFFF"/>
            <w:tcMar>
              <w:top w:w="30" w:type="dxa"/>
              <w:left w:w="20" w:type="dxa"/>
              <w:bottom w:w="30" w:type="dxa"/>
              <w:right w:w="20" w:type="dxa"/>
            </w:tcMar>
            <w:hideMark/>
          </w:tcPr>
          <w:p w14:paraId="06F6427A" w14:textId="77777777" w:rsidR="00000000" w:rsidRDefault="00E614A4">
            <w:pPr>
              <w:rPr>
                <w:rFonts w:eastAsia="Times New Roman"/>
              </w:rPr>
            </w:pPr>
            <w:r>
              <w:rPr>
                <w:rFonts w:eastAsia="Times New Roman"/>
                <w:color w:val="000000"/>
                <w:sz w:val="18"/>
                <w:szCs w:val="18"/>
              </w:rPr>
              <w:t>Deferred tax liabilities</w:t>
            </w:r>
          </w:p>
        </w:tc>
        <w:tc>
          <w:tcPr>
            <w:tcW w:w="0" w:type="auto"/>
            <w:gridSpan w:val="2"/>
            <w:shd w:val="clear" w:color="auto" w:fill="FFFFFF"/>
            <w:tcMar>
              <w:top w:w="30" w:type="dxa"/>
              <w:left w:w="20" w:type="dxa"/>
              <w:bottom w:w="30" w:type="dxa"/>
              <w:right w:w="0" w:type="dxa"/>
            </w:tcMar>
            <w:vAlign w:val="bottom"/>
            <w:hideMark/>
          </w:tcPr>
          <w:p w14:paraId="3060EE3B" w14:textId="77777777" w:rsidR="00000000" w:rsidRDefault="00E614A4">
            <w:pPr>
              <w:jc w:val="right"/>
              <w:rPr>
                <w:rFonts w:eastAsia="Times New Roman"/>
              </w:rPr>
            </w:pPr>
            <w:r>
              <w:rPr>
                <w:rFonts w:eastAsia="Times New Roman"/>
                <w:color w:val="000000"/>
                <w:sz w:val="18"/>
                <w:szCs w:val="18"/>
              </w:rPr>
              <w:t>627 </w:t>
            </w:r>
          </w:p>
        </w:tc>
        <w:tc>
          <w:tcPr>
            <w:tcW w:w="0" w:type="auto"/>
            <w:shd w:val="clear" w:color="auto" w:fill="FFFFFF"/>
            <w:tcMar>
              <w:top w:w="30" w:type="dxa"/>
              <w:left w:w="0" w:type="dxa"/>
              <w:bottom w:w="30" w:type="dxa"/>
              <w:right w:w="20" w:type="dxa"/>
            </w:tcMar>
            <w:vAlign w:val="bottom"/>
            <w:hideMark/>
          </w:tcPr>
          <w:p w14:paraId="11A011D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95F1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21C41A" w14:textId="77777777" w:rsidR="00000000" w:rsidRDefault="00E614A4">
            <w:pPr>
              <w:jc w:val="right"/>
              <w:rPr>
                <w:rFonts w:eastAsia="Times New Roman"/>
              </w:rPr>
            </w:pPr>
            <w:r>
              <w:rPr>
                <w:rFonts w:eastAsia="Times New Roman"/>
                <w:color w:val="000000"/>
                <w:sz w:val="18"/>
                <w:szCs w:val="18"/>
              </w:rPr>
              <w:t>287 </w:t>
            </w:r>
          </w:p>
        </w:tc>
        <w:tc>
          <w:tcPr>
            <w:tcW w:w="0" w:type="auto"/>
            <w:shd w:val="clear" w:color="auto" w:fill="FFFFFF"/>
            <w:tcMar>
              <w:top w:w="30" w:type="dxa"/>
              <w:left w:w="0" w:type="dxa"/>
              <w:bottom w:w="30" w:type="dxa"/>
              <w:right w:w="20" w:type="dxa"/>
            </w:tcMar>
            <w:vAlign w:val="bottom"/>
            <w:hideMark/>
          </w:tcPr>
          <w:p w14:paraId="446D15FA" w14:textId="77777777" w:rsidR="00000000" w:rsidRDefault="00E614A4">
            <w:pPr>
              <w:jc w:val="right"/>
              <w:rPr>
                <w:rFonts w:eastAsia="Times New Roman"/>
              </w:rPr>
            </w:pPr>
          </w:p>
        </w:tc>
      </w:tr>
      <w:tr w:rsidR="00000000" w14:paraId="5F39F9BA" w14:textId="77777777">
        <w:trPr>
          <w:divId w:val="1329595639"/>
          <w:jc w:val="center"/>
        </w:trPr>
        <w:tc>
          <w:tcPr>
            <w:tcW w:w="0" w:type="auto"/>
            <w:gridSpan w:val="3"/>
            <w:shd w:val="clear" w:color="auto" w:fill="CCEEFF"/>
            <w:tcMar>
              <w:top w:w="30" w:type="dxa"/>
              <w:left w:w="20" w:type="dxa"/>
              <w:bottom w:w="30" w:type="dxa"/>
              <w:right w:w="20" w:type="dxa"/>
            </w:tcMar>
            <w:hideMark/>
          </w:tcPr>
          <w:p w14:paraId="60CCF991" w14:textId="77777777" w:rsidR="00000000" w:rsidRDefault="00E614A4">
            <w:pPr>
              <w:rPr>
                <w:rFonts w:eastAsia="Times New Roman"/>
              </w:rPr>
            </w:pPr>
            <w:r>
              <w:rPr>
                <w:rFonts w:eastAsia="Times New Roman"/>
                <w:color w:val="000000"/>
                <w:sz w:val="18"/>
                <w:szCs w:val="18"/>
              </w:rPr>
              <w:t>Non-current portion of secured term note</w:t>
            </w:r>
          </w:p>
        </w:tc>
        <w:tc>
          <w:tcPr>
            <w:tcW w:w="0" w:type="auto"/>
            <w:gridSpan w:val="2"/>
            <w:shd w:val="clear" w:color="auto" w:fill="CCEEFF"/>
            <w:tcMar>
              <w:top w:w="30" w:type="dxa"/>
              <w:left w:w="20" w:type="dxa"/>
              <w:bottom w:w="30" w:type="dxa"/>
              <w:right w:w="0" w:type="dxa"/>
            </w:tcMar>
            <w:vAlign w:val="bottom"/>
            <w:hideMark/>
          </w:tcPr>
          <w:p w14:paraId="328F11E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AED02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3CD4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6A1E4" w14:textId="77777777" w:rsidR="00000000" w:rsidRDefault="00E614A4">
            <w:pPr>
              <w:jc w:val="right"/>
              <w:rPr>
                <w:rFonts w:eastAsia="Times New Roman"/>
              </w:rPr>
            </w:pPr>
            <w:r>
              <w:rPr>
                <w:rFonts w:eastAsia="Times New Roman"/>
                <w:color w:val="000000"/>
                <w:sz w:val="18"/>
                <w:szCs w:val="18"/>
              </w:rPr>
              <w:t>12,463 </w:t>
            </w:r>
          </w:p>
        </w:tc>
        <w:tc>
          <w:tcPr>
            <w:tcW w:w="0" w:type="auto"/>
            <w:shd w:val="clear" w:color="auto" w:fill="CCEEFF"/>
            <w:tcMar>
              <w:top w:w="30" w:type="dxa"/>
              <w:left w:w="0" w:type="dxa"/>
              <w:bottom w:w="30" w:type="dxa"/>
              <w:right w:w="20" w:type="dxa"/>
            </w:tcMar>
            <w:vAlign w:val="bottom"/>
            <w:hideMark/>
          </w:tcPr>
          <w:p w14:paraId="2CCD68CB" w14:textId="77777777" w:rsidR="00000000" w:rsidRDefault="00E614A4">
            <w:pPr>
              <w:jc w:val="right"/>
              <w:rPr>
                <w:rFonts w:eastAsia="Times New Roman"/>
              </w:rPr>
            </w:pPr>
          </w:p>
        </w:tc>
      </w:tr>
      <w:tr w:rsidR="00000000" w14:paraId="31AD73F6" w14:textId="77777777">
        <w:trPr>
          <w:divId w:val="1329595639"/>
          <w:jc w:val="center"/>
        </w:trPr>
        <w:tc>
          <w:tcPr>
            <w:tcW w:w="0" w:type="auto"/>
            <w:gridSpan w:val="3"/>
            <w:shd w:val="clear" w:color="auto" w:fill="FFFFFF"/>
            <w:tcMar>
              <w:top w:w="30" w:type="dxa"/>
              <w:left w:w="20" w:type="dxa"/>
              <w:bottom w:w="30" w:type="dxa"/>
              <w:right w:w="20" w:type="dxa"/>
            </w:tcMar>
            <w:hideMark/>
          </w:tcPr>
          <w:p w14:paraId="4E2E476F" w14:textId="77777777" w:rsidR="00000000" w:rsidRDefault="00E614A4">
            <w:pPr>
              <w:divId w:val="1418938119"/>
              <w:rPr>
                <w:rFonts w:eastAsia="Times New Roman"/>
              </w:rPr>
            </w:pPr>
            <w:r>
              <w:rPr>
                <w:rFonts w:eastAsia="Times New Roman"/>
                <w:color w:val="000000"/>
                <w:sz w:val="18"/>
                <w:szCs w:val="18"/>
              </w:rPr>
              <w:t xml:space="preserve">Other non-current liabilities ($6,120 and $— </w:t>
            </w:r>
            <w:r>
              <w:rPr>
                <w:rFonts w:eastAsia="Times New Roman"/>
                <w:color w:val="000000"/>
                <w:sz w:val="18"/>
                <w:szCs w:val="18"/>
              </w:rPr>
              <w:t>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6077589F" w14:textId="77777777" w:rsidR="00000000" w:rsidRDefault="00E614A4">
            <w:pPr>
              <w:jc w:val="right"/>
              <w:rPr>
                <w:rFonts w:eastAsia="Times New Roman"/>
              </w:rPr>
            </w:pPr>
            <w:r>
              <w:rPr>
                <w:rFonts w:eastAsia="Times New Roman"/>
                <w:color w:val="000000"/>
                <w:sz w:val="18"/>
                <w:szCs w:val="18"/>
              </w:rPr>
              <w:t>19,600 </w:t>
            </w:r>
          </w:p>
        </w:tc>
        <w:tc>
          <w:tcPr>
            <w:tcW w:w="0" w:type="auto"/>
            <w:shd w:val="clear" w:color="auto" w:fill="FFFFFF"/>
            <w:tcMar>
              <w:top w:w="30" w:type="dxa"/>
              <w:left w:w="0" w:type="dxa"/>
              <w:bottom w:w="30" w:type="dxa"/>
              <w:right w:w="20" w:type="dxa"/>
            </w:tcMar>
            <w:vAlign w:val="bottom"/>
            <w:hideMark/>
          </w:tcPr>
          <w:p w14:paraId="5D8FA9C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1CF5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D6EAB" w14:textId="77777777" w:rsidR="00000000" w:rsidRDefault="00E614A4">
            <w:pPr>
              <w:jc w:val="right"/>
              <w:rPr>
                <w:rFonts w:eastAsia="Times New Roman"/>
              </w:rPr>
            </w:pPr>
            <w:r>
              <w:rPr>
                <w:rFonts w:eastAsia="Times New Roman"/>
                <w:color w:val="000000"/>
                <w:sz w:val="18"/>
                <w:szCs w:val="18"/>
              </w:rPr>
              <w:t>13,284 </w:t>
            </w:r>
          </w:p>
        </w:tc>
        <w:tc>
          <w:tcPr>
            <w:tcW w:w="0" w:type="auto"/>
            <w:shd w:val="clear" w:color="auto" w:fill="FFFFFF"/>
            <w:tcMar>
              <w:top w:w="30" w:type="dxa"/>
              <w:left w:w="0" w:type="dxa"/>
              <w:bottom w:w="30" w:type="dxa"/>
              <w:right w:w="20" w:type="dxa"/>
            </w:tcMar>
            <w:vAlign w:val="bottom"/>
            <w:hideMark/>
          </w:tcPr>
          <w:p w14:paraId="51FB5309" w14:textId="77777777" w:rsidR="00000000" w:rsidRDefault="00E614A4">
            <w:pPr>
              <w:jc w:val="right"/>
              <w:rPr>
                <w:rFonts w:eastAsia="Times New Roman"/>
              </w:rPr>
            </w:pPr>
          </w:p>
        </w:tc>
      </w:tr>
      <w:tr w:rsidR="00000000" w14:paraId="1E17402D" w14:textId="77777777">
        <w:trPr>
          <w:divId w:val="1329595639"/>
          <w:jc w:val="center"/>
        </w:trPr>
        <w:tc>
          <w:tcPr>
            <w:tcW w:w="0" w:type="auto"/>
            <w:gridSpan w:val="3"/>
            <w:shd w:val="clear" w:color="auto" w:fill="CCEEFF"/>
            <w:tcMar>
              <w:top w:w="30" w:type="dxa"/>
              <w:left w:w="155" w:type="dxa"/>
              <w:bottom w:w="30" w:type="dxa"/>
              <w:right w:w="20" w:type="dxa"/>
            </w:tcMar>
            <w:hideMark/>
          </w:tcPr>
          <w:p w14:paraId="66466939" w14:textId="77777777" w:rsidR="00000000" w:rsidRDefault="00E614A4">
            <w:pPr>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3FAD23" w14:textId="77777777" w:rsidR="00000000" w:rsidRDefault="00E614A4">
            <w:pPr>
              <w:jc w:val="right"/>
              <w:rPr>
                <w:rFonts w:eastAsia="Times New Roman"/>
              </w:rPr>
            </w:pPr>
            <w:r>
              <w:rPr>
                <w:rFonts w:eastAsia="Times New Roman"/>
                <w:color w:val="000000"/>
                <w:sz w:val="18"/>
                <w:szCs w:val="18"/>
              </w:rPr>
              <w:t>448,980 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E1F41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E61DC"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DD1BA7" w14:textId="77777777" w:rsidR="00000000" w:rsidRDefault="00E614A4">
            <w:pPr>
              <w:jc w:val="right"/>
              <w:rPr>
                <w:rFonts w:eastAsia="Times New Roman"/>
              </w:rPr>
            </w:pPr>
            <w:r>
              <w:rPr>
                <w:rFonts w:eastAsia="Times New Roman"/>
                <w:color w:val="000000"/>
                <w:sz w:val="18"/>
                <w:szCs w:val="18"/>
              </w:rPr>
              <w:t>464,721 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7A8A44" w14:textId="77777777" w:rsidR="00000000" w:rsidRDefault="00E614A4">
            <w:pPr>
              <w:jc w:val="right"/>
              <w:rPr>
                <w:rFonts w:eastAsia="Times New Roman"/>
              </w:rPr>
            </w:pPr>
          </w:p>
        </w:tc>
      </w:tr>
      <w:tr w:rsidR="00000000" w14:paraId="55EF2911" w14:textId="77777777">
        <w:trPr>
          <w:divId w:val="1329595639"/>
          <w:jc w:val="center"/>
        </w:trPr>
        <w:tc>
          <w:tcPr>
            <w:tcW w:w="0" w:type="auto"/>
            <w:gridSpan w:val="3"/>
            <w:shd w:val="clear" w:color="auto" w:fill="FFFFFF"/>
            <w:tcMar>
              <w:top w:w="30" w:type="dxa"/>
              <w:left w:w="20" w:type="dxa"/>
              <w:bottom w:w="30" w:type="dxa"/>
              <w:right w:w="20" w:type="dxa"/>
            </w:tcMar>
            <w:hideMark/>
          </w:tcPr>
          <w:p w14:paraId="7D05C048" w14:textId="77777777" w:rsidR="00000000" w:rsidRDefault="00E614A4">
            <w:pPr>
              <w:rPr>
                <w:rFonts w:eastAsia="Times New Roman"/>
              </w:rPr>
            </w:pPr>
            <w:r>
              <w:rPr>
                <w:rFonts w:eastAsia="Times New Roman"/>
                <w:color w:val="000000"/>
                <w:sz w:val="18"/>
                <w:szCs w:val="18"/>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AE845D"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8C784"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AAE3BA" w14:textId="77777777" w:rsidR="00000000" w:rsidRDefault="00E614A4">
            <w:pPr>
              <w:rPr>
                <w:rFonts w:eastAsia="Times New Roman"/>
                <w:sz w:val="20"/>
                <w:szCs w:val="20"/>
              </w:rPr>
            </w:pPr>
          </w:p>
        </w:tc>
      </w:tr>
      <w:tr w:rsidR="00000000" w14:paraId="6C914574" w14:textId="77777777">
        <w:trPr>
          <w:divId w:val="1329595639"/>
          <w:jc w:val="center"/>
        </w:trPr>
        <w:tc>
          <w:tcPr>
            <w:tcW w:w="0" w:type="auto"/>
            <w:gridSpan w:val="3"/>
            <w:shd w:val="clear" w:color="auto" w:fill="CCEEFF"/>
            <w:tcMar>
              <w:top w:w="30" w:type="dxa"/>
              <w:left w:w="20" w:type="dxa"/>
              <w:bottom w:w="30" w:type="dxa"/>
              <w:right w:w="20" w:type="dxa"/>
            </w:tcMar>
            <w:hideMark/>
          </w:tcPr>
          <w:p w14:paraId="53074A7D" w14:textId="77777777" w:rsidR="00000000" w:rsidRDefault="00E614A4">
            <w:pPr>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59C18B07"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F81C7"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22A143" w14:textId="77777777" w:rsidR="00000000" w:rsidRDefault="00E614A4">
            <w:pPr>
              <w:rPr>
                <w:rFonts w:eastAsia="Times New Roman"/>
                <w:sz w:val="20"/>
                <w:szCs w:val="20"/>
              </w:rPr>
            </w:pPr>
          </w:p>
        </w:tc>
      </w:tr>
      <w:tr w:rsidR="00000000" w14:paraId="1DCB0B0A" w14:textId="77777777">
        <w:trPr>
          <w:divId w:val="1329595639"/>
          <w:jc w:val="center"/>
        </w:trPr>
        <w:tc>
          <w:tcPr>
            <w:tcW w:w="0" w:type="auto"/>
            <w:gridSpan w:val="3"/>
            <w:shd w:val="clear" w:color="auto" w:fill="FFFFFF"/>
            <w:tcMar>
              <w:top w:w="30" w:type="dxa"/>
              <w:left w:w="20" w:type="dxa"/>
              <w:bottom w:w="30" w:type="dxa"/>
              <w:right w:w="20" w:type="dxa"/>
            </w:tcMar>
            <w:hideMark/>
          </w:tcPr>
          <w:p w14:paraId="1C22633C" w14:textId="77777777" w:rsidR="00000000" w:rsidRDefault="00E614A4">
            <w:pPr>
              <w:divId w:val="108203475"/>
              <w:rPr>
                <w:rFonts w:eastAsia="Times New Roman"/>
              </w:rPr>
            </w:pPr>
            <w:r>
              <w:rPr>
                <w:rFonts w:eastAsia="Times New Roman"/>
                <w:color w:val="000000"/>
                <w:sz w:val="18"/>
                <w:szCs w:val="18"/>
              </w:rPr>
              <w:t xml:space="preserve">Preferred stock, $0.001 </w:t>
            </w:r>
            <w:r>
              <w:rPr>
                <w:rFonts w:eastAsia="Times New Roman"/>
                <w:color w:val="000000"/>
                <w:sz w:val="18"/>
                <w:szCs w:val="18"/>
              </w:rPr>
              <w:t>par value per share; 5,000,000 shares authorized at December 31, 2020 and 2019; no shares issued or outstanding as of December 31, 2020 or 2019</w:t>
            </w:r>
          </w:p>
        </w:tc>
        <w:tc>
          <w:tcPr>
            <w:tcW w:w="0" w:type="auto"/>
            <w:gridSpan w:val="2"/>
            <w:shd w:val="clear" w:color="auto" w:fill="FFFFFF"/>
            <w:tcMar>
              <w:top w:w="30" w:type="dxa"/>
              <w:left w:w="20" w:type="dxa"/>
              <w:bottom w:w="30" w:type="dxa"/>
              <w:right w:w="0" w:type="dxa"/>
            </w:tcMar>
            <w:vAlign w:val="bottom"/>
            <w:hideMark/>
          </w:tcPr>
          <w:p w14:paraId="6E45C47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8E267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6E0E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CDC0F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700060" w14:textId="77777777" w:rsidR="00000000" w:rsidRDefault="00E614A4">
            <w:pPr>
              <w:jc w:val="right"/>
              <w:rPr>
                <w:rFonts w:eastAsia="Times New Roman"/>
              </w:rPr>
            </w:pPr>
          </w:p>
        </w:tc>
      </w:tr>
      <w:tr w:rsidR="00000000" w14:paraId="1AE205AE" w14:textId="77777777">
        <w:trPr>
          <w:divId w:val="1329595639"/>
          <w:jc w:val="center"/>
        </w:trPr>
        <w:tc>
          <w:tcPr>
            <w:tcW w:w="0" w:type="auto"/>
            <w:gridSpan w:val="3"/>
            <w:shd w:val="clear" w:color="auto" w:fill="CCEEFF"/>
            <w:tcMar>
              <w:top w:w="30" w:type="dxa"/>
              <w:left w:w="20" w:type="dxa"/>
              <w:bottom w:w="30" w:type="dxa"/>
              <w:right w:w="20" w:type="dxa"/>
            </w:tcMar>
            <w:hideMark/>
          </w:tcPr>
          <w:p w14:paraId="11733FE7" w14:textId="77777777" w:rsidR="00000000" w:rsidRDefault="00E614A4">
            <w:pPr>
              <w:divId w:val="1746685607"/>
              <w:rPr>
                <w:rFonts w:eastAsia="Times New Roman"/>
              </w:rPr>
            </w:pPr>
            <w:r>
              <w:rPr>
                <w:rFonts w:eastAsia="Times New Roman"/>
                <w:color w:val="000000"/>
                <w:sz w:val="18"/>
                <w:szCs w:val="18"/>
              </w:rPr>
              <w:t xml:space="preserve">Common stock, $0.001 par value per share; 150,000,000 </w:t>
            </w:r>
            <w:r>
              <w:rPr>
                <w:rFonts w:eastAsia="Times New Roman"/>
                <w:color w:val="000000"/>
                <w:sz w:val="18"/>
                <w:szCs w:val="18"/>
              </w:rPr>
              <w:t>shares authorized as of December 31, 2020 and 2019; 79,703,342 shares issued and 72,938,546 shares outstanding as of December 31, 2020, and 76,829,926 shares issued and 70,065,130 shares outstanding as of December 31, 2019</w:t>
            </w:r>
          </w:p>
        </w:tc>
        <w:tc>
          <w:tcPr>
            <w:tcW w:w="0" w:type="auto"/>
            <w:gridSpan w:val="2"/>
            <w:shd w:val="clear" w:color="auto" w:fill="CCEEFF"/>
            <w:tcMar>
              <w:top w:w="30" w:type="dxa"/>
              <w:left w:w="20" w:type="dxa"/>
              <w:bottom w:w="30" w:type="dxa"/>
              <w:right w:w="0" w:type="dxa"/>
            </w:tcMar>
            <w:vAlign w:val="bottom"/>
            <w:hideMark/>
          </w:tcPr>
          <w:p w14:paraId="0D672D0E" w14:textId="77777777" w:rsidR="00000000" w:rsidRDefault="00E614A4">
            <w:pPr>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4A38250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1B7E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2875B3" w14:textId="77777777" w:rsidR="00000000" w:rsidRDefault="00E614A4">
            <w:pPr>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14:paraId="453845FE" w14:textId="77777777" w:rsidR="00000000" w:rsidRDefault="00E614A4">
            <w:pPr>
              <w:jc w:val="right"/>
              <w:rPr>
                <w:rFonts w:eastAsia="Times New Roman"/>
              </w:rPr>
            </w:pPr>
          </w:p>
        </w:tc>
      </w:tr>
      <w:tr w:rsidR="00000000" w14:paraId="66A7F6F5" w14:textId="77777777">
        <w:trPr>
          <w:divId w:val="1329595639"/>
          <w:jc w:val="center"/>
        </w:trPr>
        <w:tc>
          <w:tcPr>
            <w:tcW w:w="0" w:type="auto"/>
            <w:gridSpan w:val="3"/>
            <w:shd w:val="clear" w:color="auto" w:fill="FFFFFF"/>
            <w:tcMar>
              <w:top w:w="30" w:type="dxa"/>
              <w:left w:w="260" w:type="dxa"/>
              <w:bottom w:w="30" w:type="dxa"/>
              <w:right w:w="20" w:type="dxa"/>
            </w:tcMar>
            <w:hideMark/>
          </w:tcPr>
          <w:p w14:paraId="6C00A6F8" w14:textId="77777777" w:rsidR="00000000" w:rsidRDefault="00E614A4">
            <w:pPr>
              <w:rPr>
                <w:rFonts w:eastAsia="Times New Roman"/>
              </w:rPr>
            </w:pPr>
            <w:r>
              <w:rPr>
                <w:rFonts w:eastAsia="Times New Roman"/>
                <w:color w:val="00000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14:paraId="70127239" w14:textId="77777777" w:rsidR="00000000" w:rsidRDefault="00E614A4">
            <w:pPr>
              <w:jc w:val="right"/>
              <w:rPr>
                <w:rFonts w:eastAsia="Times New Roman"/>
              </w:rPr>
            </w:pPr>
            <w:r>
              <w:rPr>
                <w:rFonts w:eastAsia="Times New Roman"/>
                <w:color w:val="000000"/>
                <w:sz w:val="18"/>
                <w:szCs w:val="18"/>
              </w:rPr>
              <w:t>1,621,986 </w:t>
            </w:r>
          </w:p>
        </w:tc>
        <w:tc>
          <w:tcPr>
            <w:tcW w:w="0" w:type="auto"/>
            <w:shd w:val="clear" w:color="auto" w:fill="FFFFFF"/>
            <w:tcMar>
              <w:top w:w="30" w:type="dxa"/>
              <w:left w:w="0" w:type="dxa"/>
              <w:bottom w:w="30" w:type="dxa"/>
              <w:right w:w="20" w:type="dxa"/>
            </w:tcMar>
            <w:vAlign w:val="bottom"/>
            <w:hideMark/>
          </w:tcPr>
          <w:p w14:paraId="0EB4F7E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975B3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93484F" w14:textId="77777777" w:rsidR="00000000" w:rsidRDefault="00E614A4">
            <w:pPr>
              <w:jc w:val="right"/>
              <w:rPr>
                <w:rFonts w:eastAsia="Times New Roman"/>
              </w:rPr>
            </w:pPr>
            <w:r>
              <w:rPr>
                <w:rFonts w:eastAsia="Times New Roman"/>
                <w:color w:val="000000"/>
                <w:sz w:val="18"/>
                <w:szCs w:val="18"/>
              </w:rPr>
              <w:t>1,609,358 </w:t>
            </w:r>
          </w:p>
        </w:tc>
        <w:tc>
          <w:tcPr>
            <w:tcW w:w="0" w:type="auto"/>
            <w:shd w:val="clear" w:color="auto" w:fill="FFFFFF"/>
            <w:tcMar>
              <w:top w:w="30" w:type="dxa"/>
              <w:left w:w="0" w:type="dxa"/>
              <w:bottom w:w="30" w:type="dxa"/>
              <w:right w:w="20" w:type="dxa"/>
            </w:tcMar>
            <w:vAlign w:val="bottom"/>
            <w:hideMark/>
          </w:tcPr>
          <w:p w14:paraId="3949FE27" w14:textId="77777777" w:rsidR="00000000" w:rsidRDefault="00E614A4">
            <w:pPr>
              <w:jc w:val="right"/>
              <w:rPr>
                <w:rFonts w:eastAsia="Times New Roman"/>
              </w:rPr>
            </w:pPr>
          </w:p>
        </w:tc>
      </w:tr>
      <w:tr w:rsidR="00000000" w14:paraId="59FD4F0D" w14:textId="77777777">
        <w:trPr>
          <w:divId w:val="1329595639"/>
          <w:jc w:val="center"/>
        </w:trPr>
        <w:tc>
          <w:tcPr>
            <w:tcW w:w="0" w:type="auto"/>
            <w:gridSpan w:val="3"/>
            <w:shd w:val="clear" w:color="auto" w:fill="CCEEFF"/>
            <w:tcMar>
              <w:top w:w="30" w:type="dxa"/>
              <w:left w:w="260" w:type="dxa"/>
              <w:bottom w:w="30" w:type="dxa"/>
              <w:right w:w="20" w:type="dxa"/>
            </w:tcMar>
            <w:hideMark/>
          </w:tcPr>
          <w:p w14:paraId="54B9F835" w14:textId="77777777" w:rsidR="00000000" w:rsidRDefault="00E614A4">
            <w:pPr>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7D73F5F9" w14:textId="77777777" w:rsidR="00000000" w:rsidRDefault="00E614A4">
            <w:pPr>
              <w:jc w:val="right"/>
              <w:rPr>
                <w:rFonts w:eastAsia="Times New Roman"/>
              </w:rPr>
            </w:pPr>
            <w:r>
              <w:rPr>
                <w:rFonts w:eastAsia="Times New Roman"/>
                <w:color w:val="000000"/>
                <w:sz w:val="18"/>
                <w:szCs w:val="18"/>
              </w:rPr>
              <w:t>(7,030)</w:t>
            </w:r>
          </w:p>
        </w:tc>
        <w:tc>
          <w:tcPr>
            <w:tcW w:w="0" w:type="auto"/>
            <w:shd w:val="clear" w:color="auto" w:fill="CCEEFF"/>
            <w:tcMar>
              <w:top w:w="30" w:type="dxa"/>
              <w:left w:w="0" w:type="dxa"/>
              <w:bottom w:w="30" w:type="dxa"/>
              <w:right w:w="20" w:type="dxa"/>
            </w:tcMar>
            <w:vAlign w:val="bottom"/>
            <w:hideMark/>
          </w:tcPr>
          <w:p w14:paraId="64B040C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2CF5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C81DE8" w14:textId="77777777" w:rsidR="00000000" w:rsidRDefault="00E614A4">
            <w:pPr>
              <w:jc w:val="right"/>
              <w:rPr>
                <w:rFonts w:eastAsia="Times New Roman"/>
              </w:rPr>
            </w:pPr>
            <w:r>
              <w:rPr>
                <w:rFonts w:eastAsia="Times New Roman"/>
                <w:color w:val="000000"/>
                <w:sz w:val="18"/>
                <w:szCs w:val="18"/>
              </w:rPr>
              <w:t>(12,333)</w:t>
            </w:r>
          </w:p>
        </w:tc>
        <w:tc>
          <w:tcPr>
            <w:tcW w:w="0" w:type="auto"/>
            <w:shd w:val="clear" w:color="auto" w:fill="CCEEFF"/>
            <w:tcMar>
              <w:top w:w="30" w:type="dxa"/>
              <w:left w:w="0" w:type="dxa"/>
              <w:bottom w:w="30" w:type="dxa"/>
              <w:right w:w="20" w:type="dxa"/>
            </w:tcMar>
            <w:vAlign w:val="bottom"/>
            <w:hideMark/>
          </w:tcPr>
          <w:p w14:paraId="3E30320F" w14:textId="77777777" w:rsidR="00000000" w:rsidRDefault="00E614A4">
            <w:pPr>
              <w:jc w:val="right"/>
              <w:rPr>
                <w:rFonts w:eastAsia="Times New Roman"/>
              </w:rPr>
            </w:pPr>
          </w:p>
        </w:tc>
      </w:tr>
      <w:tr w:rsidR="00000000" w14:paraId="6B179567" w14:textId="77777777">
        <w:trPr>
          <w:divId w:val="1329595639"/>
          <w:jc w:val="center"/>
        </w:trPr>
        <w:tc>
          <w:tcPr>
            <w:tcW w:w="0" w:type="auto"/>
            <w:gridSpan w:val="3"/>
            <w:shd w:val="clear" w:color="auto" w:fill="FFFFFF"/>
            <w:tcMar>
              <w:top w:w="30" w:type="dxa"/>
              <w:left w:w="260" w:type="dxa"/>
              <w:bottom w:w="30" w:type="dxa"/>
              <w:right w:w="20" w:type="dxa"/>
            </w:tcMar>
            <w:hideMark/>
          </w:tcPr>
          <w:p w14:paraId="65CE8B40" w14:textId="77777777" w:rsidR="00000000" w:rsidRDefault="00E614A4">
            <w:pPr>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14:paraId="3FC0F4CF" w14:textId="77777777" w:rsidR="00000000" w:rsidRDefault="00E614A4">
            <w:pPr>
              <w:jc w:val="right"/>
              <w:rPr>
                <w:rFonts w:eastAsia="Times New Roman"/>
              </w:rPr>
            </w:pPr>
            <w:r>
              <w:rPr>
                <w:rFonts w:eastAsia="Times New Roman"/>
                <w:color w:val="000000"/>
                <w:sz w:val="18"/>
                <w:szCs w:val="18"/>
              </w:rPr>
              <w:t>(1,156,055)</w:t>
            </w:r>
          </w:p>
        </w:tc>
        <w:tc>
          <w:tcPr>
            <w:tcW w:w="0" w:type="auto"/>
            <w:shd w:val="clear" w:color="auto" w:fill="FFFFFF"/>
            <w:tcMar>
              <w:top w:w="30" w:type="dxa"/>
              <w:left w:w="0" w:type="dxa"/>
              <w:bottom w:w="30" w:type="dxa"/>
              <w:right w:w="20" w:type="dxa"/>
            </w:tcMar>
            <w:vAlign w:val="bottom"/>
            <w:hideMark/>
          </w:tcPr>
          <w:p w14:paraId="687C8BE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F190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40A0D4" w14:textId="77777777" w:rsidR="00000000" w:rsidRDefault="00E614A4">
            <w:pPr>
              <w:jc w:val="right"/>
              <w:rPr>
                <w:rFonts w:eastAsia="Times New Roman"/>
              </w:rPr>
            </w:pPr>
            <w:r>
              <w:rPr>
                <w:rFonts w:eastAsia="Times New Roman"/>
                <w:color w:val="000000"/>
                <w:sz w:val="18"/>
                <w:szCs w:val="18"/>
              </w:rPr>
              <w:t>(1,108,137)</w:t>
            </w:r>
          </w:p>
        </w:tc>
        <w:tc>
          <w:tcPr>
            <w:tcW w:w="0" w:type="auto"/>
            <w:shd w:val="clear" w:color="auto" w:fill="FFFFFF"/>
            <w:tcMar>
              <w:top w:w="30" w:type="dxa"/>
              <w:left w:w="0" w:type="dxa"/>
              <w:bottom w:w="30" w:type="dxa"/>
              <w:right w:w="20" w:type="dxa"/>
            </w:tcMar>
            <w:vAlign w:val="bottom"/>
            <w:hideMark/>
          </w:tcPr>
          <w:p w14:paraId="256692B9" w14:textId="77777777" w:rsidR="00000000" w:rsidRDefault="00E614A4">
            <w:pPr>
              <w:jc w:val="right"/>
              <w:rPr>
                <w:rFonts w:eastAsia="Times New Roman"/>
              </w:rPr>
            </w:pPr>
          </w:p>
        </w:tc>
      </w:tr>
      <w:tr w:rsidR="00000000" w14:paraId="6A9C0B7B" w14:textId="77777777">
        <w:trPr>
          <w:divId w:val="1329595639"/>
          <w:jc w:val="center"/>
        </w:trPr>
        <w:tc>
          <w:tcPr>
            <w:tcW w:w="0" w:type="auto"/>
            <w:gridSpan w:val="3"/>
            <w:shd w:val="clear" w:color="auto" w:fill="CCEEFF"/>
            <w:tcMar>
              <w:top w:w="30" w:type="dxa"/>
              <w:left w:w="20" w:type="dxa"/>
              <w:bottom w:w="30" w:type="dxa"/>
              <w:right w:w="20" w:type="dxa"/>
            </w:tcMar>
            <w:hideMark/>
          </w:tcPr>
          <w:p w14:paraId="02CB743A" w14:textId="77777777" w:rsidR="00000000" w:rsidRDefault="00E614A4">
            <w:pPr>
              <w:divId w:val="136725708"/>
              <w:rPr>
                <w:rFonts w:eastAsia="Times New Roman"/>
              </w:rPr>
            </w:pPr>
            <w:r>
              <w:rPr>
                <w:rFonts w:eastAsia="Times New Roman"/>
                <w:color w:val="000000"/>
                <w:sz w:val="18"/>
                <w:szCs w:val="18"/>
              </w:rPr>
              <w:t xml:space="preserve">Treasury stock, at cost, and 6,764,796 </w:t>
            </w:r>
            <w:r>
              <w:rPr>
                <w:rFonts w:eastAsia="Times New Roman"/>
                <w:color w:val="000000"/>
                <w:sz w:val="18"/>
                <w:szCs w:val="18"/>
              </w:rPr>
              <w:t>shares as of December 31, 2020 and 2019</w:t>
            </w:r>
          </w:p>
        </w:tc>
        <w:tc>
          <w:tcPr>
            <w:tcW w:w="0" w:type="auto"/>
            <w:gridSpan w:val="2"/>
            <w:shd w:val="clear" w:color="auto" w:fill="CCEEFF"/>
            <w:tcMar>
              <w:top w:w="30" w:type="dxa"/>
              <w:left w:w="20" w:type="dxa"/>
              <w:bottom w:w="30" w:type="dxa"/>
              <w:right w:w="0" w:type="dxa"/>
            </w:tcMar>
            <w:vAlign w:val="bottom"/>
            <w:hideMark/>
          </w:tcPr>
          <w:p w14:paraId="52368673" w14:textId="77777777" w:rsidR="00000000" w:rsidRDefault="00E614A4">
            <w:pPr>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10D0B82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5A0D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8F8F4" w14:textId="77777777" w:rsidR="00000000" w:rsidRDefault="00E614A4">
            <w:pPr>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2C238B19" w14:textId="77777777" w:rsidR="00000000" w:rsidRDefault="00E614A4">
            <w:pPr>
              <w:jc w:val="right"/>
              <w:rPr>
                <w:rFonts w:eastAsia="Times New Roman"/>
              </w:rPr>
            </w:pPr>
          </w:p>
        </w:tc>
      </w:tr>
      <w:tr w:rsidR="00000000" w14:paraId="64092632" w14:textId="77777777">
        <w:trPr>
          <w:divId w:val="1329595639"/>
          <w:jc w:val="center"/>
        </w:trPr>
        <w:tc>
          <w:tcPr>
            <w:tcW w:w="0" w:type="auto"/>
            <w:gridSpan w:val="3"/>
            <w:shd w:val="clear" w:color="auto" w:fill="FFFFFF"/>
            <w:tcMar>
              <w:top w:w="30" w:type="dxa"/>
              <w:left w:w="155" w:type="dxa"/>
              <w:bottom w:w="30" w:type="dxa"/>
              <w:right w:w="20" w:type="dxa"/>
            </w:tcMar>
            <w:hideMark/>
          </w:tcPr>
          <w:p w14:paraId="7F715FDF" w14:textId="77777777" w:rsidR="00000000" w:rsidRDefault="00E614A4">
            <w:pPr>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77E752" w14:textId="77777777" w:rsidR="00000000" w:rsidRDefault="00E614A4">
            <w:pPr>
              <w:jc w:val="right"/>
              <w:rPr>
                <w:rFonts w:eastAsia="Times New Roman"/>
              </w:rPr>
            </w:pPr>
            <w:r>
              <w:rPr>
                <w:rFonts w:eastAsia="Times New Roman"/>
                <w:color w:val="000000"/>
                <w:sz w:val="18"/>
                <w:szCs w:val="18"/>
              </w:rPr>
              <w:t>228,990 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F211A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B02FD"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CE71E9" w14:textId="77777777" w:rsidR="00000000" w:rsidRDefault="00E614A4">
            <w:pPr>
              <w:jc w:val="right"/>
              <w:rPr>
                <w:rFonts w:eastAsia="Times New Roman"/>
              </w:rPr>
            </w:pPr>
            <w:r>
              <w:rPr>
                <w:rFonts w:eastAsia="Times New Roman"/>
                <w:color w:val="000000"/>
                <w:sz w:val="18"/>
                <w:szCs w:val="18"/>
              </w:rPr>
              <w:t>258,974 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F4EBDC" w14:textId="77777777" w:rsidR="00000000" w:rsidRDefault="00E614A4">
            <w:pPr>
              <w:jc w:val="right"/>
              <w:rPr>
                <w:rFonts w:eastAsia="Times New Roman"/>
              </w:rPr>
            </w:pPr>
          </w:p>
        </w:tc>
      </w:tr>
      <w:tr w:rsidR="00000000" w14:paraId="6019C7CF" w14:textId="77777777">
        <w:trPr>
          <w:divId w:val="1329595639"/>
          <w:jc w:val="center"/>
        </w:trPr>
        <w:tc>
          <w:tcPr>
            <w:tcW w:w="0" w:type="auto"/>
            <w:gridSpan w:val="3"/>
            <w:shd w:val="clear" w:color="auto" w:fill="CCEEFF"/>
            <w:tcMar>
              <w:top w:w="30" w:type="dxa"/>
              <w:left w:w="155" w:type="dxa"/>
              <w:bottom w:w="30" w:type="dxa"/>
              <w:right w:w="20" w:type="dxa"/>
            </w:tcMar>
            <w:hideMark/>
          </w:tcPr>
          <w:p w14:paraId="4E0B2CBF" w14:textId="77777777" w:rsidR="00000000" w:rsidRDefault="00E614A4">
            <w:pPr>
              <w:rPr>
                <w:rFonts w:eastAsia="Times New Roman"/>
              </w:rPr>
            </w:pPr>
            <w:r>
              <w:rPr>
                <w:rFonts w:eastAsia="Times New Roman"/>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C07A6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245AD1" w14:textId="77777777" w:rsidR="00000000" w:rsidRDefault="00E614A4">
            <w:pPr>
              <w:jc w:val="right"/>
              <w:rPr>
                <w:rFonts w:eastAsia="Times New Roman"/>
              </w:rPr>
            </w:pPr>
            <w:r>
              <w:rPr>
                <w:rFonts w:eastAsia="Times New Roman"/>
                <w:color w:val="000000"/>
                <w:sz w:val="18"/>
                <w:szCs w:val="18"/>
              </w:rPr>
              <w:t>677,970 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BCF3D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473E1"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3E254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27F008" w14:textId="77777777" w:rsidR="00000000" w:rsidRDefault="00E614A4">
            <w:pPr>
              <w:jc w:val="right"/>
              <w:rPr>
                <w:rFonts w:eastAsia="Times New Roman"/>
              </w:rPr>
            </w:pPr>
            <w:r>
              <w:rPr>
                <w:rFonts w:eastAsia="Times New Roman"/>
                <w:color w:val="000000"/>
                <w:sz w:val="18"/>
                <w:szCs w:val="18"/>
              </w:rPr>
              <w:t>723,695 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301170" w14:textId="77777777" w:rsidR="00000000" w:rsidRDefault="00E614A4">
            <w:pPr>
              <w:jc w:val="right"/>
              <w:rPr>
                <w:rFonts w:eastAsia="Times New Roman"/>
              </w:rPr>
            </w:pPr>
          </w:p>
        </w:tc>
      </w:tr>
    </w:tbl>
    <w:p w14:paraId="58132D09" w14:textId="77777777" w:rsidR="00000000" w:rsidRDefault="00E614A4">
      <w:pPr>
        <w:jc w:val="center"/>
        <w:divId w:val="2056613278"/>
        <w:rPr>
          <w:rFonts w:eastAsia="Times New Roman"/>
        </w:rPr>
      </w:pPr>
      <w:r>
        <w:rPr>
          <w:rFonts w:eastAsia="Times New Roman"/>
          <w:color w:val="000000"/>
          <w:sz w:val="18"/>
          <w:szCs w:val="18"/>
        </w:rPr>
        <w:t>See accompanying Notes to Consolidated Financial Statements.</w:t>
      </w:r>
    </w:p>
    <w:p w14:paraId="72B38E21" w14:textId="77777777" w:rsidR="00000000" w:rsidRDefault="00E614A4">
      <w:pPr>
        <w:jc w:val="center"/>
        <w:divId w:val="2056081141"/>
        <w:rPr>
          <w:rFonts w:eastAsia="Times New Roman"/>
        </w:rPr>
      </w:pPr>
      <w:r>
        <w:rPr>
          <w:rFonts w:eastAsia="Times New Roman"/>
          <w:color w:val="000000"/>
          <w:sz w:val="20"/>
          <w:szCs w:val="20"/>
        </w:rPr>
        <w:t>59</w:t>
      </w:r>
    </w:p>
    <w:p w14:paraId="6D607C59" w14:textId="77777777" w:rsidR="00000000" w:rsidRDefault="00E614A4">
      <w:pPr>
        <w:rPr>
          <w:rFonts w:eastAsia="Times New Roman"/>
        </w:rPr>
      </w:pPr>
      <w:r>
        <w:rPr>
          <w:rFonts w:eastAsia="Times New Roman"/>
        </w:rPr>
        <w:pict w14:anchorId="6D0B5A1D">
          <v:rect id="_x0000_i1087" style="width:0;height:1.5pt" o:hralign="center" o:hrstd="t" o:hr="t" fillcolor="#a0a0a0" stroked="f"/>
        </w:pict>
      </w:r>
    </w:p>
    <w:p w14:paraId="298F65FC" w14:textId="77777777" w:rsidR="00000000" w:rsidRDefault="00E614A4">
      <w:pPr>
        <w:divId w:val="530071886"/>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D482D90" w14:textId="77777777" w:rsidR="00000000" w:rsidRDefault="00E614A4">
      <w:pPr>
        <w:divId w:val="1784959028"/>
        <w:rPr>
          <w:rFonts w:eastAsia="Times New Roman"/>
        </w:rPr>
      </w:pPr>
    </w:p>
    <w:p w14:paraId="5508F648" w14:textId="77777777" w:rsidR="00000000" w:rsidRDefault="00E614A4">
      <w:pPr>
        <w:jc w:val="center"/>
        <w:rPr>
          <w:rFonts w:eastAsia="Times New Roman"/>
        </w:rPr>
      </w:pPr>
      <w:r>
        <w:rPr>
          <w:rFonts w:eastAsia="Times New Roman"/>
          <w:b/>
          <w:bCs/>
          <w:color w:val="000000"/>
          <w:sz w:val="20"/>
          <w:szCs w:val="20"/>
        </w:rPr>
        <w:t>COMSCORE, INC.</w:t>
      </w:r>
    </w:p>
    <w:p w14:paraId="53DD037E" w14:textId="77777777" w:rsidR="00000000" w:rsidRDefault="00E614A4">
      <w:pPr>
        <w:jc w:val="center"/>
        <w:rPr>
          <w:rFonts w:eastAsia="Times New Roman"/>
        </w:rPr>
      </w:pPr>
      <w:r>
        <w:rPr>
          <w:rFonts w:eastAsia="Times New Roman"/>
          <w:b/>
          <w:bCs/>
          <w:color w:val="000000"/>
          <w:sz w:val="20"/>
          <w:szCs w:val="20"/>
        </w:rPr>
        <w:t>CONSOLIDATED STATEMENTS OF OPERATIONS AND COMPREHENSIVE LOSS</w:t>
      </w:r>
    </w:p>
    <w:p w14:paraId="60DBE2B8" w14:textId="77777777" w:rsidR="00000000" w:rsidRDefault="00E614A4">
      <w:pPr>
        <w:jc w:val="center"/>
        <w:rPr>
          <w:rFonts w:eastAsia="Times New Roman"/>
        </w:rPr>
      </w:pPr>
      <w:r>
        <w:rPr>
          <w:rFonts w:eastAsia="Times New Roman"/>
          <w:b/>
          <w:bCs/>
          <w:color w:val="000000"/>
          <w:sz w:val="16"/>
          <w:szCs w:val="16"/>
        </w:rPr>
        <w:t>(In thousands, except share and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4610"/>
        <w:gridCol w:w="39"/>
        <w:gridCol w:w="36"/>
        <w:gridCol w:w="36"/>
        <w:gridCol w:w="36"/>
        <w:gridCol w:w="111"/>
        <w:gridCol w:w="950"/>
        <w:gridCol w:w="36"/>
        <w:gridCol w:w="36"/>
        <w:gridCol w:w="36"/>
        <w:gridCol w:w="36"/>
        <w:gridCol w:w="111"/>
        <w:gridCol w:w="951"/>
        <w:gridCol w:w="36"/>
        <w:gridCol w:w="36"/>
        <w:gridCol w:w="36"/>
        <w:gridCol w:w="36"/>
        <w:gridCol w:w="111"/>
        <w:gridCol w:w="951"/>
        <w:gridCol w:w="36"/>
      </w:tblGrid>
      <w:tr w:rsidR="00000000" w14:paraId="7373BB37" w14:textId="77777777">
        <w:trPr>
          <w:divId w:val="709188820"/>
        </w:trPr>
        <w:tc>
          <w:tcPr>
            <w:tcW w:w="50" w:type="pct"/>
            <w:vAlign w:val="center"/>
            <w:hideMark/>
          </w:tcPr>
          <w:p w14:paraId="6E95A6E6" w14:textId="77777777" w:rsidR="00000000" w:rsidRDefault="00E614A4">
            <w:pPr>
              <w:jc w:val="center"/>
              <w:rPr>
                <w:rFonts w:eastAsia="Times New Roman"/>
              </w:rPr>
            </w:pPr>
          </w:p>
        </w:tc>
        <w:tc>
          <w:tcPr>
            <w:tcW w:w="2840" w:type="pct"/>
            <w:vAlign w:val="center"/>
            <w:hideMark/>
          </w:tcPr>
          <w:p w14:paraId="7E30C1A2" w14:textId="77777777" w:rsidR="00000000" w:rsidRDefault="00E614A4">
            <w:pPr>
              <w:rPr>
                <w:rFonts w:eastAsia="Times New Roman"/>
                <w:sz w:val="20"/>
                <w:szCs w:val="20"/>
              </w:rPr>
            </w:pPr>
          </w:p>
        </w:tc>
        <w:tc>
          <w:tcPr>
            <w:tcW w:w="5" w:type="pct"/>
            <w:vAlign w:val="center"/>
            <w:hideMark/>
          </w:tcPr>
          <w:p w14:paraId="2F815C43" w14:textId="77777777" w:rsidR="00000000" w:rsidRDefault="00E614A4">
            <w:pPr>
              <w:rPr>
                <w:rFonts w:eastAsia="Times New Roman"/>
                <w:sz w:val="20"/>
                <w:szCs w:val="20"/>
              </w:rPr>
            </w:pPr>
          </w:p>
        </w:tc>
        <w:tc>
          <w:tcPr>
            <w:tcW w:w="5" w:type="pct"/>
            <w:vAlign w:val="center"/>
            <w:hideMark/>
          </w:tcPr>
          <w:p w14:paraId="10BD4C49" w14:textId="77777777" w:rsidR="00000000" w:rsidRDefault="00E614A4">
            <w:pPr>
              <w:rPr>
                <w:rFonts w:eastAsia="Times New Roman"/>
                <w:sz w:val="20"/>
                <w:szCs w:val="20"/>
              </w:rPr>
            </w:pPr>
          </w:p>
        </w:tc>
        <w:tc>
          <w:tcPr>
            <w:tcW w:w="17" w:type="pct"/>
            <w:vAlign w:val="center"/>
            <w:hideMark/>
          </w:tcPr>
          <w:p w14:paraId="49244D1C" w14:textId="77777777" w:rsidR="00000000" w:rsidRDefault="00E614A4">
            <w:pPr>
              <w:rPr>
                <w:rFonts w:eastAsia="Times New Roman"/>
                <w:sz w:val="20"/>
                <w:szCs w:val="20"/>
              </w:rPr>
            </w:pPr>
          </w:p>
        </w:tc>
        <w:tc>
          <w:tcPr>
            <w:tcW w:w="5" w:type="pct"/>
            <w:vAlign w:val="center"/>
            <w:hideMark/>
          </w:tcPr>
          <w:p w14:paraId="10AEF4AE" w14:textId="77777777" w:rsidR="00000000" w:rsidRDefault="00E614A4">
            <w:pPr>
              <w:rPr>
                <w:rFonts w:eastAsia="Times New Roman"/>
                <w:sz w:val="20"/>
                <w:szCs w:val="20"/>
              </w:rPr>
            </w:pPr>
          </w:p>
        </w:tc>
        <w:tc>
          <w:tcPr>
            <w:tcW w:w="50" w:type="pct"/>
            <w:vAlign w:val="center"/>
            <w:hideMark/>
          </w:tcPr>
          <w:p w14:paraId="22ED71F5" w14:textId="77777777" w:rsidR="00000000" w:rsidRDefault="00E614A4">
            <w:pPr>
              <w:rPr>
                <w:rFonts w:eastAsia="Times New Roman"/>
                <w:sz w:val="20"/>
                <w:szCs w:val="20"/>
              </w:rPr>
            </w:pPr>
          </w:p>
        </w:tc>
        <w:tc>
          <w:tcPr>
            <w:tcW w:w="618" w:type="pct"/>
            <w:vAlign w:val="center"/>
            <w:hideMark/>
          </w:tcPr>
          <w:p w14:paraId="0A398711" w14:textId="77777777" w:rsidR="00000000" w:rsidRDefault="00E614A4">
            <w:pPr>
              <w:rPr>
                <w:rFonts w:eastAsia="Times New Roman"/>
                <w:sz w:val="20"/>
                <w:szCs w:val="20"/>
              </w:rPr>
            </w:pPr>
          </w:p>
        </w:tc>
        <w:tc>
          <w:tcPr>
            <w:tcW w:w="5" w:type="pct"/>
            <w:vAlign w:val="center"/>
            <w:hideMark/>
          </w:tcPr>
          <w:p w14:paraId="5BFF6074" w14:textId="77777777" w:rsidR="00000000" w:rsidRDefault="00E614A4">
            <w:pPr>
              <w:rPr>
                <w:rFonts w:eastAsia="Times New Roman"/>
                <w:sz w:val="20"/>
                <w:szCs w:val="20"/>
              </w:rPr>
            </w:pPr>
          </w:p>
        </w:tc>
        <w:tc>
          <w:tcPr>
            <w:tcW w:w="5" w:type="pct"/>
            <w:vAlign w:val="center"/>
            <w:hideMark/>
          </w:tcPr>
          <w:p w14:paraId="6F2434B4" w14:textId="77777777" w:rsidR="00000000" w:rsidRDefault="00E614A4">
            <w:pPr>
              <w:rPr>
                <w:rFonts w:eastAsia="Times New Roman"/>
                <w:sz w:val="20"/>
                <w:szCs w:val="20"/>
              </w:rPr>
            </w:pPr>
          </w:p>
        </w:tc>
        <w:tc>
          <w:tcPr>
            <w:tcW w:w="17" w:type="pct"/>
            <w:vAlign w:val="center"/>
            <w:hideMark/>
          </w:tcPr>
          <w:p w14:paraId="5B06D32D" w14:textId="77777777" w:rsidR="00000000" w:rsidRDefault="00E614A4">
            <w:pPr>
              <w:rPr>
                <w:rFonts w:eastAsia="Times New Roman"/>
                <w:sz w:val="20"/>
                <w:szCs w:val="20"/>
              </w:rPr>
            </w:pPr>
          </w:p>
        </w:tc>
        <w:tc>
          <w:tcPr>
            <w:tcW w:w="5" w:type="pct"/>
            <w:vAlign w:val="center"/>
            <w:hideMark/>
          </w:tcPr>
          <w:p w14:paraId="2FE053DE" w14:textId="77777777" w:rsidR="00000000" w:rsidRDefault="00E614A4">
            <w:pPr>
              <w:rPr>
                <w:rFonts w:eastAsia="Times New Roman"/>
                <w:sz w:val="20"/>
                <w:szCs w:val="20"/>
              </w:rPr>
            </w:pPr>
          </w:p>
        </w:tc>
        <w:tc>
          <w:tcPr>
            <w:tcW w:w="50" w:type="pct"/>
            <w:vAlign w:val="center"/>
            <w:hideMark/>
          </w:tcPr>
          <w:p w14:paraId="4BFE426A" w14:textId="77777777" w:rsidR="00000000" w:rsidRDefault="00E614A4">
            <w:pPr>
              <w:rPr>
                <w:rFonts w:eastAsia="Times New Roman"/>
                <w:sz w:val="20"/>
                <w:szCs w:val="20"/>
              </w:rPr>
            </w:pPr>
          </w:p>
        </w:tc>
        <w:tc>
          <w:tcPr>
            <w:tcW w:w="618" w:type="pct"/>
            <w:vAlign w:val="center"/>
            <w:hideMark/>
          </w:tcPr>
          <w:p w14:paraId="7446C362" w14:textId="77777777" w:rsidR="00000000" w:rsidRDefault="00E614A4">
            <w:pPr>
              <w:rPr>
                <w:rFonts w:eastAsia="Times New Roman"/>
                <w:sz w:val="20"/>
                <w:szCs w:val="20"/>
              </w:rPr>
            </w:pPr>
          </w:p>
        </w:tc>
        <w:tc>
          <w:tcPr>
            <w:tcW w:w="5" w:type="pct"/>
            <w:vAlign w:val="center"/>
            <w:hideMark/>
          </w:tcPr>
          <w:p w14:paraId="59C26F80" w14:textId="77777777" w:rsidR="00000000" w:rsidRDefault="00E614A4">
            <w:pPr>
              <w:rPr>
                <w:rFonts w:eastAsia="Times New Roman"/>
                <w:sz w:val="20"/>
                <w:szCs w:val="20"/>
              </w:rPr>
            </w:pPr>
          </w:p>
        </w:tc>
        <w:tc>
          <w:tcPr>
            <w:tcW w:w="5" w:type="pct"/>
            <w:vAlign w:val="center"/>
            <w:hideMark/>
          </w:tcPr>
          <w:p w14:paraId="133C66BB" w14:textId="77777777" w:rsidR="00000000" w:rsidRDefault="00E614A4">
            <w:pPr>
              <w:rPr>
                <w:rFonts w:eastAsia="Times New Roman"/>
                <w:sz w:val="20"/>
                <w:szCs w:val="20"/>
              </w:rPr>
            </w:pPr>
          </w:p>
        </w:tc>
        <w:tc>
          <w:tcPr>
            <w:tcW w:w="17" w:type="pct"/>
            <w:vAlign w:val="center"/>
            <w:hideMark/>
          </w:tcPr>
          <w:p w14:paraId="0F3DD6A0" w14:textId="77777777" w:rsidR="00000000" w:rsidRDefault="00E614A4">
            <w:pPr>
              <w:rPr>
                <w:rFonts w:eastAsia="Times New Roman"/>
                <w:sz w:val="20"/>
                <w:szCs w:val="20"/>
              </w:rPr>
            </w:pPr>
          </w:p>
        </w:tc>
        <w:tc>
          <w:tcPr>
            <w:tcW w:w="5" w:type="pct"/>
            <w:vAlign w:val="center"/>
            <w:hideMark/>
          </w:tcPr>
          <w:p w14:paraId="525F5E90" w14:textId="77777777" w:rsidR="00000000" w:rsidRDefault="00E614A4">
            <w:pPr>
              <w:rPr>
                <w:rFonts w:eastAsia="Times New Roman"/>
                <w:sz w:val="20"/>
                <w:szCs w:val="20"/>
              </w:rPr>
            </w:pPr>
          </w:p>
        </w:tc>
        <w:tc>
          <w:tcPr>
            <w:tcW w:w="50" w:type="pct"/>
            <w:vAlign w:val="center"/>
            <w:hideMark/>
          </w:tcPr>
          <w:p w14:paraId="2FBB9B1F" w14:textId="77777777" w:rsidR="00000000" w:rsidRDefault="00E614A4">
            <w:pPr>
              <w:rPr>
                <w:rFonts w:eastAsia="Times New Roman"/>
                <w:sz w:val="20"/>
                <w:szCs w:val="20"/>
              </w:rPr>
            </w:pPr>
          </w:p>
        </w:tc>
        <w:tc>
          <w:tcPr>
            <w:tcW w:w="618" w:type="pct"/>
            <w:vAlign w:val="center"/>
            <w:hideMark/>
          </w:tcPr>
          <w:p w14:paraId="4B3AC1D0" w14:textId="77777777" w:rsidR="00000000" w:rsidRDefault="00E614A4">
            <w:pPr>
              <w:rPr>
                <w:rFonts w:eastAsia="Times New Roman"/>
                <w:sz w:val="20"/>
                <w:szCs w:val="20"/>
              </w:rPr>
            </w:pPr>
          </w:p>
        </w:tc>
        <w:tc>
          <w:tcPr>
            <w:tcW w:w="5" w:type="pct"/>
            <w:vAlign w:val="center"/>
            <w:hideMark/>
          </w:tcPr>
          <w:p w14:paraId="282A2254" w14:textId="77777777" w:rsidR="00000000" w:rsidRDefault="00E614A4">
            <w:pPr>
              <w:rPr>
                <w:rFonts w:eastAsia="Times New Roman"/>
                <w:sz w:val="20"/>
                <w:szCs w:val="20"/>
              </w:rPr>
            </w:pPr>
          </w:p>
        </w:tc>
      </w:tr>
      <w:tr w:rsidR="00000000" w14:paraId="3E3D2F74" w14:textId="77777777">
        <w:trPr>
          <w:divId w:val="709188820"/>
        </w:trPr>
        <w:tc>
          <w:tcPr>
            <w:tcW w:w="0" w:type="auto"/>
            <w:gridSpan w:val="3"/>
            <w:tcMar>
              <w:top w:w="30" w:type="dxa"/>
              <w:left w:w="20" w:type="dxa"/>
              <w:bottom w:w="30" w:type="dxa"/>
              <w:right w:w="20" w:type="dxa"/>
            </w:tcMar>
            <w:vAlign w:val="bottom"/>
            <w:hideMark/>
          </w:tcPr>
          <w:p w14:paraId="39E230DB"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5790F69" w14:textId="77777777" w:rsidR="00000000" w:rsidRDefault="00E614A4">
            <w:pPr>
              <w:rPr>
                <w:rFonts w:eastAsia="Times New Roman"/>
              </w:rPr>
            </w:pPr>
          </w:p>
        </w:tc>
        <w:tc>
          <w:tcPr>
            <w:tcW w:w="0" w:type="auto"/>
            <w:gridSpan w:val="15"/>
            <w:tcMar>
              <w:top w:w="30" w:type="dxa"/>
              <w:left w:w="20" w:type="dxa"/>
              <w:bottom w:w="30" w:type="dxa"/>
              <w:right w:w="20" w:type="dxa"/>
            </w:tcMar>
            <w:vAlign w:val="bottom"/>
            <w:hideMark/>
          </w:tcPr>
          <w:p w14:paraId="0050FE6C"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3E59D659" w14:textId="77777777">
        <w:trPr>
          <w:divId w:val="709188820"/>
        </w:trPr>
        <w:tc>
          <w:tcPr>
            <w:tcW w:w="0" w:type="auto"/>
            <w:gridSpan w:val="3"/>
            <w:tcMar>
              <w:top w:w="0" w:type="dxa"/>
              <w:left w:w="20" w:type="dxa"/>
              <w:bottom w:w="0" w:type="dxa"/>
              <w:right w:w="20" w:type="dxa"/>
            </w:tcMar>
            <w:vAlign w:val="center"/>
            <w:hideMark/>
          </w:tcPr>
          <w:p w14:paraId="4C525427"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0D732A52" w14:textId="77777777" w:rsidR="00000000" w:rsidRDefault="00E614A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62B5093"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6BEE781"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C3FA02"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5D5AF6C4"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B9A775" w14:textId="77777777" w:rsidR="00000000" w:rsidRDefault="00E614A4">
            <w:pPr>
              <w:jc w:val="center"/>
              <w:rPr>
                <w:rFonts w:eastAsia="Times New Roman"/>
              </w:rPr>
            </w:pPr>
            <w:r>
              <w:rPr>
                <w:rFonts w:eastAsia="Times New Roman"/>
                <w:b/>
                <w:bCs/>
                <w:color w:val="000000"/>
                <w:sz w:val="16"/>
                <w:szCs w:val="16"/>
              </w:rPr>
              <w:t>2018</w:t>
            </w:r>
          </w:p>
        </w:tc>
      </w:tr>
      <w:tr w:rsidR="00000000" w14:paraId="0AD73554" w14:textId="77777777">
        <w:trPr>
          <w:divId w:val="709188820"/>
        </w:trPr>
        <w:tc>
          <w:tcPr>
            <w:tcW w:w="0" w:type="auto"/>
            <w:gridSpan w:val="3"/>
            <w:shd w:val="clear" w:color="auto" w:fill="CCEEFF"/>
            <w:tcMar>
              <w:top w:w="30" w:type="dxa"/>
              <w:left w:w="20" w:type="dxa"/>
              <w:bottom w:w="30" w:type="dxa"/>
              <w:right w:w="20" w:type="dxa"/>
            </w:tcMar>
            <w:hideMark/>
          </w:tcPr>
          <w:p w14:paraId="1780D992" w14:textId="77777777" w:rsidR="00000000" w:rsidRDefault="00E614A4">
            <w:pPr>
              <w:divId w:val="1747612418"/>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5276339"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16497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0E1AB3" w14:textId="77777777" w:rsidR="00000000" w:rsidRDefault="00E614A4">
            <w:pPr>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231A2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EE478"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7FA01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2C892A" w14:textId="77777777" w:rsidR="00000000" w:rsidRDefault="00E614A4">
            <w:pPr>
              <w:jc w:val="right"/>
              <w:rPr>
                <w:rFonts w:eastAsia="Times New Roman"/>
              </w:rPr>
            </w:pPr>
            <w:r>
              <w:rPr>
                <w:rFonts w:eastAsia="Times New Roman"/>
                <w:color w:val="000000"/>
                <w:sz w:val="18"/>
                <w:szCs w:val="18"/>
              </w:rPr>
              <w:t>388,645 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6D3B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4196C"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90224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F8955" w14:textId="77777777" w:rsidR="00000000" w:rsidRDefault="00E614A4">
            <w:pPr>
              <w:jc w:val="right"/>
              <w:rPr>
                <w:rFonts w:eastAsia="Times New Roman"/>
              </w:rPr>
            </w:pPr>
            <w:r>
              <w:rPr>
                <w:rFonts w:eastAsia="Times New Roman"/>
                <w:color w:val="000000"/>
                <w:sz w:val="18"/>
                <w:szCs w:val="18"/>
              </w:rPr>
              <w:t>419,482 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C45AAB" w14:textId="77777777" w:rsidR="00000000" w:rsidRDefault="00E614A4">
            <w:pPr>
              <w:jc w:val="right"/>
              <w:rPr>
                <w:rFonts w:eastAsia="Times New Roman"/>
              </w:rPr>
            </w:pPr>
          </w:p>
        </w:tc>
      </w:tr>
      <w:tr w:rsidR="00000000" w14:paraId="5523B4AD" w14:textId="77777777">
        <w:trPr>
          <w:divId w:val="709188820"/>
          <w:trHeight w:val="240"/>
        </w:trPr>
        <w:tc>
          <w:tcPr>
            <w:tcW w:w="0" w:type="auto"/>
            <w:gridSpan w:val="3"/>
            <w:shd w:val="clear" w:color="auto" w:fill="FFFFFF"/>
            <w:tcMar>
              <w:top w:w="0" w:type="dxa"/>
              <w:left w:w="20" w:type="dxa"/>
              <w:bottom w:w="0" w:type="dxa"/>
              <w:right w:w="20" w:type="dxa"/>
            </w:tcMar>
            <w:vAlign w:val="center"/>
            <w:hideMark/>
          </w:tcPr>
          <w:p w14:paraId="7D259DDF" w14:textId="77777777" w:rsidR="00000000" w:rsidRDefault="00E614A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26635B"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BE70E8"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FE1566"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87CED5"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16A6FC"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10D0B6" w14:textId="77777777" w:rsidR="00000000" w:rsidRDefault="00E614A4">
            <w:pPr>
              <w:rPr>
                <w:rFonts w:eastAsia="Times New Roman"/>
                <w:sz w:val="20"/>
                <w:szCs w:val="20"/>
              </w:rPr>
            </w:pPr>
          </w:p>
        </w:tc>
      </w:tr>
      <w:tr w:rsidR="00000000" w14:paraId="7E1811FF" w14:textId="77777777">
        <w:trPr>
          <w:divId w:val="709188820"/>
        </w:trPr>
        <w:tc>
          <w:tcPr>
            <w:tcW w:w="0" w:type="auto"/>
            <w:gridSpan w:val="3"/>
            <w:shd w:val="clear" w:color="auto" w:fill="CCEEFF"/>
            <w:tcMar>
              <w:top w:w="30" w:type="dxa"/>
              <w:left w:w="20" w:type="dxa"/>
              <w:bottom w:w="30" w:type="dxa"/>
              <w:right w:w="20" w:type="dxa"/>
            </w:tcMar>
            <w:hideMark/>
          </w:tcPr>
          <w:p w14:paraId="55D73387" w14:textId="77777777" w:rsidR="00000000" w:rsidRDefault="00E614A4">
            <w:pPr>
              <w:divId w:val="1312128729"/>
              <w:rPr>
                <w:rFonts w:eastAsia="Times New Roman"/>
              </w:rPr>
            </w:pPr>
            <w:r>
              <w:rPr>
                <w:rFonts w:eastAsia="Times New Roman"/>
                <w:color w:val="000000"/>
                <w:sz w:val="18"/>
                <w:szCs w:val="18"/>
              </w:rPr>
              <w:t>Cost of revenues</w:t>
            </w:r>
            <w:r>
              <w:rPr>
                <w:rFonts w:eastAsia="Times New Roman"/>
                <w:i/>
                <w:iCs/>
                <w:color w:val="000000"/>
                <w:sz w:val="18"/>
                <w:szCs w:val="18"/>
              </w:rPr>
              <w:t xml:space="preserve"> </w:t>
            </w:r>
            <w:r>
              <w:rPr>
                <w:rFonts w:eastAsia="Times New Roman"/>
                <w:i/>
                <w:iCs/>
                <w:color w:val="000000"/>
                <w:sz w:val="12"/>
                <w:szCs w:val="12"/>
              </w:rPr>
              <w:t>(1) (2) (3</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BE0A459"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0DD029" w14:textId="77777777" w:rsidR="00000000" w:rsidRDefault="00E614A4">
            <w:pPr>
              <w:jc w:val="right"/>
              <w:rPr>
                <w:rFonts w:eastAsia="Times New Roman"/>
              </w:rPr>
            </w:pPr>
            <w:r>
              <w:rPr>
                <w:rFonts w:eastAsia="Times New Roman"/>
                <w:color w:val="000000"/>
                <w:sz w:val="18"/>
                <w:szCs w:val="18"/>
              </w:rPr>
              <w:t>180,712 </w:t>
            </w:r>
          </w:p>
        </w:tc>
        <w:tc>
          <w:tcPr>
            <w:tcW w:w="0" w:type="auto"/>
            <w:shd w:val="clear" w:color="auto" w:fill="CCEEFF"/>
            <w:tcMar>
              <w:top w:w="30" w:type="dxa"/>
              <w:left w:w="0" w:type="dxa"/>
              <w:bottom w:w="30" w:type="dxa"/>
              <w:right w:w="20" w:type="dxa"/>
            </w:tcMar>
            <w:vAlign w:val="bottom"/>
            <w:hideMark/>
          </w:tcPr>
          <w:p w14:paraId="10F788F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E3DE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AA90E6" w14:textId="77777777" w:rsidR="00000000" w:rsidRDefault="00E614A4">
            <w:pPr>
              <w:jc w:val="right"/>
              <w:rPr>
                <w:rFonts w:eastAsia="Times New Roman"/>
              </w:rPr>
            </w:pPr>
            <w:r>
              <w:rPr>
                <w:rFonts w:eastAsia="Times New Roman"/>
                <w:color w:val="000000"/>
                <w:sz w:val="18"/>
                <w:szCs w:val="18"/>
              </w:rPr>
              <w:t>199,622 </w:t>
            </w:r>
          </w:p>
        </w:tc>
        <w:tc>
          <w:tcPr>
            <w:tcW w:w="0" w:type="auto"/>
            <w:shd w:val="clear" w:color="auto" w:fill="CCEEFF"/>
            <w:tcMar>
              <w:top w:w="30" w:type="dxa"/>
              <w:left w:w="0" w:type="dxa"/>
              <w:bottom w:w="30" w:type="dxa"/>
              <w:right w:w="20" w:type="dxa"/>
            </w:tcMar>
            <w:vAlign w:val="bottom"/>
            <w:hideMark/>
          </w:tcPr>
          <w:p w14:paraId="0985C5A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CC9C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D5818D" w14:textId="77777777" w:rsidR="00000000" w:rsidRDefault="00E614A4">
            <w:pPr>
              <w:jc w:val="right"/>
              <w:rPr>
                <w:rFonts w:eastAsia="Times New Roman"/>
              </w:rPr>
            </w:pPr>
            <w:r>
              <w:rPr>
                <w:rFonts w:eastAsia="Times New Roman"/>
                <w:color w:val="000000"/>
                <w:sz w:val="18"/>
                <w:szCs w:val="18"/>
              </w:rPr>
              <w:t>200,220 </w:t>
            </w:r>
          </w:p>
        </w:tc>
        <w:tc>
          <w:tcPr>
            <w:tcW w:w="0" w:type="auto"/>
            <w:shd w:val="clear" w:color="auto" w:fill="CCEEFF"/>
            <w:tcMar>
              <w:top w:w="30" w:type="dxa"/>
              <w:left w:w="0" w:type="dxa"/>
              <w:bottom w:w="30" w:type="dxa"/>
              <w:right w:w="20" w:type="dxa"/>
            </w:tcMar>
            <w:vAlign w:val="bottom"/>
            <w:hideMark/>
          </w:tcPr>
          <w:p w14:paraId="28D7E926" w14:textId="77777777" w:rsidR="00000000" w:rsidRDefault="00E614A4">
            <w:pPr>
              <w:jc w:val="right"/>
              <w:rPr>
                <w:rFonts w:eastAsia="Times New Roman"/>
              </w:rPr>
            </w:pPr>
          </w:p>
        </w:tc>
      </w:tr>
      <w:tr w:rsidR="00000000" w14:paraId="708151B5" w14:textId="77777777">
        <w:trPr>
          <w:divId w:val="709188820"/>
        </w:trPr>
        <w:tc>
          <w:tcPr>
            <w:tcW w:w="0" w:type="auto"/>
            <w:gridSpan w:val="3"/>
            <w:shd w:val="clear" w:color="auto" w:fill="FFFFFF"/>
            <w:tcMar>
              <w:top w:w="30" w:type="dxa"/>
              <w:left w:w="20" w:type="dxa"/>
              <w:bottom w:w="30" w:type="dxa"/>
              <w:right w:w="20" w:type="dxa"/>
            </w:tcMar>
            <w:hideMark/>
          </w:tcPr>
          <w:p w14:paraId="7C775081" w14:textId="77777777" w:rsidR="00000000" w:rsidRDefault="00E614A4">
            <w:pPr>
              <w:divId w:val="25569875"/>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i/>
                <w:iCs/>
                <w:color w:val="000000"/>
                <w:sz w:val="12"/>
                <w:szCs w:val="12"/>
              </w:rPr>
              <w:t>(1) (3</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8586239"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BCD3D6" w14:textId="77777777" w:rsidR="00000000" w:rsidRDefault="00E614A4">
            <w:pPr>
              <w:jc w:val="right"/>
              <w:rPr>
                <w:rFonts w:eastAsia="Times New Roman"/>
              </w:rPr>
            </w:pPr>
            <w:r>
              <w:rPr>
                <w:rFonts w:eastAsia="Times New Roman"/>
                <w:color w:val="000000"/>
                <w:sz w:val="18"/>
                <w:szCs w:val="18"/>
              </w:rPr>
              <w:t>70,220 </w:t>
            </w:r>
          </w:p>
        </w:tc>
        <w:tc>
          <w:tcPr>
            <w:tcW w:w="0" w:type="auto"/>
            <w:shd w:val="clear" w:color="auto" w:fill="FFFFFF"/>
            <w:tcMar>
              <w:top w:w="30" w:type="dxa"/>
              <w:left w:w="0" w:type="dxa"/>
              <w:bottom w:w="30" w:type="dxa"/>
              <w:right w:w="20" w:type="dxa"/>
            </w:tcMar>
            <w:vAlign w:val="bottom"/>
            <w:hideMark/>
          </w:tcPr>
          <w:p w14:paraId="04179C4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1FF1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3500C2" w14:textId="77777777" w:rsidR="00000000" w:rsidRDefault="00E614A4">
            <w:pPr>
              <w:jc w:val="right"/>
              <w:rPr>
                <w:rFonts w:eastAsia="Times New Roman"/>
              </w:rPr>
            </w:pPr>
            <w:r>
              <w:rPr>
                <w:rFonts w:eastAsia="Times New Roman"/>
                <w:color w:val="000000"/>
                <w:sz w:val="18"/>
                <w:szCs w:val="18"/>
              </w:rPr>
              <w:t>89,145 </w:t>
            </w:r>
          </w:p>
        </w:tc>
        <w:tc>
          <w:tcPr>
            <w:tcW w:w="0" w:type="auto"/>
            <w:shd w:val="clear" w:color="auto" w:fill="FFFFFF"/>
            <w:tcMar>
              <w:top w:w="30" w:type="dxa"/>
              <w:left w:w="0" w:type="dxa"/>
              <w:bottom w:w="30" w:type="dxa"/>
              <w:right w:w="20" w:type="dxa"/>
            </w:tcMar>
            <w:vAlign w:val="bottom"/>
            <w:hideMark/>
          </w:tcPr>
          <w:p w14:paraId="4B6AEAA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B973F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1CBE0" w14:textId="77777777" w:rsidR="00000000" w:rsidRDefault="00E614A4">
            <w:pPr>
              <w:jc w:val="right"/>
              <w:rPr>
                <w:rFonts w:eastAsia="Times New Roman"/>
              </w:rPr>
            </w:pPr>
            <w:r>
              <w:rPr>
                <w:rFonts w:eastAsia="Times New Roman"/>
                <w:color w:val="000000"/>
                <w:sz w:val="18"/>
                <w:szCs w:val="18"/>
              </w:rPr>
              <w:t>108,395 </w:t>
            </w:r>
          </w:p>
        </w:tc>
        <w:tc>
          <w:tcPr>
            <w:tcW w:w="0" w:type="auto"/>
            <w:shd w:val="clear" w:color="auto" w:fill="FFFFFF"/>
            <w:tcMar>
              <w:top w:w="30" w:type="dxa"/>
              <w:left w:w="0" w:type="dxa"/>
              <w:bottom w:w="30" w:type="dxa"/>
              <w:right w:w="20" w:type="dxa"/>
            </w:tcMar>
            <w:vAlign w:val="bottom"/>
            <w:hideMark/>
          </w:tcPr>
          <w:p w14:paraId="22173CB9" w14:textId="77777777" w:rsidR="00000000" w:rsidRDefault="00E614A4">
            <w:pPr>
              <w:jc w:val="right"/>
              <w:rPr>
                <w:rFonts w:eastAsia="Times New Roman"/>
              </w:rPr>
            </w:pPr>
          </w:p>
        </w:tc>
      </w:tr>
      <w:tr w:rsidR="00000000" w14:paraId="1293A99D" w14:textId="77777777">
        <w:trPr>
          <w:divId w:val="709188820"/>
        </w:trPr>
        <w:tc>
          <w:tcPr>
            <w:tcW w:w="0" w:type="auto"/>
            <w:gridSpan w:val="3"/>
            <w:shd w:val="clear" w:color="auto" w:fill="CCEEFF"/>
            <w:tcMar>
              <w:top w:w="30" w:type="dxa"/>
              <w:left w:w="20" w:type="dxa"/>
              <w:bottom w:w="30" w:type="dxa"/>
              <w:right w:w="20" w:type="dxa"/>
            </w:tcMar>
            <w:hideMark/>
          </w:tcPr>
          <w:p w14:paraId="2C28780E" w14:textId="77777777" w:rsidR="00000000" w:rsidRDefault="00E614A4">
            <w:pPr>
              <w:divId w:val="1303928443"/>
              <w:rPr>
                <w:rFonts w:eastAsia="Times New Roman"/>
              </w:rPr>
            </w:pPr>
            <w:r>
              <w:rPr>
                <w:rFonts w:eastAsia="Times New Roman"/>
                <w:color w:val="000000"/>
                <w:sz w:val="18"/>
                <w:szCs w:val="18"/>
              </w:rPr>
              <w:t>Research and development</w:t>
            </w:r>
            <w:r>
              <w:rPr>
                <w:rFonts w:eastAsia="Times New Roman"/>
                <w:i/>
                <w:iCs/>
                <w:color w:val="000000"/>
                <w:sz w:val="18"/>
                <w:szCs w:val="18"/>
              </w:rPr>
              <w:t xml:space="preserve"> </w:t>
            </w:r>
            <w:r>
              <w:rPr>
                <w:rFonts w:eastAsia="Times New Roman"/>
                <w:i/>
                <w:iCs/>
                <w:color w:val="000000"/>
                <w:sz w:val="12"/>
                <w:szCs w:val="12"/>
              </w:rPr>
              <w:t>(1) (3</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79268C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C9B2BE" w14:textId="77777777" w:rsidR="00000000" w:rsidRDefault="00E614A4">
            <w:pPr>
              <w:jc w:val="right"/>
              <w:rPr>
                <w:rFonts w:eastAsia="Times New Roman"/>
              </w:rPr>
            </w:pPr>
            <w:r>
              <w:rPr>
                <w:rFonts w:eastAsia="Times New Roman"/>
                <w:color w:val="000000"/>
                <w:sz w:val="18"/>
                <w:szCs w:val="18"/>
              </w:rPr>
              <w:t>38,706 </w:t>
            </w:r>
          </w:p>
        </w:tc>
        <w:tc>
          <w:tcPr>
            <w:tcW w:w="0" w:type="auto"/>
            <w:shd w:val="clear" w:color="auto" w:fill="CCEEFF"/>
            <w:tcMar>
              <w:top w:w="30" w:type="dxa"/>
              <w:left w:w="0" w:type="dxa"/>
              <w:bottom w:w="30" w:type="dxa"/>
              <w:right w:w="20" w:type="dxa"/>
            </w:tcMar>
            <w:vAlign w:val="bottom"/>
            <w:hideMark/>
          </w:tcPr>
          <w:p w14:paraId="72DAFBD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B3DC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7D74ED" w14:textId="77777777" w:rsidR="00000000" w:rsidRDefault="00E614A4">
            <w:pPr>
              <w:jc w:val="right"/>
              <w:rPr>
                <w:rFonts w:eastAsia="Times New Roman"/>
              </w:rPr>
            </w:pPr>
            <w:r>
              <w:rPr>
                <w:rFonts w:eastAsia="Times New Roman"/>
                <w:color w:val="000000"/>
                <w:sz w:val="18"/>
                <w:szCs w:val="18"/>
              </w:rPr>
              <w:t>61,802 </w:t>
            </w:r>
          </w:p>
        </w:tc>
        <w:tc>
          <w:tcPr>
            <w:tcW w:w="0" w:type="auto"/>
            <w:shd w:val="clear" w:color="auto" w:fill="CCEEFF"/>
            <w:tcMar>
              <w:top w:w="30" w:type="dxa"/>
              <w:left w:w="0" w:type="dxa"/>
              <w:bottom w:w="30" w:type="dxa"/>
              <w:right w:w="20" w:type="dxa"/>
            </w:tcMar>
            <w:vAlign w:val="bottom"/>
            <w:hideMark/>
          </w:tcPr>
          <w:p w14:paraId="41FB711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DE2F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68B0EA" w14:textId="77777777" w:rsidR="00000000" w:rsidRDefault="00E614A4">
            <w:pPr>
              <w:jc w:val="right"/>
              <w:rPr>
                <w:rFonts w:eastAsia="Times New Roman"/>
              </w:rPr>
            </w:pPr>
            <w:r>
              <w:rPr>
                <w:rFonts w:eastAsia="Times New Roman"/>
                <w:color w:val="000000"/>
                <w:sz w:val="18"/>
                <w:szCs w:val="18"/>
              </w:rPr>
              <w:t>76,979 </w:t>
            </w:r>
          </w:p>
        </w:tc>
        <w:tc>
          <w:tcPr>
            <w:tcW w:w="0" w:type="auto"/>
            <w:shd w:val="clear" w:color="auto" w:fill="CCEEFF"/>
            <w:tcMar>
              <w:top w:w="30" w:type="dxa"/>
              <w:left w:w="0" w:type="dxa"/>
              <w:bottom w:w="30" w:type="dxa"/>
              <w:right w:w="20" w:type="dxa"/>
            </w:tcMar>
            <w:vAlign w:val="bottom"/>
            <w:hideMark/>
          </w:tcPr>
          <w:p w14:paraId="1057C7AB" w14:textId="77777777" w:rsidR="00000000" w:rsidRDefault="00E614A4">
            <w:pPr>
              <w:jc w:val="right"/>
              <w:rPr>
                <w:rFonts w:eastAsia="Times New Roman"/>
              </w:rPr>
            </w:pPr>
          </w:p>
        </w:tc>
      </w:tr>
      <w:tr w:rsidR="00000000" w14:paraId="41AF3F02" w14:textId="77777777">
        <w:trPr>
          <w:divId w:val="709188820"/>
        </w:trPr>
        <w:tc>
          <w:tcPr>
            <w:tcW w:w="0" w:type="auto"/>
            <w:gridSpan w:val="3"/>
            <w:shd w:val="clear" w:color="auto" w:fill="FFFFFF"/>
            <w:tcMar>
              <w:top w:w="30" w:type="dxa"/>
              <w:left w:w="20" w:type="dxa"/>
              <w:bottom w:w="30" w:type="dxa"/>
              <w:right w:w="20" w:type="dxa"/>
            </w:tcMar>
            <w:hideMark/>
          </w:tcPr>
          <w:p w14:paraId="45DEB23E" w14:textId="77777777" w:rsidR="00000000" w:rsidRDefault="00E614A4">
            <w:pPr>
              <w:divId w:val="769009230"/>
              <w:rPr>
                <w:rFonts w:eastAsia="Times New Roman"/>
              </w:rPr>
            </w:pPr>
            <w:r>
              <w:rPr>
                <w:rFonts w:eastAsia="Times New Roman"/>
                <w:color w:val="000000"/>
                <w:sz w:val="18"/>
                <w:szCs w:val="18"/>
              </w:rPr>
              <w:t>General and administrative</w:t>
            </w:r>
            <w:r>
              <w:rPr>
                <w:rFonts w:eastAsia="Times New Roman"/>
                <w:i/>
                <w:iCs/>
                <w:color w:val="000000"/>
                <w:sz w:val="18"/>
                <w:szCs w:val="18"/>
              </w:rPr>
              <w:t xml:space="preserve"> </w:t>
            </w:r>
            <w:r>
              <w:rPr>
                <w:rFonts w:eastAsia="Times New Roman"/>
                <w:i/>
                <w:iCs/>
                <w:color w:val="000000"/>
                <w:sz w:val="12"/>
                <w:szCs w:val="12"/>
              </w:rPr>
              <w:t>(1) (2) (3</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B68D5EF"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E3EA65" w14:textId="77777777" w:rsidR="00000000" w:rsidRDefault="00E614A4">
            <w:pPr>
              <w:jc w:val="right"/>
              <w:rPr>
                <w:rFonts w:eastAsia="Times New Roman"/>
              </w:rPr>
            </w:pPr>
            <w:r>
              <w:rPr>
                <w:rFonts w:eastAsia="Times New Roman"/>
                <w:color w:val="000000"/>
                <w:sz w:val="18"/>
                <w:szCs w:val="18"/>
              </w:rPr>
              <w:t>55,783 </w:t>
            </w:r>
          </w:p>
        </w:tc>
        <w:tc>
          <w:tcPr>
            <w:tcW w:w="0" w:type="auto"/>
            <w:shd w:val="clear" w:color="auto" w:fill="FFFFFF"/>
            <w:tcMar>
              <w:top w:w="30" w:type="dxa"/>
              <w:left w:w="0" w:type="dxa"/>
              <w:bottom w:w="30" w:type="dxa"/>
              <w:right w:w="20" w:type="dxa"/>
            </w:tcMar>
            <w:vAlign w:val="bottom"/>
            <w:hideMark/>
          </w:tcPr>
          <w:p w14:paraId="75A403D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48FE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12BF7" w14:textId="77777777" w:rsidR="00000000" w:rsidRDefault="00E614A4">
            <w:pPr>
              <w:jc w:val="right"/>
              <w:rPr>
                <w:rFonts w:eastAsia="Times New Roman"/>
              </w:rPr>
            </w:pPr>
            <w:r>
              <w:rPr>
                <w:rFonts w:eastAsia="Times New Roman"/>
                <w:color w:val="000000"/>
                <w:sz w:val="18"/>
                <w:szCs w:val="18"/>
              </w:rPr>
              <w:t>66,419 </w:t>
            </w:r>
          </w:p>
        </w:tc>
        <w:tc>
          <w:tcPr>
            <w:tcW w:w="0" w:type="auto"/>
            <w:shd w:val="clear" w:color="auto" w:fill="FFFFFF"/>
            <w:tcMar>
              <w:top w:w="30" w:type="dxa"/>
              <w:left w:w="0" w:type="dxa"/>
              <w:bottom w:w="30" w:type="dxa"/>
              <w:right w:w="20" w:type="dxa"/>
            </w:tcMar>
            <w:vAlign w:val="bottom"/>
            <w:hideMark/>
          </w:tcPr>
          <w:p w14:paraId="5580928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1F8D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335778" w14:textId="77777777" w:rsidR="00000000" w:rsidRDefault="00E614A4">
            <w:pPr>
              <w:jc w:val="right"/>
              <w:rPr>
                <w:rFonts w:eastAsia="Times New Roman"/>
              </w:rPr>
            </w:pPr>
            <w:r>
              <w:rPr>
                <w:rFonts w:eastAsia="Times New Roman"/>
                <w:color w:val="000000"/>
                <w:sz w:val="18"/>
                <w:szCs w:val="18"/>
              </w:rPr>
              <w:t>84,535 </w:t>
            </w:r>
          </w:p>
        </w:tc>
        <w:tc>
          <w:tcPr>
            <w:tcW w:w="0" w:type="auto"/>
            <w:shd w:val="clear" w:color="auto" w:fill="FFFFFF"/>
            <w:tcMar>
              <w:top w:w="30" w:type="dxa"/>
              <w:left w:w="0" w:type="dxa"/>
              <w:bottom w:w="30" w:type="dxa"/>
              <w:right w:w="20" w:type="dxa"/>
            </w:tcMar>
            <w:vAlign w:val="bottom"/>
            <w:hideMark/>
          </w:tcPr>
          <w:p w14:paraId="2DAF85DD" w14:textId="77777777" w:rsidR="00000000" w:rsidRDefault="00E614A4">
            <w:pPr>
              <w:jc w:val="right"/>
              <w:rPr>
                <w:rFonts w:eastAsia="Times New Roman"/>
              </w:rPr>
            </w:pPr>
          </w:p>
        </w:tc>
      </w:tr>
      <w:tr w:rsidR="00000000" w14:paraId="127A9B8B" w14:textId="77777777">
        <w:trPr>
          <w:divId w:val="709188820"/>
        </w:trPr>
        <w:tc>
          <w:tcPr>
            <w:tcW w:w="0" w:type="auto"/>
            <w:gridSpan w:val="3"/>
            <w:shd w:val="clear" w:color="auto" w:fill="CCEEFF"/>
            <w:tcMar>
              <w:top w:w="30" w:type="dxa"/>
              <w:left w:w="20" w:type="dxa"/>
              <w:bottom w:w="30" w:type="dxa"/>
              <w:right w:w="20" w:type="dxa"/>
            </w:tcMar>
            <w:hideMark/>
          </w:tcPr>
          <w:p w14:paraId="7B1113C1" w14:textId="77777777" w:rsidR="00000000" w:rsidRDefault="00E614A4">
            <w:pPr>
              <w:rPr>
                <w:rFonts w:eastAsia="Times New Roman"/>
              </w:rPr>
            </w:pPr>
            <w:r>
              <w:rPr>
                <w:rFonts w:eastAsia="Times New Roman"/>
                <w:color w:val="000000"/>
                <w:sz w:val="18"/>
                <w:szCs w:val="18"/>
              </w:rPr>
              <w:t xml:space="preserve">Amortization of intangible assets </w:t>
            </w:r>
          </w:p>
        </w:tc>
        <w:tc>
          <w:tcPr>
            <w:tcW w:w="0" w:type="auto"/>
            <w:gridSpan w:val="3"/>
            <w:shd w:val="clear" w:color="auto" w:fill="CCEEFF"/>
            <w:tcMar>
              <w:top w:w="0" w:type="dxa"/>
              <w:left w:w="20" w:type="dxa"/>
              <w:bottom w:w="0" w:type="dxa"/>
              <w:right w:w="20" w:type="dxa"/>
            </w:tcMar>
            <w:vAlign w:val="center"/>
            <w:hideMark/>
          </w:tcPr>
          <w:p w14:paraId="592FBFC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DC5E01" w14:textId="77777777" w:rsidR="00000000" w:rsidRDefault="00E614A4">
            <w:pPr>
              <w:jc w:val="right"/>
              <w:rPr>
                <w:rFonts w:eastAsia="Times New Roman"/>
              </w:rPr>
            </w:pPr>
            <w:r>
              <w:rPr>
                <w:rFonts w:eastAsia="Times New Roman"/>
                <w:color w:val="000000"/>
                <w:sz w:val="18"/>
                <w:szCs w:val="18"/>
              </w:rPr>
              <w:t>27,219 </w:t>
            </w:r>
          </w:p>
        </w:tc>
        <w:tc>
          <w:tcPr>
            <w:tcW w:w="0" w:type="auto"/>
            <w:shd w:val="clear" w:color="auto" w:fill="CCEEFF"/>
            <w:tcMar>
              <w:top w:w="30" w:type="dxa"/>
              <w:left w:w="0" w:type="dxa"/>
              <w:bottom w:w="30" w:type="dxa"/>
              <w:right w:w="20" w:type="dxa"/>
            </w:tcMar>
            <w:vAlign w:val="bottom"/>
            <w:hideMark/>
          </w:tcPr>
          <w:p w14:paraId="7C0F0EB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5B30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A27800" w14:textId="77777777" w:rsidR="00000000" w:rsidRDefault="00E614A4">
            <w:pPr>
              <w:jc w:val="right"/>
              <w:rPr>
                <w:rFonts w:eastAsia="Times New Roman"/>
              </w:rPr>
            </w:pPr>
            <w:r>
              <w:rPr>
                <w:rFonts w:eastAsia="Times New Roman"/>
                <w:color w:val="000000"/>
                <w:sz w:val="18"/>
                <w:szCs w:val="18"/>
              </w:rPr>
              <w:t>30,076 </w:t>
            </w:r>
          </w:p>
        </w:tc>
        <w:tc>
          <w:tcPr>
            <w:tcW w:w="0" w:type="auto"/>
            <w:shd w:val="clear" w:color="auto" w:fill="CCEEFF"/>
            <w:tcMar>
              <w:top w:w="30" w:type="dxa"/>
              <w:left w:w="0" w:type="dxa"/>
              <w:bottom w:w="30" w:type="dxa"/>
              <w:right w:w="20" w:type="dxa"/>
            </w:tcMar>
            <w:vAlign w:val="bottom"/>
            <w:hideMark/>
          </w:tcPr>
          <w:p w14:paraId="7CE26B0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0828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0D05B6" w14:textId="77777777" w:rsidR="00000000" w:rsidRDefault="00E614A4">
            <w:pPr>
              <w:jc w:val="right"/>
              <w:rPr>
                <w:rFonts w:eastAsia="Times New Roman"/>
              </w:rPr>
            </w:pPr>
            <w:r>
              <w:rPr>
                <w:rFonts w:eastAsia="Times New Roman"/>
                <w:color w:val="000000"/>
                <w:sz w:val="18"/>
                <w:szCs w:val="18"/>
              </w:rPr>
              <w:t>32,864 </w:t>
            </w:r>
          </w:p>
        </w:tc>
        <w:tc>
          <w:tcPr>
            <w:tcW w:w="0" w:type="auto"/>
            <w:shd w:val="clear" w:color="auto" w:fill="CCEEFF"/>
            <w:tcMar>
              <w:top w:w="30" w:type="dxa"/>
              <w:left w:w="0" w:type="dxa"/>
              <w:bottom w:w="30" w:type="dxa"/>
              <w:right w:w="20" w:type="dxa"/>
            </w:tcMar>
            <w:vAlign w:val="bottom"/>
            <w:hideMark/>
          </w:tcPr>
          <w:p w14:paraId="6BA0CA37" w14:textId="77777777" w:rsidR="00000000" w:rsidRDefault="00E614A4">
            <w:pPr>
              <w:jc w:val="right"/>
              <w:rPr>
                <w:rFonts w:eastAsia="Times New Roman"/>
              </w:rPr>
            </w:pPr>
          </w:p>
        </w:tc>
      </w:tr>
      <w:tr w:rsidR="00000000" w14:paraId="3C967C55" w14:textId="77777777">
        <w:trPr>
          <w:divId w:val="709188820"/>
        </w:trPr>
        <w:tc>
          <w:tcPr>
            <w:tcW w:w="0" w:type="auto"/>
            <w:gridSpan w:val="3"/>
            <w:shd w:val="clear" w:color="auto" w:fill="FFFFFF"/>
            <w:tcMar>
              <w:top w:w="30" w:type="dxa"/>
              <w:left w:w="20" w:type="dxa"/>
              <w:bottom w:w="30" w:type="dxa"/>
              <w:right w:w="20" w:type="dxa"/>
            </w:tcMar>
            <w:hideMark/>
          </w:tcPr>
          <w:p w14:paraId="04ADD062" w14:textId="77777777" w:rsidR="00000000" w:rsidRDefault="00E614A4">
            <w:pPr>
              <w:rPr>
                <w:rFonts w:eastAsia="Times New Roman"/>
              </w:rPr>
            </w:pPr>
            <w:r>
              <w:rPr>
                <w:rFonts w:eastAsia="Times New Roman"/>
                <w:color w:val="000000"/>
                <w:sz w:val="18"/>
                <w:szCs w:val="18"/>
              </w:rPr>
              <w:t>Impairment of right-of-use and long-lived assets</w:t>
            </w:r>
          </w:p>
        </w:tc>
        <w:tc>
          <w:tcPr>
            <w:tcW w:w="0" w:type="auto"/>
            <w:gridSpan w:val="3"/>
            <w:shd w:val="clear" w:color="auto" w:fill="FFFFFF"/>
            <w:tcMar>
              <w:top w:w="0" w:type="dxa"/>
              <w:left w:w="20" w:type="dxa"/>
              <w:bottom w:w="0" w:type="dxa"/>
              <w:right w:w="20" w:type="dxa"/>
            </w:tcMar>
            <w:vAlign w:val="center"/>
            <w:hideMark/>
          </w:tcPr>
          <w:p w14:paraId="1B1FEB83"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9AC500" w14:textId="77777777" w:rsidR="00000000" w:rsidRDefault="00E614A4">
            <w:pPr>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14:paraId="7684649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4F68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1D5D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B528D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C9F7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AF610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29B1CA" w14:textId="77777777" w:rsidR="00000000" w:rsidRDefault="00E614A4">
            <w:pPr>
              <w:jc w:val="right"/>
              <w:rPr>
                <w:rFonts w:eastAsia="Times New Roman"/>
              </w:rPr>
            </w:pPr>
          </w:p>
        </w:tc>
      </w:tr>
      <w:tr w:rsidR="00000000" w14:paraId="43499A8B" w14:textId="77777777">
        <w:trPr>
          <w:divId w:val="709188820"/>
        </w:trPr>
        <w:tc>
          <w:tcPr>
            <w:tcW w:w="0" w:type="auto"/>
            <w:gridSpan w:val="3"/>
            <w:shd w:val="clear" w:color="auto" w:fill="CCEEFF"/>
            <w:tcMar>
              <w:top w:w="30" w:type="dxa"/>
              <w:left w:w="20" w:type="dxa"/>
              <w:bottom w:w="30" w:type="dxa"/>
              <w:right w:w="20" w:type="dxa"/>
            </w:tcMar>
            <w:hideMark/>
          </w:tcPr>
          <w:p w14:paraId="742C9C92" w14:textId="77777777" w:rsidR="00000000" w:rsidRDefault="00E614A4">
            <w:pPr>
              <w:rPr>
                <w:rFonts w:eastAsia="Times New Roman"/>
              </w:rPr>
            </w:pPr>
            <w:r>
              <w:rPr>
                <w:rFonts w:eastAsia="Times New Roman"/>
                <w:color w:val="000000"/>
                <w:sz w:val="18"/>
                <w:szCs w:val="18"/>
              </w:rPr>
              <w:t>Impairment of goodwill</w:t>
            </w:r>
          </w:p>
        </w:tc>
        <w:tc>
          <w:tcPr>
            <w:tcW w:w="0" w:type="auto"/>
            <w:gridSpan w:val="3"/>
            <w:shd w:val="clear" w:color="auto" w:fill="CCEEFF"/>
            <w:tcMar>
              <w:top w:w="0" w:type="dxa"/>
              <w:left w:w="20" w:type="dxa"/>
              <w:bottom w:w="0" w:type="dxa"/>
              <w:right w:w="20" w:type="dxa"/>
            </w:tcMar>
            <w:vAlign w:val="center"/>
            <w:hideMark/>
          </w:tcPr>
          <w:p w14:paraId="6E7F891E"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BC3C4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6278A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B128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2B4E9" w14:textId="77777777" w:rsidR="00000000" w:rsidRDefault="00E614A4">
            <w:pPr>
              <w:jc w:val="right"/>
              <w:rPr>
                <w:rFonts w:eastAsia="Times New Roman"/>
              </w:rPr>
            </w:pPr>
            <w:r>
              <w:rPr>
                <w:rFonts w:eastAsia="Times New Roman"/>
                <w:color w:val="000000"/>
                <w:sz w:val="18"/>
                <w:szCs w:val="18"/>
              </w:rPr>
              <w:t>224,272 </w:t>
            </w:r>
          </w:p>
        </w:tc>
        <w:tc>
          <w:tcPr>
            <w:tcW w:w="0" w:type="auto"/>
            <w:shd w:val="clear" w:color="auto" w:fill="CCEEFF"/>
            <w:tcMar>
              <w:top w:w="30" w:type="dxa"/>
              <w:left w:w="0" w:type="dxa"/>
              <w:bottom w:w="30" w:type="dxa"/>
              <w:right w:w="20" w:type="dxa"/>
            </w:tcMar>
            <w:vAlign w:val="bottom"/>
            <w:hideMark/>
          </w:tcPr>
          <w:p w14:paraId="08A32FC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BC22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0501A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1C49D7" w14:textId="77777777" w:rsidR="00000000" w:rsidRDefault="00E614A4">
            <w:pPr>
              <w:jc w:val="right"/>
              <w:rPr>
                <w:rFonts w:eastAsia="Times New Roman"/>
              </w:rPr>
            </w:pPr>
          </w:p>
        </w:tc>
      </w:tr>
      <w:tr w:rsidR="00000000" w14:paraId="4074E243" w14:textId="77777777">
        <w:trPr>
          <w:divId w:val="709188820"/>
        </w:trPr>
        <w:tc>
          <w:tcPr>
            <w:tcW w:w="0" w:type="auto"/>
            <w:gridSpan w:val="3"/>
            <w:shd w:val="clear" w:color="auto" w:fill="FFFFFF"/>
            <w:tcMar>
              <w:top w:w="30" w:type="dxa"/>
              <w:left w:w="20" w:type="dxa"/>
              <w:bottom w:w="30" w:type="dxa"/>
              <w:right w:w="20" w:type="dxa"/>
            </w:tcMar>
            <w:hideMark/>
          </w:tcPr>
          <w:p w14:paraId="79BA8D60" w14:textId="77777777" w:rsidR="00000000" w:rsidRDefault="00E614A4">
            <w:pPr>
              <w:rPr>
                <w:rFonts w:eastAsia="Times New Roman"/>
              </w:rPr>
            </w:pPr>
            <w:r>
              <w:rPr>
                <w:rFonts w:eastAsia="Times New Roman"/>
                <w:color w:val="000000"/>
                <w:sz w:val="18"/>
                <w:szCs w:val="18"/>
              </w:rPr>
              <w:t>Impairment of intangible asset</w:t>
            </w:r>
          </w:p>
        </w:tc>
        <w:tc>
          <w:tcPr>
            <w:tcW w:w="0" w:type="auto"/>
            <w:gridSpan w:val="3"/>
            <w:shd w:val="clear" w:color="auto" w:fill="FFFFFF"/>
            <w:tcMar>
              <w:top w:w="0" w:type="dxa"/>
              <w:left w:w="20" w:type="dxa"/>
              <w:bottom w:w="0" w:type="dxa"/>
              <w:right w:w="20" w:type="dxa"/>
            </w:tcMar>
            <w:vAlign w:val="center"/>
            <w:hideMark/>
          </w:tcPr>
          <w:p w14:paraId="04CE95A3"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4F482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8F29D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5607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1BD91" w14:textId="77777777" w:rsidR="00000000" w:rsidRDefault="00E614A4">
            <w:pPr>
              <w:jc w:val="right"/>
              <w:rPr>
                <w:rFonts w:eastAsia="Times New Roman"/>
              </w:rPr>
            </w:pPr>
            <w:r>
              <w:rPr>
                <w:rFonts w:eastAsia="Times New Roman"/>
                <w:color w:val="000000"/>
                <w:sz w:val="18"/>
                <w:szCs w:val="18"/>
              </w:rPr>
              <w:t>17,308 </w:t>
            </w:r>
          </w:p>
        </w:tc>
        <w:tc>
          <w:tcPr>
            <w:tcW w:w="0" w:type="auto"/>
            <w:shd w:val="clear" w:color="auto" w:fill="FFFFFF"/>
            <w:tcMar>
              <w:top w:w="30" w:type="dxa"/>
              <w:left w:w="0" w:type="dxa"/>
              <w:bottom w:w="30" w:type="dxa"/>
              <w:right w:w="20" w:type="dxa"/>
            </w:tcMar>
            <w:vAlign w:val="bottom"/>
            <w:hideMark/>
          </w:tcPr>
          <w:p w14:paraId="692260C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8A5B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2A200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1B1EAF" w14:textId="77777777" w:rsidR="00000000" w:rsidRDefault="00E614A4">
            <w:pPr>
              <w:jc w:val="right"/>
              <w:rPr>
                <w:rFonts w:eastAsia="Times New Roman"/>
              </w:rPr>
            </w:pPr>
          </w:p>
        </w:tc>
      </w:tr>
      <w:tr w:rsidR="00000000" w14:paraId="42DF06D7" w14:textId="77777777">
        <w:trPr>
          <w:divId w:val="709188820"/>
        </w:trPr>
        <w:tc>
          <w:tcPr>
            <w:tcW w:w="0" w:type="auto"/>
            <w:gridSpan w:val="3"/>
            <w:shd w:val="clear" w:color="auto" w:fill="CCEEFF"/>
            <w:tcMar>
              <w:top w:w="30" w:type="dxa"/>
              <w:left w:w="20" w:type="dxa"/>
              <w:bottom w:w="30" w:type="dxa"/>
              <w:right w:w="20" w:type="dxa"/>
            </w:tcMar>
            <w:hideMark/>
          </w:tcPr>
          <w:p w14:paraId="5F18F124" w14:textId="77777777" w:rsidR="00000000" w:rsidRDefault="00E614A4">
            <w:pPr>
              <w:rPr>
                <w:rFonts w:eastAsia="Times New Roman"/>
              </w:rPr>
            </w:pPr>
            <w:r>
              <w:rPr>
                <w:rFonts w:eastAsia="Times New Roman"/>
                <w:color w:val="000000"/>
                <w:sz w:val="18"/>
                <w:szCs w:val="18"/>
              </w:rPr>
              <w:t xml:space="preserve">Investigation and audit related </w:t>
            </w:r>
          </w:p>
        </w:tc>
        <w:tc>
          <w:tcPr>
            <w:tcW w:w="0" w:type="auto"/>
            <w:gridSpan w:val="3"/>
            <w:shd w:val="clear" w:color="auto" w:fill="CCEEFF"/>
            <w:tcMar>
              <w:top w:w="0" w:type="dxa"/>
              <w:left w:w="20" w:type="dxa"/>
              <w:bottom w:w="0" w:type="dxa"/>
              <w:right w:w="20" w:type="dxa"/>
            </w:tcMar>
            <w:vAlign w:val="center"/>
            <w:hideMark/>
          </w:tcPr>
          <w:p w14:paraId="5AE7D2E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921C0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499F3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DF20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B93DE" w14:textId="77777777" w:rsidR="00000000" w:rsidRDefault="00E614A4">
            <w:pPr>
              <w:jc w:val="right"/>
              <w:rPr>
                <w:rFonts w:eastAsia="Times New Roman"/>
              </w:rPr>
            </w:pPr>
            <w:r>
              <w:rPr>
                <w:rFonts w:eastAsia="Times New Roman"/>
                <w:color w:val="000000"/>
                <w:sz w:val="18"/>
                <w:szCs w:val="18"/>
              </w:rPr>
              <w:t>4,305 </w:t>
            </w:r>
          </w:p>
        </w:tc>
        <w:tc>
          <w:tcPr>
            <w:tcW w:w="0" w:type="auto"/>
            <w:shd w:val="clear" w:color="auto" w:fill="CCEEFF"/>
            <w:tcMar>
              <w:top w:w="30" w:type="dxa"/>
              <w:left w:w="0" w:type="dxa"/>
              <w:bottom w:w="30" w:type="dxa"/>
              <w:right w:w="20" w:type="dxa"/>
            </w:tcMar>
            <w:vAlign w:val="bottom"/>
            <w:hideMark/>
          </w:tcPr>
          <w:p w14:paraId="51949FD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5B0A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161E67" w14:textId="77777777" w:rsidR="00000000" w:rsidRDefault="00E614A4">
            <w:pPr>
              <w:jc w:val="right"/>
              <w:rPr>
                <w:rFonts w:eastAsia="Times New Roman"/>
              </w:rPr>
            </w:pPr>
            <w:r>
              <w:rPr>
                <w:rFonts w:eastAsia="Times New Roman"/>
                <w:color w:val="000000"/>
                <w:sz w:val="18"/>
                <w:szCs w:val="18"/>
              </w:rPr>
              <w:t>38,338 </w:t>
            </w:r>
          </w:p>
        </w:tc>
        <w:tc>
          <w:tcPr>
            <w:tcW w:w="0" w:type="auto"/>
            <w:shd w:val="clear" w:color="auto" w:fill="CCEEFF"/>
            <w:tcMar>
              <w:top w:w="30" w:type="dxa"/>
              <w:left w:w="0" w:type="dxa"/>
              <w:bottom w:w="30" w:type="dxa"/>
              <w:right w:w="20" w:type="dxa"/>
            </w:tcMar>
            <w:vAlign w:val="bottom"/>
            <w:hideMark/>
          </w:tcPr>
          <w:p w14:paraId="4F99304E" w14:textId="77777777" w:rsidR="00000000" w:rsidRDefault="00E614A4">
            <w:pPr>
              <w:jc w:val="right"/>
              <w:rPr>
                <w:rFonts w:eastAsia="Times New Roman"/>
              </w:rPr>
            </w:pPr>
          </w:p>
        </w:tc>
      </w:tr>
      <w:tr w:rsidR="00000000" w14:paraId="40D73499" w14:textId="77777777">
        <w:trPr>
          <w:divId w:val="709188820"/>
        </w:trPr>
        <w:tc>
          <w:tcPr>
            <w:tcW w:w="0" w:type="auto"/>
            <w:gridSpan w:val="3"/>
            <w:shd w:val="clear" w:color="auto" w:fill="FFFFFF"/>
            <w:tcMar>
              <w:top w:w="30" w:type="dxa"/>
              <w:left w:w="20" w:type="dxa"/>
              <w:bottom w:w="30" w:type="dxa"/>
              <w:right w:w="20" w:type="dxa"/>
            </w:tcMar>
            <w:hideMark/>
          </w:tcPr>
          <w:p w14:paraId="01162C2B" w14:textId="77777777" w:rsidR="00000000" w:rsidRDefault="00E614A4">
            <w:pPr>
              <w:divId w:val="335110593"/>
              <w:rPr>
                <w:rFonts w:eastAsia="Times New Roman"/>
              </w:rPr>
            </w:pPr>
            <w:r>
              <w:rPr>
                <w:rFonts w:eastAsia="Times New Roman"/>
                <w:color w:val="000000"/>
                <w:sz w:val="18"/>
                <w:szCs w:val="18"/>
              </w:rPr>
              <w:t>Restructurin</w:t>
            </w:r>
            <w:r>
              <w:rPr>
                <w:rFonts w:eastAsia="Times New Roman"/>
                <w:color w:val="000000"/>
                <w:sz w:val="18"/>
                <w:szCs w:val="18"/>
              </w:rPr>
              <w:t>g</w:t>
            </w:r>
            <w:r>
              <w:rPr>
                <w:rFonts w:eastAsia="Times New Roman"/>
                <w:i/>
                <w:iCs/>
                <w:color w:val="000000"/>
                <w:sz w:val="12"/>
                <w:szCs w:val="12"/>
              </w:rPr>
              <w:t xml:space="preserve"> (3</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AA91ABA"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7338B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54E14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2941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72A03" w14:textId="77777777" w:rsidR="00000000" w:rsidRDefault="00E614A4">
            <w:pPr>
              <w:jc w:val="right"/>
              <w:rPr>
                <w:rFonts w:eastAsia="Times New Roman"/>
              </w:rPr>
            </w:pPr>
            <w:r>
              <w:rPr>
                <w:rFonts w:eastAsia="Times New Roman"/>
                <w:color w:val="000000"/>
                <w:sz w:val="18"/>
                <w:szCs w:val="18"/>
              </w:rPr>
              <w:t>3,263 </w:t>
            </w:r>
          </w:p>
        </w:tc>
        <w:tc>
          <w:tcPr>
            <w:tcW w:w="0" w:type="auto"/>
            <w:shd w:val="clear" w:color="auto" w:fill="FFFFFF"/>
            <w:tcMar>
              <w:top w:w="30" w:type="dxa"/>
              <w:left w:w="0" w:type="dxa"/>
              <w:bottom w:w="30" w:type="dxa"/>
              <w:right w:w="20" w:type="dxa"/>
            </w:tcMar>
            <w:vAlign w:val="bottom"/>
            <w:hideMark/>
          </w:tcPr>
          <w:p w14:paraId="76E3AD1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57E0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02DC2" w14:textId="77777777" w:rsidR="00000000" w:rsidRDefault="00E614A4">
            <w:pPr>
              <w:jc w:val="right"/>
              <w:rPr>
                <w:rFonts w:eastAsia="Times New Roman"/>
              </w:rPr>
            </w:pPr>
            <w:r>
              <w:rPr>
                <w:rFonts w:eastAsia="Times New Roman"/>
                <w:color w:val="000000"/>
                <w:sz w:val="18"/>
                <w:szCs w:val="18"/>
              </w:rPr>
              <w:t>11,837 </w:t>
            </w:r>
          </w:p>
        </w:tc>
        <w:tc>
          <w:tcPr>
            <w:tcW w:w="0" w:type="auto"/>
            <w:shd w:val="clear" w:color="auto" w:fill="FFFFFF"/>
            <w:tcMar>
              <w:top w:w="30" w:type="dxa"/>
              <w:left w:w="0" w:type="dxa"/>
              <w:bottom w:w="30" w:type="dxa"/>
              <w:right w:w="20" w:type="dxa"/>
            </w:tcMar>
            <w:vAlign w:val="bottom"/>
            <w:hideMark/>
          </w:tcPr>
          <w:p w14:paraId="179817D6" w14:textId="77777777" w:rsidR="00000000" w:rsidRDefault="00E614A4">
            <w:pPr>
              <w:jc w:val="right"/>
              <w:rPr>
                <w:rFonts w:eastAsia="Times New Roman"/>
              </w:rPr>
            </w:pPr>
          </w:p>
        </w:tc>
      </w:tr>
      <w:tr w:rsidR="00000000" w14:paraId="503AB150" w14:textId="77777777">
        <w:trPr>
          <w:divId w:val="709188820"/>
        </w:trPr>
        <w:tc>
          <w:tcPr>
            <w:tcW w:w="0" w:type="auto"/>
            <w:gridSpan w:val="3"/>
            <w:shd w:val="clear" w:color="auto" w:fill="CCEEFF"/>
            <w:tcMar>
              <w:top w:w="30" w:type="dxa"/>
              <w:left w:w="20" w:type="dxa"/>
              <w:bottom w:w="30" w:type="dxa"/>
              <w:right w:w="20" w:type="dxa"/>
            </w:tcMar>
            <w:hideMark/>
          </w:tcPr>
          <w:p w14:paraId="1B09B2D7" w14:textId="77777777" w:rsidR="00000000" w:rsidRDefault="00E614A4">
            <w:pPr>
              <w:rPr>
                <w:rFonts w:eastAsia="Times New Roman"/>
              </w:rPr>
            </w:pPr>
            <w:r>
              <w:rPr>
                <w:rFonts w:eastAsia="Times New Roman"/>
                <w:color w:val="000000"/>
                <w:sz w:val="18"/>
                <w:szCs w:val="18"/>
              </w:rPr>
              <w:t>Settlement of litigation, net</w:t>
            </w:r>
          </w:p>
        </w:tc>
        <w:tc>
          <w:tcPr>
            <w:tcW w:w="0" w:type="auto"/>
            <w:gridSpan w:val="3"/>
            <w:shd w:val="clear" w:color="auto" w:fill="CCEEFF"/>
            <w:tcMar>
              <w:top w:w="0" w:type="dxa"/>
              <w:left w:w="20" w:type="dxa"/>
              <w:bottom w:w="0" w:type="dxa"/>
              <w:right w:w="20" w:type="dxa"/>
            </w:tcMar>
            <w:vAlign w:val="center"/>
            <w:hideMark/>
          </w:tcPr>
          <w:p w14:paraId="5E1EB31A"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C9D3D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D0F8C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4FF6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26D7B9" w14:textId="77777777" w:rsidR="00000000" w:rsidRDefault="00E614A4">
            <w:pPr>
              <w:jc w:val="right"/>
              <w:rPr>
                <w:rFonts w:eastAsia="Times New Roman"/>
              </w:rPr>
            </w:pPr>
            <w:r>
              <w:rPr>
                <w:rFonts w:eastAsia="Times New Roman"/>
                <w:color w:val="000000"/>
                <w:sz w:val="18"/>
                <w:szCs w:val="18"/>
              </w:rPr>
              <w:t>2,900 </w:t>
            </w:r>
          </w:p>
        </w:tc>
        <w:tc>
          <w:tcPr>
            <w:tcW w:w="0" w:type="auto"/>
            <w:shd w:val="clear" w:color="auto" w:fill="CCEEFF"/>
            <w:tcMar>
              <w:top w:w="30" w:type="dxa"/>
              <w:left w:w="0" w:type="dxa"/>
              <w:bottom w:w="30" w:type="dxa"/>
              <w:right w:w="20" w:type="dxa"/>
            </w:tcMar>
            <w:vAlign w:val="bottom"/>
            <w:hideMark/>
          </w:tcPr>
          <w:p w14:paraId="632ED52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4509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84DB18" w14:textId="77777777" w:rsidR="00000000" w:rsidRDefault="00E614A4">
            <w:pPr>
              <w:jc w:val="right"/>
              <w:rPr>
                <w:rFonts w:eastAsia="Times New Roman"/>
              </w:rPr>
            </w:pPr>
            <w:r>
              <w:rPr>
                <w:rFonts w:eastAsia="Times New Roman"/>
                <w:color w:val="000000"/>
                <w:sz w:val="18"/>
                <w:szCs w:val="18"/>
              </w:rPr>
              <w:t>5,250 </w:t>
            </w:r>
          </w:p>
        </w:tc>
        <w:tc>
          <w:tcPr>
            <w:tcW w:w="0" w:type="auto"/>
            <w:shd w:val="clear" w:color="auto" w:fill="CCEEFF"/>
            <w:tcMar>
              <w:top w:w="30" w:type="dxa"/>
              <w:left w:w="0" w:type="dxa"/>
              <w:bottom w:w="30" w:type="dxa"/>
              <w:right w:w="20" w:type="dxa"/>
            </w:tcMar>
            <w:vAlign w:val="bottom"/>
            <w:hideMark/>
          </w:tcPr>
          <w:p w14:paraId="69D5F591" w14:textId="77777777" w:rsidR="00000000" w:rsidRDefault="00E614A4">
            <w:pPr>
              <w:jc w:val="right"/>
              <w:rPr>
                <w:rFonts w:eastAsia="Times New Roman"/>
              </w:rPr>
            </w:pPr>
          </w:p>
        </w:tc>
      </w:tr>
      <w:tr w:rsidR="00000000" w14:paraId="6A949422" w14:textId="77777777">
        <w:trPr>
          <w:divId w:val="709188820"/>
        </w:trPr>
        <w:tc>
          <w:tcPr>
            <w:tcW w:w="0" w:type="auto"/>
            <w:gridSpan w:val="3"/>
            <w:shd w:val="clear" w:color="auto" w:fill="FFFFFF"/>
            <w:tcMar>
              <w:top w:w="30" w:type="dxa"/>
              <w:left w:w="20" w:type="dxa"/>
              <w:bottom w:w="30" w:type="dxa"/>
              <w:right w:w="20" w:type="dxa"/>
            </w:tcMar>
            <w:hideMark/>
          </w:tcPr>
          <w:p w14:paraId="76B12AA4" w14:textId="77777777" w:rsidR="00000000" w:rsidRDefault="00E614A4">
            <w:pPr>
              <w:rPr>
                <w:rFonts w:eastAsia="Times New Roman"/>
              </w:rPr>
            </w:pPr>
            <w:r>
              <w:rPr>
                <w:rFonts w:eastAsia="Times New Roman"/>
                <w:color w:val="000000"/>
                <w:sz w:val="18"/>
                <w:szCs w:val="18"/>
              </w:rPr>
              <w:t>Total expenses from operations</w:t>
            </w:r>
          </w:p>
        </w:tc>
        <w:tc>
          <w:tcPr>
            <w:tcW w:w="0" w:type="auto"/>
            <w:gridSpan w:val="3"/>
            <w:shd w:val="clear" w:color="auto" w:fill="FFFFFF"/>
            <w:tcMar>
              <w:top w:w="0" w:type="dxa"/>
              <w:left w:w="20" w:type="dxa"/>
              <w:bottom w:w="0" w:type="dxa"/>
              <w:right w:w="20" w:type="dxa"/>
            </w:tcMar>
            <w:vAlign w:val="center"/>
            <w:hideMark/>
          </w:tcPr>
          <w:p w14:paraId="05BDDAF4"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858267" w14:textId="77777777" w:rsidR="00000000" w:rsidRDefault="00E614A4">
            <w:pPr>
              <w:jc w:val="right"/>
              <w:rPr>
                <w:rFonts w:eastAsia="Times New Roman"/>
              </w:rPr>
            </w:pPr>
            <w:r>
              <w:rPr>
                <w:rFonts w:eastAsia="Times New Roman"/>
                <w:color w:val="000000"/>
                <w:sz w:val="18"/>
                <w:szCs w:val="18"/>
              </w:rPr>
              <w:t>377,311 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E8995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0467F"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AD5B70" w14:textId="77777777" w:rsidR="00000000" w:rsidRDefault="00E614A4">
            <w:pPr>
              <w:jc w:val="right"/>
              <w:rPr>
                <w:rFonts w:eastAsia="Times New Roman"/>
              </w:rPr>
            </w:pPr>
            <w:r>
              <w:rPr>
                <w:rFonts w:eastAsia="Times New Roman"/>
                <w:color w:val="000000"/>
                <w:sz w:val="18"/>
                <w:szCs w:val="18"/>
              </w:rPr>
              <w:t>699,112 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99C7B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F337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B50A82" w14:textId="77777777" w:rsidR="00000000" w:rsidRDefault="00E614A4">
            <w:pPr>
              <w:jc w:val="right"/>
              <w:rPr>
                <w:rFonts w:eastAsia="Times New Roman"/>
              </w:rPr>
            </w:pPr>
            <w:r>
              <w:rPr>
                <w:rFonts w:eastAsia="Times New Roman"/>
                <w:color w:val="000000"/>
                <w:sz w:val="18"/>
                <w:szCs w:val="18"/>
              </w:rPr>
              <w:t>558,418 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60E741" w14:textId="77777777" w:rsidR="00000000" w:rsidRDefault="00E614A4">
            <w:pPr>
              <w:jc w:val="right"/>
              <w:rPr>
                <w:rFonts w:eastAsia="Times New Roman"/>
              </w:rPr>
            </w:pPr>
          </w:p>
        </w:tc>
      </w:tr>
      <w:tr w:rsidR="00000000" w14:paraId="3905C016" w14:textId="77777777">
        <w:trPr>
          <w:divId w:val="709188820"/>
        </w:trPr>
        <w:tc>
          <w:tcPr>
            <w:tcW w:w="0" w:type="auto"/>
            <w:gridSpan w:val="3"/>
            <w:shd w:val="clear" w:color="auto" w:fill="CCEEFF"/>
            <w:tcMar>
              <w:top w:w="30" w:type="dxa"/>
              <w:left w:w="20" w:type="dxa"/>
              <w:bottom w:w="30" w:type="dxa"/>
              <w:right w:w="20" w:type="dxa"/>
            </w:tcMar>
            <w:hideMark/>
          </w:tcPr>
          <w:p w14:paraId="6103CF4A" w14:textId="77777777" w:rsidR="00000000" w:rsidRDefault="00E614A4">
            <w:pPr>
              <w:rPr>
                <w:rFonts w:eastAsia="Times New Roman"/>
              </w:rPr>
            </w:pPr>
            <w:r>
              <w:rPr>
                <w:rFonts w:eastAsia="Times New Roman"/>
                <w:color w:val="000000"/>
                <w:sz w:val="18"/>
                <w:szCs w:val="18"/>
              </w:rPr>
              <w:t>Loss from operations</w:t>
            </w:r>
          </w:p>
        </w:tc>
        <w:tc>
          <w:tcPr>
            <w:tcW w:w="0" w:type="auto"/>
            <w:gridSpan w:val="3"/>
            <w:shd w:val="clear" w:color="auto" w:fill="CCEEFF"/>
            <w:tcMar>
              <w:top w:w="0" w:type="dxa"/>
              <w:left w:w="20" w:type="dxa"/>
              <w:bottom w:w="0" w:type="dxa"/>
              <w:right w:w="20" w:type="dxa"/>
            </w:tcMar>
            <w:vAlign w:val="center"/>
            <w:hideMark/>
          </w:tcPr>
          <w:p w14:paraId="6A343C25"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F457B7" w14:textId="77777777" w:rsidR="00000000" w:rsidRDefault="00E614A4">
            <w:pPr>
              <w:jc w:val="right"/>
              <w:rPr>
                <w:rFonts w:eastAsia="Times New Roman"/>
              </w:rPr>
            </w:pPr>
            <w:r>
              <w:rPr>
                <w:rFonts w:eastAsia="Times New Roman"/>
                <w:color w:val="000000"/>
                <w:sz w:val="18"/>
                <w:szCs w:val="18"/>
              </w:rPr>
              <w:t>(21,275)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D6067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C39863"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BA09E5" w14:textId="77777777" w:rsidR="00000000" w:rsidRDefault="00E614A4">
            <w:pPr>
              <w:jc w:val="right"/>
              <w:rPr>
                <w:rFonts w:eastAsia="Times New Roman"/>
              </w:rPr>
            </w:pPr>
            <w:r>
              <w:rPr>
                <w:rFonts w:eastAsia="Times New Roman"/>
                <w:color w:val="000000"/>
                <w:sz w:val="18"/>
                <w:szCs w:val="18"/>
              </w:rPr>
              <w:t>(310,467)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1A80D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CC97B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E3F289" w14:textId="77777777" w:rsidR="00000000" w:rsidRDefault="00E614A4">
            <w:pPr>
              <w:jc w:val="right"/>
              <w:rPr>
                <w:rFonts w:eastAsia="Times New Roman"/>
              </w:rPr>
            </w:pPr>
            <w:r>
              <w:rPr>
                <w:rFonts w:eastAsia="Times New Roman"/>
                <w:color w:val="000000"/>
                <w:sz w:val="18"/>
                <w:szCs w:val="18"/>
              </w:rPr>
              <w:t>(138,936)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DC4311" w14:textId="77777777" w:rsidR="00000000" w:rsidRDefault="00E614A4">
            <w:pPr>
              <w:jc w:val="right"/>
              <w:rPr>
                <w:rFonts w:eastAsia="Times New Roman"/>
              </w:rPr>
            </w:pPr>
          </w:p>
        </w:tc>
      </w:tr>
      <w:tr w:rsidR="00000000" w14:paraId="74DB90AE" w14:textId="77777777">
        <w:trPr>
          <w:divId w:val="709188820"/>
        </w:trPr>
        <w:tc>
          <w:tcPr>
            <w:tcW w:w="0" w:type="auto"/>
            <w:gridSpan w:val="3"/>
            <w:shd w:val="clear" w:color="auto" w:fill="FFFFFF"/>
            <w:tcMar>
              <w:top w:w="30" w:type="dxa"/>
              <w:left w:w="20" w:type="dxa"/>
              <w:bottom w:w="30" w:type="dxa"/>
              <w:right w:w="20" w:type="dxa"/>
            </w:tcMar>
            <w:hideMark/>
          </w:tcPr>
          <w:p w14:paraId="2CA6EED3" w14:textId="77777777" w:rsidR="00000000" w:rsidRDefault="00E614A4">
            <w:pPr>
              <w:divId w:val="1002899872"/>
              <w:rPr>
                <w:rFonts w:eastAsia="Times New Roman"/>
              </w:rPr>
            </w:pPr>
            <w:r>
              <w:rPr>
                <w:rFonts w:eastAsia="Times New Roman"/>
                <w:color w:val="000000"/>
                <w:sz w:val="18"/>
                <w:szCs w:val="18"/>
              </w:rPr>
              <w:t>Interest expense, net</w:t>
            </w:r>
            <w:r>
              <w:rPr>
                <w:rFonts w:eastAsia="Times New Roman"/>
                <w:i/>
                <w:iCs/>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B24DE89"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79E4FD" w14:textId="77777777" w:rsidR="00000000" w:rsidRDefault="00E614A4">
            <w:pPr>
              <w:jc w:val="right"/>
              <w:rPr>
                <w:rFonts w:eastAsia="Times New Roman"/>
              </w:rPr>
            </w:pPr>
            <w:r>
              <w:rPr>
                <w:rFonts w:eastAsia="Times New Roman"/>
                <w:color w:val="000000"/>
                <w:sz w:val="18"/>
                <w:szCs w:val="18"/>
              </w:rPr>
              <w:t>(35,805)</w:t>
            </w:r>
          </w:p>
        </w:tc>
        <w:tc>
          <w:tcPr>
            <w:tcW w:w="0" w:type="auto"/>
            <w:shd w:val="clear" w:color="auto" w:fill="FFFFFF"/>
            <w:tcMar>
              <w:top w:w="30" w:type="dxa"/>
              <w:left w:w="0" w:type="dxa"/>
              <w:bottom w:w="30" w:type="dxa"/>
              <w:right w:w="20" w:type="dxa"/>
            </w:tcMar>
            <w:vAlign w:val="bottom"/>
            <w:hideMark/>
          </w:tcPr>
          <w:p w14:paraId="0F52B91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398D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C83F9" w14:textId="77777777" w:rsidR="00000000" w:rsidRDefault="00E614A4">
            <w:pPr>
              <w:jc w:val="right"/>
              <w:rPr>
                <w:rFonts w:eastAsia="Times New Roman"/>
              </w:rPr>
            </w:pPr>
            <w:r>
              <w:rPr>
                <w:rFonts w:eastAsia="Times New Roman"/>
                <w:color w:val="000000"/>
                <w:sz w:val="18"/>
                <w:szCs w:val="18"/>
              </w:rPr>
              <w:t>(31,526)</w:t>
            </w:r>
          </w:p>
        </w:tc>
        <w:tc>
          <w:tcPr>
            <w:tcW w:w="0" w:type="auto"/>
            <w:shd w:val="clear" w:color="auto" w:fill="FFFFFF"/>
            <w:tcMar>
              <w:top w:w="30" w:type="dxa"/>
              <w:left w:w="0" w:type="dxa"/>
              <w:bottom w:w="30" w:type="dxa"/>
              <w:right w:w="20" w:type="dxa"/>
            </w:tcMar>
            <w:vAlign w:val="bottom"/>
            <w:hideMark/>
          </w:tcPr>
          <w:p w14:paraId="783F9CB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C916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12A14A" w14:textId="77777777" w:rsidR="00000000" w:rsidRDefault="00E614A4">
            <w:pPr>
              <w:jc w:val="right"/>
              <w:rPr>
                <w:rFonts w:eastAsia="Times New Roman"/>
              </w:rPr>
            </w:pPr>
            <w:r>
              <w:rPr>
                <w:rFonts w:eastAsia="Times New Roman"/>
                <w:color w:val="000000"/>
                <w:sz w:val="18"/>
                <w:szCs w:val="18"/>
              </w:rPr>
              <w:t>(16,465)</w:t>
            </w:r>
          </w:p>
        </w:tc>
        <w:tc>
          <w:tcPr>
            <w:tcW w:w="0" w:type="auto"/>
            <w:shd w:val="clear" w:color="auto" w:fill="FFFFFF"/>
            <w:tcMar>
              <w:top w:w="30" w:type="dxa"/>
              <w:left w:w="0" w:type="dxa"/>
              <w:bottom w:w="30" w:type="dxa"/>
              <w:right w:w="20" w:type="dxa"/>
            </w:tcMar>
            <w:vAlign w:val="bottom"/>
            <w:hideMark/>
          </w:tcPr>
          <w:p w14:paraId="18C2664F" w14:textId="77777777" w:rsidR="00000000" w:rsidRDefault="00E614A4">
            <w:pPr>
              <w:jc w:val="right"/>
              <w:rPr>
                <w:rFonts w:eastAsia="Times New Roman"/>
              </w:rPr>
            </w:pPr>
          </w:p>
        </w:tc>
      </w:tr>
      <w:tr w:rsidR="00000000" w14:paraId="77F5F0F4" w14:textId="77777777">
        <w:trPr>
          <w:divId w:val="709188820"/>
        </w:trPr>
        <w:tc>
          <w:tcPr>
            <w:tcW w:w="0" w:type="auto"/>
            <w:gridSpan w:val="3"/>
            <w:shd w:val="clear" w:color="auto" w:fill="CCEEFF"/>
            <w:tcMar>
              <w:top w:w="30" w:type="dxa"/>
              <w:left w:w="20" w:type="dxa"/>
              <w:bottom w:w="30" w:type="dxa"/>
              <w:right w:w="20" w:type="dxa"/>
            </w:tcMar>
            <w:hideMark/>
          </w:tcPr>
          <w:p w14:paraId="264A54F4" w14:textId="77777777" w:rsidR="00000000" w:rsidRDefault="00E614A4">
            <w:pPr>
              <w:rPr>
                <w:rFonts w:eastAsia="Times New Roman"/>
              </w:rPr>
            </w:pPr>
            <w:r>
              <w:rPr>
                <w:rFonts w:eastAsia="Times New Roman"/>
                <w:color w:val="000000"/>
                <w:sz w:val="18"/>
                <w:szCs w:val="18"/>
              </w:rPr>
              <w:t>Other income (expense), net</w:t>
            </w:r>
          </w:p>
        </w:tc>
        <w:tc>
          <w:tcPr>
            <w:tcW w:w="0" w:type="auto"/>
            <w:gridSpan w:val="3"/>
            <w:shd w:val="clear" w:color="auto" w:fill="CCEEFF"/>
            <w:tcMar>
              <w:top w:w="0" w:type="dxa"/>
              <w:left w:w="20" w:type="dxa"/>
              <w:bottom w:w="0" w:type="dxa"/>
              <w:right w:w="20" w:type="dxa"/>
            </w:tcMar>
            <w:vAlign w:val="center"/>
            <w:hideMark/>
          </w:tcPr>
          <w:p w14:paraId="0CA9E44B"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A7C7F1" w14:textId="77777777" w:rsidR="00000000" w:rsidRDefault="00E614A4">
            <w:pPr>
              <w:jc w:val="right"/>
              <w:rPr>
                <w:rFonts w:eastAsia="Times New Roman"/>
              </w:rPr>
            </w:pPr>
            <w:r>
              <w:rPr>
                <w:rFonts w:eastAsia="Times New Roman"/>
                <w:color w:val="000000"/>
                <w:sz w:val="18"/>
                <w:szCs w:val="18"/>
              </w:rPr>
              <w:t>14,554 </w:t>
            </w:r>
          </w:p>
        </w:tc>
        <w:tc>
          <w:tcPr>
            <w:tcW w:w="0" w:type="auto"/>
            <w:shd w:val="clear" w:color="auto" w:fill="CCEEFF"/>
            <w:tcMar>
              <w:top w:w="30" w:type="dxa"/>
              <w:left w:w="0" w:type="dxa"/>
              <w:bottom w:w="30" w:type="dxa"/>
              <w:right w:w="20" w:type="dxa"/>
            </w:tcMar>
            <w:vAlign w:val="bottom"/>
            <w:hideMark/>
          </w:tcPr>
          <w:p w14:paraId="7BAE595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A5608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3F3E0" w14:textId="77777777" w:rsidR="00000000" w:rsidRDefault="00E614A4">
            <w:pPr>
              <w:jc w:val="right"/>
              <w:rPr>
                <w:rFonts w:eastAsia="Times New Roman"/>
              </w:rPr>
            </w:pPr>
            <w:r>
              <w:rPr>
                <w:rFonts w:eastAsia="Times New Roman"/>
                <w:color w:val="000000"/>
                <w:sz w:val="18"/>
                <w:szCs w:val="18"/>
              </w:rPr>
              <w:t>1,654 </w:t>
            </w:r>
          </w:p>
        </w:tc>
        <w:tc>
          <w:tcPr>
            <w:tcW w:w="0" w:type="auto"/>
            <w:shd w:val="clear" w:color="auto" w:fill="CCEEFF"/>
            <w:tcMar>
              <w:top w:w="30" w:type="dxa"/>
              <w:left w:w="0" w:type="dxa"/>
              <w:bottom w:w="30" w:type="dxa"/>
              <w:right w:w="20" w:type="dxa"/>
            </w:tcMar>
            <w:vAlign w:val="bottom"/>
            <w:hideMark/>
          </w:tcPr>
          <w:p w14:paraId="2C5FCF5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2E75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91FC86" w14:textId="77777777" w:rsidR="00000000" w:rsidRDefault="00E614A4">
            <w:pPr>
              <w:jc w:val="right"/>
              <w:rPr>
                <w:rFonts w:eastAsia="Times New Roman"/>
              </w:rPr>
            </w:pPr>
            <w:r>
              <w:rPr>
                <w:rFonts w:eastAsia="Times New Roman"/>
                <w:color w:val="000000"/>
                <w:sz w:val="18"/>
                <w:szCs w:val="18"/>
              </w:rPr>
              <w:t>(1,464)</w:t>
            </w:r>
          </w:p>
        </w:tc>
        <w:tc>
          <w:tcPr>
            <w:tcW w:w="0" w:type="auto"/>
            <w:shd w:val="clear" w:color="auto" w:fill="CCEEFF"/>
            <w:tcMar>
              <w:top w:w="30" w:type="dxa"/>
              <w:left w:w="0" w:type="dxa"/>
              <w:bottom w:w="30" w:type="dxa"/>
              <w:right w:w="20" w:type="dxa"/>
            </w:tcMar>
            <w:vAlign w:val="bottom"/>
            <w:hideMark/>
          </w:tcPr>
          <w:p w14:paraId="71918DB3" w14:textId="77777777" w:rsidR="00000000" w:rsidRDefault="00E614A4">
            <w:pPr>
              <w:jc w:val="right"/>
              <w:rPr>
                <w:rFonts w:eastAsia="Times New Roman"/>
              </w:rPr>
            </w:pPr>
          </w:p>
        </w:tc>
      </w:tr>
      <w:tr w:rsidR="00000000" w14:paraId="75831E74" w14:textId="77777777">
        <w:trPr>
          <w:divId w:val="709188820"/>
        </w:trPr>
        <w:tc>
          <w:tcPr>
            <w:tcW w:w="0" w:type="auto"/>
            <w:gridSpan w:val="3"/>
            <w:shd w:val="clear" w:color="auto" w:fill="FFFFFF"/>
            <w:tcMar>
              <w:top w:w="30" w:type="dxa"/>
              <w:left w:w="20" w:type="dxa"/>
              <w:bottom w:w="30" w:type="dxa"/>
              <w:right w:w="20" w:type="dxa"/>
            </w:tcMar>
            <w:hideMark/>
          </w:tcPr>
          <w:p w14:paraId="3129B442" w14:textId="77777777" w:rsidR="00000000" w:rsidRDefault="00E614A4">
            <w:pPr>
              <w:rPr>
                <w:rFonts w:eastAsia="Times New Roman"/>
              </w:rPr>
            </w:pPr>
            <w:r>
              <w:rPr>
                <w:rFonts w:eastAsia="Times New Roman"/>
                <w:color w:val="000000"/>
                <w:sz w:val="18"/>
                <w:szCs w:val="18"/>
              </w:rPr>
              <w:t>(Loss) gain from foreign currency transactions</w:t>
            </w:r>
          </w:p>
        </w:tc>
        <w:tc>
          <w:tcPr>
            <w:tcW w:w="0" w:type="auto"/>
            <w:gridSpan w:val="3"/>
            <w:shd w:val="clear" w:color="auto" w:fill="FFFFFF"/>
            <w:tcMar>
              <w:top w:w="0" w:type="dxa"/>
              <w:left w:w="20" w:type="dxa"/>
              <w:bottom w:w="0" w:type="dxa"/>
              <w:right w:w="20" w:type="dxa"/>
            </w:tcMar>
            <w:vAlign w:val="center"/>
            <w:hideMark/>
          </w:tcPr>
          <w:p w14:paraId="27F505F2"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F1D0B4" w14:textId="77777777" w:rsidR="00000000" w:rsidRDefault="00E614A4">
            <w:pPr>
              <w:jc w:val="right"/>
              <w:rPr>
                <w:rFonts w:eastAsia="Times New Roman"/>
              </w:rPr>
            </w:pPr>
            <w:r>
              <w:rPr>
                <w:rFonts w:eastAsia="Times New Roman"/>
                <w:color w:val="000000"/>
                <w:sz w:val="18"/>
                <w:szCs w:val="18"/>
              </w:rPr>
              <w:t>(4,490)</w:t>
            </w:r>
          </w:p>
        </w:tc>
        <w:tc>
          <w:tcPr>
            <w:tcW w:w="0" w:type="auto"/>
            <w:shd w:val="clear" w:color="auto" w:fill="FFFFFF"/>
            <w:tcMar>
              <w:top w:w="30" w:type="dxa"/>
              <w:left w:w="0" w:type="dxa"/>
              <w:bottom w:w="30" w:type="dxa"/>
              <w:right w:w="20" w:type="dxa"/>
            </w:tcMar>
            <w:vAlign w:val="bottom"/>
            <w:hideMark/>
          </w:tcPr>
          <w:p w14:paraId="40E087A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0A15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F9EBEE" w14:textId="77777777" w:rsidR="00000000" w:rsidRDefault="00E614A4">
            <w:pPr>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bottom"/>
            <w:hideMark/>
          </w:tcPr>
          <w:p w14:paraId="26DCF03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7480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928E7B" w14:textId="77777777" w:rsidR="00000000" w:rsidRDefault="00E614A4">
            <w:pPr>
              <w:jc w:val="right"/>
              <w:rPr>
                <w:rFonts w:eastAsia="Times New Roman"/>
              </w:rPr>
            </w:pPr>
            <w:r>
              <w:rPr>
                <w:rFonts w:eastAsia="Times New Roman"/>
                <w:color w:val="000000"/>
                <w:sz w:val="18"/>
                <w:szCs w:val="18"/>
              </w:rPr>
              <w:t>1,303 </w:t>
            </w:r>
          </w:p>
        </w:tc>
        <w:tc>
          <w:tcPr>
            <w:tcW w:w="0" w:type="auto"/>
            <w:shd w:val="clear" w:color="auto" w:fill="FFFFFF"/>
            <w:tcMar>
              <w:top w:w="30" w:type="dxa"/>
              <w:left w:w="0" w:type="dxa"/>
              <w:bottom w:w="30" w:type="dxa"/>
              <w:right w:w="20" w:type="dxa"/>
            </w:tcMar>
            <w:vAlign w:val="bottom"/>
            <w:hideMark/>
          </w:tcPr>
          <w:p w14:paraId="1A70D409" w14:textId="77777777" w:rsidR="00000000" w:rsidRDefault="00E614A4">
            <w:pPr>
              <w:jc w:val="right"/>
              <w:rPr>
                <w:rFonts w:eastAsia="Times New Roman"/>
              </w:rPr>
            </w:pPr>
          </w:p>
        </w:tc>
      </w:tr>
      <w:tr w:rsidR="00000000" w14:paraId="49AB297E" w14:textId="77777777">
        <w:trPr>
          <w:divId w:val="709188820"/>
        </w:trPr>
        <w:tc>
          <w:tcPr>
            <w:tcW w:w="0" w:type="auto"/>
            <w:gridSpan w:val="3"/>
            <w:shd w:val="clear" w:color="auto" w:fill="CCEEFF"/>
            <w:tcMar>
              <w:top w:w="30" w:type="dxa"/>
              <w:left w:w="20" w:type="dxa"/>
              <w:bottom w:w="30" w:type="dxa"/>
              <w:right w:w="20" w:type="dxa"/>
            </w:tcMar>
            <w:hideMark/>
          </w:tcPr>
          <w:p w14:paraId="42344964" w14:textId="77777777" w:rsidR="00000000" w:rsidRDefault="00E614A4">
            <w:pPr>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14:paraId="6AF067E7"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CEFC4F" w14:textId="77777777" w:rsidR="00000000" w:rsidRDefault="00E614A4">
            <w:pPr>
              <w:jc w:val="right"/>
              <w:rPr>
                <w:rFonts w:eastAsia="Times New Roman"/>
              </w:rPr>
            </w:pPr>
            <w:r>
              <w:rPr>
                <w:rFonts w:eastAsia="Times New Roman"/>
                <w:color w:val="000000"/>
                <w:sz w:val="18"/>
                <w:szCs w:val="18"/>
              </w:rPr>
              <w:t>(47,016)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B2320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6DDEA"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EC0E89" w14:textId="77777777" w:rsidR="00000000" w:rsidRDefault="00E614A4">
            <w:pPr>
              <w:jc w:val="right"/>
              <w:rPr>
                <w:rFonts w:eastAsia="Times New Roman"/>
              </w:rPr>
            </w:pPr>
            <w:r>
              <w:rPr>
                <w:rFonts w:eastAsia="Times New Roman"/>
                <w:color w:val="000000"/>
                <w:sz w:val="18"/>
                <w:szCs w:val="18"/>
              </w:rPr>
              <w:t>(340,003)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F65DE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D79B4"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B2C1DD" w14:textId="77777777" w:rsidR="00000000" w:rsidRDefault="00E614A4">
            <w:pPr>
              <w:jc w:val="right"/>
              <w:rPr>
                <w:rFonts w:eastAsia="Times New Roman"/>
              </w:rPr>
            </w:pPr>
            <w:r>
              <w:rPr>
                <w:rFonts w:eastAsia="Times New Roman"/>
                <w:color w:val="000000"/>
                <w:sz w:val="18"/>
                <w:szCs w:val="18"/>
              </w:rPr>
              <w:t>(155,562)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C3FC1A" w14:textId="77777777" w:rsidR="00000000" w:rsidRDefault="00E614A4">
            <w:pPr>
              <w:jc w:val="right"/>
              <w:rPr>
                <w:rFonts w:eastAsia="Times New Roman"/>
              </w:rPr>
            </w:pPr>
          </w:p>
        </w:tc>
      </w:tr>
      <w:tr w:rsidR="00000000" w14:paraId="4D31DB37" w14:textId="77777777">
        <w:trPr>
          <w:divId w:val="709188820"/>
        </w:trPr>
        <w:tc>
          <w:tcPr>
            <w:tcW w:w="0" w:type="auto"/>
            <w:gridSpan w:val="3"/>
            <w:shd w:val="clear" w:color="auto" w:fill="FFFFFF"/>
            <w:tcMar>
              <w:top w:w="30" w:type="dxa"/>
              <w:left w:w="20" w:type="dxa"/>
              <w:bottom w:w="30" w:type="dxa"/>
              <w:right w:w="20" w:type="dxa"/>
            </w:tcMar>
            <w:hideMark/>
          </w:tcPr>
          <w:p w14:paraId="46639B84" w14:textId="77777777" w:rsidR="00000000" w:rsidRDefault="00E614A4">
            <w:pPr>
              <w:rPr>
                <w:rFonts w:eastAsia="Times New Roman"/>
              </w:rPr>
            </w:pPr>
            <w:r>
              <w:rPr>
                <w:rFonts w:eastAsia="Times New Roman"/>
                <w:color w:val="000000"/>
                <w:sz w:val="18"/>
                <w:szCs w:val="18"/>
              </w:rPr>
              <w:t xml:space="preserve">Income tax (provision) benefit </w:t>
            </w:r>
          </w:p>
        </w:tc>
        <w:tc>
          <w:tcPr>
            <w:tcW w:w="0" w:type="auto"/>
            <w:gridSpan w:val="3"/>
            <w:shd w:val="clear" w:color="auto" w:fill="FFFFFF"/>
            <w:tcMar>
              <w:top w:w="0" w:type="dxa"/>
              <w:left w:w="20" w:type="dxa"/>
              <w:bottom w:w="0" w:type="dxa"/>
              <w:right w:w="20" w:type="dxa"/>
            </w:tcMar>
            <w:vAlign w:val="center"/>
            <w:hideMark/>
          </w:tcPr>
          <w:p w14:paraId="7652018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107094" w14:textId="77777777" w:rsidR="00000000" w:rsidRDefault="00E614A4">
            <w:pPr>
              <w:jc w:val="right"/>
              <w:rPr>
                <w:rFonts w:eastAsia="Times New Roman"/>
              </w:rPr>
            </w:pPr>
            <w:r>
              <w:rPr>
                <w:rFonts w:eastAsia="Times New Roman"/>
                <w:color w:val="000000"/>
                <w:sz w:val="18"/>
                <w:szCs w:val="18"/>
              </w:rPr>
              <w:t>(902)</w:t>
            </w:r>
          </w:p>
        </w:tc>
        <w:tc>
          <w:tcPr>
            <w:tcW w:w="0" w:type="auto"/>
            <w:shd w:val="clear" w:color="auto" w:fill="FFFFFF"/>
            <w:tcMar>
              <w:top w:w="30" w:type="dxa"/>
              <w:left w:w="0" w:type="dxa"/>
              <w:bottom w:w="30" w:type="dxa"/>
              <w:right w:w="20" w:type="dxa"/>
            </w:tcMar>
            <w:vAlign w:val="bottom"/>
            <w:hideMark/>
          </w:tcPr>
          <w:p w14:paraId="68BBB8F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344A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5D969A" w14:textId="77777777" w:rsidR="00000000" w:rsidRDefault="00E614A4">
            <w:pPr>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14:paraId="5D678D4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3B60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B378E" w14:textId="77777777" w:rsidR="00000000" w:rsidRDefault="00E614A4">
            <w:pPr>
              <w:jc w:val="right"/>
              <w:rPr>
                <w:rFonts w:eastAsia="Times New Roman"/>
              </w:rPr>
            </w:pPr>
            <w:r>
              <w:rPr>
                <w:rFonts w:eastAsia="Times New Roman"/>
                <w:color w:val="000000"/>
                <w:sz w:val="18"/>
                <w:szCs w:val="18"/>
              </w:rPr>
              <w:t>(3,706)</w:t>
            </w:r>
          </w:p>
        </w:tc>
        <w:tc>
          <w:tcPr>
            <w:tcW w:w="0" w:type="auto"/>
            <w:shd w:val="clear" w:color="auto" w:fill="FFFFFF"/>
            <w:tcMar>
              <w:top w:w="30" w:type="dxa"/>
              <w:left w:w="0" w:type="dxa"/>
              <w:bottom w:w="30" w:type="dxa"/>
              <w:right w:w="20" w:type="dxa"/>
            </w:tcMar>
            <w:vAlign w:val="bottom"/>
            <w:hideMark/>
          </w:tcPr>
          <w:p w14:paraId="56DF3CF1" w14:textId="77777777" w:rsidR="00000000" w:rsidRDefault="00E614A4">
            <w:pPr>
              <w:jc w:val="right"/>
              <w:rPr>
                <w:rFonts w:eastAsia="Times New Roman"/>
              </w:rPr>
            </w:pPr>
          </w:p>
        </w:tc>
      </w:tr>
      <w:tr w:rsidR="00000000" w14:paraId="18636403" w14:textId="77777777">
        <w:trPr>
          <w:divId w:val="709188820"/>
        </w:trPr>
        <w:tc>
          <w:tcPr>
            <w:tcW w:w="0" w:type="auto"/>
            <w:gridSpan w:val="3"/>
            <w:shd w:val="clear" w:color="auto" w:fill="CCEEFF"/>
            <w:tcMar>
              <w:top w:w="30" w:type="dxa"/>
              <w:left w:w="20" w:type="dxa"/>
              <w:bottom w:w="30" w:type="dxa"/>
              <w:right w:w="20" w:type="dxa"/>
            </w:tcMar>
            <w:hideMark/>
          </w:tcPr>
          <w:p w14:paraId="0CB3BBE1" w14:textId="77777777" w:rsidR="00000000" w:rsidRDefault="00E614A4">
            <w:pPr>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663B539E"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03CD0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DD96AD" w14:textId="77777777" w:rsidR="00000000" w:rsidRDefault="00E614A4">
            <w:pPr>
              <w:jc w:val="right"/>
              <w:rPr>
                <w:rFonts w:eastAsia="Times New Roman"/>
              </w:rPr>
            </w:pPr>
            <w:r>
              <w:rPr>
                <w:rFonts w:eastAsia="Times New Roman"/>
                <w:color w:val="000000"/>
                <w:sz w:val="18"/>
                <w:szCs w:val="18"/>
              </w:rPr>
              <w:t>(</w:t>
            </w:r>
            <w:r>
              <w:rPr>
                <w:rFonts w:eastAsia="Times New Roman"/>
                <w:color w:val="000000"/>
                <w:sz w:val="18"/>
                <w:szCs w:val="18"/>
              </w:rPr>
              <w:t>47,918)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EA64D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B0E21"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C9DE2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5C857D" w14:textId="77777777" w:rsidR="00000000" w:rsidRDefault="00E614A4">
            <w:pPr>
              <w:jc w:val="right"/>
              <w:rPr>
                <w:rFonts w:eastAsia="Times New Roman"/>
              </w:rPr>
            </w:pPr>
            <w:r>
              <w:rPr>
                <w:rFonts w:eastAsia="Times New Roman"/>
                <w:color w:val="000000"/>
                <w:sz w:val="18"/>
                <w:szCs w:val="18"/>
              </w:rPr>
              <w:t>(338,996)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79E80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C7F3D1"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E1828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583FB8" w14:textId="77777777" w:rsidR="00000000" w:rsidRDefault="00E614A4">
            <w:pPr>
              <w:jc w:val="right"/>
              <w:rPr>
                <w:rFonts w:eastAsia="Times New Roman"/>
              </w:rPr>
            </w:pPr>
            <w:r>
              <w:rPr>
                <w:rFonts w:eastAsia="Times New Roman"/>
                <w:color w:val="000000"/>
                <w:sz w:val="18"/>
                <w:szCs w:val="18"/>
              </w:rPr>
              <w:t>(159,268)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9139CF" w14:textId="77777777" w:rsidR="00000000" w:rsidRDefault="00E614A4">
            <w:pPr>
              <w:jc w:val="right"/>
              <w:rPr>
                <w:rFonts w:eastAsia="Times New Roman"/>
              </w:rPr>
            </w:pPr>
          </w:p>
        </w:tc>
      </w:tr>
      <w:tr w:rsidR="00000000" w14:paraId="105459BA" w14:textId="77777777">
        <w:trPr>
          <w:divId w:val="709188820"/>
        </w:trPr>
        <w:tc>
          <w:tcPr>
            <w:tcW w:w="0" w:type="auto"/>
            <w:gridSpan w:val="3"/>
            <w:shd w:val="clear" w:color="auto" w:fill="FFFFFF"/>
            <w:tcMar>
              <w:top w:w="30" w:type="dxa"/>
              <w:left w:w="20" w:type="dxa"/>
              <w:bottom w:w="30" w:type="dxa"/>
              <w:right w:w="20" w:type="dxa"/>
            </w:tcMar>
            <w:hideMark/>
          </w:tcPr>
          <w:p w14:paraId="38008835" w14:textId="77777777" w:rsidR="00000000" w:rsidRDefault="00E614A4">
            <w:pPr>
              <w:rPr>
                <w:rFonts w:eastAsia="Times New Roman"/>
              </w:rPr>
            </w:pPr>
            <w:r>
              <w:rPr>
                <w:rFonts w:eastAsia="Times New Roman"/>
                <w:color w:val="000000"/>
                <w:sz w:val="18"/>
                <w:szCs w:val="18"/>
              </w:rPr>
              <w:t>Net loss per common share:</w:t>
            </w:r>
          </w:p>
        </w:tc>
        <w:tc>
          <w:tcPr>
            <w:tcW w:w="0" w:type="auto"/>
            <w:gridSpan w:val="3"/>
            <w:shd w:val="clear" w:color="auto" w:fill="FFFFFF"/>
            <w:tcMar>
              <w:top w:w="0" w:type="dxa"/>
              <w:left w:w="20" w:type="dxa"/>
              <w:bottom w:w="0" w:type="dxa"/>
              <w:right w:w="20" w:type="dxa"/>
            </w:tcMar>
            <w:vAlign w:val="center"/>
            <w:hideMark/>
          </w:tcPr>
          <w:p w14:paraId="07761DD1" w14:textId="77777777" w:rsidR="00000000" w:rsidRDefault="00E614A4">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62961E"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25E9C5"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86017B"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F3C080"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42CA8CC" w14:textId="77777777" w:rsidR="00000000" w:rsidRDefault="00E614A4">
            <w:pPr>
              <w:rPr>
                <w:rFonts w:eastAsia="Times New Roman"/>
                <w:sz w:val="20"/>
                <w:szCs w:val="20"/>
              </w:rPr>
            </w:pPr>
          </w:p>
        </w:tc>
      </w:tr>
      <w:tr w:rsidR="00000000" w14:paraId="5370500A" w14:textId="77777777">
        <w:trPr>
          <w:divId w:val="709188820"/>
        </w:trPr>
        <w:tc>
          <w:tcPr>
            <w:tcW w:w="0" w:type="auto"/>
            <w:gridSpan w:val="3"/>
            <w:shd w:val="clear" w:color="auto" w:fill="CCEEFF"/>
            <w:tcMar>
              <w:top w:w="30" w:type="dxa"/>
              <w:left w:w="260" w:type="dxa"/>
              <w:bottom w:w="30" w:type="dxa"/>
              <w:right w:w="20" w:type="dxa"/>
            </w:tcMar>
            <w:hideMark/>
          </w:tcPr>
          <w:p w14:paraId="0F02F037" w14:textId="77777777" w:rsidR="00000000" w:rsidRDefault="00E614A4">
            <w:pPr>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7EC637EE" w14:textId="77777777" w:rsidR="00000000" w:rsidRDefault="00E614A4">
            <w:pPr>
              <w:rPr>
                <w:rFonts w:eastAsia="Times New Roman"/>
              </w:rPr>
            </w:pPr>
          </w:p>
        </w:tc>
        <w:tc>
          <w:tcPr>
            <w:tcW w:w="0" w:type="auto"/>
            <w:shd w:val="clear" w:color="auto" w:fill="CCEEFF"/>
            <w:tcMar>
              <w:top w:w="30" w:type="dxa"/>
              <w:left w:w="20" w:type="dxa"/>
              <w:bottom w:w="30" w:type="dxa"/>
              <w:right w:w="0" w:type="dxa"/>
            </w:tcMar>
            <w:vAlign w:val="bottom"/>
            <w:hideMark/>
          </w:tcPr>
          <w:p w14:paraId="155CB062"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FE74A17" w14:textId="77777777" w:rsidR="00000000" w:rsidRDefault="00E614A4">
            <w:pPr>
              <w:jc w:val="right"/>
              <w:rPr>
                <w:rFonts w:eastAsia="Times New Roman"/>
              </w:rPr>
            </w:pPr>
            <w:r>
              <w:rPr>
                <w:rFonts w:eastAsia="Times New Roman"/>
                <w:color w:val="000000"/>
                <w:sz w:val="18"/>
                <w:szCs w:val="18"/>
              </w:rPr>
              <w:t>(0.67)</w:t>
            </w:r>
          </w:p>
        </w:tc>
        <w:tc>
          <w:tcPr>
            <w:tcW w:w="0" w:type="auto"/>
            <w:shd w:val="clear" w:color="auto" w:fill="CCEEFF"/>
            <w:tcMar>
              <w:top w:w="30" w:type="dxa"/>
              <w:left w:w="0" w:type="dxa"/>
              <w:bottom w:w="30" w:type="dxa"/>
              <w:right w:w="20" w:type="dxa"/>
            </w:tcMar>
            <w:vAlign w:val="bottom"/>
            <w:hideMark/>
          </w:tcPr>
          <w:p w14:paraId="0712077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4E8B2"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4FE2AA"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FB739BE" w14:textId="77777777" w:rsidR="00000000" w:rsidRDefault="00E614A4">
            <w:pPr>
              <w:jc w:val="right"/>
              <w:rPr>
                <w:rFonts w:eastAsia="Times New Roman"/>
              </w:rPr>
            </w:pPr>
            <w:r>
              <w:rPr>
                <w:rFonts w:eastAsia="Times New Roman"/>
                <w:color w:val="000000"/>
                <w:sz w:val="18"/>
                <w:szCs w:val="18"/>
              </w:rPr>
              <w:t>(5.33)</w:t>
            </w:r>
          </w:p>
        </w:tc>
        <w:tc>
          <w:tcPr>
            <w:tcW w:w="0" w:type="auto"/>
            <w:shd w:val="clear" w:color="auto" w:fill="CCEEFF"/>
            <w:tcMar>
              <w:top w:w="30" w:type="dxa"/>
              <w:left w:w="0" w:type="dxa"/>
              <w:bottom w:w="30" w:type="dxa"/>
              <w:right w:w="20" w:type="dxa"/>
            </w:tcMar>
            <w:vAlign w:val="bottom"/>
            <w:hideMark/>
          </w:tcPr>
          <w:p w14:paraId="632F31B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9452D1"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939DB03"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B94000B" w14:textId="77777777" w:rsidR="00000000" w:rsidRDefault="00E614A4">
            <w:pPr>
              <w:jc w:val="right"/>
              <w:rPr>
                <w:rFonts w:eastAsia="Times New Roman"/>
              </w:rPr>
            </w:pPr>
            <w:r>
              <w:rPr>
                <w:rFonts w:eastAsia="Times New Roman"/>
                <w:color w:val="000000"/>
                <w:sz w:val="18"/>
                <w:szCs w:val="18"/>
              </w:rPr>
              <w:t>(2.76)</w:t>
            </w:r>
          </w:p>
        </w:tc>
        <w:tc>
          <w:tcPr>
            <w:tcW w:w="0" w:type="auto"/>
            <w:shd w:val="clear" w:color="auto" w:fill="CCEEFF"/>
            <w:tcMar>
              <w:top w:w="30" w:type="dxa"/>
              <w:left w:w="0" w:type="dxa"/>
              <w:bottom w:w="30" w:type="dxa"/>
              <w:right w:w="20" w:type="dxa"/>
            </w:tcMar>
            <w:vAlign w:val="bottom"/>
            <w:hideMark/>
          </w:tcPr>
          <w:p w14:paraId="27D28CCD" w14:textId="77777777" w:rsidR="00000000" w:rsidRDefault="00E614A4">
            <w:pPr>
              <w:jc w:val="right"/>
              <w:rPr>
                <w:rFonts w:eastAsia="Times New Roman"/>
              </w:rPr>
            </w:pPr>
          </w:p>
        </w:tc>
      </w:tr>
      <w:tr w:rsidR="00000000" w14:paraId="3895D259" w14:textId="77777777">
        <w:trPr>
          <w:divId w:val="709188820"/>
        </w:trPr>
        <w:tc>
          <w:tcPr>
            <w:tcW w:w="0" w:type="auto"/>
            <w:gridSpan w:val="3"/>
            <w:shd w:val="clear" w:color="auto" w:fill="FFFFFF"/>
            <w:tcMar>
              <w:top w:w="30" w:type="dxa"/>
              <w:left w:w="20" w:type="dxa"/>
              <w:bottom w:w="30" w:type="dxa"/>
              <w:right w:w="20" w:type="dxa"/>
            </w:tcMar>
            <w:hideMark/>
          </w:tcPr>
          <w:p w14:paraId="16BB78FC" w14:textId="77777777" w:rsidR="00000000" w:rsidRDefault="00E614A4">
            <w:pPr>
              <w:rPr>
                <w:rFonts w:eastAsia="Times New Roman"/>
              </w:rPr>
            </w:pPr>
            <w:r>
              <w:rPr>
                <w:rFonts w:eastAsia="Times New Roman"/>
                <w:color w:val="000000"/>
                <w:sz w:val="18"/>
                <w:szCs w:val="18"/>
              </w:rPr>
              <w:t>We</w:t>
            </w:r>
            <w:r>
              <w:rPr>
                <w:rFonts w:eastAsia="Times New Roman"/>
                <w:color w:val="000000"/>
                <w:sz w:val="18"/>
                <w:szCs w:val="18"/>
              </w:rPr>
              <w:t>ighted-average number of shares used in per share calculation - Common Stock:</w:t>
            </w:r>
          </w:p>
        </w:tc>
        <w:tc>
          <w:tcPr>
            <w:tcW w:w="0" w:type="auto"/>
            <w:gridSpan w:val="3"/>
            <w:shd w:val="clear" w:color="auto" w:fill="FFFFFF"/>
            <w:tcMar>
              <w:top w:w="0" w:type="dxa"/>
              <w:left w:w="20" w:type="dxa"/>
              <w:bottom w:w="0" w:type="dxa"/>
              <w:right w:w="20" w:type="dxa"/>
            </w:tcMar>
            <w:vAlign w:val="center"/>
            <w:hideMark/>
          </w:tcPr>
          <w:p w14:paraId="311D1DDC"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F513F"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ACACEF"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733EDE"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3F8FCE"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7CC4C6" w14:textId="77777777" w:rsidR="00000000" w:rsidRDefault="00E614A4">
            <w:pPr>
              <w:rPr>
                <w:rFonts w:eastAsia="Times New Roman"/>
                <w:sz w:val="20"/>
                <w:szCs w:val="20"/>
              </w:rPr>
            </w:pPr>
          </w:p>
        </w:tc>
      </w:tr>
      <w:tr w:rsidR="00000000" w14:paraId="0E3CEC0C" w14:textId="77777777">
        <w:trPr>
          <w:divId w:val="709188820"/>
        </w:trPr>
        <w:tc>
          <w:tcPr>
            <w:tcW w:w="0" w:type="auto"/>
            <w:gridSpan w:val="3"/>
            <w:shd w:val="clear" w:color="auto" w:fill="CCEEFF"/>
            <w:tcMar>
              <w:top w:w="30" w:type="dxa"/>
              <w:left w:w="260" w:type="dxa"/>
              <w:bottom w:w="30" w:type="dxa"/>
              <w:right w:w="20" w:type="dxa"/>
            </w:tcMar>
            <w:hideMark/>
          </w:tcPr>
          <w:p w14:paraId="66B361D1" w14:textId="77777777" w:rsidR="00000000" w:rsidRDefault="00E614A4">
            <w:pPr>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0ABC85B1"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6186F4" w14:textId="77777777" w:rsidR="00000000" w:rsidRDefault="00E614A4">
            <w:pPr>
              <w:jc w:val="right"/>
              <w:rPr>
                <w:rFonts w:eastAsia="Times New Roman"/>
              </w:rPr>
            </w:pPr>
            <w:r>
              <w:rPr>
                <w:rFonts w:eastAsia="Times New Roman"/>
                <w:color w:val="000000"/>
                <w:sz w:val="18"/>
                <w:szCs w:val="18"/>
              </w:rPr>
              <w:t>71,181,496 </w:t>
            </w:r>
          </w:p>
        </w:tc>
        <w:tc>
          <w:tcPr>
            <w:tcW w:w="0" w:type="auto"/>
            <w:shd w:val="clear" w:color="auto" w:fill="CCEEFF"/>
            <w:tcMar>
              <w:top w:w="30" w:type="dxa"/>
              <w:left w:w="0" w:type="dxa"/>
              <w:bottom w:w="30" w:type="dxa"/>
              <w:right w:w="20" w:type="dxa"/>
            </w:tcMar>
            <w:vAlign w:val="bottom"/>
            <w:hideMark/>
          </w:tcPr>
          <w:p w14:paraId="21832C9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155C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544F05" w14:textId="77777777" w:rsidR="00000000" w:rsidRDefault="00E614A4">
            <w:pPr>
              <w:jc w:val="right"/>
              <w:rPr>
                <w:rFonts w:eastAsia="Times New Roman"/>
              </w:rPr>
            </w:pPr>
            <w:r>
              <w:rPr>
                <w:rFonts w:eastAsia="Times New Roman"/>
                <w:color w:val="000000"/>
                <w:sz w:val="18"/>
                <w:szCs w:val="18"/>
              </w:rPr>
              <w:t>63,590,882 </w:t>
            </w:r>
          </w:p>
        </w:tc>
        <w:tc>
          <w:tcPr>
            <w:tcW w:w="0" w:type="auto"/>
            <w:shd w:val="clear" w:color="auto" w:fill="CCEEFF"/>
            <w:tcMar>
              <w:top w:w="30" w:type="dxa"/>
              <w:left w:w="0" w:type="dxa"/>
              <w:bottom w:w="30" w:type="dxa"/>
              <w:right w:w="20" w:type="dxa"/>
            </w:tcMar>
            <w:vAlign w:val="bottom"/>
            <w:hideMark/>
          </w:tcPr>
          <w:p w14:paraId="3C682E3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28F3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FCD52B" w14:textId="77777777" w:rsidR="00000000" w:rsidRDefault="00E614A4">
            <w:pPr>
              <w:jc w:val="right"/>
              <w:rPr>
                <w:rFonts w:eastAsia="Times New Roman"/>
              </w:rPr>
            </w:pPr>
            <w:r>
              <w:rPr>
                <w:rFonts w:eastAsia="Times New Roman"/>
                <w:color w:val="000000"/>
                <w:sz w:val="18"/>
                <w:szCs w:val="18"/>
              </w:rPr>
              <w:t>57,700,603 </w:t>
            </w:r>
          </w:p>
        </w:tc>
        <w:tc>
          <w:tcPr>
            <w:tcW w:w="0" w:type="auto"/>
            <w:shd w:val="clear" w:color="auto" w:fill="CCEEFF"/>
            <w:tcMar>
              <w:top w:w="30" w:type="dxa"/>
              <w:left w:w="0" w:type="dxa"/>
              <w:bottom w:w="30" w:type="dxa"/>
              <w:right w:w="20" w:type="dxa"/>
            </w:tcMar>
            <w:vAlign w:val="bottom"/>
            <w:hideMark/>
          </w:tcPr>
          <w:p w14:paraId="538AC88F" w14:textId="77777777" w:rsidR="00000000" w:rsidRDefault="00E614A4">
            <w:pPr>
              <w:jc w:val="right"/>
              <w:rPr>
                <w:rFonts w:eastAsia="Times New Roman"/>
              </w:rPr>
            </w:pPr>
          </w:p>
        </w:tc>
      </w:tr>
      <w:tr w:rsidR="00000000" w14:paraId="5DC80071" w14:textId="77777777">
        <w:trPr>
          <w:divId w:val="709188820"/>
        </w:trPr>
        <w:tc>
          <w:tcPr>
            <w:tcW w:w="0" w:type="auto"/>
            <w:gridSpan w:val="3"/>
            <w:shd w:val="clear" w:color="auto" w:fill="FFFFFF"/>
            <w:tcMar>
              <w:top w:w="30" w:type="dxa"/>
              <w:left w:w="20" w:type="dxa"/>
              <w:bottom w:w="30" w:type="dxa"/>
              <w:right w:w="20" w:type="dxa"/>
            </w:tcMar>
            <w:hideMark/>
          </w:tcPr>
          <w:p w14:paraId="52383085" w14:textId="77777777" w:rsidR="00000000" w:rsidRDefault="00E614A4">
            <w:pPr>
              <w:rPr>
                <w:rFonts w:eastAsia="Times New Roman"/>
              </w:rPr>
            </w:pPr>
            <w:r>
              <w:rPr>
                <w:rFonts w:eastAsia="Times New Roman"/>
                <w:color w:val="000000"/>
                <w:sz w:val="18"/>
                <w:szCs w:val="18"/>
              </w:rPr>
              <w:t>Comprehensive loss:</w:t>
            </w:r>
          </w:p>
        </w:tc>
        <w:tc>
          <w:tcPr>
            <w:tcW w:w="0" w:type="auto"/>
            <w:gridSpan w:val="3"/>
            <w:shd w:val="clear" w:color="auto" w:fill="FFFFFF"/>
            <w:tcMar>
              <w:top w:w="0" w:type="dxa"/>
              <w:left w:w="20" w:type="dxa"/>
              <w:bottom w:w="0" w:type="dxa"/>
              <w:right w:w="20" w:type="dxa"/>
            </w:tcMar>
            <w:vAlign w:val="center"/>
            <w:hideMark/>
          </w:tcPr>
          <w:p w14:paraId="50AA45F1"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A106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64482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3139B0"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7F0B41"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DF68E5" w14:textId="77777777" w:rsidR="00000000" w:rsidRDefault="00E614A4">
            <w:pPr>
              <w:rPr>
                <w:rFonts w:eastAsia="Times New Roman"/>
                <w:sz w:val="20"/>
                <w:szCs w:val="20"/>
              </w:rPr>
            </w:pPr>
          </w:p>
        </w:tc>
      </w:tr>
      <w:tr w:rsidR="00000000" w14:paraId="20C30255" w14:textId="77777777">
        <w:trPr>
          <w:divId w:val="709188820"/>
        </w:trPr>
        <w:tc>
          <w:tcPr>
            <w:tcW w:w="0" w:type="auto"/>
            <w:gridSpan w:val="3"/>
            <w:shd w:val="clear" w:color="auto" w:fill="CCEEFF"/>
            <w:tcMar>
              <w:top w:w="30" w:type="dxa"/>
              <w:left w:w="20" w:type="dxa"/>
              <w:bottom w:w="30" w:type="dxa"/>
              <w:right w:w="20" w:type="dxa"/>
            </w:tcMar>
            <w:hideMark/>
          </w:tcPr>
          <w:p w14:paraId="5CC5D46D" w14:textId="77777777" w:rsidR="00000000" w:rsidRDefault="00E614A4">
            <w:pPr>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2C735096" w14:textId="77777777" w:rsidR="00000000" w:rsidRDefault="00E614A4">
            <w:pPr>
              <w:rPr>
                <w:rFonts w:eastAsia="Times New Roman"/>
              </w:rPr>
            </w:pPr>
          </w:p>
        </w:tc>
        <w:tc>
          <w:tcPr>
            <w:tcW w:w="0" w:type="auto"/>
            <w:shd w:val="clear" w:color="auto" w:fill="CCEEFF"/>
            <w:tcMar>
              <w:top w:w="30" w:type="dxa"/>
              <w:left w:w="20" w:type="dxa"/>
              <w:bottom w:w="30" w:type="dxa"/>
              <w:right w:w="0" w:type="dxa"/>
            </w:tcMar>
            <w:vAlign w:val="bottom"/>
            <w:hideMark/>
          </w:tcPr>
          <w:p w14:paraId="5EE74F0D"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AD08747" w14:textId="77777777" w:rsidR="00000000" w:rsidRDefault="00E614A4">
            <w:pPr>
              <w:jc w:val="right"/>
              <w:rPr>
                <w:rFonts w:eastAsia="Times New Roman"/>
              </w:rPr>
            </w:pPr>
            <w:r>
              <w:rPr>
                <w:rFonts w:eastAsia="Times New Roman"/>
                <w:color w:val="000000"/>
                <w:sz w:val="18"/>
                <w:szCs w:val="18"/>
              </w:rPr>
              <w:t>(47,918)</w:t>
            </w:r>
          </w:p>
        </w:tc>
        <w:tc>
          <w:tcPr>
            <w:tcW w:w="0" w:type="auto"/>
            <w:shd w:val="clear" w:color="auto" w:fill="CCEEFF"/>
            <w:tcMar>
              <w:top w:w="30" w:type="dxa"/>
              <w:left w:w="0" w:type="dxa"/>
              <w:bottom w:w="30" w:type="dxa"/>
              <w:right w:w="20" w:type="dxa"/>
            </w:tcMar>
            <w:vAlign w:val="bottom"/>
            <w:hideMark/>
          </w:tcPr>
          <w:p w14:paraId="5CE29BA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A9FBF"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4F5E2C"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ADC7429" w14:textId="77777777" w:rsidR="00000000" w:rsidRDefault="00E614A4">
            <w:pPr>
              <w:jc w:val="right"/>
              <w:rPr>
                <w:rFonts w:eastAsia="Times New Roman"/>
              </w:rPr>
            </w:pPr>
            <w:r>
              <w:rPr>
                <w:rFonts w:eastAsia="Times New Roman"/>
                <w:color w:val="000000"/>
                <w:sz w:val="18"/>
                <w:szCs w:val="18"/>
              </w:rPr>
              <w:t>(</w:t>
            </w:r>
            <w:r>
              <w:rPr>
                <w:rFonts w:eastAsia="Times New Roman"/>
                <w:color w:val="000000"/>
                <w:sz w:val="18"/>
                <w:szCs w:val="18"/>
              </w:rPr>
              <w:t>338,996)</w:t>
            </w:r>
          </w:p>
        </w:tc>
        <w:tc>
          <w:tcPr>
            <w:tcW w:w="0" w:type="auto"/>
            <w:shd w:val="clear" w:color="auto" w:fill="CCEEFF"/>
            <w:tcMar>
              <w:top w:w="30" w:type="dxa"/>
              <w:left w:w="0" w:type="dxa"/>
              <w:bottom w:w="30" w:type="dxa"/>
              <w:right w:w="20" w:type="dxa"/>
            </w:tcMar>
            <w:vAlign w:val="bottom"/>
            <w:hideMark/>
          </w:tcPr>
          <w:p w14:paraId="466108E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EA497"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1CEA34"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851B352" w14:textId="77777777" w:rsidR="00000000" w:rsidRDefault="00E614A4">
            <w:pPr>
              <w:jc w:val="right"/>
              <w:rPr>
                <w:rFonts w:eastAsia="Times New Roman"/>
              </w:rPr>
            </w:pPr>
            <w:r>
              <w:rPr>
                <w:rFonts w:eastAsia="Times New Roman"/>
                <w:color w:val="000000"/>
                <w:sz w:val="18"/>
                <w:szCs w:val="18"/>
              </w:rPr>
              <w:t>(159,268)</w:t>
            </w:r>
          </w:p>
        </w:tc>
        <w:tc>
          <w:tcPr>
            <w:tcW w:w="0" w:type="auto"/>
            <w:shd w:val="clear" w:color="auto" w:fill="CCEEFF"/>
            <w:tcMar>
              <w:top w:w="30" w:type="dxa"/>
              <w:left w:w="0" w:type="dxa"/>
              <w:bottom w:w="30" w:type="dxa"/>
              <w:right w:w="20" w:type="dxa"/>
            </w:tcMar>
            <w:vAlign w:val="bottom"/>
            <w:hideMark/>
          </w:tcPr>
          <w:p w14:paraId="11590FE2" w14:textId="77777777" w:rsidR="00000000" w:rsidRDefault="00E614A4">
            <w:pPr>
              <w:jc w:val="right"/>
              <w:rPr>
                <w:rFonts w:eastAsia="Times New Roman"/>
              </w:rPr>
            </w:pPr>
          </w:p>
        </w:tc>
      </w:tr>
      <w:tr w:rsidR="00000000" w14:paraId="0C25B1D9" w14:textId="77777777">
        <w:trPr>
          <w:divId w:val="709188820"/>
        </w:trPr>
        <w:tc>
          <w:tcPr>
            <w:tcW w:w="0" w:type="auto"/>
            <w:gridSpan w:val="3"/>
            <w:shd w:val="clear" w:color="auto" w:fill="FFFFFF"/>
            <w:tcMar>
              <w:top w:w="30" w:type="dxa"/>
              <w:left w:w="20" w:type="dxa"/>
              <w:bottom w:w="30" w:type="dxa"/>
              <w:right w:w="20" w:type="dxa"/>
            </w:tcMar>
            <w:hideMark/>
          </w:tcPr>
          <w:p w14:paraId="743D3750" w14:textId="77777777" w:rsidR="00000000" w:rsidRDefault="00E614A4">
            <w:pPr>
              <w:rPr>
                <w:rFonts w:eastAsia="Times New Roman"/>
              </w:rPr>
            </w:pPr>
            <w:r>
              <w:rPr>
                <w:rFonts w:eastAsia="Times New Roman"/>
                <w:color w:val="000000"/>
                <w:sz w:val="18"/>
                <w:szCs w:val="18"/>
              </w:rPr>
              <w:t>Other comprehensive income (loss):</w:t>
            </w:r>
          </w:p>
        </w:tc>
        <w:tc>
          <w:tcPr>
            <w:tcW w:w="0" w:type="auto"/>
            <w:gridSpan w:val="3"/>
            <w:shd w:val="clear" w:color="auto" w:fill="FFFFFF"/>
            <w:tcMar>
              <w:top w:w="0" w:type="dxa"/>
              <w:left w:w="20" w:type="dxa"/>
              <w:bottom w:w="0" w:type="dxa"/>
              <w:right w:w="20" w:type="dxa"/>
            </w:tcMar>
            <w:vAlign w:val="center"/>
            <w:hideMark/>
          </w:tcPr>
          <w:p w14:paraId="6B80005B"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A8C7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0C3A67"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295498"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9EF02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701D6C" w14:textId="77777777" w:rsidR="00000000" w:rsidRDefault="00E614A4">
            <w:pPr>
              <w:rPr>
                <w:rFonts w:eastAsia="Times New Roman"/>
                <w:sz w:val="20"/>
                <w:szCs w:val="20"/>
              </w:rPr>
            </w:pPr>
          </w:p>
        </w:tc>
      </w:tr>
      <w:tr w:rsidR="00000000" w14:paraId="4B041092" w14:textId="77777777">
        <w:trPr>
          <w:divId w:val="709188820"/>
        </w:trPr>
        <w:tc>
          <w:tcPr>
            <w:tcW w:w="0" w:type="auto"/>
            <w:gridSpan w:val="3"/>
            <w:shd w:val="clear" w:color="auto" w:fill="CCEEFF"/>
            <w:tcMar>
              <w:top w:w="30" w:type="dxa"/>
              <w:left w:w="260" w:type="dxa"/>
              <w:bottom w:w="30" w:type="dxa"/>
              <w:right w:w="20" w:type="dxa"/>
            </w:tcMar>
            <w:hideMark/>
          </w:tcPr>
          <w:p w14:paraId="1D247DD1" w14:textId="77777777" w:rsidR="00000000" w:rsidRDefault="00E614A4">
            <w:pPr>
              <w:rPr>
                <w:rFonts w:eastAsia="Times New Roman"/>
              </w:rPr>
            </w:pPr>
            <w:r>
              <w:rPr>
                <w:rFonts w:eastAsia="Times New Roman"/>
                <w:color w:val="000000"/>
                <w:sz w:val="18"/>
                <w:szCs w:val="18"/>
              </w:rPr>
              <w:t>Foreign currency cumulative translation adjustment</w:t>
            </w:r>
          </w:p>
        </w:tc>
        <w:tc>
          <w:tcPr>
            <w:tcW w:w="0" w:type="auto"/>
            <w:gridSpan w:val="3"/>
            <w:shd w:val="clear" w:color="auto" w:fill="CCEEFF"/>
            <w:tcMar>
              <w:top w:w="0" w:type="dxa"/>
              <w:left w:w="20" w:type="dxa"/>
              <w:bottom w:w="0" w:type="dxa"/>
              <w:right w:w="20" w:type="dxa"/>
            </w:tcMar>
            <w:vAlign w:val="center"/>
            <w:hideMark/>
          </w:tcPr>
          <w:p w14:paraId="1BFB864E"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5C2DD6" w14:textId="77777777" w:rsidR="00000000" w:rsidRDefault="00E614A4">
            <w:pPr>
              <w:jc w:val="right"/>
              <w:rPr>
                <w:rFonts w:eastAsia="Times New Roman"/>
              </w:rPr>
            </w:pPr>
            <w:r>
              <w:rPr>
                <w:rFonts w:eastAsia="Times New Roman"/>
                <w:color w:val="000000"/>
                <w:sz w:val="18"/>
                <w:szCs w:val="18"/>
              </w:rPr>
              <w:t>5,303 </w:t>
            </w:r>
          </w:p>
        </w:tc>
        <w:tc>
          <w:tcPr>
            <w:tcW w:w="0" w:type="auto"/>
            <w:shd w:val="clear" w:color="auto" w:fill="CCEEFF"/>
            <w:tcMar>
              <w:top w:w="30" w:type="dxa"/>
              <w:left w:w="0" w:type="dxa"/>
              <w:bottom w:w="30" w:type="dxa"/>
              <w:right w:w="20" w:type="dxa"/>
            </w:tcMar>
            <w:vAlign w:val="bottom"/>
            <w:hideMark/>
          </w:tcPr>
          <w:p w14:paraId="3A5739D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3CC4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D14080" w14:textId="77777777" w:rsidR="00000000" w:rsidRDefault="00E614A4">
            <w:pPr>
              <w:jc w:val="right"/>
              <w:rPr>
                <w:rFonts w:eastAsia="Times New Roman"/>
              </w:rPr>
            </w:pPr>
            <w:r>
              <w:rPr>
                <w:rFonts w:eastAsia="Times New Roman"/>
                <w:color w:val="000000"/>
                <w:sz w:val="18"/>
                <w:szCs w:val="18"/>
              </w:rPr>
              <w:t>(1,712)</w:t>
            </w:r>
          </w:p>
        </w:tc>
        <w:tc>
          <w:tcPr>
            <w:tcW w:w="0" w:type="auto"/>
            <w:shd w:val="clear" w:color="auto" w:fill="CCEEFF"/>
            <w:tcMar>
              <w:top w:w="30" w:type="dxa"/>
              <w:left w:w="0" w:type="dxa"/>
              <w:bottom w:w="30" w:type="dxa"/>
              <w:right w:w="20" w:type="dxa"/>
            </w:tcMar>
            <w:vAlign w:val="bottom"/>
            <w:hideMark/>
          </w:tcPr>
          <w:p w14:paraId="52A42D8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2F19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AA7F52" w14:textId="77777777" w:rsidR="00000000" w:rsidRDefault="00E614A4">
            <w:pPr>
              <w:jc w:val="right"/>
              <w:rPr>
                <w:rFonts w:eastAsia="Times New Roman"/>
              </w:rPr>
            </w:pPr>
            <w:r>
              <w:rPr>
                <w:rFonts w:eastAsia="Times New Roman"/>
                <w:color w:val="000000"/>
                <w:sz w:val="18"/>
                <w:szCs w:val="18"/>
              </w:rPr>
              <w:t>(4,397)</w:t>
            </w:r>
          </w:p>
        </w:tc>
        <w:tc>
          <w:tcPr>
            <w:tcW w:w="0" w:type="auto"/>
            <w:shd w:val="clear" w:color="auto" w:fill="CCEEFF"/>
            <w:tcMar>
              <w:top w:w="30" w:type="dxa"/>
              <w:left w:w="0" w:type="dxa"/>
              <w:bottom w:w="30" w:type="dxa"/>
              <w:right w:w="20" w:type="dxa"/>
            </w:tcMar>
            <w:vAlign w:val="bottom"/>
            <w:hideMark/>
          </w:tcPr>
          <w:p w14:paraId="62E374C8" w14:textId="77777777" w:rsidR="00000000" w:rsidRDefault="00E614A4">
            <w:pPr>
              <w:jc w:val="right"/>
              <w:rPr>
                <w:rFonts w:eastAsia="Times New Roman"/>
              </w:rPr>
            </w:pPr>
          </w:p>
        </w:tc>
      </w:tr>
      <w:tr w:rsidR="00000000" w14:paraId="28C9D939" w14:textId="77777777">
        <w:trPr>
          <w:divId w:val="709188820"/>
        </w:trPr>
        <w:tc>
          <w:tcPr>
            <w:tcW w:w="0" w:type="auto"/>
            <w:gridSpan w:val="3"/>
            <w:vAlign w:val="center"/>
            <w:hideMark/>
          </w:tcPr>
          <w:p w14:paraId="75FC8ACD" w14:textId="77777777" w:rsidR="00000000" w:rsidRDefault="00E614A4">
            <w:pPr>
              <w:jc w:val="right"/>
              <w:rPr>
                <w:rFonts w:eastAsia="Times New Roman"/>
                <w:sz w:val="20"/>
                <w:szCs w:val="20"/>
              </w:rPr>
            </w:pPr>
          </w:p>
        </w:tc>
        <w:tc>
          <w:tcPr>
            <w:tcW w:w="0" w:type="auto"/>
            <w:gridSpan w:val="3"/>
            <w:vAlign w:val="center"/>
            <w:hideMark/>
          </w:tcPr>
          <w:p w14:paraId="7465CB89" w14:textId="77777777" w:rsidR="00000000" w:rsidRDefault="00E614A4">
            <w:pPr>
              <w:rPr>
                <w:rFonts w:eastAsia="Times New Roman"/>
                <w:sz w:val="20"/>
                <w:szCs w:val="20"/>
              </w:rPr>
            </w:pPr>
          </w:p>
        </w:tc>
        <w:tc>
          <w:tcPr>
            <w:tcW w:w="0" w:type="auto"/>
            <w:gridSpan w:val="3"/>
            <w:vAlign w:val="center"/>
            <w:hideMark/>
          </w:tcPr>
          <w:p w14:paraId="003E4AB9" w14:textId="77777777" w:rsidR="00000000" w:rsidRDefault="00E614A4">
            <w:pPr>
              <w:rPr>
                <w:rFonts w:eastAsia="Times New Roman"/>
                <w:sz w:val="20"/>
                <w:szCs w:val="20"/>
              </w:rPr>
            </w:pPr>
          </w:p>
        </w:tc>
        <w:tc>
          <w:tcPr>
            <w:tcW w:w="0" w:type="auto"/>
            <w:gridSpan w:val="3"/>
            <w:vAlign w:val="center"/>
            <w:hideMark/>
          </w:tcPr>
          <w:p w14:paraId="70C549BC" w14:textId="77777777" w:rsidR="00000000" w:rsidRDefault="00E614A4">
            <w:pPr>
              <w:rPr>
                <w:rFonts w:eastAsia="Times New Roman"/>
                <w:sz w:val="20"/>
                <w:szCs w:val="20"/>
              </w:rPr>
            </w:pPr>
          </w:p>
        </w:tc>
        <w:tc>
          <w:tcPr>
            <w:tcW w:w="0" w:type="auto"/>
            <w:gridSpan w:val="3"/>
            <w:vAlign w:val="center"/>
            <w:hideMark/>
          </w:tcPr>
          <w:p w14:paraId="5BAAA9C8" w14:textId="77777777" w:rsidR="00000000" w:rsidRDefault="00E614A4">
            <w:pPr>
              <w:rPr>
                <w:rFonts w:eastAsia="Times New Roman"/>
                <w:sz w:val="20"/>
                <w:szCs w:val="20"/>
              </w:rPr>
            </w:pPr>
          </w:p>
        </w:tc>
        <w:tc>
          <w:tcPr>
            <w:tcW w:w="0" w:type="auto"/>
            <w:gridSpan w:val="3"/>
            <w:vAlign w:val="center"/>
            <w:hideMark/>
          </w:tcPr>
          <w:p w14:paraId="3D4048E1" w14:textId="77777777" w:rsidR="00000000" w:rsidRDefault="00E614A4">
            <w:pPr>
              <w:rPr>
                <w:rFonts w:eastAsia="Times New Roman"/>
                <w:sz w:val="20"/>
                <w:szCs w:val="20"/>
              </w:rPr>
            </w:pPr>
          </w:p>
        </w:tc>
        <w:tc>
          <w:tcPr>
            <w:tcW w:w="0" w:type="auto"/>
            <w:gridSpan w:val="3"/>
            <w:vAlign w:val="center"/>
            <w:hideMark/>
          </w:tcPr>
          <w:p w14:paraId="6638B6CE" w14:textId="77777777" w:rsidR="00000000" w:rsidRDefault="00E614A4">
            <w:pPr>
              <w:rPr>
                <w:rFonts w:eastAsia="Times New Roman"/>
                <w:sz w:val="20"/>
                <w:szCs w:val="20"/>
              </w:rPr>
            </w:pPr>
          </w:p>
        </w:tc>
      </w:tr>
      <w:tr w:rsidR="00000000" w14:paraId="1AC057C5" w14:textId="77777777">
        <w:trPr>
          <w:divId w:val="709188820"/>
        </w:trPr>
        <w:tc>
          <w:tcPr>
            <w:tcW w:w="0" w:type="auto"/>
            <w:gridSpan w:val="3"/>
            <w:shd w:val="clear" w:color="auto" w:fill="FFFFFF"/>
            <w:tcMar>
              <w:top w:w="30" w:type="dxa"/>
              <w:left w:w="20" w:type="dxa"/>
              <w:bottom w:w="30" w:type="dxa"/>
              <w:right w:w="20" w:type="dxa"/>
            </w:tcMar>
            <w:hideMark/>
          </w:tcPr>
          <w:p w14:paraId="629F381F" w14:textId="77777777" w:rsidR="00000000" w:rsidRDefault="00E614A4">
            <w:pPr>
              <w:rPr>
                <w:rFonts w:eastAsia="Times New Roman"/>
              </w:rPr>
            </w:pPr>
            <w:r>
              <w:rPr>
                <w:rFonts w:eastAsia="Times New Roman"/>
                <w:color w:val="000000"/>
                <w:sz w:val="18"/>
                <w:szCs w:val="18"/>
              </w:rPr>
              <w:t>Total comprehensive loss</w:t>
            </w:r>
          </w:p>
        </w:tc>
        <w:tc>
          <w:tcPr>
            <w:tcW w:w="0" w:type="auto"/>
            <w:gridSpan w:val="3"/>
            <w:shd w:val="clear" w:color="auto" w:fill="FFFFFF"/>
            <w:tcMar>
              <w:top w:w="0" w:type="dxa"/>
              <w:left w:w="20" w:type="dxa"/>
              <w:bottom w:w="0" w:type="dxa"/>
              <w:right w:w="20" w:type="dxa"/>
            </w:tcMar>
            <w:vAlign w:val="center"/>
            <w:hideMark/>
          </w:tcPr>
          <w:p w14:paraId="1138E3FE"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8F3BD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F8C77B" w14:textId="77777777" w:rsidR="00000000" w:rsidRDefault="00E614A4">
            <w:pPr>
              <w:jc w:val="right"/>
              <w:rPr>
                <w:rFonts w:eastAsia="Times New Roman"/>
              </w:rPr>
            </w:pPr>
            <w:r>
              <w:rPr>
                <w:rFonts w:eastAsia="Times New Roman"/>
                <w:color w:val="000000"/>
                <w:sz w:val="18"/>
                <w:szCs w:val="18"/>
              </w:rPr>
              <w:t>(42,615)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09A1F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81464"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5323F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98445A" w14:textId="77777777" w:rsidR="00000000" w:rsidRDefault="00E614A4">
            <w:pPr>
              <w:jc w:val="right"/>
              <w:rPr>
                <w:rFonts w:eastAsia="Times New Roman"/>
              </w:rPr>
            </w:pPr>
            <w:r>
              <w:rPr>
                <w:rFonts w:eastAsia="Times New Roman"/>
                <w:color w:val="000000"/>
                <w:sz w:val="18"/>
                <w:szCs w:val="18"/>
              </w:rPr>
              <w:t>(</w:t>
            </w:r>
            <w:r>
              <w:rPr>
                <w:rFonts w:eastAsia="Times New Roman"/>
                <w:color w:val="000000"/>
                <w:sz w:val="18"/>
                <w:szCs w:val="18"/>
              </w:rPr>
              <w:t>340,708)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83076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F40E1"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28980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5D4FC3" w14:textId="77777777" w:rsidR="00000000" w:rsidRDefault="00E614A4">
            <w:pPr>
              <w:jc w:val="right"/>
              <w:rPr>
                <w:rFonts w:eastAsia="Times New Roman"/>
              </w:rPr>
            </w:pPr>
            <w:r>
              <w:rPr>
                <w:rFonts w:eastAsia="Times New Roman"/>
                <w:color w:val="000000"/>
                <w:sz w:val="18"/>
                <w:szCs w:val="18"/>
              </w:rPr>
              <w:t>(163,665)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C9B20B" w14:textId="77777777" w:rsidR="00000000" w:rsidRDefault="00E614A4">
            <w:pPr>
              <w:jc w:val="right"/>
              <w:rPr>
                <w:rFonts w:eastAsia="Times New Roman"/>
              </w:rPr>
            </w:pPr>
          </w:p>
        </w:tc>
      </w:tr>
    </w:tbl>
    <w:p w14:paraId="5FF3D923" w14:textId="77777777" w:rsidR="00000000" w:rsidRDefault="00E614A4">
      <w:pPr>
        <w:divId w:val="1275136563"/>
        <w:rPr>
          <w:rFonts w:eastAsia="Times New Roman"/>
        </w:rPr>
      </w:pPr>
      <w:r>
        <w:rPr>
          <w:rFonts w:eastAsia="Times New Roman"/>
          <w:i/>
          <w:iCs/>
          <w:color w:val="000000"/>
          <w:sz w:val="18"/>
          <w:szCs w:val="18"/>
        </w:rPr>
        <w:t xml:space="preserve">(1) </w:t>
      </w:r>
      <w:r>
        <w:rPr>
          <w:rFonts w:eastAsia="Times New Roman"/>
          <w:i/>
          <w:iCs/>
          <w:color w:val="000000"/>
          <w:sz w:val="18"/>
          <w:szCs w:val="18"/>
        </w:rPr>
        <w:t>Excludes amortization of intangible assets, which is presented separately in the Consolidated Statements of Operations and Comprehensive Loss.</w:t>
      </w:r>
    </w:p>
    <w:p w14:paraId="28DDF2E0" w14:textId="77777777" w:rsidR="00000000" w:rsidRDefault="00E614A4">
      <w:pPr>
        <w:divId w:val="1131170273"/>
        <w:rPr>
          <w:rFonts w:eastAsia="Times New Roman"/>
        </w:rPr>
      </w:pPr>
      <w:r>
        <w:rPr>
          <w:rFonts w:eastAsia="Times New Roman"/>
          <w:i/>
          <w:iCs/>
          <w:color w:val="000000"/>
          <w:sz w:val="18"/>
          <w:szCs w:val="18"/>
        </w:rPr>
        <w:t>(2) Transactions with related parties are included in the line items above as follows (refer to </w:t>
      </w:r>
      <w:hyperlink w:anchor="ided6989bcc374020961c421c465250ee_181" w:history="1">
        <w:r>
          <w:rPr>
            <w:rStyle w:val="a3"/>
            <w:rFonts w:eastAsia="Times New Roman"/>
            <w:i/>
            <w:iCs/>
            <w:sz w:val="18"/>
            <w:szCs w:val="18"/>
          </w:rPr>
          <w:t>Footnote 13</w:t>
        </w:r>
      </w:hyperlink>
      <w:r>
        <w:rPr>
          <w:rFonts w:eastAsia="Times New Roman"/>
          <w:i/>
          <w:iCs/>
          <w:color w:val="000000"/>
          <w:sz w:val="18"/>
          <w:szCs w:val="18"/>
        </w:rPr>
        <w:t>, Related Party Transactions, of the Notes to Consolidated Financial Statements for additional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614"/>
        <w:gridCol w:w="37"/>
        <w:gridCol w:w="36"/>
        <w:gridCol w:w="36"/>
        <w:gridCol w:w="36"/>
        <w:gridCol w:w="110"/>
        <w:gridCol w:w="951"/>
        <w:gridCol w:w="36"/>
        <w:gridCol w:w="36"/>
        <w:gridCol w:w="36"/>
        <w:gridCol w:w="36"/>
        <w:gridCol w:w="110"/>
        <w:gridCol w:w="952"/>
        <w:gridCol w:w="36"/>
        <w:gridCol w:w="36"/>
        <w:gridCol w:w="36"/>
        <w:gridCol w:w="36"/>
        <w:gridCol w:w="110"/>
        <w:gridCol w:w="952"/>
        <w:gridCol w:w="36"/>
      </w:tblGrid>
      <w:tr w:rsidR="00000000" w14:paraId="55EBAF40" w14:textId="77777777">
        <w:trPr>
          <w:divId w:val="18091266"/>
          <w:jc w:val="center"/>
        </w:trPr>
        <w:tc>
          <w:tcPr>
            <w:tcW w:w="50" w:type="pct"/>
            <w:vAlign w:val="center"/>
            <w:hideMark/>
          </w:tcPr>
          <w:p w14:paraId="65BB4913" w14:textId="77777777" w:rsidR="00000000" w:rsidRDefault="00E614A4">
            <w:pPr>
              <w:rPr>
                <w:rFonts w:eastAsia="Times New Roman"/>
              </w:rPr>
            </w:pPr>
          </w:p>
        </w:tc>
        <w:tc>
          <w:tcPr>
            <w:tcW w:w="2840" w:type="pct"/>
            <w:vAlign w:val="center"/>
            <w:hideMark/>
          </w:tcPr>
          <w:p w14:paraId="5CEF459A" w14:textId="77777777" w:rsidR="00000000" w:rsidRDefault="00E614A4">
            <w:pPr>
              <w:rPr>
                <w:rFonts w:eastAsia="Times New Roman"/>
                <w:sz w:val="20"/>
                <w:szCs w:val="20"/>
              </w:rPr>
            </w:pPr>
          </w:p>
        </w:tc>
        <w:tc>
          <w:tcPr>
            <w:tcW w:w="5" w:type="pct"/>
            <w:vAlign w:val="center"/>
            <w:hideMark/>
          </w:tcPr>
          <w:p w14:paraId="624E0DC5" w14:textId="77777777" w:rsidR="00000000" w:rsidRDefault="00E614A4">
            <w:pPr>
              <w:rPr>
                <w:rFonts w:eastAsia="Times New Roman"/>
                <w:sz w:val="20"/>
                <w:szCs w:val="20"/>
              </w:rPr>
            </w:pPr>
          </w:p>
        </w:tc>
        <w:tc>
          <w:tcPr>
            <w:tcW w:w="5" w:type="pct"/>
            <w:vAlign w:val="center"/>
            <w:hideMark/>
          </w:tcPr>
          <w:p w14:paraId="67731CD3" w14:textId="77777777" w:rsidR="00000000" w:rsidRDefault="00E614A4">
            <w:pPr>
              <w:rPr>
                <w:rFonts w:eastAsia="Times New Roman"/>
                <w:sz w:val="20"/>
                <w:szCs w:val="20"/>
              </w:rPr>
            </w:pPr>
          </w:p>
        </w:tc>
        <w:tc>
          <w:tcPr>
            <w:tcW w:w="17" w:type="pct"/>
            <w:vAlign w:val="center"/>
            <w:hideMark/>
          </w:tcPr>
          <w:p w14:paraId="4625B7D3" w14:textId="77777777" w:rsidR="00000000" w:rsidRDefault="00E614A4">
            <w:pPr>
              <w:rPr>
                <w:rFonts w:eastAsia="Times New Roman"/>
                <w:sz w:val="20"/>
                <w:szCs w:val="20"/>
              </w:rPr>
            </w:pPr>
          </w:p>
        </w:tc>
        <w:tc>
          <w:tcPr>
            <w:tcW w:w="5" w:type="pct"/>
            <w:vAlign w:val="center"/>
            <w:hideMark/>
          </w:tcPr>
          <w:p w14:paraId="3009E615" w14:textId="77777777" w:rsidR="00000000" w:rsidRDefault="00E614A4">
            <w:pPr>
              <w:rPr>
                <w:rFonts w:eastAsia="Times New Roman"/>
                <w:sz w:val="20"/>
                <w:szCs w:val="20"/>
              </w:rPr>
            </w:pPr>
          </w:p>
        </w:tc>
        <w:tc>
          <w:tcPr>
            <w:tcW w:w="50" w:type="pct"/>
            <w:vAlign w:val="center"/>
            <w:hideMark/>
          </w:tcPr>
          <w:p w14:paraId="06CC7199" w14:textId="77777777" w:rsidR="00000000" w:rsidRDefault="00E614A4">
            <w:pPr>
              <w:rPr>
                <w:rFonts w:eastAsia="Times New Roman"/>
                <w:sz w:val="20"/>
                <w:szCs w:val="20"/>
              </w:rPr>
            </w:pPr>
          </w:p>
        </w:tc>
        <w:tc>
          <w:tcPr>
            <w:tcW w:w="618" w:type="pct"/>
            <w:vAlign w:val="center"/>
            <w:hideMark/>
          </w:tcPr>
          <w:p w14:paraId="6C2EB65F" w14:textId="77777777" w:rsidR="00000000" w:rsidRDefault="00E614A4">
            <w:pPr>
              <w:rPr>
                <w:rFonts w:eastAsia="Times New Roman"/>
                <w:sz w:val="20"/>
                <w:szCs w:val="20"/>
              </w:rPr>
            </w:pPr>
          </w:p>
        </w:tc>
        <w:tc>
          <w:tcPr>
            <w:tcW w:w="5" w:type="pct"/>
            <w:vAlign w:val="center"/>
            <w:hideMark/>
          </w:tcPr>
          <w:p w14:paraId="571758C4" w14:textId="77777777" w:rsidR="00000000" w:rsidRDefault="00E614A4">
            <w:pPr>
              <w:rPr>
                <w:rFonts w:eastAsia="Times New Roman"/>
                <w:sz w:val="20"/>
                <w:szCs w:val="20"/>
              </w:rPr>
            </w:pPr>
          </w:p>
        </w:tc>
        <w:tc>
          <w:tcPr>
            <w:tcW w:w="5" w:type="pct"/>
            <w:vAlign w:val="center"/>
            <w:hideMark/>
          </w:tcPr>
          <w:p w14:paraId="35B53397" w14:textId="77777777" w:rsidR="00000000" w:rsidRDefault="00E614A4">
            <w:pPr>
              <w:rPr>
                <w:rFonts w:eastAsia="Times New Roman"/>
                <w:sz w:val="20"/>
                <w:szCs w:val="20"/>
              </w:rPr>
            </w:pPr>
          </w:p>
        </w:tc>
        <w:tc>
          <w:tcPr>
            <w:tcW w:w="17" w:type="pct"/>
            <w:vAlign w:val="center"/>
            <w:hideMark/>
          </w:tcPr>
          <w:p w14:paraId="03890046" w14:textId="77777777" w:rsidR="00000000" w:rsidRDefault="00E614A4">
            <w:pPr>
              <w:rPr>
                <w:rFonts w:eastAsia="Times New Roman"/>
                <w:sz w:val="20"/>
                <w:szCs w:val="20"/>
              </w:rPr>
            </w:pPr>
          </w:p>
        </w:tc>
        <w:tc>
          <w:tcPr>
            <w:tcW w:w="5" w:type="pct"/>
            <w:vAlign w:val="center"/>
            <w:hideMark/>
          </w:tcPr>
          <w:p w14:paraId="39DC3DCB" w14:textId="77777777" w:rsidR="00000000" w:rsidRDefault="00E614A4">
            <w:pPr>
              <w:rPr>
                <w:rFonts w:eastAsia="Times New Roman"/>
                <w:sz w:val="20"/>
                <w:szCs w:val="20"/>
              </w:rPr>
            </w:pPr>
          </w:p>
        </w:tc>
        <w:tc>
          <w:tcPr>
            <w:tcW w:w="50" w:type="pct"/>
            <w:vAlign w:val="center"/>
            <w:hideMark/>
          </w:tcPr>
          <w:p w14:paraId="513B6FB5" w14:textId="77777777" w:rsidR="00000000" w:rsidRDefault="00E614A4">
            <w:pPr>
              <w:rPr>
                <w:rFonts w:eastAsia="Times New Roman"/>
                <w:sz w:val="20"/>
                <w:szCs w:val="20"/>
              </w:rPr>
            </w:pPr>
          </w:p>
        </w:tc>
        <w:tc>
          <w:tcPr>
            <w:tcW w:w="618" w:type="pct"/>
            <w:vAlign w:val="center"/>
            <w:hideMark/>
          </w:tcPr>
          <w:p w14:paraId="70396039" w14:textId="77777777" w:rsidR="00000000" w:rsidRDefault="00E614A4">
            <w:pPr>
              <w:rPr>
                <w:rFonts w:eastAsia="Times New Roman"/>
                <w:sz w:val="20"/>
                <w:szCs w:val="20"/>
              </w:rPr>
            </w:pPr>
          </w:p>
        </w:tc>
        <w:tc>
          <w:tcPr>
            <w:tcW w:w="5" w:type="pct"/>
            <w:vAlign w:val="center"/>
            <w:hideMark/>
          </w:tcPr>
          <w:p w14:paraId="642D5301" w14:textId="77777777" w:rsidR="00000000" w:rsidRDefault="00E614A4">
            <w:pPr>
              <w:rPr>
                <w:rFonts w:eastAsia="Times New Roman"/>
                <w:sz w:val="20"/>
                <w:szCs w:val="20"/>
              </w:rPr>
            </w:pPr>
          </w:p>
        </w:tc>
        <w:tc>
          <w:tcPr>
            <w:tcW w:w="5" w:type="pct"/>
            <w:vAlign w:val="center"/>
            <w:hideMark/>
          </w:tcPr>
          <w:p w14:paraId="39D64792" w14:textId="77777777" w:rsidR="00000000" w:rsidRDefault="00E614A4">
            <w:pPr>
              <w:rPr>
                <w:rFonts w:eastAsia="Times New Roman"/>
                <w:sz w:val="20"/>
                <w:szCs w:val="20"/>
              </w:rPr>
            </w:pPr>
          </w:p>
        </w:tc>
        <w:tc>
          <w:tcPr>
            <w:tcW w:w="17" w:type="pct"/>
            <w:vAlign w:val="center"/>
            <w:hideMark/>
          </w:tcPr>
          <w:p w14:paraId="6C848FB1" w14:textId="77777777" w:rsidR="00000000" w:rsidRDefault="00E614A4">
            <w:pPr>
              <w:rPr>
                <w:rFonts w:eastAsia="Times New Roman"/>
                <w:sz w:val="20"/>
                <w:szCs w:val="20"/>
              </w:rPr>
            </w:pPr>
          </w:p>
        </w:tc>
        <w:tc>
          <w:tcPr>
            <w:tcW w:w="5" w:type="pct"/>
            <w:vAlign w:val="center"/>
            <w:hideMark/>
          </w:tcPr>
          <w:p w14:paraId="34896978" w14:textId="77777777" w:rsidR="00000000" w:rsidRDefault="00E614A4">
            <w:pPr>
              <w:rPr>
                <w:rFonts w:eastAsia="Times New Roman"/>
                <w:sz w:val="20"/>
                <w:szCs w:val="20"/>
              </w:rPr>
            </w:pPr>
          </w:p>
        </w:tc>
        <w:tc>
          <w:tcPr>
            <w:tcW w:w="50" w:type="pct"/>
            <w:vAlign w:val="center"/>
            <w:hideMark/>
          </w:tcPr>
          <w:p w14:paraId="169FF74A" w14:textId="77777777" w:rsidR="00000000" w:rsidRDefault="00E614A4">
            <w:pPr>
              <w:rPr>
                <w:rFonts w:eastAsia="Times New Roman"/>
                <w:sz w:val="20"/>
                <w:szCs w:val="20"/>
              </w:rPr>
            </w:pPr>
          </w:p>
        </w:tc>
        <w:tc>
          <w:tcPr>
            <w:tcW w:w="618" w:type="pct"/>
            <w:vAlign w:val="center"/>
            <w:hideMark/>
          </w:tcPr>
          <w:p w14:paraId="11DE8B6E" w14:textId="77777777" w:rsidR="00000000" w:rsidRDefault="00E614A4">
            <w:pPr>
              <w:rPr>
                <w:rFonts w:eastAsia="Times New Roman"/>
                <w:sz w:val="20"/>
                <w:szCs w:val="20"/>
              </w:rPr>
            </w:pPr>
          </w:p>
        </w:tc>
        <w:tc>
          <w:tcPr>
            <w:tcW w:w="5" w:type="pct"/>
            <w:vAlign w:val="center"/>
            <w:hideMark/>
          </w:tcPr>
          <w:p w14:paraId="2197C19F" w14:textId="77777777" w:rsidR="00000000" w:rsidRDefault="00E614A4">
            <w:pPr>
              <w:rPr>
                <w:rFonts w:eastAsia="Times New Roman"/>
                <w:sz w:val="20"/>
                <w:szCs w:val="20"/>
              </w:rPr>
            </w:pPr>
          </w:p>
        </w:tc>
      </w:tr>
      <w:tr w:rsidR="00000000" w14:paraId="41459ABE" w14:textId="77777777">
        <w:trPr>
          <w:divId w:val="18091266"/>
          <w:jc w:val="center"/>
        </w:trPr>
        <w:tc>
          <w:tcPr>
            <w:tcW w:w="0" w:type="auto"/>
            <w:gridSpan w:val="3"/>
            <w:tcMar>
              <w:top w:w="0" w:type="dxa"/>
              <w:left w:w="20" w:type="dxa"/>
              <w:bottom w:w="0" w:type="dxa"/>
              <w:right w:w="20" w:type="dxa"/>
            </w:tcMar>
            <w:vAlign w:val="center"/>
            <w:hideMark/>
          </w:tcPr>
          <w:p w14:paraId="4DAF16D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10B57B2"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3B302699"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793098FD" w14:textId="77777777">
        <w:trPr>
          <w:divId w:val="18091266"/>
          <w:jc w:val="center"/>
        </w:trPr>
        <w:tc>
          <w:tcPr>
            <w:tcW w:w="0" w:type="auto"/>
            <w:gridSpan w:val="3"/>
            <w:tcMar>
              <w:top w:w="0" w:type="dxa"/>
              <w:left w:w="20" w:type="dxa"/>
              <w:bottom w:w="0" w:type="dxa"/>
              <w:right w:w="20" w:type="dxa"/>
            </w:tcMar>
            <w:vAlign w:val="center"/>
            <w:hideMark/>
          </w:tcPr>
          <w:p w14:paraId="264E38BA"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21E2F8E9" w14:textId="77777777" w:rsidR="00000000" w:rsidRDefault="00E614A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B73C51C"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35D7B12"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472858"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68E3AAC2"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1AB8CF" w14:textId="77777777" w:rsidR="00000000" w:rsidRDefault="00E614A4">
            <w:pPr>
              <w:jc w:val="center"/>
              <w:rPr>
                <w:rFonts w:eastAsia="Times New Roman"/>
              </w:rPr>
            </w:pPr>
            <w:r>
              <w:rPr>
                <w:rFonts w:eastAsia="Times New Roman"/>
                <w:b/>
                <w:bCs/>
                <w:color w:val="000000"/>
                <w:sz w:val="16"/>
                <w:szCs w:val="16"/>
              </w:rPr>
              <w:t>2018</w:t>
            </w:r>
          </w:p>
        </w:tc>
      </w:tr>
      <w:tr w:rsidR="00000000" w14:paraId="55B38D30" w14:textId="77777777">
        <w:trPr>
          <w:divId w:val="18091266"/>
          <w:jc w:val="center"/>
        </w:trPr>
        <w:tc>
          <w:tcPr>
            <w:tcW w:w="0" w:type="auto"/>
            <w:gridSpan w:val="3"/>
            <w:shd w:val="clear" w:color="auto" w:fill="CCEEFF"/>
            <w:tcMar>
              <w:top w:w="30" w:type="dxa"/>
              <w:left w:w="20" w:type="dxa"/>
              <w:bottom w:w="30" w:type="dxa"/>
              <w:right w:w="20" w:type="dxa"/>
            </w:tcMar>
            <w:hideMark/>
          </w:tcPr>
          <w:p w14:paraId="586A202A" w14:textId="77777777" w:rsidR="00000000" w:rsidRDefault="00E614A4">
            <w:pPr>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14:paraId="7A60D32E"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92897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AF8618" w14:textId="77777777" w:rsidR="00000000" w:rsidRDefault="00E614A4">
            <w:pPr>
              <w:jc w:val="right"/>
              <w:rPr>
                <w:rFonts w:eastAsia="Times New Roman"/>
              </w:rPr>
            </w:pPr>
            <w:r>
              <w:rPr>
                <w:rFonts w:eastAsia="Times New Roman"/>
                <w:color w:val="000000"/>
                <w:sz w:val="18"/>
                <w:szCs w:val="18"/>
              </w:rPr>
              <w:t>13,314 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B8430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02422"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A6F5D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32B3AB" w14:textId="77777777" w:rsidR="00000000" w:rsidRDefault="00E614A4">
            <w:pPr>
              <w:jc w:val="right"/>
              <w:rPr>
                <w:rFonts w:eastAsia="Times New Roman"/>
              </w:rPr>
            </w:pPr>
            <w:r>
              <w:rPr>
                <w:rFonts w:eastAsia="Times New Roman"/>
                <w:color w:val="000000"/>
                <w:sz w:val="18"/>
                <w:szCs w:val="18"/>
              </w:rPr>
              <w:t>17,464 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236A3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AD565B"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D6AD4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C1B2C4" w14:textId="77777777" w:rsidR="00000000" w:rsidRDefault="00E614A4">
            <w:pPr>
              <w:jc w:val="right"/>
              <w:rPr>
                <w:rFonts w:eastAsia="Times New Roman"/>
              </w:rPr>
            </w:pPr>
            <w:r>
              <w:rPr>
                <w:rFonts w:eastAsia="Times New Roman"/>
                <w:color w:val="000000"/>
                <w:sz w:val="18"/>
                <w:szCs w:val="18"/>
              </w:rPr>
              <w:t>12,662 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3D15B" w14:textId="77777777" w:rsidR="00000000" w:rsidRDefault="00E614A4">
            <w:pPr>
              <w:jc w:val="right"/>
              <w:rPr>
                <w:rFonts w:eastAsia="Times New Roman"/>
              </w:rPr>
            </w:pPr>
          </w:p>
        </w:tc>
      </w:tr>
      <w:tr w:rsidR="00000000" w14:paraId="6948DD06" w14:textId="77777777">
        <w:trPr>
          <w:divId w:val="18091266"/>
          <w:jc w:val="center"/>
        </w:trPr>
        <w:tc>
          <w:tcPr>
            <w:tcW w:w="0" w:type="auto"/>
            <w:gridSpan w:val="3"/>
            <w:shd w:val="clear" w:color="auto" w:fill="FFFFFF"/>
            <w:tcMar>
              <w:top w:w="30" w:type="dxa"/>
              <w:left w:w="20" w:type="dxa"/>
              <w:bottom w:w="30" w:type="dxa"/>
              <w:right w:w="20" w:type="dxa"/>
            </w:tcMar>
            <w:hideMark/>
          </w:tcPr>
          <w:p w14:paraId="643C5150" w14:textId="77777777" w:rsidR="00000000" w:rsidRDefault="00E614A4">
            <w:pPr>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14:paraId="790852F5"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638C98" w14:textId="77777777" w:rsidR="00000000" w:rsidRDefault="00E614A4">
            <w:pPr>
              <w:jc w:val="right"/>
              <w:rPr>
                <w:rFonts w:eastAsia="Times New Roman"/>
              </w:rPr>
            </w:pPr>
            <w:r>
              <w:rPr>
                <w:rFonts w:eastAsia="Times New Roman"/>
                <w:color w:val="000000"/>
                <w:sz w:val="18"/>
                <w:szCs w:val="18"/>
              </w:rPr>
              <w:t>10,094 </w:t>
            </w:r>
          </w:p>
        </w:tc>
        <w:tc>
          <w:tcPr>
            <w:tcW w:w="0" w:type="auto"/>
            <w:shd w:val="clear" w:color="auto" w:fill="FFFFFF"/>
            <w:tcMar>
              <w:top w:w="30" w:type="dxa"/>
              <w:left w:w="0" w:type="dxa"/>
              <w:bottom w:w="30" w:type="dxa"/>
              <w:right w:w="20" w:type="dxa"/>
            </w:tcMar>
            <w:vAlign w:val="bottom"/>
            <w:hideMark/>
          </w:tcPr>
          <w:p w14:paraId="39158C5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5DFB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553258" w14:textId="77777777" w:rsidR="00000000" w:rsidRDefault="00E614A4">
            <w:pPr>
              <w:jc w:val="right"/>
              <w:rPr>
                <w:rFonts w:eastAsia="Times New Roman"/>
              </w:rPr>
            </w:pPr>
            <w:r>
              <w:rPr>
                <w:rFonts w:eastAsia="Times New Roman"/>
                <w:color w:val="000000"/>
                <w:sz w:val="18"/>
                <w:szCs w:val="18"/>
              </w:rPr>
              <w:t>10,490 </w:t>
            </w:r>
          </w:p>
        </w:tc>
        <w:tc>
          <w:tcPr>
            <w:tcW w:w="0" w:type="auto"/>
            <w:shd w:val="clear" w:color="auto" w:fill="FFFFFF"/>
            <w:tcMar>
              <w:top w:w="30" w:type="dxa"/>
              <w:left w:w="0" w:type="dxa"/>
              <w:bottom w:w="30" w:type="dxa"/>
              <w:right w:w="20" w:type="dxa"/>
            </w:tcMar>
            <w:vAlign w:val="bottom"/>
            <w:hideMark/>
          </w:tcPr>
          <w:p w14:paraId="25794E4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C103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710CD" w14:textId="77777777" w:rsidR="00000000" w:rsidRDefault="00E614A4">
            <w:pPr>
              <w:jc w:val="right"/>
              <w:rPr>
                <w:rFonts w:eastAsia="Times New Roman"/>
              </w:rPr>
            </w:pPr>
            <w:r>
              <w:rPr>
                <w:rFonts w:eastAsia="Times New Roman"/>
                <w:color w:val="000000"/>
                <w:sz w:val="18"/>
                <w:szCs w:val="18"/>
              </w:rPr>
              <w:t>11,239 </w:t>
            </w:r>
          </w:p>
        </w:tc>
        <w:tc>
          <w:tcPr>
            <w:tcW w:w="0" w:type="auto"/>
            <w:shd w:val="clear" w:color="auto" w:fill="FFFFFF"/>
            <w:tcMar>
              <w:top w:w="30" w:type="dxa"/>
              <w:left w:w="0" w:type="dxa"/>
              <w:bottom w:w="30" w:type="dxa"/>
              <w:right w:w="20" w:type="dxa"/>
            </w:tcMar>
            <w:vAlign w:val="bottom"/>
            <w:hideMark/>
          </w:tcPr>
          <w:p w14:paraId="35DC8E38" w14:textId="77777777" w:rsidR="00000000" w:rsidRDefault="00E614A4">
            <w:pPr>
              <w:jc w:val="right"/>
              <w:rPr>
                <w:rFonts w:eastAsia="Times New Roman"/>
              </w:rPr>
            </w:pPr>
          </w:p>
        </w:tc>
      </w:tr>
      <w:tr w:rsidR="00000000" w14:paraId="4808CA20" w14:textId="77777777">
        <w:trPr>
          <w:divId w:val="18091266"/>
          <w:jc w:val="center"/>
        </w:trPr>
        <w:tc>
          <w:tcPr>
            <w:tcW w:w="0" w:type="auto"/>
            <w:gridSpan w:val="3"/>
            <w:vAlign w:val="center"/>
            <w:hideMark/>
          </w:tcPr>
          <w:p w14:paraId="2B54117D" w14:textId="77777777" w:rsidR="00000000" w:rsidRDefault="00E614A4">
            <w:pPr>
              <w:jc w:val="right"/>
              <w:rPr>
                <w:rFonts w:eastAsia="Times New Roman"/>
                <w:sz w:val="20"/>
                <w:szCs w:val="20"/>
              </w:rPr>
            </w:pPr>
          </w:p>
        </w:tc>
        <w:tc>
          <w:tcPr>
            <w:tcW w:w="0" w:type="auto"/>
            <w:gridSpan w:val="3"/>
            <w:vAlign w:val="center"/>
            <w:hideMark/>
          </w:tcPr>
          <w:p w14:paraId="532FA7E0" w14:textId="77777777" w:rsidR="00000000" w:rsidRDefault="00E614A4">
            <w:pPr>
              <w:rPr>
                <w:rFonts w:eastAsia="Times New Roman"/>
                <w:sz w:val="20"/>
                <w:szCs w:val="20"/>
              </w:rPr>
            </w:pPr>
          </w:p>
        </w:tc>
        <w:tc>
          <w:tcPr>
            <w:tcW w:w="0" w:type="auto"/>
            <w:gridSpan w:val="3"/>
            <w:vAlign w:val="center"/>
            <w:hideMark/>
          </w:tcPr>
          <w:p w14:paraId="66481071" w14:textId="77777777" w:rsidR="00000000" w:rsidRDefault="00E614A4">
            <w:pPr>
              <w:rPr>
                <w:rFonts w:eastAsia="Times New Roman"/>
                <w:sz w:val="20"/>
                <w:szCs w:val="20"/>
              </w:rPr>
            </w:pPr>
          </w:p>
        </w:tc>
        <w:tc>
          <w:tcPr>
            <w:tcW w:w="0" w:type="auto"/>
            <w:gridSpan w:val="3"/>
            <w:vAlign w:val="center"/>
            <w:hideMark/>
          </w:tcPr>
          <w:p w14:paraId="75ABB79C" w14:textId="77777777" w:rsidR="00000000" w:rsidRDefault="00E614A4">
            <w:pPr>
              <w:rPr>
                <w:rFonts w:eastAsia="Times New Roman"/>
                <w:sz w:val="20"/>
                <w:szCs w:val="20"/>
              </w:rPr>
            </w:pPr>
          </w:p>
        </w:tc>
        <w:tc>
          <w:tcPr>
            <w:tcW w:w="0" w:type="auto"/>
            <w:gridSpan w:val="3"/>
            <w:vAlign w:val="center"/>
            <w:hideMark/>
          </w:tcPr>
          <w:p w14:paraId="57AFBF7A" w14:textId="77777777" w:rsidR="00000000" w:rsidRDefault="00E614A4">
            <w:pPr>
              <w:rPr>
                <w:rFonts w:eastAsia="Times New Roman"/>
                <w:sz w:val="20"/>
                <w:szCs w:val="20"/>
              </w:rPr>
            </w:pPr>
          </w:p>
        </w:tc>
        <w:tc>
          <w:tcPr>
            <w:tcW w:w="0" w:type="auto"/>
            <w:gridSpan w:val="3"/>
            <w:vAlign w:val="center"/>
            <w:hideMark/>
          </w:tcPr>
          <w:p w14:paraId="0C518311" w14:textId="77777777" w:rsidR="00000000" w:rsidRDefault="00E614A4">
            <w:pPr>
              <w:rPr>
                <w:rFonts w:eastAsia="Times New Roman"/>
                <w:sz w:val="20"/>
                <w:szCs w:val="20"/>
              </w:rPr>
            </w:pPr>
          </w:p>
        </w:tc>
        <w:tc>
          <w:tcPr>
            <w:tcW w:w="0" w:type="auto"/>
            <w:gridSpan w:val="3"/>
            <w:vAlign w:val="center"/>
            <w:hideMark/>
          </w:tcPr>
          <w:p w14:paraId="2E1DCB30" w14:textId="77777777" w:rsidR="00000000" w:rsidRDefault="00E614A4">
            <w:pPr>
              <w:rPr>
                <w:rFonts w:eastAsia="Times New Roman"/>
                <w:sz w:val="20"/>
                <w:szCs w:val="20"/>
              </w:rPr>
            </w:pPr>
          </w:p>
        </w:tc>
      </w:tr>
      <w:tr w:rsidR="00000000" w14:paraId="6346DF8E" w14:textId="77777777">
        <w:trPr>
          <w:divId w:val="18091266"/>
          <w:jc w:val="center"/>
        </w:trPr>
        <w:tc>
          <w:tcPr>
            <w:tcW w:w="0" w:type="auto"/>
            <w:gridSpan w:val="3"/>
            <w:vAlign w:val="center"/>
            <w:hideMark/>
          </w:tcPr>
          <w:p w14:paraId="143F17BA" w14:textId="77777777" w:rsidR="00000000" w:rsidRDefault="00E614A4">
            <w:pPr>
              <w:rPr>
                <w:rFonts w:eastAsia="Times New Roman"/>
                <w:sz w:val="20"/>
                <w:szCs w:val="20"/>
              </w:rPr>
            </w:pPr>
          </w:p>
        </w:tc>
        <w:tc>
          <w:tcPr>
            <w:tcW w:w="0" w:type="auto"/>
            <w:gridSpan w:val="3"/>
            <w:vAlign w:val="center"/>
            <w:hideMark/>
          </w:tcPr>
          <w:p w14:paraId="537DF5D6" w14:textId="77777777" w:rsidR="00000000" w:rsidRDefault="00E614A4">
            <w:pPr>
              <w:rPr>
                <w:rFonts w:eastAsia="Times New Roman"/>
                <w:sz w:val="20"/>
                <w:szCs w:val="20"/>
              </w:rPr>
            </w:pPr>
          </w:p>
        </w:tc>
        <w:tc>
          <w:tcPr>
            <w:tcW w:w="0" w:type="auto"/>
            <w:gridSpan w:val="3"/>
            <w:vAlign w:val="center"/>
            <w:hideMark/>
          </w:tcPr>
          <w:p w14:paraId="224D0695" w14:textId="77777777" w:rsidR="00000000" w:rsidRDefault="00E614A4">
            <w:pPr>
              <w:rPr>
                <w:rFonts w:eastAsia="Times New Roman"/>
                <w:sz w:val="20"/>
                <w:szCs w:val="20"/>
              </w:rPr>
            </w:pPr>
          </w:p>
        </w:tc>
        <w:tc>
          <w:tcPr>
            <w:tcW w:w="0" w:type="auto"/>
            <w:gridSpan w:val="3"/>
            <w:vAlign w:val="center"/>
            <w:hideMark/>
          </w:tcPr>
          <w:p w14:paraId="000254EE" w14:textId="77777777" w:rsidR="00000000" w:rsidRDefault="00E614A4">
            <w:pPr>
              <w:rPr>
                <w:rFonts w:eastAsia="Times New Roman"/>
                <w:sz w:val="20"/>
                <w:szCs w:val="20"/>
              </w:rPr>
            </w:pPr>
          </w:p>
        </w:tc>
        <w:tc>
          <w:tcPr>
            <w:tcW w:w="0" w:type="auto"/>
            <w:gridSpan w:val="3"/>
            <w:vAlign w:val="center"/>
            <w:hideMark/>
          </w:tcPr>
          <w:p w14:paraId="7480D6EB" w14:textId="77777777" w:rsidR="00000000" w:rsidRDefault="00E614A4">
            <w:pPr>
              <w:rPr>
                <w:rFonts w:eastAsia="Times New Roman"/>
                <w:sz w:val="20"/>
                <w:szCs w:val="20"/>
              </w:rPr>
            </w:pPr>
          </w:p>
        </w:tc>
        <w:tc>
          <w:tcPr>
            <w:tcW w:w="0" w:type="auto"/>
            <w:gridSpan w:val="3"/>
            <w:vAlign w:val="center"/>
            <w:hideMark/>
          </w:tcPr>
          <w:p w14:paraId="0DC1F8E0" w14:textId="77777777" w:rsidR="00000000" w:rsidRDefault="00E614A4">
            <w:pPr>
              <w:rPr>
                <w:rFonts w:eastAsia="Times New Roman"/>
                <w:sz w:val="20"/>
                <w:szCs w:val="20"/>
              </w:rPr>
            </w:pPr>
          </w:p>
        </w:tc>
        <w:tc>
          <w:tcPr>
            <w:tcW w:w="0" w:type="auto"/>
            <w:gridSpan w:val="3"/>
            <w:vAlign w:val="center"/>
            <w:hideMark/>
          </w:tcPr>
          <w:p w14:paraId="6575623E" w14:textId="77777777" w:rsidR="00000000" w:rsidRDefault="00E614A4">
            <w:pPr>
              <w:rPr>
                <w:rFonts w:eastAsia="Times New Roman"/>
                <w:sz w:val="20"/>
                <w:szCs w:val="20"/>
              </w:rPr>
            </w:pPr>
          </w:p>
        </w:tc>
      </w:tr>
      <w:tr w:rsidR="00000000" w14:paraId="122A4FDF" w14:textId="77777777">
        <w:trPr>
          <w:divId w:val="18091266"/>
          <w:jc w:val="center"/>
        </w:trPr>
        <w:tc>
          <w:tcPr>
            <w:tcW w:w="0" w:type="auto"/>
            <w:gridSpan w:val="3"/>
            <w:shd w:val="clear" w:color="auto" w:fill="CCEEFF"/>
            <w:tcMar>
              <w:top w:w="30" w:type="dxa"/>
              <w:left w:w="20" w:type="dxa"/>
              <w:bottom w:w="30" w:type="dxa"/>
              <w:right w:w="20" w:type="dxa"/>
            </w:tcMar>
            <w:hideMark/>
          </w:tcPr>
          <w:p w14:paraId="30FB2E2B" w14:textId="77777777" w:rsidR="00000000" w:rsidRDefault="00E614A4">
            <w:pPr>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14:paraId="2F26EA75"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FD653F" w14:textId="77777777" w:rsidR="00000000" w:rsidRDefault="00E614A4">
            <w:pPr>
              <w:jc w:val="right"/>
              <w:rPr>
                <w:rFonts w:eastAsia="Times New Roman"/>
              </w:rPr>
            </w:pPr>
            <w:r>
              <w:rPr>
                <w:rFonts w:eastAsia="Times New Roman"/>
                <w:color w:val="000000"/>
                <w:sz w:val="18"/>
                <w:szCs w:val="18"/>
              </w:rPr>
              <w:t>316 </w:t>
            </w:r>
          </w:p>
        </w:tc>
        <w:tc>
          <w:tcPr>
            <w:tcW w:w="0" w:type="auto"/>
            <w:shd w:val="clear" w:color="auto" w:fill="CCEEFF"/>
            <w:tcMar>
              <w:top w:w="30" w:type="dxa"/>
              <w:left w:w="0" w:type="dxa"/>
              <w:bottom w:w="30" w:type="dxa"/>
              <w:right w:w="20" w:type="dxa"/>
            </w:tcMar>
            <w:vAlign w:val="bottom"/>
            <w:hideMark/>
          </w:tcPr>
          <w:p w14:paraId="4E21D41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244A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0CAC1" w14:textId="77777777" w:rsidR="00000000" w:rsidRDefault="00E614A4">
            <w:pPr>
              <w:jc w:val="right"/>
              <w:rPr>
                <w:rFonts w:eastAsia="Times New Roman"/>
              </w:rPr>
            </w:pPr>
            <w:r>
              <w:rPr>
                <w:rFonts w:eastAsia="Times New Roman"/>
                <w:color w:val="000000"/>
                <w:sz w:val="18"/>
                <w:szCs w:val="18"/>
              </w:rPr>
              <w:t>776 </w:t>
            </w:r>
          </w:p>
        </w:tc>
        <w:tc>
          <w:tcPr>
            <w:tcW w:w="0" w:type="auto"/>
            <w:shd w:val="clear" w:color="auto" w:fill="CCEEFF"/>
            <w:tcMar>
              <w:top w:w="30" w:type="dxa"/>
              <w:left w:w="0" w:type="dxa"/>
              <w:bottom w:w="30" w:type="dxa"/>
              <w:right w:w="20" w:type="dxa"/>
            </w:tcMar>
            <w:vAlign w:val="bottom"/>
            <w:hideMark/>
          </w:tcPr>
          <w:p w14:paraId="4E8F334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EB0C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C0FD3D" w14:textId="77777777" w:rsidR="00000000" w:rsidRDefault="00E614A4">
            <w:pPr>
              <w:jc w:val="right"/>
              <w:rPr>
                <w:rFonts w:eastAsia="Times New Roman"/>
              </w:rPr>
            </w:pPr>
            <w:r>
              <w:rPr>
                <w:rFonts w:eastAsia="Times New Roman"/>
                <w:color w:val="000000"/>
                <w:sz w:val="18"/>
                <w:szCs w:val="18"/>
              </w:rPr>
              <w:t>650 </w:t>
            </w:r>
          </w:p>
        </w:tc>
        <w:tc>
          <w:tcPr>
            <w:tcW w:w="0" w:type="auto"/>
            <w:shd w:val="clear" w:color="auto" w:fill="CCEEFF"/>
            <w:tcMar>
              <w:top w:w="30" w:type="dxa"/>
              <w:left w:w="0" w:type="dxa"/>
              <w:bottom w:w="30" w:type="dxa"/>
              <w:right w:w="20" w:type="dxa"/>
            </w:tcMar>
            <w:vAlign w:val="bottom"/>
            <w:hideMark/>
          </w:tcPr>
          <w:p w14:paraId="44BFEE6B" w14:textId="77777777" w:rsidR="00000000" w:rsidRDefault="00E614A4">
            <w:pPr>
              <w:jc w:val="right"/>
              <w:rPr>
                <w:rFonts w:eastAsia="Times New Roman"/>
              </w:rPr>
            </w:pPr>
          </w:p>
        </w:tc>
      </w:tr>
      <w:tr w:rsidR="00000000" w14:paraId="72A6DF89" w14:textId="77777777">
        <w:trPr>
          <w:divId w:val="18091266"/>
          <w:jc w:val="center"/>
        </w:trPr>
        <w:tc>
          <w:tcPr>
            <w:tcW w:w="0" w:type="auto"/>
            <w:gridSpan w:val="3"/>
            <w:vAlign w:val="center"/>
            <w:hideMark/>
          </w:tcPr>
          <w:p w14:paraId="7C46DF0C" w14:textId="77777777" w:rsidR="00000000" w:rsidRDefault="00E614A4">
            <w:pPr>
              <w:jc w:val="right"/>
              <w:rPr>
                <w:rFonts w:eastAsia="Times New Roman"/>
                <w:sz w:val="20"/>
                <w:szCs w:val="20"/>
              </w:rPr>
            </w:pPr>
          </w:p>
        </w:tc>
        <w:tc>
          <w:tcPr>
            <w:tcW w:w="0" w:type="auto"/>
            <w:gridSpan w:val="3"/>
            <w:vAlign w:val="center"/>
            <w:hideMark/>
          </w:tcPr>
          <w:p w14:paraId="45E7C2AD" w14:textId="77777777" w:rsidR="00000000" w:rsidRDefault="00E614A4">
            <w:pPr>
              <w:rPr>
                <w:rFonts w:eastAsia="Times New Roman"/>
                <w:sz w:val="20"/>
                <w:szCs w:val="20"/>
              </w:rPr>
            </w:pPr>
          </w:p>
        </w:tc>
        <w:tc>
          <w:tcPr>
            <w:tcW w:w="0" w:type="auto"/>
            <w:gridSpan w:val="3"/>
            <w:vAlign w:val="center"/>
            <w:hideMark/>
          </w:tcPr>
          <w:p w14:paraId="67242F4D" w14:textId="77777777" w:rsidR="00000000" w:rsidRDefault="00E614A4">
            <w:pPr>
              <w:rPr>
                <w:rFonts w:eastAsia="Times New Roman"/>
                <w:sz w:val="20"/>
                <w:szCs w:val="20"/>
              </w:rPr>
            </w:pPr>
          </w:p>
        </w:tc>
        <w:tc>
          <w:tcPr>
            <w:tcW w:w="0" w:type="auto"/>
            <w:gridSpan w:val="3"/>
            <w:vAlign w:val="center"/>
            <w:hideMark/>
          </w:tcPr>
          <w:p w14:paraId="72378F9C" w14:textId="77777777" w:rsidR="00000000" w:rsidRDefault="00E614A4">
            <w:pPr>
              <w:rPr>
                <w:rFonts w:eastAsia="Times New Roman"/>
                <w:sz w:val="20"/>
                <w:szCs w:val="20"/>
              </w:rPr>
            </w:pPr>
          </w:p>
        </w:tc>
        <w:tc>
          <w:tcPr>
            <w:tcW w:w="0" w:type="auto"/>
            <w:gridSpan w:val="3"/>
            <w:vAlign w:val="center"/>
            <w:hideMark/>
          </w:tcPr>
          <w:p w14:paraId="588D506D" w14:textId="77777777" w:rsidR="00000000" w:rsidRDefault="00E614A4">
            <w:pPr>
              <w:rPr>
                <w:rFonts w:eastAsia="Times New Roman"/>
                <w:sz w:val="20"/>
                <w:szCs w:val="20"/>
              </w:rPr>
            </w:pPr>
          </w:p>
        </w:tc>
        <w:tc>
          <w:tcPr>
            <w:tcW w:w="0" w:type="auto"/>
            <w:gridSpan w:val="3"/>
            <w:vAlign w:val="center"/>
            <w:hideMark/>
          </w:tcPr>
          <w:p w14:paraId="40535012" w14:textId="77777777" w:rsidR="00000000" w:rsidRDefault="00E614A4">
            <w:pPr>
              <w:rPr>
                <w:rFonts w:eastAsia="Times New Roman"/>
                <w:sz w:val="20"/>
                <w:szCs w:val="20"/>
              </w:rPr>
            </w:pPr>
          </w:p>
        </w:tc>
        <w:tc>
          <w:tcPr>
            <w:tcW w:w="0" w:type="auto"/>
            <w:gridSpan w:val="3"/>
            <w:vAlign w:val="center"/>
            <w:hideMark/>
          </w:tcPr>
          <w:p w14:paraId="5733A0A6" w14:textId="77777777" w:rsidR="00000000" w:rsidRDefault="00E614A4">
            <w:pPr>
              <w:rPr>
                <w:rFonts w:eastAsia="Times New Roman"/>
                <w:sz w:val="20"/>
                <w:szCs w:val="20"/>
              </w:rPr>
            </w:pPr>
          </w:p>
        </w:tc>
      </w:tr>
      <w:tr w:rsidR="00000000" w14:paraId="4CCB2BA9" w14:textId="77777777">
        <w:trPr>
          <w:divId w:val="18091266"/>
          <w:jc w:val="center"/>
        </w:trPr>
        <w:tc>
          <w:tcPr>
            <w:tcW w:w="0" w:type="auto"/>
            <w:gridSpan w:val="3"/>
            <w:shd w:val="clear" w:color="auto" w:fill="FFFFFF"/>
            <w:tcMar>
              <w:top w:w="30" w:type="dxa"/>
              <w:left w:w="20" w:type="dxa"/>
              <w:bottom w:w="30" w:type="dxa"/>
              <w:right w:w="20" w:type="dxa"/>
            </w:tcMar>
            <w:hideMark/>
          </w:tcPr>
          <w:p w14:paraId="06DA85CE" w14:textId="77777777" w:rsidR="00000000" w:rsidRDefault="00E614A4">
            <w:pPr>
              <w:rPr>
                <w:rFonts w:eastAsia="Times New Roman"/>
              </w:rPr>
            </w:pPr>
            <w:r>
              <w:rPr>
                <w:rFonts w:eastAsia="Times New Roman"/>
                <w:color w:val="000000"/>
                <w:sz w:val="18"/>
                <w:szCs w:val="18"/>
              </w:rPr>
              <w:t>Interest expense, net</w:t>
            </w:r>
          </w:p>
        </w:tc>
        <w:tc>
          <w:tcPr>
            <w:tcW w:w="0" w:type="auto"/>
            <w:gridSpan w:val="3"/>
            <w:shd w:val="clear" w:color="auto" w:fill="FFFFFF"/>
            <w:tcMar>
              <w:top w:w="0" w:type="dxa"/>
              <w:left w:w="20" w:type="dxa"/>
              <w:bottom w:w="0" w:type="dxa"/>
              <w:right w:w="20" w:type="dxa"/>
            </w:tcMar>
            <w:vAlign w:val="center"/>
            <w:hideMark/>
          </w:tcPr>
          <w:p w14:paraId="084BED35"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D7B4A9" w14:textId="77777777" w:rsidR="00000000" w:rsidRDefault="00E614A4">
            <w:pPr>
              <w:jc w:val="right"/>
              <w:rPr>
                <w:rFonts w:eastAsia="Times New Roman"/>
              </w:rPr>
            </w:pPr>
            <w:r>
              <w:rPr>
                <w:rFonts w:eastAsia="Times New Roman"/>
                <w:color w:val="000000"/>
                <w:sz w:val="18"/>
                <w:szCs w:val="18"/>
              </w:rPr>
              <w:t>(24,480)</w:t>
            </w:r>
          </w:p>
        </w:tc>
        <w:tc>
          <w:tcPr>
            <w:tcW w:w="0" w:type="auto"/>
            <w:shd w:val="clear" w:color="auto" w:fill="FFFFFF"/>
            <w:tcMar>
              <w:top w:w="30" w:type="dxa"/>
              <w:left w:w="0" w:type="dxa"/>
              <w:bottom w:w="30" w:type="dxa"/>
              <w:right w:w="20" w:type="dxa"/>
            </w:tcMar>
            <w:vAlign w:val="bottom"/>
            <w:hideMark/>
          </w:tcPr>
          <w:p w14:paraId="653AB04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886E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AD1FB7" w14:textId="77777777" w:rsidR="00000000" w:rsidRDefault="00E614A4">
            <w:pPr>
              <w:jc w:val="right"/>
              <w:rPr>
                <w:rFonts w:eastAsia="Times New Roman"/>
              </w:rPr>
            </w:pPr>
            <w:r>
              <w:rPr>
                <w:rFonts w:eastAsia="Times New Roman"/>
                <w:color w:val="000000"/>
                <w:sz w:val="18"/>
                <w:szCs w:val="18"/>
              </w:rPr>
              <w:t>(23,494)</w:t>
            </w:r>
          </w:p>
        </w:tc>
        <w:tc>
          <w:tcPr>
            <w:tcW w:w="0" w:type="auto"/>
            <w:shd w:val="clear" w:color="auto" w:fill="FFFFFF"/>
            <w:tcMar>
              <w:top w:w="30" w:type="dxa"/>
              <w:left w:w="0" w:type="dxa"/>
              <w:bottom w:w="30" w:type="dxa"/>
              <w:right w:w="20" w:type="dxa"/>
            </w:tcMar>
            <w:vAlign w:val="bottom"/>
            <w:hideMark/>
          </w:tcPr>
          <w:p w14:paraId="6BA6A5B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04F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6A6CA3" w14:textId="77777777" w:rsidR="00000000" w:rsidRDefault="00E614A4">
            <w:pPr>
              <w:jc w:val="right"/>
              <w:rPr>
                <w:rFonts w:eastAsia="Times New Roman"/>
              </w:rPr>
            </w:pPr>
            <w:r>
              <w:rPr>
                <w:rFonts w:eastAsia="Times New Roman"/>
                <w:color w:val="000000"/>
                <w:sz w:val="18"/>
                <w:szCs w:val="18"/>
              </w:rPr>
              <w:t>(16,023)</w:t>
            </w:r>
          </w:p>
        </w:tc>
        <w:tc>
          <w:tcPr>
            <w:tcW w:w="0" w:type="auto"/>
            <w:shd w:val="clear" w:color="auto" w:fill="FFFFFF"/>
            <w:tcMar>
              <w:top w:w="30" w:type="dxa"/>
              <w:left w:w="0" w:type="dxa"/>
              <w:bottom w:w="30" w:type="dxa"/>
              <w:right w:w="20" w:type="dxa"/>
            </w:tcMar>
            <w:vAlign w:val="bottom"/>
            <w:hideMark/>
          </w:tcPr>
          <w:p w14:paraId="50D66AC7" w14:textId="77777777" w:rsidR="00000000" w:rsidRDefault="00E614A4">
            <w:pPr>
              <w:jc w:val="right"/>
              <w:rPr>
                <w:rFonts w:eastAsia="Times New Roman"/>
              </w:rPr>
            </w:pPr>
          </w:p>
        </w:tc>
      </w:tr>
      <w:tr w:rsidR="00000000" w14:paraId="2533C781" w14:textId="77777777">
        <w:trPr>
          <w:divId w:val="18091266"/>
          <w:jc w:val="center"/>
        </w:trPr>
        <w:tc>
          <w:tcPr>
            <w:tcW w:w="0" w:type="auto"/>
            <w:gridSpan w:val="3"/>
            <w:vAlign w:val="center"/>
            <w:hideMark/>
          </w:tcPr>
          <w:p w14:paraId="2956C44B" w14:textId="77777777" w:rsidR="00000000" w:rsidRDefault="00E614A4">
            <w:pPr>
              <w:jc w:val="right"/>
              <w:rPr>
                <w:rFonts w:eastAsia="Times New Roman"/>
                <w:sz w:val="20"/>
                <w:szCs w:val="20"/>
              </w:rPr>
            </w:pPr>
          </w:p>
        </w:tc>
        <w:tc>
          <w:tcPr>
            <w:tcW w:w="0" w:type="auto"/>
            <w:gridSpan w:val="3"/>
            <w:vAlign w:val="center"/>
            <w:hideMark/>
          </w:tcPr>
          <w:p w14:paraId="00B5392E" w14:textId="77777777" w:rsidR="00000000" w:rsidRDefault="00E614A4">
            <w:pPr>
              <w:rPr>
                <w:rFonts w:eastAsia="Times New Roman"/>
                <w:sz w:val="20"/>
                <w:szCs w:val="20"/>
              </w:rPr>
            </w:pPr>
          </w:p>
        </w:tc>
        <w:tc>
          <w:tcPr>
            <w:tcW w:w="0" w:type="auto"/>
            <w:gridSpan w:val="3"/>
            <w:vAlign w:val="center"/>
            <w:hideMark/>
          </w:tcPr>
          <w:p w14:paraId="435F5B93" w14:textId="77777777" w:rsidR="00000000" w:rsidRDefault="00E614A4">
            <w:pPr>
              <w:rPr>
                <w:rFonts w:eastAsia="Times New Roman"/>
                <w:sz w:val="20"/>
                <w:szCs w:val="20"/>
              </w:rPr>
            </w:pPr>
          </w:p>
        </w:tc>
        <w:tc>
          <w:tcPr>
            <w:tcW w:w="0" w:type="auto"/>
            <w:gridSpan w:val="3"/>
            <w:vAlign w:val="center"/>
            <w:hideMark/>
          </w:tcPr>
          <w:p w14:paraId="3C48E348" w14:textId="77777777" w:rsidR="00000000" w:rsidRDefault="00E614A4">
            <w:pPr>
              <w:rPr>
                <w:rFonts w:eastAsia="Times New Roman"/>
                <w:sz w:val="20"/>
                <w:szCs w:val="20"/>
              </w:rPr>
            </w:pPr>
          </w:p>
        </w:tc>
        <w:tc>
          <w:tcPr>
            <w:tcW w:w="0" w:type="auto"/>
            <w:gridSpan w:val="3"/>
            <w:vAlign w:val="center"/>
            <w:hideMark/>
          </w:tcPr>
          <w:p w14:paraId="53440E08" w14:textId="77777777" w:rsidR="00000000" w:rsidRDefault="00E614A4">
            <w:pPr>
              <w:rPr>
                <w:rFonts w:eastAsia="Times New Roman"/>
                <w:sz w:val="20"/>
                <w:szCs w:val="20"/>
              </w:rPr>
            </w:pPr>
          </w:p>
        </w:tc>
        <w:tc>
          <w:tcPr>
            <w:tcW w:w="0" w:type="auto"/>
            <w:gridSpan w:val="3"/>
            <w:vAlign w:val="center"/>
            <w:hideMark/>
          </w:tcPr>
          <w:p w14:paraId="74DB30AE" w14:textId="77777777" w:rsidR="00000000" w:rsidRDefault="00E614A4">
            <w:pPr>
              <w:rPr>
                <w:rFonts w:eastAsia="Times New Roman"/>
                <w:sz w:val="20"/>
                <w:szCs w:val="20"/>
              </w:rPr>
            </w:pPr>
          </w:p>
        </w:tc>
        <w:tc>
          <w:tcPr>
            <w:tcW w:w="0" w:type="auto"/>
            <w:gridSpan w:val="3"/>
            <w:vAlign w:val="center"/>
            <w:hideMark/>
          </w:tcPr>
          <w:p w14:paraId="17E77302" w14:textId="77777777" w:rsidR="00000000" w:rsidRDefault="00E614A4">
            <w:pPr>
              <w:rPr>
                <w:rFonts w:eastAsia="Times New Roman"/>
                <w:sz w:val="20"/>
                <w:szCs w:val="20"/>
              </w:rPr>
            </w:pPr>
          </w:p>
        </w:tc>
      </w:tr>
    </w:tbl>
    <w:p w14:paraId="4E79670B" w14:textId="77777777" w:rsidR="00000000" w:rsidRDefault="00E614A4">
      <w:pPr>
        <w:divId w:val="17318286"/>
        <w:rPr>
          <w:rFonts w:eastAsia="Times New Roman"/>
        </w:rPr>
      </w:pPr>
      <w:r>
        <w:rPr>
          <w:rFonts w:eastAsia="Times New Roman"/>
          <w:i/>
          <w:iCs/>
          <w:color w:val="000000"/>
          <w:sz w:val="18"/>
          <w:szCs w:val="18"/>
        </w:rPr>
        <w:t>(3) Stock-based compensation expense is included in the line items above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612"/>
        <w:gridCol w:w="39"/>
        <w:gridCol w:w="36"/>
        <w:gridCol w:w="36"/>
        <w:gridCol w:w="36"/>
        <w:gridCol w:w="110"/>
        <w:gridCol w:w="951"/>
        <w:gridCol w:w="36"/>
        <w:gridCol w:w="36"/>
        <w:gridCol w:w="36"/>
        <w:gridCol w:w="36"/>
        <w:gridCol w:w="110"/>
        <w:gridCol w:w="951"/>
        <w:gridCol w:w="36"/>
        <w:gridCol w:w="36"/>
        <w:gridCol w:w="36"/>
        <w:gridCol w:w="36"/>
        <w:gridCol w:w="110"/>
        <w:gridCol w:w="951"/>
        <w:gridCol w:w="36"/>
      </w:tblGrid>
      <w:tr w:rsidR="00000000" w14:paraId="6850C43E" w14:textId="77777777">
        <w:trPr>
          <w:divId w:val="309750020"/>
          <w:jc w:val="center"/>
        </w:trPr>
        <w:tc>
          <w:tcPr>
            <w:tcW w:w="50" w:type="pct"/>
            <w:vAlign w:val="center"/>
            <w:hideMark/>
          </w:tcPr>
          <w:p w14:paraId="22730044" w14:textId="77777777" w:rsidR="00000000" w:rsidRDefault="00E614A4">
            <w:pPr>
              <w:rPr>
                <w:rFonts w:eastAsia="Times New Roman"/>
              </w:rPr>
            </w:pPr>
          </w:p>
        </w:tc>
        <w:tc>
          <w:tcPr>
            <w:tcW w:w="2840" w:type="pct"/>
            <w:vAlign w:val="center"/>
            <w:hideMark/>
          </w:tcPr>
          <w:p w14:paraId="30DE006E" w14:textId="77777777" w:rsidR="00000000" w:rsidRDefault="00E614A4">
            <w:pPr>
              <w:rPr>
                <w:rFonts w:eastAsia="Times New Roman"/>
                <w:sz w:val="20"/>
                <w:szCs w:val="20"/>
              </w:rPr>
            </w:pPr>
          </w:p>
        </w:tc>
        <w:tc>
          <w:tcPr>
            <w:tcW w:w="5" w:type="pct"/>
            <w:vAlign w:val="center"/>
            <w:hideMark/>
          </w:tcPr>
          <w:p w14:paraId="4FC339A0" w14:textId="77777777" w:rsidR="00000000" w:rsidRDefault="00E614A4">
            <w:pPr>
              <w:rPr>
                <w:rFonts w:eastAsia="Times New Roman"/>
                <w:sz w:val="20"/>
                <w:szCs w:val="20"/>
              </w:rPr>
            </w:pPr>
          </w:p>
        </w:tc>
        <w:tc>
          <w:tcPr>
            <w:tcW w:w="5" w:type="pct"/>
            <w:vAlign w:val="center"/>
            <w:hideMark/>
          </w:tcPr>
          <w:p w14:paraId="0F869BC6" w14:textId="77777777" w:rsidR="00000000" w:rsidRDefault="00E614A4">
            <w:pPr>
              <w:rPr>
                <w:rFonts w:eastAsia="Times New Roman"/>
                <w:sz w:val="20"/>
                <w:szCs w:val="20"/>
              </w:rPr>
            </w:pPr>
          </w:p>
        </w:tc>
        <w:tc>
          <w:tcPr>
            <w:tcW w:w="17" w:type="pct"/>
            <w:vAlign w:val="center"/>
            <w:hideMark/>
          </w:tcPr>
          <w:p w14:paraId="3A12BCF1" w14:textId="77777777" w:rsidR="00000000" w:rsidRDefault="00E614A4">
            <w:pPr>
              <w:rPr>
                <w:rFonts w:eastAsia="Times New Roman"/>
                <w:sz w:val="20"/>
                <w:szCs w:val="20"/>
              </w:rPr>
            </w:pPr>
          </w:p>
        </w:tc>
        <w:tc>
          <w:tcPr>
            <w:tcW w:w="5" w:type="pct"/>
            <w:vAlign w:val="center"/>
            <w:hideMark/>
          </w:tcPr>
          <w:p w14:paraId="7BE7445C" w14:textId="77777777" w:rsidR="00000000" w:rsidRDefault="00E614A4">
            <w:pPr>
              <w:rPr>
                <w:rFonts w:eastAsia="Times New Roman"/>
                <w:sz w:val="20"/>
                <w:szCs w:val="20"/>
              </w:rPr>
            </w:pPr>
          </w:p>
        </w:tc>
        <w:tc>
          <w:tcPr>
            <w:tcW w:w="50" w:type="pct"/>
            <w:vAlign w:val="center"/>
            <w:hideMark/>
          </w:tcPr>
          <w:p w14:paraId="72368351" w14:textId="77777777" w:rsidR="00000000" w:rsidRDefault="00E614A4">
            <w:pPr>
              <w:rPr>
                <w:rFonts w:eastAsia="Times New Roman"/>
                <w:sz w:val="20"/>
                <w:szCs w:val="20"/>
              </w:rPr>
            </w:pPr>
          </w:p>
        </w:tc>
        <w:tc>
          <w:tcPr>
            <w:tcW w:w="618" w:type="pct"/>
            <w:vAlign w:val="center"/>
            <w:hideMark/>
          </w:tcPr>
          <w:p w14:paraId="3058AB0B" w14:textId="77777777" w:rsidR="00000000" w:rsidRDefault="00E614A4">
            <w:pPr>
              <w:rPr>
                <w:rFonts w:eastAsia="Times New Roman"/>
                <w:sz w:val="20"/>
                <w:szCs w:val="20"/>
              </w:rPr>
            </w:pPr>
          </w:p>
        </w:tc>
        <w:tc>
          <w:tcPr>
            <w:tcW w:w="5" w:type="pct"/>
            <w:vAlign w:val="center"/>
            <w:hideMark/>
          </w:tcPr>
          <w:p w14:paraId="54A69F22" w14:textId="77777777" w:rsidR="00000000" w:rsidRDefault="00E614A4">
            <w:pPr>
              <w:rPr>
                <w:rFonts w:eastAsia="Times New Roman"/>
                <w:sz w:val="20"/>
                <w:szCs w:val="20"/>
              </w:rPr>
            </w:pPr>
          </w:p>
        </w:tc>
        <w:tc>
          <w:tcPr>
            <w:tcW w:w="5" w:type="pct"/>
            <w:vAlign w:val="center"/>
            <w:hideMark/>
          </w:tcPr>
          <w:p w14:paraId="1733C8E6" w14:textId="77777777" w:rsidR="00000000" w:rsidRDefault="00E614A4">
            <w:pPr>
              <w:rPr>
                <w:rFonts w:eastAsia="Times New Roman"/>
                <w:sz w:val="20"/>
                <w:szCs w:val="20"/>
              </w:rPr>
            </w:pPr>
          </w:p>
        </w:tc>
        <w:tc>
          <w:tcPr>
            <w:tcW w:w="17" w:type="pct"/>
            <w:vAlign w:val="center"/>
            <w:hideMark/>
          </w:tcPr>
          <w:p w14:paraId="38AEE876" w14:textId="77777777" w:rsidR="00000000" w:rsidRDefault="00E614A4">
            <w:pPr>
              <w:rPr>
                <w:rFonts w:eastAsia="Times New Roman"/>
                <w:sz w:val="20"/>
                <w:szCs w:val="20"/>
              </w:rPr>
            </w:pPr>
          </w:p>
        </w:tc>
        <w:tc>
          <w:tcPr>
            <w:tcW w:w="5" w:type="pct"/>
            <w:vAlign w:val="center"/>
            <w:hideMark/>
          </w:tcPr>
          <w:p w14:paraId="2918C698" w14:textId="77777777" w:rsidR="00000000" w:rsidRDefault="00E614A4">
            <w:pPr>
              <w:rPr>
                <w:rFonts w:eastAsia="Times New Roman"/>
                <w:sz w:val="20"/>
                <w:szCs w:val="20"/>
              </w:rPr>
            </w:pPr>
          </w:p>
        </w:tc>
        <w:tc>
          <w:tcPr>
            <w:tcW w:w="50" w:type="pct"/>
            <w:vAlign w:val="center"/>
            <w:hideMark/>
          </w:tcPr>
          <w:p w14:paraId="368772E3" w14:textId="77777777" w:rsidR="00000000" w:rsidRDefault="00E614A4">
            <w:pPr>
              <w:rPr>
                <w:rFonts w:eastAsia="Times New Roman"/>
                <w:sz w:val="20"/>
                <w:szCs w:val="20"/>
              </w:rPr>
            </w:pPr>
          </w:p>
        </w:tc>
        <w:tc>
          <w:tcPr>
            <w:tcW w:w="618" w:type="pct"/>
            <w:vAlign w:val="center"/>
            <w:hideMark/>
          </w:tcPr>
          <w:p w14:paraId="054F34C0" w14:textId="77777777" w:rsidR="00000000" w:rsidRDefault="00E614A4">
            <w:pPr>
              <w:rPr>
                <w:rFonts w:eastAsia="Times New Roman"/>
                <w:sz w:val="20"/>
                <w:szCs w:val="20"/>
              </w:rPr>
            </w:pPr>
          </w:p>
        </w:tc>
        <w:tc>
          <w:tcPr>
            <w:tcW w:w="5" w:type="pct"/>
            <w:vAlign w:val="center"/>
            <w:hideMark/>
          </w:tcPr>
          <w:p w14:paraId="4AA76BC3" w14:textId="77777777" w:rsidR="00000000" w:rsidRDefault="00E614A4">
            <w:pPr>
              <w:rPr>
                <w:rFonts w:eastAsia="Times New Roman"/>
                <w:sz w:val="20"/>
                <w:szCs w:val="20"/>
              </w:rPr>
            </w:pPr>
          </w:p>
        </w:tc>
        <w:tc>
          <w:tcPr>
            <w:tcW w:w="5" w:type="pct"/>
            <w:vAlign w:val="center"/>
            <w:hideMark/>
          </w:tcPr>
          <w:p w14:paraId="13DDF2A8" w14:textId="77777777" w:rsidR="00000000" w:rsidRDefault="00E614A4">
            <w:pPr>
              <w:rPr>
                <w:rFonts w:eastAsia="Times New Roman"/>
                <w:sz w:val="20"/>
                <w:szCs w:val="20"/>
              </w:rPr>
            </w:pPr>
          </w:p>
        </w:tc>
        <w:tc>
          <w:tcPr>
            <w:tcW w:w="17" w:type="pct"/>
            <w:vAlign w:val="center"/>
            <w:hideMark/>
          </w:tcPr>
          <w:p w14:paraId="44B2D034" w14:textId="77777777" w:rsidR="00000000" w:rsidRDefault="00E614A4">
            <w:pPr>
              <w:rPr>
                <w:rFonts w:eastAsia="Times New Roman"/>
                <w:sz w:val="20"/>
                <w:szCs w:val="20"/>
              </w:rPr>
            </w:pPr>
          </w:p>
        </w:tc>
        <w:tc>
          <w:tcPr>
            <w:tcW w:w="5" w:type="pct"/>
            <w:vAlign w:val="center"/>
            <w:hideMark/>
          </w:tcPr>
          <w:p w14:paraId="1AEA2512" w14:textId="77777777" w:rsidR="00000000" w:rsidRDefault="00E614A4">
            <w:pPr>
              <w:rPr>
                <w:rFonts w:eastAsia="Times New Roman"/>
                <w:sz w:val="20"/>
                <w:szCs w:val="20"/>
              </w:rPr>
            </w:pPr>
          </w:p>
        </w:tc>
        <w:tc>
          <w:tcPr>
            <w:tcW w:w="50" w:type="pct"/>
            <w:vAlign w:val="center"/>
            <w:hideMark/>
          </w:tcPr>
          <w:p w14:paraId="239CF6A3" w14:textId="77777777" w:rsidR="00000000" w:rsidRDefault="00E614A4">
            <w:pPr>
              <w:rPr>
                <w:rFonts w:eastAsia="Times New Roman"/>
                <w:sz w:val="20"/>
                <w:szCs w:val="20"/>
              </w:rPr>
            </w:pPr>
          </w:p>
        </w:tc>
        <w:tc>
          <w:tcPr>
            <w:tcW w:w="618" w:type="pct"/>
            <w:vAlign w:val="center"/>
            <w:hideMark/>
          </w:tcPr>
          <w:p w14:paraId="57AE8F8C" w14:textId="77777777" w:rsidR="00000000" w:rsidRDefault="00E614A4">
            <w:pPr>
              <w:rPr>
                <w:rFonts w:eastAsia="Times New Roman"/>
                <w:sz w:val="20"/>
                <w:szCs w:val="20"/>
              </w:rPr>
            </w:pPr>
          </w:p>
        </w:tc>
        <w:tc>
          <w:tcPr>
            <w:tcW w:w="5" w:type="pct"/>
            <w:vAlign w:val="center"/>
            <w:hideMark/>
          </w:tcPr>
          <w:p w14:paraId="5EC5E0DF" w14:textId="77777777" w:rsidR="00000000" w:rsidRDefault="00E614A4">
            <w:pPr>
              <w:rPr>
                <w:rFonts w:eastAsia="Times New Roman"/>
                <w:sz w:val="20"/>
                <w:szCs w:val="20"/>
              </w:rPr>
            </w:pPr>
          </w:p>
        </w:tc>
      </w:tr>
      <w:tr w:rsidR="00000000" w14:paraId="0DFF1A49" w14:textId="77777777">
        <w:trPr>
          <w:divId w:val="309750020"/>
          <w:jc w:val="center"/>
        </w:trPr>
        <w:tc>
          <w:tcPr>
            <w:tcW w:w="0" w:type="auto"/>
            <w:gridSpan w:val="3"/>
            <w:tcMar>
              <w:top w:w="0" w:type="dxa"/>
              <w:left w:w="20" w:type="dxa"/>
              <w:bottom w:w="0" w:type="dxa"/>
              <w:right w:w="20" w:type="dxa"/>
            </w:tcMar>
            <w:vAlign w:val="center"/>
            <w:hideMark/>
          </w:tcPr>
          <w:p w14:paraId="7D857AA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4C03E3B" w14:textId="77777777" w:rsidR="00000000" w:rsidRDefault="00E614A4">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14:paraId="5E2008D1"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5D780B3F" w14:textId="77777777">
        <w:trPr>
          <w:divId w:val="309750020"/>
          <w:jc w:val="center"/>
        </w:trPr>
        <w:tc>
          <w:tcPr>
            <w:tcW w:w="0" w:type="auto"/>
            <w:gridSpan w:val="3"/>
            <w:tcMar>
              <w:top w:w="0" w:type="dxa"/>
              <w:left w:w="20" w:type="dxa"/>
              <w:bottom w:w="0" w:type="dxa"/>
              <w:right w:w="20" w:type="dxa"/>
            </w:tcMar>
            <w:vAlign w:val="center"/>
            <w:hideMark/>
          </w:tcPr>
          <w:p w14:paraId="0EA02CA0"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31DCC241" w14:textId="77777777" w:rsidR="00000000" w:rsidRDefault="00E614A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D150011"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9B07ED1"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FDEE77"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12B24392"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D6E0B9" w14:textId="77777777" w:rsidR="00000000" w:rsidRDefault="00E614A4">
            <w:pPr>
              <w:jc w:val="center"/>
              <w:rPr>
                <w:rFonts w:eastAsia="Times New Roman"/>
              </w:rPr>
            </w:pPr>
            <w:r>
              <w:rPr>
                <w:rFonts w:eastAsia="Times New Roman"/>
                <w:b/>
                <w:bCs/>
                <w:color w:val="000000"/>
                <w:sz w:val="16"/>
                <w:szCs w:val="16"/>
              </w:rPr>
              <w:t>2018</w:t>
            </w:r>
          </w:p>
        </w:tc>
      </w:tr>
      <w:tr w:rsidR="00000000" w14:paraId="7291A1FD" w14:textId="77777777">
        <w:trPr>
          <w:divId w:val="309750020"/>
          <w:jc w:val="center"/>
        </w:trPr>
        <w:tc>
          <w:tcPr>
            <w:tcW w:w="0" w:type="auto"/>
            <w:gridSpan w:val="3"/>
            <w:shd w:val="clear" w:color="auto" w:fill="CCEEFF"/>
            <w:tcMar>
              <w:top w:w="30" w:type="dxa"/>
              <w:left w:w="20" w:type="dxa"/>
              <w:bottom w:w="30" w:type="dxa"/>
              <w:right w:w="20" w:type="dxa"/>
            </w:tcMar>
            <w:hideMark/>
          </w:tcPr>
          <w:p w14:paraId="61545B42" w14:textId="77777777" w:rsidR="00000000" w:rsidRDefault="00E614A4">
            <w:pPr>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14:paraId="7C3DD7FA"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938C5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7B4BC2" w14:textId="77777777" w:rsidR="00000000" w:rsidRDefault="00E614A4">
            <w:pPr>
              <w:jc w:val="right"/>
              <w:rPr>
                <w:rFonts w:eastAsia="Times New Roman"/>
              </w:rPr>
            </w:pPr>
            <w:r>
              <w:rPr>
                <w:rFonts w:eastAsia="Times New Roman"/>
                <w:color w:val="000000"/>
                <w:sz w:val="18"/>
                <w:szCs w:val="18"/>
              </w:rPr>
              <w:t>1,288 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1611D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74011"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21B9A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DBD73E" w14:textId="77777777" w:rsidR="00000000" w:rsidRDefault="00E614A4">
            <w:pPr>
              <w:jc w:val="right"/>
              <w:rPr>
                <w:rFonts w:eastAsia="Times New Roman"/>
              </w:rPr>
            </w:pPr>
            <w:r>
              <w:rPr>
                <w:rFonts w:eastAsia="Times New Roman"/>
                <w:color w:val="000000"/>
                <w:sz w:val="18"/>
                <w:szCs w:val="18"/>
              </w:rPr>
              <w:t>1,852 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DD395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EAECE"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B4DEC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D3CFF0" w14:textId="77777777" w:rsidR="00000000" w:rsidRDefault="00E614A4">
            <w:pPr>
              <w:jc w:val="right"/>
              <w:rPr>
                <w:rFonts w:eastAsia="Times New Roman"/>
              </w:rPr>
            </w:pPr>
            <w:r>
              <w:rPr>
                <w:rFonts w:eastAsia="Times New Roman"/>
                <w:color w:val="000000"/>
                <w:sz w:val="18"/>
                <w:szCs w:val="18"/>
              </w:rPr>
              <w:t>6,349 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DCFAE4" w14:textId="77777777" w:rsidR="00000000" w:rsidRDefault="00E614A4">
            <w:pPr>
              <w:jc w:val="right"/>
              <w:rPr>
                <w:rFonts w:eastAsia="Times New Roman"/>
              </w:rPr>
            </w:pPr>
          </w:p>
        </w:tc>
      </w:tr>
      <w:tr w:rsidR="00000000" w14:paraId="2BBDDA7F" w14:textId="77777777">
        <w:trPr>
          <w:divId w:val="309750020"/>
          <w:jc w:val="center"/>
        </w:trPr>
        <w:tc>
          <w:tcPr>
            <w:tcW w:w="0" w:type="auto"/>
            <w:gridSpan w:val="3"/>
            <w:shd w:val="clear" w:color="auto" w:fill="FFFFFF"/>
            <w:tcMar>
              <w:top w:w="30" w:type="dxa"/>
              <w:left w:w="20" w:type="dxa"/>
              <w:bottom w:w="30" w:type="dxa"/>
              <w:right w:w="20" w:type="dxa"/>
            </w:tcMar>
            <w:hideMark/>
          </w:tcPr>
          <w:p w14:paraId="58006AB6" w14:textId="77777777" w:rsidR="00000000" w:rsidRDefault="00E614A4">
            <w:pPr>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14:paraId="230AA601"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8F3EB1" w14:textId="77777777" w:rsidR="00000000" w:rsidRDefault="00E614A4">
            <w:pPr>
              <w:jc w:val="right"/>
              <w:rPr>
                <w:rFonts w:eastAsia="Times New Roman"/>
              </w:rPr>
            </w:pPr>
            <w:r>
              <w:rPr>
                <w:rFonts w:eastAsia="Times New Roman"/>
                <w:color w:val="000000"/>
                <w:sz w:val="18"/>
                <w:szCs w:val="18"/>
              </w:rPr>
              <w:t>2,226 </w:t>
            </w:r>
          </w:p>
        </w:tc>
        <w:tc>
          <w:tcPr>
            <w:tcW w:w="0" w:type="auto"/>
            <w:shd w:val="clear" w:color="auto" w:fill="FFFFFF"/>
            <w:tcMar>
              <w:top w:w="30" w:type="dxa"/>
              <w:left w:w="0" w:type="dxa"/>
              <w:bottom w:w="30" w:type="dxa"/>
              <w:right w:w="20" w:type="dxa"/>
            </w:tcMar>
            <w:vAlign w:val="bottom"/>
            <w:hideMark/>
          </w:tcPr>
          <w:p w14:paraId="1464ED5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1B85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3988A5" w14:textId="77777777" w:rsidR="00000000" w:rsidRDefault="00E614A4">
            <w:pPr>
              <w:jc w:val="right"/>
              <w:rPr>
                <w:rFonts w:eastAsia="Times New Roman"/>
              </w:rPr>
            </w:pPr>
            <w:r>
              <w:rPr>
                <w:rFonts w:eastAsia="Times New Roman"/>
                <w:color w:val="000000"/>
                <w:sz w:val="18"/>
                <w:szCs w:val="18"/>
              </w:rPr>
              <w:t>3,615 </w:t>
            </w:r>
          </w:p>
        </w:tc>
        <w:tc>
          <w:tcPr>
            <w:tcW w:w="0" w:type="auto"/>
            <w:shd w:val="clear" w:color="auto" w:fill="FFFFFF"/>
            <w:tcMar>
              <w:top w:w="30" w:type="dxa"/>
              <w:left w:w="0" w:type="dxa"/>
              <w:bottom w:w="30" w:type="dxa"/>
              <w:right w:w="20" w:type="dxa"/>
            </w:tcMar>
            <w:vAlign w:val="bottom"/>
            <w:hideMark/>
          </w:tcPr>
          <w:p w14:paraId="2C3BEDD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0516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DEF53D" w14:textId="77777777" w:rsidR="00000000" w:rsidRDefault="00E614A4">
            <w:pPr>
              <w:jc w:val="right"/>
              <w:rPr>
                <w:rFonts w:eastAsia="Times New Roman"/>
              </w:rPr>
            </w:pPr>
            <w:r>
              <w:rPr>
                <w:rFonts w:eastAsia="Times New Roman"/>
                <w:color w:val="000000"/>
                <w:sz w:val="18"/>
                <w:szCs w:val="18"/>
              </w:rPr>
              <w:t>9,452 </w:t>
            </w:r>
          </w:p>
        </w:tc>
        <w:tc>
          <w:tcPr>
            <w:tcW w:w="0" w:type="auto"/>
            <w:shd w:val="clear" w:color="auto" w:fill="FFFFFF"/>
            <w:tcMar>
              <w:top w:w="30" w:type="dxa"/>
              <w:left w:w="0" w:type="dxa"/>
              <w:bottom w:w="30" w:type="dxa"/>
              <w:right w:w="20" w:type="dxa"/>
            </w:tcMar>
            <w:vAlign w:val="bottom"/>
            <w:hideMark/>
          </w:tcPr>
          <w:p w14:paraId="107320CC" w14:textId="77777777" w:rsidR="00000000" w:rsidRDefault="00E614A4">
            <w:pPr>
              <w:jc w:val="right"/>
              <w:rPr>
                <w:rFonts w:eastAsia="Times New Roman"/>
              </w:rPr>
            </w:pPr>
          </w:p>
        </w:tc>
      </w:tr>
      <w:tr w:rsidR="00000000" w14:paraId="40E790A6" w14:textId="77777777">
        <w:trPr>
          <w:divId w:val="309750020"/>
          <w:jc w:val="center"/>
        </w:trPr>
        <w:tc>
          <w:tcPr>
            <w:tcW w:w="0" w:type="auto"/>
            <w:gridSpan w:val="3"/>
            <w:shd w:val="clear" w:color="auto" w:fill="CCEEFF"/>
            <w:tcMar>
              <w:top w:w="30" w:type="dxa"/>
              <w:left w:w="20" w:type="dxa"/>
              <w:bottom w:w="30" w:type="dxa"/>
              <w:right w:w="20" w:type="dxa"/>
            </w:tcMar>
            <w:hideMark/>
          </w:tcPr>
          <w:p w14:paraId="2D74104E" w14:textId="77777777" w:rsidR="00000000" w:rsidRDefault="00E614A4">
            <w:pPr>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14:paraId="58A255D4"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C38985" w14:textId="77777777" w:rsidR="00000000" w:rsidRDefault="00E614A4">
            <w:pPr>
              <w:jc w:val="right"/>
              <w:rPr>
                <w:rFonts w:eastAsia="Times New Roman"/>
              </w:rPr>
            </w:pPr>
            <w:r>
              <w:rPr>
                <w:rFonts w:eastAsia="Times New Roman"/>
                <w:color w:val="000000"/>
                <w:sz w:val="18"/>
                <w:szCs w:val="18"/>
              </w:rPr>
              <w:t>886 </w:t>
            </w:r>
          </w:p>
        </w:tc>
        <w:tc>
          <w:tcPr>
            <w:tcW w:w="0" w:type="auto"/>
            <w:shd w:val="clear" w:color="auto" w:fill="CCEEFF"/>
            <w:tcMar>
              <w:top w:w="30" w:type="dxa"/>
              <w:left w:w="0" w:type="dxa"/>
              <w:bottom w:w="30" w:type="dxa"/>
              <w:right w:w="20" w:type="dxa"/>
            </w:tcMar>
            <w:vAlign w:val="bottom"/>
            <w:hideMark/>
          </w:tcPr>
          <w:p w14:paraId="767F958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8FAB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73D2F" w14:textId="77777777" w:rsidR="00000000" w:rsidRDefault="00E614A4">
            <w:pPr>
              <w:jc w:val="right"/>
              <w:rPr>
                <w:rFonts w:eastAsia="Times New Roman"/>
              </w:rPr>
            </w:pPr>
            <w:r>
              <w:rPr>
                <w:rFonts w:eastAsia="Times New Roman"/>
                <w:color w:val="000000"/>
                <w:sz w:val="18"/>
                <w:szCs w:val="18"/>
              </w:rPr>
              <w:t>1,981 </w:t>
            </w:r>
          </w:p>
        </w:tc>
        <w:tc>
          <w:tcPr>
            <w:tcW w:w="0" w:type="auto"/>
            <w:shd w:val="clear" w:color="auto" w:fill="CCEEFF"/>
            <w:tcMar>
              <w:top w:w="30" w:type="dxa"/>
              <w:left w:w="0" w:type="dxa"/>
              <w:bottom w:w="30" w:type="dxa"/>
              <w:right w:w="20" w:type="dxa"/>
            </w:tcMar>
            <w:vAlign w:val="bottom"/>
            <w:hideMark/>
          </w:tcPr>
          <w:p w14:paraId="765313D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CB17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A0E90B" w14:textId="77777777" w:rsidR="00000000" w:rsidRDefault="00E614A4">
            <w:pPr>
              <w:jc w:val="right"/>
              <w:rPr>
                <w:rFonts w:eastAsia="Times New Roman"/>
              </w:rPr>
            </w:pPr>
            <w:r>
              <w:rPr>
                <w:rFonts w:eastAsia="Times New Roman"/>
                <w:color w:val="000000"/>
                <w:sz w:val="18"/>
                <w:szCs w:val="18"/>
              </w:rPr>
              <w:t>6,580 </w:t>
            </w:r>
          </w:p>
        </w:tc>
        <w:tc>
          <w:tcPr>
            <w:tcW w:w="0" w:type="auto"/>
            <w:shd w:val="clear" w:color="auto" w:fill="CCEEFF"/>
            <w:tcMar>
              <w:top w:w="30" w:type="dxa"/>
              <w:left w:w="0" w:type="dxa"/>
              <w:bottom w:w="30" w:type="dxa"/>
              <w:right w:w="20" w:type="dxa"/>
            </w:tcMar>
            <w:vAlign w:val="bottom"/>
            <w:hideMark/>
          </w:tcPr>
          <w:p w14:paraId="7D18F122" w14:textId="77777777" w:rsidR="00000000" w:rsidRDefault="00E614A4">
            <w:pPr>
              <w:jc w:val="right"/>
              <w:rPr>
                <w:rFonts w:eastAsia="Times New Roman"/>
              </w:rPr>
            </w:pPr>
          </w:p>
        </w:tc>
      </w:tr>
      <w:tr w:rsidR="00000000" w14:paraId="5E38B848" w14:textId="77777777">
        <w:trPr>
          <w:divId w:val="309750020"/>
          <w:jc w:val="center"/>
        </w:trPr>
        <w:tc>
          <w:tcPr>
            <w:tcW w:w="0" w:type="auto"/>
            <w:gridSpan w:val="3"/>
            <w:shd w:val="clear" w:color="auto" w:fill="FFFFFF"/>
            <w:tcMar>
              <w:top w:w="30" w:type="dxa"/>
              <w:left w:w="20" w:type="dxa"/>
              <w:bottom w:w="30" w:type="dxa"/>
              <w:right w:w="20" w:type="dxa"/>
            </w:tcMar>
            <w:hideMark/>
          </w:tcPr>
          <w:p w14:paraId="0EA50E58" w14:textId="77777777" w:rsidR="00000000" w:rsidRDefault="00E614A4">
            <w:pPr>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14:paraId="6D23F7DE"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E8FECE" w14:textId="77777777" w:rsidR="00000000" w:rsidRDefault="00E614A4">
            <w:pPr>
              <w:jc w:val="right"/>
              <w:rPr>
                <w:rFonts w:eastAsia="Times New Roman"/>
              </w:rPr>
            </w:pPr>
            <w:r>
              <w:rPr>
                <w:rFonts w:eastAsia="Times New Roman"/>
                <w:color w:val="000000"/>
                <w:sz w:val="18"/>
                <w:szCs w:val="18"/>
              </w:rPr>
              <w:t>5,673 </w:t>
            </w:r>
          </w:p>
        </w:tc>
        <w:tc>
          <w:tcPr>
            <w:tcW w:w="0" w:type="auto"/>
            <w:shd w:val="clear" w:color="auto" w:fill="FFFFFF"/>
            <w:tcMar>
              <w:top w:w="30" w:type="dxa"/>
              <w:left w:w="0" w:type="dxa"/>
              <w:bottom w:w="30" w:type="dxa"/>
              <w:right w:w="20" w:type="dxa"/>
            </w:tcMar>
            <w:vAlign w:val="bottom"/>
            <w:hideMark/>
          </w:tcPr>
          <w:p w14:paraId="6083E1C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8767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6491E9" w14:textId="77777777" w:rsidR="00000000" w:rsidRDefault="00E614A4">
            <w:pPr>
              <w:jc w:val="right"/>
              <w:rPr>
                <w:rFonts w:eastAsia="Times New Roman"/>
              </w:rPr>
            </w:pPr>
            <w:r>
              <w:rPr>
                <w:rFonts w:eastAsia="Times New Roman"/>
                <w:color w:val="000000"/>
                <w:sz w:val="18"/>
                <w:szCs w:val="18"/>
              </w:rPr>
              <w:t>9,247 </w:t>
            </w:r>
          </w:p>
        </w:tc>
        <w:tc>
          <w:tcPr>
            <w:tcW w:w="0" w:type="auto"/>
            <w:shd w:val="clear" w:color="auto" w:fill="FFFFFF"/>
            <w:tcMar>
              <w:top w:w="30" w:type="dxa"/>
              <w:left w:w="0" w:type="dxa"/>
              <w:bottom w:w="30" w:type="dxa"/>
              <w:right w:w="20" w:type="dxa"/>
            </w:tcMar>
            <w:vAlign w:val="bottom"/>
            <w:hideMark/>
          </w:tcPr>
          <w:p w14:paraId="633E6EB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2A188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AE548" w14:textId="77777777" w:rsidR="00000000" w:rsidRDefault="00E614A4">
            <w:pPr>
              <w:jc w:val="right"/>
              <w:rPr>
                <w:rFonts w:eastAsia="Times New Roman"/>
              </w:rPr>
            </w:pPr>
            <w:r>
              <w:rPr>
                <w:rFonts w:eastAsia="Times New Roman"/>
                <w:color w:val="000000"/>
                <w:sz w:val="18"/>
                <w:szCs w:val="18"/>
              </w:rPr>
              <w:t>14,770 </w:t>
            </w:r>
          </w:p>
        </w:tc>
        <w:tc>
          <w:tcPr>
            <w:tcW w:w="0" w:type="auto"/>
            <w:shd w:val="clear" w:color="auto" w:fill="FFFFFF"/>
            <w:tcMar>
              <w:top w:w="30" w:type="dxa"/>
              <w:left w:w="0" w:type="dxa"/>
              <w:bottom w:w="30" w:type="dxa"/>
              <w:right w:w="20" w:type="dxa"/>
            </w:tcMar>
            <w:vAlign w:val="bottom"/>
            <w:hideMark/>
          </w:tcPr>
          <w:p w14:paraId="6E3ABB84" w14:textId="77777777" w:rsidR="00000000" w:rsidRDefault="00E614A4">
            <w:pPr>
              <w:jc w:val="right"/>
              <w:rPr>
                <w:rFonts w:eastAsia="Times New Roman"/>
              </w:rPr>
            </w:pPr>
          </w:p>
        </w:tc>
      </w:tr>
      <w:tr w:rsidR="00000000" w14:paraId="74CBA0C3" w14:textId="77777777">
        <w:trPr>
          <w:divId w:val="309750020"/>
          <w:jc w:val="center"/>
        </w:trPr>
        <w:tc>
          <w:tcPr>
            <w:tcW w:w="0" w:type="auto"/>
            <w:gridSpan w:val="3"/>
            <w:shd w:val="clear" w:color="auto" w:fill="CCEEFF"/>
            <w:tcMar>
              <w:top w:w="30" w:type="dxa"/>
              <w:left w:w="20" w:type="dxa"/>
              <w:bottom w:w="30" w:type="dxa"/>
              <w:right w:w="20" w:type="dxa"/>
            </w:tcMar>
            <w:hideMark/>
          </w:tcPr>
          <w:p w14:paraId="41028057" w14:textId="77777777" w:rsidR="00000000" w:rsidRDefault="00E614A4">
            <w:pPr>
              <w:rPr>
                <w:rFonts w:eastAsia="Times New Roman"/>
              </w:rPr>
            </w:pPr>
            <w:r>
              <w:rPr>
                <w:rFonts w:eastAsia="Times New Roman"/>
                <w:color w:val="000000"/>
                <w:sz w:val="18"/>
                <w:szCs w:val="18"/>
              </w:rPr>
              <w:t>Restructuring</w:t>
            </w:r>
          </w:p>
        </w:tc>
        <w:tc>
          <w:tcPr>
            <w:tcW w:w="0" w:type="auto"/>
            <w:gridSpan w:val="3"/>
            <w:shd w:val="clear" w:color="auto" w:fill="CCEEFF"/>
            <w:tcMar>
              <w:top w:w="0" w:type="dxa"/>
              <w:left w:w="20" w:type="dxa"/>
              <w:bottom w:w="0" w:type="dxa"/>
              <w:right w:w="20" w:type="dxa"/>
            </w:tcMar>
            <w:vAlign w:val="center"/>
            <w:hideMark/>
          </w:tcPr>
          <w:p w14:paraId="18026FCF"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8828C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900B5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FEE4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52CBA" w14:textId="77777777" w:rsidR="00000000" w:rsidRDefault="00E614A4">
            <w:pPr>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vAlign w:val="bottom"/>
            <w:hideMark/>
          </w:tcPr>
          <w:p w14:paraId="0C01BCF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BA1C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394845" w14:textId="77777777" w:rsidR="00000000" w:rsidRDefault="00E614A4">
            <w:pPr>
              <w:jc w:val="right"/>
              <w:rPr>
                <w:rFonts w:eastAsia="Times New Roman"/>
              </w:rPr>
            </w:pPr>
            <w:r>
              <w:rPr>
                <w:rFonts w:eastAsia="Times New Roman"/>
                <w:color w:val="000000"/>
                <w:sz w:val="18"/>
                <w:szCs w:val="18"/>
              </w:rPr>
              <w:t>468 </w:t>
            </w:r>
          </w:p>
        </w:tc>
        <w:tc>
          <w:tcPr>
            <w:tcW w:w="0" w:type="auto"/>
            <w:shd w:val="clear" w:color="auto" w:fill="CCEEFF"/>
            <w:tcMar>
              <w:top w:w="30" w:type="dxa"/>
              <w:left w:w="0" w:type="dxa"/>
              <w:bottom w:w="30" w:type="dxa"/>
              <w:right w:w="20" w:type="dxa"/>
            </w:tcMar>
            <w:vAlign w:val="bottom"/>
            <w:hideMark/>
          </w:tcPr>
          <w:p w14:paraId="26967322" w14:textId="77777777" w:rsidR="00000000" w:rsidRDefault="00E614A4">
            <w:pPr>
              <w:jc w:val="right"/>
              <w:rPr>
                <w:rFonts w:eastAsia="Times New Roman"/>
              </w:rPr>
            </w:pPr>
          </w:p>
        </w:tc>
      </w:tr>
      <w:tr w:rsidR="00000000" w14:paraId="1B5A047A" w14:textId="77777777">
        <w:trPr>
          <w:divId w:val="309750020"/>
          <w:jc w:val="center"/>
        </w:trPr>
        <w:tc>
          <w:tcPr>
            <w:tcW w:w="0" w:type="auto"/>
            <w:gridSpan w:val="3"/>
            <w:shd w:val="clear" w:color="auto" w:fill="FFFFFF"/>
            <w:tcMar>
              <w:top w:w="30" w:type="dxa"/>
              <w:left w:w="20" w:type="dxa"/>
              <w:bottom w:w="30" w:type="dxa"/>
              <w:right w:w="20" w:type="dxa"/>
            </w:tcMar>
            <w:hideMark/>
          </w:tcPr>
          <w:p w14:paraId="42E348A2" w14:textId="77777777" w:rsidR="00000000" w:rsidRDefault="00E614A4">
            <w:pPr>
              <w:rPr>
                <w:rFonts w:eastAsia="Times New Roman"/>
              </w:rPr>
            </w:pPr>
            <w:r>
              <w:rPr>
                <w:rFonts w:eastAsia="Times New Roman"/>
                <w:color w:val="000000"/>
                <w:sz w:val="18"/>
                <w:szCs w:val="18"/>
              </w:rPr>
              <w:t>Total stock-based compensation expense</w:t>
            </w:r>
          </w:p>
        </w:tc>
        <w:tc>
          <w:tcPr>
            <w:tcW w:w="0" w:type="auto"/>
            <w:gridSpan w:val="3"/>
            <w:shd w:val="clear" w:color="auto" w:fill="FFFFFF"/>
            <w:tcMar>
              <w:top w:w="0" w:type="dxa"/>
              <w:left w:w="20" w:type="dxa"/>
              <w:bottom w:w="0" w:type="dxa"/>
              <w:right w:w="20" w:type="dxa"/>
            </w:tcMar>
            <w:vAlign w:val="center"/>
            <w:hideMark/>
          </w:tcPr>
          <w:p w14:paraId="246648FE"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0AFF7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F6F468" w14:textId="77777777" w:rsidR="00000000" w:rsidRDefault="00E614A4">
            <w:pPr>
              <w:jc w:val="right"/>
              <w:rPr>
                <w:rFonts w:eastAsia="Times New Roman"/>
              </w:rPr>
            </w:pPr>
            <w:r>
              <w:rPr>
                <w:rFonts w:eastAsia="Times New Roman"/>
                <w:color w:val="000000"/>
                <w:sz w:val="18"/>
                <w:szCs w:val="18"/>
              </w:rPr>
              <w:t>10,073 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0B2FD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852AF"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C8C0C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98EE95" w14:textId="77777777" w:rsidR="00000000" w:rsidRDefault="00E614A4">
            <w:pPr>
              <w:jc w:val="right"/>
              <w:rPr>
                <w:rFonts w:eastAsia="Times New Roman"/>
              </w:rPr>
            </w:pPr>
            <w:r>
              <w:rPr>
                <w:rFonts w:eastAsia="Times New Roman"/>
                <w:color w:val="000000"/>
                <w:sz w:val="18"/>
                <w:szCs w:val="18"/>
              </w:rPr>
              <w:t>16,558 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05A4D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2B137"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A5594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5EF1E0" w14:textId="77777777" w:rsidR="00000000" w:rsidRDefault="00E614A4">
            <w:pPr>
              <w:jc w:val="right"/>
              <w:rPr>
                <w:rFonts w:eastAsia="Times New Roman"/>
              </w:rPr>
            </w:pPr>
            <w:r>
              <w:rPr>
                <w:rFonts w:eastAsia="Times New Roman"/>
                <w:color w:val="000000"/>
                <w:sz w:val="18"/>
                <w:szCs w:val="18"/>
              </w:rPr>
              <w:t>37,619 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720C97" w14:textId="77777777" w:rsidR="00000000" w:rsidRDefault="00E614A4">
            <w:pPr>
              <w:jc w:val="right"/>
              <w:rPr>
                <w:rFonts w:eastAsia="Times New Roman"/>
              </w:rPr>
            </w:pPr>
          </w:p>
        </w:tc>
      </w:tr>
      <w:tr w:rsidR="00000000" w14:paraId="35D6739A" w14:textId="77777777">
        <w:trPr>
          <w:divId w:val="309750020"/>
          <w:jc w:val="center"/>
        </w:trPr>
        <w:tc>
          <w:tcPr>
            <w:tcW w:w="0" w:type="auto"/>
            <w:gridSpan w:val="3"/>
            <w:vAlign w:val="center"/>
            <w:hideMark/>
          </w:tcPr>
          <w:p w14:paraId="676A8D77" w14:textId="77777777" w:rsidR="00000000" w:rsidRDefault="00E614A4">
            <w:pPr>
              <w:jc w:val="right"/>
              <w:rPr>
                <w:rFonts w:eastAsia="Times New Roman"/>
                <w:sz w:val="20"/>
                <w:szCs w:val="20"/>
              </w:rPr>
            </w:pPr>
          </w:p>
        </w:tc>
        <w:tc>
          <w:tcPr>
            <w:tcW w:w="0" w:type="auto"/>
            <w:vAlign w:val="center"/>
            <w:hideMark/>
          </w:tcPr>
          <w:p w14:paraId="7DC20391" w14:textId="77777777" w:rsidR="00000000" w:rsidRDefault="00E614A4">
            <w:pPr>
              <w:rPr>
                <w:rFonts w:eastAsia="Times New Roman"/>
                <w:sz w:val="20"/>
                <w:szCs w:val="20"/>
              </w:rPr>
            </w:pPr>
          </w:p>
        </w:tc>
        <w:tc>
          <w:tcPr>
            <w:tcW w:w="0" w:type="auto"/>
            <w:vAlign w:val="center"/>
            <w:hideMark/>
          </w:tcPr>
          <w:p w14:paraId="170FBCC0" w14:textId="77777777" w:rsidR="00000000" w:rsidRDefault="00E614A4">
            <w:pPr>
              <w:rPr>
                <w:rFonts w:eastAsia="Times New Roman"/>
                <w:sz w:val="20"/>
                <w:szCs w:val="20"/>
              </w:rPr>
            </w:pPr>
          </w:p>
        </w:tc>
        <w:tc>
          <w:tcPr>
            <w:tcW w:w="0" w:type="auto"/>
            <w:vAlign w:val="center"/>
            <w:hideMark/>
          </w:tcPr>
          <w:p w14:paraId="51C8DAF4" w14:textId="77777777" w:rsidR="00000000" w:rsidRDefault="00E614A4">
            <w:pPr>
              <w:rPr>
                <w:rFonts w:eastAsia="Times New Roman"/>
                <w:sz w:val="20"/>
                <w:szCs w:val="20"/>
              </w:rPr>
            </w:pPr>
          </w:p>
        </w:tc>
        <w:tc>
          <w:tcPr>
            <w:tcW w:w="0" w:type="auto"/>
            <w:vAlign w:val="center"/>
            <w:hideMark/>
          </w:tcPr>
          <w:p w14:paraId="2184AE3D" w14:textId="77777777" w:rsidR="00000000" w:rsidRDefault="00E614A4">
            <w:pPr>
              <w:rPr>
                <w:rFonts w:eastAsia="Times New Roman"/>
                <w:sz w:val="20"/>
                <w:szCs w:val="20"/>
              </w:rPr>
            </w:pPr>
          </w:p>
        </w:tc>
        <w:tc>
          <w:tcPr>
            <w:tcW w:w="0" w:type="auto"/>
            <w:vAlign w:val="center"/>
            <w:hideMark/>
          </w:tcPr>
          <w:p w14:paraId="7A1D2DB4" w14:textId="77777777" w:rsidR="00000000" w:rsidRDefault="00E614A4">
            <w:pPr>
              <w:rPr>
                <w:rFonts w:eastAsia="Times New Roman"/>
                <w:sz w:val="20"/>
                <w:szCs w:val="20"/>
              </w:rPr>
            </w:pPr>
          </w:p>
        </w:tc>
        <w:tc>
          <w:tcPr>
            <w:tcW w:w="0" w:type="auto"/>
            <w:vAlign w:val="center"/>
            <w:hideMark/>
          </w:tcPr>
          <w:p w14:paraId="4C6F4089" w14:textId="77777777" w:rsidR="00000000" w:rsidRDefault="00E614A4">
            <w:pPr>
              <w:rPr>
                <w:rFonts w:eastAsia="Times New Roman"/>
                <w:sz w:val="20"/>
                <w:szCs w:val="20"/>
              </w:rPr>
            </w:pPr>
          </w:p>
        </w:tc>
        <w:tc>
          <w:tcPr>
            <w:tcW w:w="0" w:type="auto"/>
            <w:vAlign w:val="center"/>
            <w:hideMark/>
          </w:tcPr>
          <w:p w14:paraId="630BA235" w14:textId="77777777" w:rsidR="00000000" w:rsidRDefault="00E614A4">
            <w:pPr>
              <w:rPr>
                <w:rFonts w:eastAsia="Times New Roman"/>
                <w:sz w:val="20"/>
                <w:szCs w:val="20"/>
              </w:rPr>
            </w:pPr>
          </w:p>
        </w:tc>
        <w:tc>
          <w:tcPr>
            <w:tcW w:w="0" w:type="auto"/>
            <w:vAlign w:val="center"/>
            <w:hideMark/>
          </w:tcPr>
          <w:p w14:paraId="505AAE4F" w14:textId="77777777" w:rsidR="00000000" w:rsidRDefault="00E614A4">
            <w:pPr>
              <w:rPr>
                <w:rFonts w:eastAsia="Times New Roman"/>
                <w:sz w:val="20"/>
                <w:szCs w:val="20"/>
              </w:rPr>
            </w:pPr>
          </w:p>
        </w:tc>
        <w:tc>
          <w:tcPr>
            <w:tcW w:w="0" w:type="auto"/>
            <w:vAlign w:val="center"/>
            <w:hideMark/>
          </w:tcPr>
          <w:p w14:paraId="41DDEB7C" w14:textId="77777777" w:rsidR="00000000" w:rsidRDefault="00E614A4">
            <w:pPr>
              <w:rPr>
                <w:rFonts w:eastAsia="Times New Roman"/>
                <w:sz w:val="20"/>
                <w:szCs w:val="20"/>
              </w:rPr>
            </w:pPr>
          </w:p>
        </w:tc>
        <w:tc>
          <w:tcPr>
            <w:tcW w:w="0" w:type="auto"/>
            <w:vAlign w:val="center"/>
            <w:hideMark/>
          </w:tcPr>
          <w:p w14:paraId="799FC544" w14:textId="77777777" w:rsidR="00000000" w:rsidRDefault="00E614A4">
            <w:pPr>
              <w:rPr>
                <w:rFonts w:eastAsia="Times New Roman"/>
                <w:sz w:val="20"/>
                <w:szCs w:val="20"/>
              </w:rPr>
            </w:pPr>
          </w:p>
        </w:tc>
        <w:tc>
          <w:tcPr>
            <w:tcW w:w="0" w:type="auto"/>
            <w:vAlign w:val="center"/>
            <w:hideMark/>
          </w:tcPr>
          <w:p w14:paraId="015FBE03" w14:textId="77777777" w:rsidR="00000000" w:rsidRDefault="00E614A4">
            <w:pPr>
              <w:rPr>
                <w:rFonts w:eastAsia="Times New Roman"/>
                <w:sz w:val="20"/>
                <w:szCs w:val="20"/>
              </w:rPr>
            </w:pPr>
          </w:p>
        </w:tc>
        <w:tc>
          <w:tcPr>
            <w:tcW w:w="0" w:type="auto"/>
            <w:vAlign w:val="center"/>
            <w:hideMark/>
          </w:tcPr>
          <w:p w14:paraId="510939C1" w14:textId="77777777" w:rsidR="00000000" w:rsidRDefault="00E614A4">
            <w:pPr>
              <w:rPr>
                <w:rFonts w:eastAsia="Times New Roman"/>
                <w:sz w:val="20"/>
                <w:szCs w:val="20"/>
              </w:rPr>
            </w:pPr>
          </w:p>
        </w:tc>
        <w:tc>
          <w:tcPr>
            <w:tcW w:w="0" w:type="auto"/>
            <w:vAlign w:val="center"/>
            <w:hideMark/>
          </w:tcPr>
          <w:p w14:paraId="69F97196" w14:textId="77777777" w:rsidR="00000000" w:rsidRDefault="00E614A4">
            <w:pPr>
              <w:rPr>
                <w:rFonts w:eastAsia="Times New Roman"/>
                <w:sz w:val="20"/>
                <w:szCs w:val="20"/>
              </w:rPr>
            </w:pPr>
          </w:p>
        </w:tc>
        <w:tc>
          <w:tcPr>
            <w:tcW w:w="0" w:type="auto"/>
            <w:vAlign w:val="center"/>
            <w:hideMark/>
          </w:tcPr>
          <w:p w14:paraId="21876FF2" w14:textId="77777777" w:rsidR="00000000" w:rsidRDefault="00E614A4">
            <w:pPr>
              <w:rPr>
                <w:rFonts w:eastAsia="Times New Roman"/>
                <w:sz w:val="20"/>
                <w:szCs w:val="20"/>
              </w:rPr>
            </w:pPr>
          </w:p>
        </w:tc>
        <w:tc>
          <w:tcPr>
            <w:tcW w:w="0" w:type="auto"/>
            <w:vAlign w:val="center"/>
            <w:hideMark/>
          </w:tcPr>
          <w:p w14:paraId="63DE5255" w14:textId="77777777" w:rsidR="00000000" w:rsidRDefault="00E614A4">
            <w:pPr>
              <w:rPr>
                <w:rFonts w:eastAsia="Times New Roman"/>
                <w:sz w:val="20"/>
                <w:szCs w:val="20"/>
              </w:rPr>
            </w:pPr>
          </w:p>
        </w:tc>
        <w:tc>
          <w:tcPr>
            <w:tcW w:w="0" w:type="auto"/>
            <w:vAlign w:val="center"/>
            <w:hideMark/>
          </w:tcPr>
          <w:p w14:paraId="6309624A" w14:textId="77777777" w:rsidR="00000000" w:rsidRDefault="00E614A4">
            <w:pPr>
              <w:rPr>
                <w:rFonts w:eastAsia="Times New Roman"/>
                <w:sz w:val="20"/>
                <w:szCs w:val="20"/>
              </w:rPr>
            </w:pPr>
          </w:p>
        </w:tc>
        <w:tc>
          <w:tcPr>
            <w:tcW w:w="0" w:type="auto"/>
            <w:vAlign w:val="center"/>
            <w:hideMark/>
          </w:tcPr>
          <w:p w14:paraId="7A0CA1CC" w14:textId="77777777" w:rsidR="00000000" w:rsidRDefault="00E614A4">
            <w:pPr>
              <w:rPr>
                <w:rFonts w:eastAsia="Times New Roman"/>
                <w:sz w:val="20"/>
                <w:szCs w:val="20"/>
              </w:rPr>
            </w:pPr>
          </w:p>
        </w:tc>
        <w:tc>
          <w:tcPr>
            <w:tcW w:w="0" w:type="auto"/>
            <w:vAlign w:val="center"/>
            <w:hideMark/>
          </w:tcPr>
          <w:p w14:paraId="51A8050C" w14:textId="77777777" w:rsidR="00000000" w:rsidRDefault="00E614A4">
            <w:pPr>
              <w:rPr>
                <w:rFonts w:eastAsia="Times New Roman"/>
                <w:sz w:val="20"/>
                <w:szCs w:val="20"/>
              </w:rPr>
            </w:pPr>
          </w:p>
        </w:tc>
      </w:tr>
    </w:tbl>
    <w:p w14:paraId="7F1DB767" w14:textId="77777777" w:rsidR="00000000" w:rsidRDefault="00E614A4">
      <w:pPr>
        <w:jc w:val="center"/>
        <w:divId w:val="1695230801"/>
        <w:rPr>
          <w:rFonts w:eastAsia="Times New Roman"/>
        </w:rPr>
      </w:pPr>
      <w:r>
        <w:rPr>
          <w:rFonts w:eastAsia="Times New Roman"/>
          <w:color w:val="000000"/>
          <w:sz w:val="18"/>
          <w:szCs w:val="18"/>
        </w:rPr>
        <w:t>See accompanying Notes to Consolidated Financial Statements.</w:t>
      </w:r>
    </w:p>
    <w:p w14:paraId="3211F02B" w14:textId="77777777" w:rsidR="00000000" w:rsidRDefault="00E614A4">
      <w:pPr>
        <w:jc w:val="center"/>
        <w:divId w:val="1292245087"/>
        <w:rPr>
          <w:rFonts w:eastAsia="Times New Roman"/>
        </w:rPr>
      </w:pPr>
      <w:r>
        <w:rPr>
          <w:rFonts w:eastAsia="Times New Roman"/>
          <w:color w:val="000000"/>
          <w:sz w:val="20"/>
          <w:szCs w:val="20"/>
        </w:rPr>
        <w:t>60</w:t>
      </w:r>
    </w:p>
    <w:p w14:paraId="75375DEF" w14:textId="77777777" w:rsidR="00000000" w:rsidRDefault="00E614A4">
      <w:pPr>
        <w:rPr>
          <w:rFonts w:eastAsia="Times New Roman"/>
        </w:rPr>
      </w:pPr>
      <w:r>
        <w:rPr>
          <w:rFonts w:eastAsia="Times New Roman"/>
        </w:rPr>
        <w:pict w14:anchorId="678D002C">
          <v:rect id="_x0000_i1088" style="width:0;height:1.5pt" o:hralign="center" o:hrstd="t" o:hr="t" fillcolor="#a0a0a0" stroked="f"/>
        </w:pict>
      </w:r>
    </w:p>
    <w:p w14:paraId="681BA27E" w14:textId="77777777" w:rsidR="00000000" w:rsidRDefault="00E614A4">
      <w:pPr>
        <w:divId w:val="50590504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735A19B" w14:textId="77777777" w:rsidR="00000000" w:rsidRDefault="00E614A4">
      <w:pPr>
        <w:divId w:val="788551324"/>
        <w:rPr>
          <w:rFonts w:eastAsia="Times New Roman"/>
        </w:rPr>
      </w:pPr>
    </w:p>
    <w:p w14:paraId="2F856504" w14:textId="77777777" w:rsidR="00000000" w:rsidRDefault="00E614A4">
      <w:pPr>
        <w:jc w:val="center"/>
        <w:rPr>
          <w:rFonts w:eastAsia="Times New Roman"/>
        </w:rPr>
      </w:pPr>
      <w:r>
        <w:rPr>
          <w:rFonts w:eastAsia="Times New Roman"/>
          <w:b/>
          <w:bCs/>
          <w:color w:val="000000"/>
          <w:sz w:val="20"/>
          <w:szCs w:val="20"/>
        </w:rPr>
        <w:t>COMSCORE, INC.</w:t>
      </w:r>
    </w:p>
    <w:p w14:paraId="2B811CA7" w14:textId="77777777" w:rsidR="00000000" w:rsidRDefault="00E614A4">
      <w:pPr>
        <w:jc w:val="center"/>
        <w:rPr>
          <w:rFonts w:eastAsia="Times New Roman"/>
        </w:rPr>
      </w:pPr>
      <w:r>
        <w:rPr>
          <w:rFonts w:eastAsia="Times New Roman"/>
          <w:b/>
          <w:bCs/>
          <w:color w:val="000000"/>
          <w:sz w:val="20"/>
          <w:szCs w:val="20"/>
        </w:rPr>
        <w:t>CONSOLIDATED STATEMENTS OF STOCKHOLDERS' EQUITY</w:t>
      </w:r>
    </w:p>
    <w:p w14:paraId="1334F01D" w14:textId="77777777" w:rsidR="00000000" w:rsidRDefault="00E614A4">
      <w:pPr>
        <w:jc w:val="center"/>
        <w:rPr>
          <w:rFonts w:eastAsia="Times New Roman"/>
        </w:rPr>
      </w:pPr>
      <w:r>
        <w:rPr>
          <w:rFonts w:eastAsia="Times New Roman"/>
          <w:b/>
          <w:bCs/>
          <w:color w:val="000000"/>
          <w:sz w:val="16"/>
          <w:szCs w:val="16"/>
        </w:rPr>
        <w:t xml:space="preserve"> (In thousands, except share data)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081"/>
        <w:gridCol w:w="38"/>
        <w:gridCol w:w="90"/>
        <w:gridCol w:w="785"/>
        <w:gridCol w:w="37"/>
        <w:gridCol w:w="36"/>
        <w:gridCol w:w="36"/>
        <w:gridCol w:w="36"/>
        <w:gridCol w:w="111"/>
        <w:gridCol w:w="534"/>
        <w:gridCol w:w="36"/>
        <w:gridCol w:w="36"/>
        <w:gridCol w:w="36"/>
        <w:gridCol w:w="36"/>
        <w:gridCol w:w="110"/>
        <w:gridCol w:w="765"/>
        <w:gridCol w:w="36"/>
        <w:gridCol w:w="36"/>
        <w:gridCol w:w="36"/>
        <w:gridCol w:w="36"/>
        <w:gridCol w:w="111"/>
        <w:gridCol w:w="998"/>
        <w:gridCol w:w="36"/>
        <w:gridCol w:w="36"/>
        <w:gridCol w:w="36"/>
        <w:gridCol w:w="36"/>
        <w:gridCol w:w="110"/>
        <w:gridCol w:w="840"/>
        <w:gridCol w:w="36"/>
        <w:gridCol w:w="36"/>
        <w:gridCol w:w="36"/>
        <w:gridCol w:w="36"/>
        <w:gridCol w:w="110"/>
        <w:gridCol w:w="705"/>
        <w:gridCol w:w="36"/>
        <w:gridCol w:w="36"/>
        <w:gridCol w:w="36"/>
        <w:gridCol w:w="36"/>
        <w:gridCol w:w="111"/>
        <w:gridCol w:w="866"/>
        <w:gridCol w:w="36"/>
      </w:tblGrid>
      <w:tr w:rsidR="00000000" w14:paraId="314BB392" w14:textId="77777777">
        <w:trPr>
          <w:divId w:val="1025441864"/>
          <w:jc w:val="center"/>
        </w:trPr>
        <w:tc>
          <w:tcPr>
            <w:tcW w:w="50" w:type="pct"/>
            <w:vAlign w:val="center"/>
            <w:hideMark/>
          </w:tcPr>
          <w:p w14:paraId="70EC39E9" w14:textId="77777777" w:rsidR="00000000" w:rsidRDefault="00E614A4">
            <w:pPr>
              <w:jc w:val="center"/>
              <w:rPr>
                <w:rFonts w:eastAsia="Times New Roman"/>
              </w:rPr>
            </w:pPr>
          </w:p>
        </w:tc>
        <w:tc>
          <w:tcPr>
            <w:tcW w:w="1264" w:type="pct"/>
            <w:vAlign w:val="center"/>
            <w:hideMark/>
          </w:tcPr>
          <w:p w14:paraId="31769462" w14:textId="77777777" w:rsidR="00000000" w:rsidRDefault="00E614A4">
            <w:pPr>
              <w:rPr>
                <w:rFonts w:eastAsia="Times New Roman"/>
                <w:sz w:val="20"/>
                <w:szCs w:val="20"/>
              </w:rPr>
            </w:pPr>
          </w:p>
        </w:tc>
        <w:tc>
          <w:tcPr>
            <w:tcW w:w="5" w:type="pct"/>
            <w:vAlign w:val="center"/>
            <w:hideMark/>
          </w:tcPr>
          <w:p w14:paraId="2D274D71" w14:textId="77777777" w:rsidR="00000000" w:rsidRDefault="00E614A4">
            <w:pPr>
              <w:rPr>
                <w:rFonts w:eastAsia="Times New Roman"/>
                <w:sz w:val="20"/>
                <w:szCs w:val="20"/>
              </w:rPr>
            </w:pPr>
          </w:p>
        </w:tc>
        <w:tc>
          <w:tcPr>
            <w:tcW w:w="50" w:type="pct"/>
            <w:vAlign w:val="center"/>
            <w:hideMark/>
          </w:tcPr>
          <w:p w14:paraId="57D2B9B9" w14:textId="77777777" w:rsidR="00000000" w:rsidRDefault="00E614A4">
            <w:pPr>
              <w:rPr>
                <w:rFonts w:eastAsia="Times New Roman"/>
                <w:sz w:val="20"/>
                <w:szCs w:val="20"/>
              </w:rPr>
            </w:pPr>
          </w:p>
        </w:tc>
        <w:tc>
          <w:tcPr>
            <w:tcW w:w="438" w:type="pct"/>
            <w:vAlign w:val="center"/>
            <w:hideMark/>
          </w:tcPr>
          <w:p w14:paraId="4A2BC799" w14:textId="77777777" w:rsidR="00000000" w:rsidRDefault="00E614A4">
            <w:pPr>
              <w:rPr>
                <w:rFonts w:eastAsia="Times New Roman"/>
                <w:sz w:val="20"/>
                <w:szCs w:val="20"/>
              </w:rPr>
            </w:pPr>
          </w:p>
        </w:tc>
        <w:tc>
          <w:tcPr>
            <w:tcW w:w="5" w:type="pct"/>
            <w:vAlign w:val="center"/>
            <w:hideMark/>
          </w:tcPr>
          <w:p w14:paraId="0C9506D0" w14:textId="77777777" w:rsidR="00000000" w:rsidRDefault="00E614A4">
            <w:pPr>
              <w:rPr>
                <w:rFonts w:eastAsia="Times New Roman"/>
                <w:sz w:val="20"/>
                <w:szCs w:val="20"/>
              </w:rPr>
            </w:pPr>
          </w:p>
        </w:tc>
        <w:tc>
          <w:tcPr>
            <w:tcW w:w="5" w:type="pct"/>
            <w:vAlign w:val="center"/>
            <w:hideMark/>
          </w:tcPr>
          <w:p w14:paraId="4C32FEF4" w14:textId="77777777" w:rsidR="00000000" w:rsidRDefault="00E614A4">
            <w:pPr>
              <w:rPr>
                <w:rFonts w:eastAsia="Times New Roman"/>
                <w:sz w:val="20"/>
                <w:szCs w:val="20"/>
              </w:rPr>
            </w:pPr>
          </w:p>
        </w:tc>
        <w:tc>
          <w:tcPr>
            <w:tcW w:w="17" w:type="pct"/>
            <w:vAlign w:val="center"/>
            <w:hideMark/>
          </w:tcPr>
          <w:p w14:paraId="5B6BA29E" w14:textId="77777777" w:rsidR="00000000" w:rsidRDefault="00E614A4">
            <w:pPr>
              <w:rPr>
                <w:rFonts w:eastAsia="Times New Roman"/>
                <w:sz w:val="20"/>
                <w:szCs w:val="20"/>
              </w:rPr>
            </w:pPr>
          </w:p>
        </w:tc>
        <w:tc>
          <w:tcPr>
            <w:tcW w:w="5" w:type="pct"/>
            <w:vAlign w:val="center"/>
            <w:hideMark/>
          </w:tcPr>
          <w:p w14:paraId="4B4A6848" w14:textId="77777777" w:rsidR="00000000" w:rsidRDefault="00E614A4">
            <w:pPr>
              <w:rPr>
                <w:rFonts w:eastAsia="Times New Roman"/>
                <w:sz w:val="20"/>
                <w:szCs w:val="20"/>
              </w:rPr>
            </w:pPr>
          </w:p>
        </w:tc>
        <w:tc>
          <w:tcPr>
            <w:tcW w:w="50" w:type="pct"/>
            <w:vAlign w:val="center"/>
            <w:hideMark/>
          </w:tcPr>
          <w:p w14:paraId="008F66AE" w14:textId="77777777" w:rsidR="00000000" w:rsidRDefault="00E614A4">
            <w:pPr>
              <w:rPr>
                <w:rFonts w:eastAsia="Times New Roman"/>
                <w:sz w:val="20"/>
                <w:szCs w:val="20"/>
              </w:rPr>
            </w:pPr>
          </w:p>
        </w:tc>
        <w:tc>
          <w:tcPr>
            <w:tcW w:w="438" w:type="pct"/>
            <w:vAlign w:val="center"/>
            <w:hideMark/>
          </w:tcPr>
          <w:p w14:paraId="1862D07E" w14:textId="77777777" w:rsidR="00000000" w:rsidRDefault="00E614A4">
            <w:pPr>
              <w:rPr>
                <w:rFonts w:eastAsia="Times New Roman"/>
                <w:sz w:val="20"/>
                <w:szCs w:val="20"/>
              </w:rPr>
            </w:pPr>
          </w:p>
        </w:tc>
        <w:tc>
          <w:tcPr>
            <w:tcW w:w="5" w:type="pct"/>
            <w:vAlign w:val="center"/>
            <w:hideMark/>
          </w:tcPr>
          <w:p w14:paraId="21E53CDB" w14:textId="77777777" w:rsidR="00000000" w:rsidRDefault="00E614A4">
            <w:pPr>
              <w:rPr>
                <w:rFonts w:eastAsia="Times New Roman"/>
                <w:sz w:val="20"/>
                <w:szCs w:val="20"/>
              </w:rPr>
            </w:pPr>
          </w:p>
        </w:tc>
        <w:tc>
          <w:tcPr>
            <w:tcW w:w="5" w:type="pct"/>
            <w:vAlign w:val="center"/>
            <w:hideMark/>
          </w:tcPr>
          <w:p w14:paraId="725C5CAF" w14:textId="77777777" w:rsidR="00000000" w:rsidRDefault="00E614A4">
            <w:pPr>
              <w:rPr>
                <w:rFonts w:eastAsia="Times New Roman"/>
                <w:sz w:val="20"/>
                <w:szCs w:val="20"/>
              </w:rPr>
            </w:pPr>
          </w:p>
        </w:tc>
        <w:tc>
          <w:tcPr>
            <w:tcW w:w="17" w:type="pct"/>
            <w:vAlign w:val="center"/>
            <w:hideMark/>
          </w:tcPr>
          <w:p w14:paraId="5C5C93D4" w14:textId="77777777" w:rsidR="00000000" w:rsidRDefault="00E614A4">
            <w:pPr>
              <w:rPr>
                <w:rFonts w:eastAsia="Times New Roman"/>
                <w:sz w:val="20"/>
                <w:szCs w:val="20"/>
              </w:rPr>
            </w:pPr>
          </w:p>
        </w:tc>
        <w:tc>
          <w:tcPr>
            <w:tcW w:w="5" w:type="pct"/>
            <w:vAlign w:val="center"/>
            <w:hideMark/>
          </w:tcPr>
          <w:p w14:paraId="66A023F9" w14:textId="77777777" w:rsidR="00000000" w:rsidRDefault="00E614A4">
            <w:pPr>
              <w:rPr>
                <w:rFonts w:eastAsia="Times New Roman"/>
                <w:sz w:val="20"/>
                <w:szCs w:val="20"/>
              </w:rPr>
            </w:pPr>
          </w:p>
        </w:tc>
        <w:tc>
          <w:tcPr>
            <w:tcW w:w="50" w:type="pct"/>
            <w:vAlign w:val="center"/>
            <w:hideMark/>
          </w:tcPr>
          <w:p w14:paraId="2891003E" w14:textId="77777777" w:rsidR="00000000" w:rsidRDefault="00E614A4">
            <w:pPr>
              <w:rPr>
                <w:rFonts w:eastAsia="Times New Roman"/>
                <w:sz w:val="20"/>
                <w:szCs w:val="20"/>
              </w:rPr>
            </w:pPr>
          </w:p>
        </w:tc>
        <w:tc>
          <w:tcPr>
            <w:tcW w:w="438" w:type="pct"/>
            <w:vAlign w:val="center"/>
            <w:hideMark/>
          </w:tcPr>
          <w:p w14:paraId="5DC31CDE" w14:textId="77777777" w:rsidR="00000000" w:rsidRDefault="00E614A4">
            <w:pPr>
              <w:rPr>
                <w:rFonts w:eastAsia="Times New Roman"/>
                <w:sz w:val="20"/>
                <w:szCs w:val="20"/>
              </w:rPr>
            </w:pPr>
          </w:p>
        </w:tc>
        <w:tc>
          <w:tcPr>
            <w:tcW w:w="5" w:type="pct"/>
            <w:vAlign w:val="center"/>
            <w:hideMark/>
          </w:tcPr>
          <w:p w14:paraId="21376264" w14:textId="77777777" w:rsidR="00000000" w:rsidRDefault="00E614A4">
            <w:pPr>
              <w:rPr>
                <w:rFonts w:eastAsia="Times New Roman"/>
                <w:sz w:val="20"/>
                <w:szCs w:val="20"/>
              </w:rPr>
            </w:pPr>
          </w:p>
        </w:tc>
        <w:tc>
          <w:tcPr>
            <w:tcW w:w="5" w:type="pct"/>
            <w:vAlign w:val="center"/>
            <w:hideMark/>
          </w:tcPr>
          <w:p w14:paraId="64C665D3" w14:textId="77777777" w:rsidR="00000000" w:rsidRDefault="00E614A4">
            <w:pPr>
              <w:rPr>
                <w:rFonts w:eastAsia="Times New Roman"/>
                <w:sz w:val="20"/>
                <w:szCs w:val="20"/>
              </w:rPr>
            </w:pPr>
          </w:p>
        </w:tc>
        <w:tc>
          <w:tcPr>
            <w:tcW w:w="17" w:type="pct"/>
            <w:vAlign w:val="center"/>
            <w:hideMark/>
          </w:tcPr>
          <w:p w14:paraId="2A3D4524" w14:textId="77777777" w:rsidR="00000000" w:rsidRDefault="00E614A4">
            <w:pPr>
              <w:rPr>
                <w:rFonts w:eastAsia="Times New Roman"/>
                <w:sz w:val="20"/>
                <w:szCs w:val="20"/>
              </w:rPr>
            </w:pPr>
          </w:p>
        </w:tc>
        <w:tc>
          <w:tcPr>
            <w:tcW w:w="5" w:type="pct"/>
            <w:vAlign w:val="center"/>
            <w:hideMark/>
          </w:tcPr>
          <w:p w14:paraId="0B9248BA" w14:textId="77777777" w:rsidR="00000000" w:rsidRDefault="00E614A4">
            <w:pPr>
              <w:rPr>
                <w:rFonts w:eastAsia="Times New Roman"/>
                <w:sz w:val="20"/>
                <w:szCs w:val="20"/>
              </w:rPr>
            </w:pPr>
          </w:p>
        </w:tc>
        <w:tc>
          <w:tcPr>
            <w:tcW w:w="50" w:type="pct"/>
            <w:vAlign w:val="center"/>
            <w:hideMark/>
          </w:tcPr>
          <w:p w14:paraId="05FCC876" w14:textId="77777777" w:rsidR="00000000" w:rsidRDefault="00E614A4">
            <w:pPr>
              <w:rPr>
                <w:rFonts w:eastAsia="Times New Roman"/>
                <w:sz w:val="20"/>
                <w:szCs w:val="20"/>
              </w:rPr>
            </w:pPr>
          </w:p>
        </w:tc>
        <w:tc>
          <w:tcPr>
            <w:tcW w:w="500" w:type="pct"/>
            <w:vAlign w:val="center"/>
            <w:hideMark/>
          </w:tcPr>
          <w:p w14:paraId="4DA315E2" w14:textId="77777777" w:rsidR="00000000" w:rsidRDefault="00E614A4">
            <w:pPr>
              <w:rPr>
                <w:rFonts w:eastAsia="Times New Roman"/>
                <w:sz w:val="20"/>
                <w:szCs w:val="20"/>
              </w:rPr>
            </w:pPr>
          </w:p>
        </w:tc>
        <w:tc>
          <w:tcPr>
            <w:tcW w:w="5" w:type="pct"/>
            <w:vAlign w:val="center"/>
            <w:hideMark/>
          </w:tcPr>
          <w:p w14:paraId="048B4FBA" w14:textId="77777777" w:rsidR="00000000" w:rsidRDefault="00E614A4">
            <w:pPr>
              <w:rPr>
                <w:rFonts w:eastAsia="Times New Roman"/>
                <w:sz w:val="20"/>
                <w:szCs w:val="20"/>
              </w:rPr>
            </w:pPr>
          </w:p>
        </w:tc>
        <w:tc>
          <w:tcPr>
            <w:tcW w:w="5" w:type="pct"/>
            <w:vAlign w:val="center"/>
            <w:hideMark/>
          </w:tcPr>
          <w:p w14:paraId="6F7E5721" w14:textId="77777777" w:rsidR="00000000" w:rsidRDefault="00E614A4">
            <w:pPr>
              <w:rPr>
                <w:rFonts w:eastAsia="Times New Roman"/>
                <w:sz w:val="20"/>
                <w:szCs w:val="20"/>
              </w:rPr>
            </w:pPr>
          </w:p>
        </w:tc>
        <w:tc>
          <w:tcPr>
            <w:tcW w:w="17" w:type="pct"/>
            <w:vAlign w:val="center"/>
            <w:hideMark/>
          </w:tcPr>
          <w:p w14:paraId="5CE16E8B" w14:textId="77777777" w:rsidR="00000000" w:rsidRDefault="00E614A4">
            <w:pPr>
              <w:rPr>
                <w:rFonts w:eastAsia="Times New Roman"/>
                <w:sz w:val="20"/>
                <w:szCs w:val="20"/>
              </w:rPr>
            </w:pPr>
          </w:p>
        </w:tc>
        <w:tc>
          <w:tcPr>
            <w:tcW w:w="5" w:type="pct"/>
            <w:vAlign w:val="center"/>
            <w:hideMark/>
          </w:tcPr>
          <w:p w14:paraId="4F5AB784" w14:textId="77777777" w:rsidR="00000000" w:rsidRDefault="00E614A4">
            <w:pPr>
              <w:rPr>
                <w:rFonts w:eastAsia="Times New Roman"/>
                <w:sz w:val="20"/>
                <w:szCs w:val="20"/>
              </w:rPr>
            </w:pPr>
          </w:p>
        </w:tc>
        <w:tc>
          <w:tcPr>
            <w:tcW w:w="50" w:type="pct"/>
            <w:vAlign w:val="center"/>
            <w:hideMark/>
          </w:tcPr>
          <w:p w14:paraId="663F27CE" w14:textId="77777777" w:rsidR="00000000" w:rsidRDefault="00E614A4">
            <w:pPr>
              <w:rPr>
                <w:rFonts w:eastAsia="Times New Roman"/>
                <w:sz w:val="20"/>
                <w:szCs w:val="20"/>
              </w:rPr>
            </w:pPr>
          </w:p>
        </w:tc>
        <w:tc>
          <w:tcPr>
            <w:tcW w:w="438" w:type="pct"/>
            <w:vAlign w:val="center"/>
            <w:hideMark/>
          </w:tcPr>
          <w:p w14:paraId="1FE6F669" w14:textId="77777777" w:rsidR="00000000" w:rsidRDefault="00E614A4">
            <w:pPr>
              <w:rPr>
                <w:rFonts w:eastAsia="Times New Roman"/>
                <w:sz w:val="20"/>
                <w:szCs w:val="20"/>
              </w:rPr>
            </w:pPr>
          </w:p>
        </w:tc>
        <w:tc>
          <w:tcPr>
            <w:tcW w:w="5" w:type="pct"/>
            <w:vAlign w:val="center"/>
            <w:hideMark/>
          </w:tcPr>
          <w:p w14:paraId="7A87D52F" w14:textId="77777777" w:rsidR="00000000" w:rsidRDefault="00E614A4">
            <w:pPr>
              <w:rPr>
                <w:rFonts w:eastAsia="Times New Roman"/>
                <w:sz w:val="20"/>
                <w:szCs w:val="20"/>
              </w:rPr>
            </w:pPr>
          </w:p>
        </w:tc>
        <w:tc>
          <w:tcPr>
            <w:tcW w:w="5" w:type="pct"/>
            <w:vAlign w:val="center"/>
            <w:hideMark/>
          </w:tcPr>
          <w:p w14:paraId="480A715F" w14:textId="77777777" w:rsidR="00000000" w:rsidRDefault="00E614A4">
            <w:pPr>
              <w:rPr>
                <w:rFonts w:eastAsia="Times New Roman"/>
                <w:sz w:val="20"/>
                <w:szCs w:val="20"/>
              </w:rPr>
            </w:pPr>
          </w:p>
        </w:tc>
        <w:tc>
          <w:tcPr>
            <w:tcW w:w="17" w:type="pct"/>
            <w:vAlign w:val="center"/>
            <w:hideMark/>
          </w:tcPr>
          <w:p w14:paraId="53AC28BF" w14:textId="77777777" w:rsidR="00000000" w:rsidRDefault="00E614A4">
            <w:pPr>
              <w:rPr>
                <w:rFonts w:eastAsia="Times New Roman"/>
                <w:sz w:val="20"/>
                <w:szCs w:val="20"/>
              </w:rPr>
            </w:pPr>
          </w:p>
        </w:tc>
        <w:tc>
          <w:tcPr>
            <w:tcW w:w="5" w:type="pct"/>
            <w:vAlign w:val="center"/>
            <w:hideMark/>
          </w:tcPr>
          <w:p w14:paraId="0EA3FC0F" w14:textId="77777777" w:rsidR="00000000" w:rsidRDefault="00E614A4">
            <w:pPr>
              <w:rPr>
                <w:rFonts w:eastAsia="Times New Roman"/>
                <w:sz w:val="20"/>
                <w:szCs w:val="20"/>
              </w:rPr>
            </w:pPr>
          </w:p>
        </w:tc>
        <w:tc>
          <w:tcPr>
            <w:tcW w:w="50" w:type="pct"/>
            <w:vAlign w:val="center"/>
            <w:hideMark/>
          </w:tcPr>
          <w:p w14:paraId="440988AA" w14:textId="77777777" w:rsidR="00000000" w:rsidRDefault="00E614A4">
            <w:pPr>
              <w:rPr>
                <w:rFonts w:eastAsia="Times New Roman"/>
                <w:sz w:val="20"/>
                <w:szCs w:val="20"/>
              </w:rPr>
            </w:pPr>
          </w:p>
        </w:tc>
        <w:tc>
          <w:tcPr>
            <w:tcW w:w="438" w:type="pct"/>
            <w:vAlign w:val="center"/>
            <w:hideMark/>
          </w:tcPr>
          <w:p w14:paraId="3CCCCAF5" w14:textId="77777777" w:rsidR="00000000" w:rsidRDefault="00E614A4">
            <w:pPr>
              <w:rPr>
                <w:rFonts w:eastAsia="Times New Roman"/>
                <w:sz w:val="20"/>
                <w:szCs w:val="20"/>
              </w:rPr>
            </w:pPr>
          </w:p>
        </w:tc>
        <w:tc>
          <w:tcPr>
            <w:tcW w:w="5" w:type="pct"/>
            <w:vAlign w:val="center"/>
            <w:hideMark/>
          </w:tcPr>
          <w:p w14:paraId="1792F3BF" w14:textId="77777777" w:rsidR="00000000" w:rsidRDefault="00E614A4">
            <w:pPr>
              <w:rPr>
                <w:rFonts w:eastAsia="Times New Roman"/>
                <w:sz w:val="20"/>
                <w:szCs w:val="20"/>
              </w:rPr>
            </w:pPr>
          </w:p>
        </w:tc>
        <w:tc>
          <w:tcPr>
            <w:tcW w:w="5" w:type="pct"/>
            <w:vAlign w:val="center"/>
            <w:hideMark/>
          </w:tcPr>
          <w:p w14:paraId="7B9D9896" w14:textId="77777777" w:rsidR="00000000" w:rsidRDefault="00E614A4">
            <w:pPr>
              <w:rPr>
                <w:rFonts w:eastAsia="Times New Roman"/>
                <w:sz w:val="20"/>
                <w:szCs w:val="20"/>
              </w:rPr>
            </w:pPr>
          </w:p>
        </w:tc>
        <w:tc>
          <w:tcPr>
            <w:tcW w:w="17" w:type="pct"/>
            <w:vAlign w:val="center"/>
            <w:hideMark/>
          </w:tcPr>
          <w:p w14:paraId="67F3A727" w14:textId="77777777" w:rsidR="00000000" w:rsidRDefault="00E614A4">
            <w:pPr>
              <w:rPr>
                <w:rFonts w:eastAsia="Times New Roman"/>
                <w:sz w:val="20"/>
                <w:szCs w:val="20"/>
              </w:rPr>
            </w:pPr>
          </w:p>
        </w:tc>
        <w:tc>
          <w:tcPr>
            <w:tcW w:w="5" w:type="pct"/>
            <w:vAlign w:val="center"/>
            <w:hideMark/>
          </w:tcPr>
          <w:p w14:paraId="09607C55" w14:textId="77777777" w:rsidR="00000000" w:rsidRDefault="00E614A4">
            <w:pPr>
              <w:rPr>
                <w:rFonts w:eastAsia="Times New Roman"/>
                <w:sz w:val="20"/>
                <w:szCs w:val="20"/>
              </w:rPr>
            </w:pPr>
          </w:p>
        </w:tc>
        <w:tc>
          <w:tcPr>
            <w:tcW w:w="50" w:type="pct"/>
            <w:vAlign w:val="center"/>
            <w:hideMark/>
          </w:tcPr>
          <w:p w14:paraId="558E7157" w14:textId="77777777" w:rsidR="00000000" w:rsidRDefault="00E614A4">
            <w:pPr>
              <w:rPr>
                <w:rFonts w:eastAsia="Times New Roman"/>
                <w:sz w:val="20"/>
                <w:szCs w:val="20"/>
              </w:rPr>
            </w:pPr>
          </w:p>
        </w:tc>
        <w:tc>
          <w:tcPr>
            <w:tcW w:w="438" w:type="pct"/>
            <w:vAlign w:val="center"/>
            <w:hideMark/>
          </w:tcPr>
          <w:p w14:paraId="549EF3BE" w14:textId="77777777" w:rsidR="00000000" w:rsidRDefault="00E614A4">
            <w:pPr>
              <w:rPr>
                <w:rFonts w:eastAsia="Times New Roman"/>
                <w:sz w:val="20"/>
                <w:szCs w:val="20"/>
              </w:rPr>
            </w:pPr>
          </w:p>
        </w:tc>
        <w:tc>
          <w:tcPr>
            <w:tcW w:w="5" w:type="pct"/>
            <w:vAlign w:val="center"/>
            <w:hideMark/>
          </w:tcPr>
          <w:p w14:paraId="70F99165" w14:textId="77777777" w:rsidR="00000000" w:rsidRDefault="00E614A4">
            <w:pPr>
              <w:rPr>
                <w:rFonts w:eastAsia="Times New Roman"/>
                <w:sz w:val="20"/>
                <w:szCs w:val="20"/>
              </w:rPr>
            </w:pPr>
          </w:p>
        </w:tc>
      </w:tr>
      <w:tr w:rsidR="00000000" w14:paraId="4E63ADB5" w14:textId="77777777">
        <w:trPr>
          <w:divId w:val="1025441864"/>
          <w:trHeight w:val="240"/>
          <w:jc w:val="center"/>
        </w:trPr>
        <w:tc>
          <w:tcPr>
            <w:tcW w:w="0" w:type="auto"/>
            <w:gridSpan w:val="3"/>
            <w:vMerge w:val="restart"/>
            <w:tcMar>
              <w:top w:w="0" w:type="dxa"/>
              <w:left w:w="20" w:type="dxa"/>
              <w:bottom w:w="0" w:type="dxa"/>
              <w:right w:w="20" w:type="dxa"/>
            </w:tcMar>
            <w:vAlign w:val="center"/>
            <w:hideMark/>
          </w:tcPr>
          <w:p w14:paraId="4034C6D3"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43BC5DE0" w14:textId="77777777" w:rsidR="00000000" w:rsidRDefault="00E614A4">
            <w:pPr>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2C6A3052" w14:textId="77777777" w:rsidR="00000000" w:rsidRDefault="00E614A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0CC7A62" w14:textId="77777777" w:rsidR="00000000" w:rsidRDefault="00E614A4">
            <w:pPr>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3F7FA4BE" w14:textId="77777777" w:rsidR="00000000" w:rsidRDefault="00E614A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EDFEE22" w14:textId="77777777" w:rsidR="00000000" w:rsidRDefault="00E614A4">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0FBF5CE1" w14:textId="77777777" w:rsidR="00000000" w:rsidRDefault="00E614A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B5AE500" w14:textId="77777777" w:rsidR="00000000" w:rsidRDefault="00E614A4">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291012DC" w14:textId="77777777" w:rsidR="00000000" w:rsidRDefault="00E614A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8B03DF0" w14:textId="77777777" w:rsidR="00000000" w:rsidRDefault="00E614A4">
            <w:pPr>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4C450CFC" w14:textId="77777777" w:rsidR="00000000" w:rsidRDefault="00E614A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00FEF80" w14:textId="77777777" w:rsidR="00000000" w:rsidRDefault="00E614A4">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038C476A" w14:textId="77777777">
        <w:trPr>
          <w:divId w:val="1025441864"/>
          <w:trHeight w:val="460"/>
          <w:jc w:val="center"/>
        </w:trPr>
        <w:tc>
          <w:tcPr>
            <w:tcW w:w="0" w:type="auto"/>
            <w:gridSpan w:val="3"/>
            <w:vMerge/>
            <w:vAlign w:val="center"/>
            <w:hideMark/>
          </w:tcPr>
          <w:p w14:paraId="610BD909" w14:textId="77777777" w:rsidR="00000000" w:rsidRDefault="00E614A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E9217C5" w14:textId="77777777" w:rsidR="00000000" w:rsidRDefault="00E614A4">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5A6B0D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DA0A02" w14:textId="77777777" w:rsidR="00000000" w:rsidRDefault="00E614A4">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35BEBE87" w14:textId="77777777" w:rsidR="00000000" w:rsidRDefault="00E614A4">
            <w:pPr>
              <w:jc w:val="center"/>
              <w:rPr>
                <w:rFonts w:eastAsia="Times New Roman"/>
              </w:rPr>
            </w:pPr>
          </w:p>
        </w:tc>
        <w:tc>
          <w:tcPr>
            <w:tcW w:w="0" w:type="auto"/>
            <w:gridSpan w:val="3"/>
            <w:vMerge/>
            <w:vAlign w:val="center"/>
            <w:hideMark/>
          </w:tcPr>
          <w:p w14:paraId="71A005AD" w14:textId="77777777" w:rsidR="00000000" w:rsidRDefault="00E614A4">
            <w:pPr>
              <w:rPr>
                <w:rFonts w:eastAsia="Times New Roman"/>
              </w:rPr>
            </w:pPr>
          </w:p>
        </w:tc>
        <w:tc>
          <w:tcPr>
            <w:tcW w:w="0" w:type="auto"/>
            <w:gridSpan w:val="3"/>
            <w:vMerge/>
            <w:vAlign w:val="center"/>
            <w:hideMark/>
          </w:tcPr>
          <w:p w14:paraId="2306A660" w14:textId="77777777" w:rsidR="00000000" w:rsidRDefault="00E614A4">
            <w:pPr>
              <w:rPr>
                <w:rFonts w:eastAsia="Times New Roman"/>
              </w:rPr>
            </w:pPr>
          </w:p>
        </w:tc>
        <w:tc>
          <w:tcPr>
            <w:tcW w:w="0" w:type="auto"/>
            <w:gridSpan w:val="3"/>
            <w:vMerge/>
            <w:vAlign w:val="center"/>
            <w:hideMark/>
          </w:tcPr>
          <w:p w14:paraId="51297356" w14:textId="77777777" w:rsidR="00000000" w:rsidRDefault="00E614A4">
            <w:pPr>
              <w:rPr>
                <w:rFonts w:eastAsia="Times New Roman"/>
              </w:rPr>
            </w:pPr>
          </w:p>
        </w:tc>
        <w:tc>
          <w:tcPr>
            <w:tcW w:w="0" w:type="auto"/>
            <w:gridSpan w:val="3"/>
            <w:vMerge/>
            <w:vAlign w:val="center"/>
            <w:hideMark/>
          </w:tcPr>
          <w:p w14:paraId="3E3A8881" w14:textId="77777777" w:rsidR="00000000" w:rsidRDefault="00E614A4">
            <w:pPr>
              <w:rPr>
                <w:rFonts w:eastAsia="Times New Roman"/>
              </w:rPr>
            </w:pPr>
          </w:p>
        </w:tc>
        <w:tc>
          <w:tcPr>
            <w:tcW w:w="0" w:type="auto"/>
            <w:gridSpan w:val="3"/>
            <w:vMerge/>
            <w:vAlign w:val="center"/>
            <w:hideMark/>
          </w:tcPr>
          <w:p w14:paraId="669383AB" w14:textId="77777777" w:rsidR="00000000" w:rsidRDefault="00E614A4">
            <w:pPr>
              <w:rPr>
                <w:rFonts w:eastAsia="Times New Roman"/>
              </w:rPr>
            </w:pPr>
          </w:p>
        </w:tc>
        <w:tc>
          <w:tcPr>
            <w:tcW w:w="0" w:type="auto"/>
            <w:gridSpan w:val="3"/>
            <w:vMerge/>
            <w:vAlign w:val="center"/>
            <w:hideMark/>
          </w:tcPr>
          <w:p w14:paraId="442F29E9" w14:textId="77777777" w:rsidR="00000000" w:rsidRDefault="00E614A4">
            <w:pPr>
              <w:rPr>
                <w:rFonts w:eastAsia="Times New Roman"/>
              </w:rPr>
            </w:pPr>
          </w:p>
        </w:tc>
        <w:tc>
          <w:tcPr>
            <w:tcW w:w="0" w:type="auto"/>
            <w:gridSpan w:val="3"/>
            <w:vMerge/>
            <w:vAlign w:val="center"/>
            <w:hideMark/>
          </w:tcPr>
          <w:p w14:paraId="6067B3F9" w14:textId="77777777" w:rsidR="00000000" w:rsidRDefault="00E614A4">
            <w:pPr>
              <w:rPr>
                <w:rFonts w:eastAsia="Times New Roman"/>
              </w:rPr>
            </w:pPr>
          </w:p>
        </w:tc>
        <w:tc>
          <w:tcPr>
            <w:tcW w:w="0" w:type="auto"/>
            <w:gridSpan w:val="3"/>
            <w:vMerge/>
            <w:vAlign w:val="center"/>
            <w:hideMark/>
          </w:tcPr>
          <w:p w14:paraId="0570399E" w14:textId="77777777" w:rsidR="00000000" w:rsidRDefault="00E614A4">
            <w:pPr>
              <w:rPr>
                <w:rFonts w:eastAsia="Times New Roman"/>
              </w:rPr>
            </w:pPr>
          </w:p>
        </w:tc>
        <w:tc>
          <w:tcPr>
            <w:tcW w:w="0" w:type="auto"/>
            <w:gridSpan w:val="3"/>
            <w:vMerge/>
            <w:vAlign w:val="center"/>
            <w:hideMark/>
          </w:tcPr>
          <w:p w14:paraId="3D5F13ED" w14:textId="77777777" w:rsidR="00000000" w:rsidRDefault="00E614A4">
            <w:pPr>
              <w:rPr>
                <w:rFonts w:eastAsia="Times New Roman"/>
              </w:rPr>
            </w:pPr>
          </w:p>
        </w:tc>
      </w:tr>
      <w:tr w:rsidR="00000000" w14:paraId="50D38FF4" w14:textId="77777777">
        <w:trPr>
          <w:divId w:val="1025441864"/>
          <w:jc w:val="center"/>
        </w:trPr>
        <w:tc>
          <w:tcPr>
            <w:tcW w:w="0" w:type="auto"/>
            <w:gridSpan w:val="3"/>
            <w:vAlign w:val="center"/>
            <w:hideMark/>
          </w:tcPr>
          <w:p w14:paraId="379C5898" w14:textId="77777777" w:rsidR="00000000" w:rsidRDefault="00E614A4">
            <w:pPr>
              <w:rPr>
                <w:rFonts w:eastAsia="Times New Roman"/>
                <w:sz w:val="20"/>
                <w:szCs w:val="20"/>
              </w:rPr>
            </w:pPr>
          </w:p>
        </w:tc>
        <w:tc>
          <w:tcPr>
            <w:tcW w:w="0" w:type="auto"/>
            <w:gridSpan w:val="3"/>
            <w:vAlign w:val="center"/>
            <w:hideMark/>
          </w:tcPr>
          <w:p w14:paraId="03FF83B5" w14:textId="77777777" w:rsidR="00000000" w:rsidRDefault="00E614A4">
            <w:pPr>
              <w:rPr>
                <w:rFonts w:eastAsia="Times New Roman"/>
                <w:sz w:val="20"/>
                <w:szCs w:val="20"/>
              </w:rPr>
            </w:pPr>
          </w:p>
        </w:tc>
        <w:tc>
          <w:tcPr>
            <w:tcW w:w="0" w:type="auto"/>
            <w:gridSpan w:val="3"/>
            <w:vAlign w:val="center"/>
            <w:hideMark/>
          </w:tcPr>
          <w:p w14:paraId="7C6C6AFA" w14:textId="77777777" w:rsidR="00000000" w:rsidRDefault="00E614A4">
            <w:pPr>
              <w:rPr>
                <w:rFonts w:eastAsia="Times New Roman"/>
                <w:sz w:val="20"/>
                <w:szCs w:val="20"/>
              </w:rPr>
            </w:pPr>
          </w:p>
        </w:tc>
        <w:tc>
          <w:tcPr>
            <w:tcW w:w="0" w:type="auto"/>
            <w:gridSpan w:val="3"/>
            <w:vAlign w:val="center"/>
            <w:hideMark/>
          </w:tcPr>
          <w:p w14:paraId="6650E9CF" w14:textId="77777777" w:rsidR="00000000" w:rsidRDefault="00E614A4">
            <w:pPr>
              <w:rPr>
                <w:rFonts w:eastAsia="Times New Roman"/>
                <w:sz w:val="20"/>
                <w:szCs w:val="20"/>
              </w:rPr>
            </w:pPr>
          </w:p>
        </w:tc>
        <w:tc>
          <w:tcPr>
            <w:tcW w:w="0" w:type="auto"/>
            <w:gridSpan w:val="3"/>
            <w:vAlign w:val="center"/>
            <w:hideMark/>
          </w:tcPr>
          <w:p w14:paraId="4926A71B" w14:textId="77777777" w:rsidR="00000000" w:rsidRDefault="00E614A4">
            <w:pPr>
              <w:rPr>
                <w:rFonts w:eastAsia="Times New Roman"/>
                <w:sz w:val="20"/>
                <w:szCs w:val="20"/>
              </w:rPr>
            </w:pPr>
          </w:p>
        </w:tc>
        <w:tc>
          <w:tcPr>
            <w:tcW w:w="0" w:type="auto"/>
            <w:gridSpan w:val="3"/>
            <w:vAlign w:val="center"/>
            <w:hideMark/>
          </w:tcPr>
          <w:p w14:paraId="6AE588C7" w14:textId="77777777" w:rsidR="00000000" w:rsidRDefault="00E614A4">
            <w:pPr>
              <w:rPr>
                <w:rFonts w:eastAsia="Times New Roman"/>
                <w:sz w:val="20"/>
                <w:szCs w:val="20"/>
              </w:rPr>
            </w:pPr>
          </w:p>
        </w:tc>
        <w:tc>
          <w:tcPr>
            <w:tcW w:w="0" w:type="auto"/>
            <w:gridSpan w:val="3"/>
            <w:vAlign w:val="center"/>
            <w:hideMark/>
          </w:tcPr>
          <w:p w14:paraId="02BD2F8F" w14:textId="77777777" w:rsidR="00000000" w:rsidRDefault="00E614A4">
            <w:pPr>
              <w:rPr>
                <w:rFonts w:eastAsia="Times New Roman"/>
                <w:sz w:val="20"/>
                <w:szCs w:val="20"/>
              </w:rPr>
            </w:pPr>
          </w:p>
        </w:tc>
        <w:tc>
          <w:tcPr>
            <w:tcW w:w="0" w:type="auto"/>
            <w:gridSpan w:val="3"/>
            <w:vAlign w:val="center"/>
            <w:hideMark/>
          </w:tcPr>
          <w:p w14:paraId="2ED63EC4" w14:textId="77777777" w:rsidR="00000000" w:rsidRDefault="00E614A4">
            <w:pPr>
              <w:rPr>
                <w:rFonts w:eastAsia="Times New Roman"/>
                <w:sz w:val="20"/>
                <w:szCs w:val="20"/>
              </w:rPr>
            </w:pPr>
          </w:p>
        </w:tc>
        <w:tc>
          <w:tcPr>
            <w:tcW w:w="0" w:type="auto"/>
            <w:gridSpan w:val="3"/>
            <w:vAlign w:val="center"/>
            <w:hideMark/>
          </w:tcPr>
          <w:p w14:paraId="6C32B96C" w14:textId="77777777" w:rsidR="00000000" w:rsidRDefault="00E614A4">
            <w:pPr>
              <w:rPr>
                <w:rFonts w:eastAsia="Times New Roman"/>
                <w:sz w:val="20"/>
                <w:szCs w:val="20"/>
              </w:rPr>
            </w:pPr>
          </w:p>
        </w:tc>
        <w:tc>
          <w:tcPr>
            <w:tcW w:w="0" w:type="auto"/>
            <w:gridSpan w:val="3"/>
            <w:vAlign w:val="center"/>
            <w:hideMark/>
          </w:tcPr>
          <w:p w14:paraId="71005B5E" w14:textId="77777777" w:rsidR="00000000" w:rsidRDefault="00E614A4">
            <w:pPr>
              <w:rPr>
                <w:rFonts w:eastAsia="Times New Roman"/>
                <w:sz w:val="20"/>
                <w:szCs w:val="20"/>
              </w:rPr>
            </w:pPr>
          </w:p>
        </w:tc>
        <w:tc>
          <w:tcPr>
            <w:tcW w:w="0" w:type="auto"/>
            <w:gridSpan w:val="3"/>
            <w:vAlign w:val="center"/>
            <w:hideMark/>
          </w:tcPr>
          <w:p w14:paraId="35BE1E29" w14:textId="77777777" w:rsidR="00000000" w:rsidRDefault="00E614A4">
            <w:pPr>
              <w:rPr>
                <w:rFonts w:eastAsia="Times New Roman"/>
                <w:sz w:val="20"/>
                <w:szCs w:val="20"/>
              </w:rPr>
            </w:pPr>
          </w:p>
        </w:tc>
        <w:tc>
          <w:tcPr>
            <w:tcW w:w="0" w:type="auto"/>
            <w:gridSpan w:val="3"/>
            <w:vAlign w:val="center"/>
            <w:hideMark/>
          </w:tcPr>
          <w:p w14:paraId="5997CBDB" w14:textId="77777777" w:rsidR="00000000" w:rsidRDefault="00E614A4">
            <w:pPr>
              <w:rPr>
                <w:rFonts w:eastAsia="Times New Roman"/>
                <w:sz w:val="20"/>
                <w:szCs w:val="20"/>
              </w:rPr>
            </w:pPr>
          </w:p>
        </w:tc>
        <w:tc>
          <w:tcPr>
            <w:tcW w:w="0" w:type="auto"/>
            <w:gridSpan w:val="3"/>
            <w:vAlign w:val="center"/>
            <w:hideMark/>
          </w:tcPr>
          <w:p w14:paraId="2F747CE8" w14:textId="77777777" w:rsidR="00000000" w:rsidRDefault="00E614A4">
            <w:pPr>
              <w:rPr>
                <w:rFonts w:eastAsia="Times New Roman"/>
                <w:sz w:val="20"/>
                <w:szCs w:val="20"/>
              </w:rPr>
            </w:pPr>
          </w:p>
        </w:tc>
        <w:tc>
          <w:tcPr>
            <w:tcW w:w="0" w:type="auto"/>
            <w:gridSpan w:val="3"/>
            <w:vAlign w:val="center"/>
            <w:hideMark/>
          </w:tcPr>
          <w:p w14:paraId="22E89CC9" w14:textId="77777777" w:rsidR="00000000" w:rsidRDefault="00E614A4">
            <w:pPr>
              <w:rPr>
                <w:rFonts w:eastAsia="Times New Roman"/>
                <w:sz w:val="20"/>
                <w:szCs w:val="20"/>
              </w:rPr>
            </w:pPr>
          </w:p>
        </w:tc>
      </w:tr>
      <w:tr w:rsidR="00000000" w14:paraId="2CBEDD76" w14:textId="77777777">
        <w:trPr>
          <w:divId w:val="1025441864"/>
          <w:jc w:val="center"/>
        </w:trPr>
        <w:tc>
          <w:tcPr>
            <w:tcW w:w="0" w:type="auto"/>
            <w:gridSpan w:val="3"/>
            <w:vAlign w:val="center"/>
            <w:hideMark/>
          </w:tcPr>
          <w:p w14:paraId="5F4661AD" w14:textId="77777777" w:rsidR="00000000" w:rsidRDefault="00E614A4">
            <w:pPr>
              <w:rPr>
                <w:rFonts w:eastAsia="Times New Roman"/>
                <w:sz w:val="20"/>
                <w:szCs w:val="20"/>
              </w:rPr>
            </w:pPr>
          </w:p>
        </w:tc>
        <w:tc>
          <w:tcPr>
            <w:tcW w:w="0" w:type="auto"/>
            <w:gridSpan w:val="3"/>
            <w:vAlign w:val="center"/>
            <w:hideMark/>
          </w:tcPr>
          <w:p w14:paraId="2A1E021D" w14:textId="77777777" w:rsidR="00000000" w:rsidRDefault="00E614A4">
            <w:pPr>
              <w:rPr>
                <w:rFonts w:eastAsia="Times New Roman"/>
                <w:sz w:val="20"/>
                <w:szCs w:val="20"/>
              </w:rPr>
            </w:pPr>
          </w:p>
        </w:tc>
        <w:tc>
          <w:tcPr>
            <w:tcW w:w="0" w:type="auto"/>
            <w:gridSpan w:val="3"/>
            <w:vAlign w:val="center"/>
            <w:hideMark/>
          </w:tcPr>
          <w:p w14:paraId="5C43EB53" w14:textId="77777777" w:rsidR="00000000" w:rsidRDefault="00E614A4">
            <w:pPr>
              <w:rPr>
                <w:rFonts w:eastAsia="Times New Roman"/>
                <w:sz w:val="20"/>
                <w:szCs w:val="20"/>
              </w:rPr>
            </w:pPr>
          </w:p>
        </w:tc>
        <w:tc>
          <w:tcPr>
            <w:tcW w:w="0" w:type="auto"/>
            <w:gridSpan w:val="3"/>
            <w:vAlign w:val="center"/>
            <w:hideMark/>
          </w:tcPr>
          <w:p w14:paraId="34A7B25C" w14:textId="77777777" w:rsidR="00000000" w:rsidRDefault="00E614A4">
            <w:pPr>
              <w:rPr>
                <w:rFonts w:eastAsia="Times New Roman"/>
                <w:sz w:val="20"/>
                <w:szCs w:val="20"/>
              </w:rPr>
            </w:pPr>
          </w:p>
        </w:tc>
        <w:tc>
          <w:tcPr>
            <w:tcW w:w="0" w:type="auto"/>
            <w:gridSpan w:val="3"/>
            <w:vAlign w:val="center"/>
            <w:hideMark/>
          </w:tcPr>
          <w:p w14:paraId="207239C8" w14:textId="77777777" w:rsidR="00000000" w:rsidRDefault="00E614A4">
            <w:pPr>
              <w:rPr>
                <w:rFonts w:eastAsia="Times New Roman"/>
                <w:sz w:val="20"/>
                <w:szCs w:val="20"/>
              </w:rPr>
            </w:pPr>
          </w:p>
        </w:tc>
        <w:tc>
          <w:tcPr>
            <w:tcW w:w="0" w:type="auto"/>
            <w:gridSpan w:val="3"/>
            <w:vAlign w:val="center"/>
            <w:hideMark/>
          </w:tcPr>
          <w:p w14:paraId="591F76A3" w14:textId="77777777" w:rsidR="00000000" w:rsidRDefault="00E614A4">
            <w:pPr>
              <w:rPr>
                <w:rFonts w:eastAsia="Times New Roman"/>
                <w:sz w:val="20"/>
                <w:szCs w:val="20"/>
              </w:rPr>
            </w:pPr>
          </w:p>
        </w:tc>
        <w:tc>
          <w:tcPr>
            <w:tcW w:w="0" w:type="auto"/>
            <w:gridSpan w:val="3"/>
            <w:vAlign w:val="center"/>
            <w:hideMark/>
          </w:tcPr>
          <w:p w14:paraId="271721E9" w14:textId="77777777" w:rsidR="00000000" w:rsidRDefault="00E614A4">
            <w:pPr>
              <w:rPr>
                <w:rFonts w:eastAsia="Times New Roman"/>
                <w:sz w:val="20"/>
                <w:szCs w:val="20"/>
              </w:rPr>
            </w:pPr>
          </w:p>
        </w:tc>
        <w:tc>
          <w:tcPr>
            <w:tcW w:w="0" w:type="auto"/>
            <w:gridSpan w:val="3"/>
            <w:vAlign w:val="center"/>
            <w:hideMark/>
          </w:tcPr>
          <w:p w14:paraId="3D7CA131" w14:textId="77777777" w:rsidR="00000000" w:rsidRDefault="00E614A4">
            <w:pPr>
              <w:rPr>
                <w:rFonts w:eastAsia="Times New Roman"/>
                <w:sz w:val="20"/>
                <w:szCs w:val="20"/>
              </w:rPr>
            </w:pPr>
          </w:p>
        </w:tc>
        <w:tc>
          <w:tcPr>
            <w:tcW w:w="0" w:type="auto"/>
            <w:gridSpan w:val="3"/>
            <w:vAlign w:val="center"/>
            <w:hideMark/>
          </w:tcPr>
          <w:p w14:paraId="71409B75" w14:textId="77777777" w:rsidR="00000000" w:rsidRDefault="00E614A4">
            <w:pPr>
              <w:rPr>
                <w:rFonts w:eastAsia="Times New Roman"/>
                <w:sz w:val="20"/>
                <w:szCs w:val="20"/>
              </w:rPr>
            </w:pPr>
          </w:p>
        </w:tc>
        <w:tc>
          <w:tcPr>
            <w:tcW w:w="0" w:type="auto"/>
            <w:gridSpan w:val="3"/>
            <w:vAlign w:val="center"/>
            <w:hideMark/>
          </w:tcPr>
          <w:p w14:paraId="5698BC5B" w14:textId="77777777" w:rsidR="00000000" w:rsidRDefault="00E614A4">
            <w:pPr>
              <w:rPr>
                <w:rFonts w:eastAsia="Times New Roman"/>
                <w:sz w:val="20"/>
                <w:szCs w:val="20"/>
              </w:rPr>
            </w:pPr>
          </w:p>
        </w:tc>
        <w:tc>
          <w:tcPr>
            <w:tcW w:w="0" w:type="auto"/>
            <w:gridSpan w:val="3"/>
            <w:vAlign w:val="center"/>
            <w:hideMark/>
          </w:tcPr>
          <w:p w14:paraId="3C7EDBC8" w14:textId="77777777" w:rsidR="00000000" w:rsidRDefault="00E614A4">
            <w:pPr>
              <w:rPr>
                <w:rFonts w:eastAsia="Times New Roman"/>
                <w:sz w:val="20"/>
                <w:szCs w:val="20"/>
              </w:rPr>
            </w:pPr>
          </w:p>
        </w:tc>
        <w:tc>
          <w:tcPr>
            <w:tcW w:w="0" w:type="auto"/>
            <w:gridSpan w:val="3"/>
            <w:vAlign w:val="center"/>
            <w:hideMark/>
          </w:tcPr>
          <w:p w14:paraId="69C250A2" w14:textId="77777777" w:rsidR="00000000" w:rsidRDefault="00E614A4">
            <w:pPr>
              <w:rPr>
                <w:rFonts w:eastAsia="Times New Roman"/>
                <w:sz w:val="20"/>
                <w:szCs w:val="20"/>
              </w:rPr>
            </w:pPr>
          </w:p>
        </w:tc>
        <w:tc>
          <w:tcPr>
            <w:tcW w:w="0" w:type="auto"/>
            <w:gridSpan w:val="3"/>
            <w:vAlign w:val="center"/>
            <w:hideMark/>
          </w:tcPr>
          <w:p w14:paraId="5E9C53E8" w14:textId="77777777" w:rsidR="00000000" w:rsidRDefault="00E614A4">
            <w:pPr>
              <w:rPr>
                <w:rFonts w:eastAsia="Times New Roman"/>
                <w:sz w:val="20"/>
                <w:szCs w:val="20"/>
              </w:rPr>
            </w:pPr>
          </w:p>
        </w:tc>
        <w:tc>
          <w:tcPr>
            <w:tcW w:w="0" w:type="auto"/>
            <w:gridSpan w:val="3"/>
            <w:vAlign w:val="center"/>
            <w:hideMark/>
          </w:tcPr>
          <w:p w14:paraId="2E4BCB31" w14:textId="77777777" w:rsidR="00000000" w:rsidRDefault="00E614A4">
            <w:pPr>
              <w:rPr>
                <w:rFonts w:eastAsia="Times New Roman"/>
                <w:sz w:val="20"/>
                <w:szCs w:val="20"/>
              </w:rPr>
            </w:pPr>
          </w:p>
        </w:tc>
      </w:tr>
      <w:tr w:rsidR="00000000" w14:paraId="52B6971B" w14:textId="77777777">
        <w:trPr>
          <w:divId w:val="1025441864"/>
          <w:jc w:val="center"/>
        </w:trPr>
        <w:tc>
          <w:tcPr>
            <w:tcW w:w="0" w:type="auto"/>
            <w:gridSpan w:val="3"/>
            <w:vAlign w:val="center"/>
            <w:hideMark/>
          </w:tcPr>
          <w:p w14:paraId="3142B65C" w14:textId="77777777" w:rsidR="00000000" w:rsidRDefault="00E614A4">
            <w:pPr>
              <w:rPr>
                <w:rFonts w:eastAsia="Times New Roman"/>
                <w:sz w:val="20"/>
                <w:szCs w:val="20"/>
              </w:rPr>
            </w:pPr>
          </w:p>
        </w:tc>
        <w:tc>
          <w:tcPr>
            <w:tcW w:w="0" w:type="auto"/>
            <w:gridSpan w:val="3"/>
            <w:vAlign w:val="center"/>
            <w:hideMark/>
          </w:tcPr>
          <w:p w14:paraId="675AADA1" w14:textId="77777777" w:rsidR="00000000" w:rsidRDefault="00E614A4">
            <w:pPr>
              <w:rPr>
                <w:rFonts w:eastAsia="Times New Roman"/>
                <w:sz w:val="20"/>
                <w:szCs w:val="20"/>
              </w:rPr>
            </w:pPr>
          </w:p>
        </w:tc>
        <w:tc>
          <w:tcPr>
            <w:tcW w:w="0" w:type="auto"/>
            <w:gridSpan w:val="3"/>
            <w:vAlign w:val="center"/>
            <w:hideMark/>
          </w:tcPr>
          <w:p w14:paraId="1CC3DAE6" w14:textId="77777777" w:rsidR="00000000" w:rsidRDefault="00E614A4">
            <w:pPr>
              <w:rPr>
                <w:rFonts w:eastAsia="Times New Roman"/>
                <w:sz w:val="20"/>
                <w:szCs w:val="20"/>
              </w:rPr>
            </w:pPr>
          </w:p>
        </w:tc>
        <w:tc>
          <w:tcPr>
            <w:tcW w:w="0" w:type="auto"/>
            <w:gridSpan w:val="3"/>
            <w:vAlign w:val="center"/>
            <w:hideMark/>
          </w:tcPr>
          <w:p w14:paraId="20B16221" w14:textId="77777777" w:rsidR="00000000" w:rsidRDefault="00E614A4">
            <w:pPr>
              <w:rPr>
                <w:rFonts w:eastAsia="Times New Roman"/>
                <w:sz w:val="20"/>
                <w:szCs w:val="20"/>
              </w:rPr>
            </w:pPr>
          </w:p>
        </w:tc>
        <w:tc>
          <w:tcPr>
            <w:tcW w:w="0" w:type="auto"/>
            <w:gridSpan w:val="3"/>
            <w:vAlign w:val="center"/>
            <w:hideMark/>
          </w:tcPr>
          <w:p w14:paraId="500E44C9" w14:textId="77777777" w:rsidR="00000000" w:rsidRDefault="00E614A4">
            <w:pPr>
              <w:rPr>
                <w:rFonts w:eastAsia="Times New Roman"/>
                <w:sz w:val="20"/>
                <w:szCs w:val="20"/>
              </w:rPr>
            </w:pPr>
          </w:p>
        </w:tc>
        <w:tc>
          <w:tcPr>
            <w:tcW w:w="0" w:type="auto"/>
            <w:gridSpan w:val="3"/>
            <w:vAlign w:val="center"/>
            <w:hideMark/>
          </w:tcPr>
          <w:p w14:paraId="4E71A0B8" w14:textId="77777777" w:rsidR="00000000" w:rsidRDefault="00E614A4">
            <w:pPr>
              <w:rPr>
                <w:rFonts w:eastAsia="Times New Roman"/>
                <w:sz w:val="20"/>
                <w:szCs w:val="20"/>
              </w:rPr>
            </w:pPr>
          </w:p>
        </w:tc>
        <w:tc>
          <w:tcPr>
            <w:tcW w:w="0" w:type="auto"/>
            <w:gridSpan w:val="3"/>
            <w:vAlign w:val="center"/>
            <w:hideMark/>
          </w:tcPr>
          <w:p w14:paraId="782F9A8B" w14:textId="77777777" w:rsidR="00000000" w:rsidRDefault="00E614A4">
            <w:pPr>
              <w:rPr>
                <w:rFonts w:eastAsia="Times New Roman"/>
                <w:sz w:val="20"/>
                <w:szCs w:val="20"/>
              </w:rPr>
            </w:pPr>
          </w:p>
        </w:tc>
        <w:tc>
          <w:tcPr>
            <w:tcW w:w="0" w:type="auto"/>
            <w:gridSpan w:val="3"/>
            <w:vAlign w:val="center"/>
            <w:hideMark/>
          </w:tcPr>
          <w:p w14:paraId="5548AF52" w14:textId="77777777" w:rsidR="00000000" w:rsidRDefault="00E614A4">
            <w:pPr>
              <w:rPr>
                <w:rFonts w:eastAsia="Times New Roman"/>
                <w:sz w:val="20"/>
                <w:szCs w:val="20"/>
              </w:rPr>
            </w:pPr>
          </w:p>
        </w:tc>
        <w:tc>
          <w:tcPr>
            <w:tcW w:w="0" w:type="auto"/>
            <w:gridSpan w:val="3"/>
            <w:vAlign w:val="center"/>
            <w:hideMark/>
          </w:tcPr>
          <w:p w14:paraId="607ABB1F" w14:textId="77777777" w:rsidR="00000000" w:rsidRDefault="00E614A4">
            <w:pPr>
              <w:rPr>
                <w:rFonts w:eastAsia="Times New Roman"/>
                <w:sz w:val="20"/>
                <w:szCs w:val="20"/>
              </w:rPr>
            </w:pPr>
          </w:p>
        </w:tc>
        <w:tc>
          <w:tcPr>
            <w:tcW w:w="0" w:type="auto"/>
            <w:gridSpan w:val="3"/>
            <w:vAlign w:val="center"/>
            <w:hideMark/>
          </w:tcPr>
          <w:p w14:paraId="5F698866" w14:textId="77777777" w:rsidR="00000000" w:rsidRDefault="00E614A4">
            <w:pPr>
              <w:rPr>
                <w:rFonts w:eastAsia="Times New Roman"/>
                <w:sz w:val="20"/>
                <w:szCs w:val="20"/>
              </w:rPr>
            </w:pPr>
          </w:p>
        </w:tc>
        <w:tc>
          <w:tcPr>
            <w:tcW w:w="0" w:type="auto"/>
            <w:gridSpan w:val="3"/>
            <w:vAlign w:val="center"/>
            <w:hideMark/>
          </w:tcPr>
          <w:p w14:paraId="6EA29FB9" w14:textId="77777777" w:rsidR="00000000" w:rsidRDefault="00E614A4">
            <w:pPr>
              <w:rPr>
                <w:rFonts w:eastAsia="Times New Roman"/>
                <w:sz w:val="20"/>
                <w:szCs w:val="20"/>
              </w:rPr>
            </w:pPr>
          </w:p>
        </w:tc>
        <w:tc>
          <w:tcPr>
            <w:tcW w:w="0" w:type="auto"/>
            <w:gridSpan w:val="3"/>
            <w:vAlign w:val="center"/>
            <w:hideMark/>
          </w:tcPr>
          <w:p w14:paraId="6FD660E8" w14:textId="77777777" w:rsidR="00000000" w:rsidRDefault="00E614A4">
            <w:pPr>
              <w:rPr>
                <w:rFonts w:eastAsia="Times New Roman"/>
                <w:sz w:val="20"/>
                <w:szCs w:val="20"/>
              </w:rPr>
            </w:pPr>
          </w:p>
        </w:tc>
        <w:tc>
          <w:tcPr>
            <w:tcW w:w="0" w:type="auto"/>
            <w:gridSpan w:val="3"/>
            <w:vAlign w:val="center"/>
            <w:hideMark/>
          </w:tcPr>
          <w:p w14:paraId="0E50A948" w14:textId="77777777" w:rsidR="00000000" w:rsidRDefault="00E614A4">
            <w:pPr>
              <w:rPr>
                <w:rFonts w:eastAsia="Times New Roman"/>
                <w:sz w:val="20"/>
                <w:szCs w:val="20"/>
              </w:rPr>
            </w:pPr>
          </w:p>
        </w:tc>
        <w:tc>
          <w:tcPr>
            <w:tcW w:w="0" w:type="auto"/>
            <w:gridSpan w:val="3"/>
            <w:vAlign w:val="center"/>
            <w:hideMark/>
          </w:tcPr>
          <w:p w14:paraId="477AF284" w14:textId="77777777" w:rsidR="00000000" w:rsidRDefault="00E614A4">
            <w:pPr>
              <w:rPr>
                <w:rFonts w:eastAsia="Times New Roman"/>
                <w:sz w:val="20"/>
                <w:szCs w:val="20"/>
              </w:rPr>
            </w:pPr>
          </w:p>
        </w:tc>
      </w:tr>
      <w:tr w:rsidR="00000000" w14:paraId="5C0D7DB4" w14:textId="77777777">
        <w:trPr>
          <w:divId w:val="1025441864"/>
          <w:jc w:val="center"/>
        </w:trPr>
        <w:tc>
          <w:tcPr>
            <w:tcW w:w="0" w:type="auto"/>
            <w:gridSpan w:val="3"/>
            <w:vAlign w:val="center"/>
            <w:hideMark/>
          </w:tcPr>
          <w:p w14:paraId="41CFC8E4" w14:textId="77777777" w:rsidR="00000000" w:rsidRDefault="00E614A4">
            <w:pPr>
              <w:rPr>
                <w:rFonts w:eastAsia="Times New Roman"/>
                <w:sz w:val="20"/>
                <w:szCs w:val="20"/>
              </w:rPr>
            </w:pPr>
          </w:p>
        </w:tc>
        <w:tc>
          <w:tcPr>
            <w:tcW w:w="0" w:type="auto"/>
            <w:gridSpan w:val="3"/>
            <w:vAlign w:val="center"/>
            <w:hideMark/>
          </w:tcPr>
          <w:p w14:paraId="5B5AA3C0" w14:textId="77777777" w:rsidR="00000000" w:rsidRDefault="00E614A4">
            <w:pPr>
              <w:rPr>
                <w:rFonts w:eastAsia="Times New Roman"/>
                <w:sz w:val="20"/>
                <w:szCs w:val="20"/>
              </w:rPr>
            </w:pPr>
          </w:p>
        </w:tc>
        <w:tc>
          <w:tcPr>
            <w:tcW w:w="0" w:type="auto"/>
            <w:gridSpan w:val="3"/>
            <w:vAlign w:val="center"/>
            <w:hideMark/>
          </w:tcPr>
          <w:p w14:paraId="3F48DD2F" w14:textId="77777777" w:rsidR="00000000" w:rsidRDefault="00E614A4">
            <w:pPr>
              <w:rPr>
                <w:rFonts w:eastAsia="Times New Roman"/>
                <w:sz w:val="20"/>
                <w:szCs w:val="20"/>
              </w:rPr>
            </w:pPr>
          </w:p>
        </w:tc>
        <w:tc>
          <w:tcPr>
            <w:tcW w:w="0" w:type="auto"/>
            <w:gridSpan w:val="3"/>
            <w:vAlign w:val="center"/>
            <w:hideMark/>
          </w:tcPr>
          <w:p w14:paraId="695A2525" w14:textId="77777777" w:rsidR="00000000" w:rsidRDefault="00E614A4">
            <w:pPr>
              <w:rPr>
                <w:rFonts w:eastAsia="Times New Roman"/>
                <w:sz w:val="20"/>
                <w:szCs w:val="20"/>
              </w:rPr>
            </w:pPr>
          </w:p>
        </w:tc>
        <w:tc>
          <w:tcPr>
            <w:tcW w:w="0" w:type="auto"/>
            <w:gridSpan w:val="3"/>
            <w:vAlign w:val="center"/>
            <w:hideMark/>
          </w:tcPr>
          <w:p w14:paraId="424FEAD0" w14:textId="77777777" w:rsidR="00000000" w:rsidRDefault="00E614A4">
            <w:pPr>
              <w:rPr>
                <w:rFonts w:eastAsia="Times New Roman"/>
                <w:sz w:val="20"/>
                <w:szCs w:val="20"/>
              </w:rPr>
            </w:pPr>
          </w:p>
        </w:tc>
        <w:tc>
          <w:tcPr>
            <w:tcW w:w="0" w:type="auto"/>
            <w:gridSpan w:val="3"/>
            <w:vAlign w:val="center"/>
            <w:hideMark/>
          </w:tcPr>
          <w:p w14:paraId="0EEFF665" w14:textId="77777777" w:rsidR="00000000" w:rsidRDefault="00E614A4">
            <w:pPr>
              <w:rPr>
                <w:rFonts w:eastAsia="Times New Roman"/>
                <w:sz w:val="20"/>
                <w:szCs w:val="20"/>
              </w:rPr>
            </w:pPr>
          </w:p>
        </w:tc>
        <w:tc>
          <w:tcPr>
            <w:tcW w:w="0" w:type="auto"/>
            <w:gridSpan w:val="3"/>
            <w:vAlign w:val="center"/>
            <w:hideMark/>
          </w:tcPr>
          <w:p w14:paraId="26CC4973" w14:textId="77777777" w:rsidR="00000000" w:rsidRDefault="00E614A4">
            <w:pPr>
              <w:rPr>
                <w:rFonts w:eastAsia="Times New Roman"/>
                <w:sz w:val="20"/>
                <w:szCs w:val="20"/>
              </w:rPr>
            </w:pPr>
          </w:p>
        </w:tc>
        <w:tc>
          <w:tcPr>
            <w:tcW w:w="0" w:type="auto"/>
            <w:gridSpan w:val="3"/>
            <w:vAlign w:val="center"/>
            <w:hideMark/>
          </w:tcPr>
          <w:p w14:paraId="062A8291" w14:textId="77777777" w:rsidR="00000000" w:rsidRDefault="00E614A4">
            <w:pPr>
              <w:rPr>
                <w:rFonts w:eastAsia="Times New Roman"/>
                <w:sz w:val="20"/>
                <w:szCs w:val="20"/>
              </w:rPr>
            </w:pPr>
          </w:p>
        </w:tc>
        <w:tc>
          <w:tcPr>
            <w:tcW w:w="0" w:type="auto"/>
            <w:gridSpan w:val="3"/>
            <w:vAlign w:val="center"/>
            <w:hideMark/>
          </w:tcPr>
          <w:p w14:paraId="27DFBA96" w14:textId="77777777" w:rsidR="00000000" w:rsidRDefault="00E614A4">
            <w:pPr>
              <w:rPr>
                <w:rFonts w:eastAsia="Times New Roman"/>
                <w:sz w:val="20"/>
                <w:szCs w:val="20"/>
              </w:rPr>
            </w:pPr>
          </w:p>
        </w:tc>
        <w:tc>
          <w:tcPr>
            <w:tcW w:w="0" w:type="auto"/>
            <w:gridSpan w:val="3"/>
            <w:vAlign w:val="center"/>
            <w:hideMark/>
          </w:tcPr>
          <w:p w14:paraId="4D05D206" w14:textId="77777777" w:rsidR="00000000" w:rsidRDefault="00E614A4">
            <w:pPr>
              <w:rPr>
                <w:rFonts w:eastAsia="Times New Roman"/>
                <w:sz w:val="20"/>
                <w:szCs w:val="20"/>
              </w:rPr>
            </w:pPr>
          </w:p>
        </w:tc>
        <w:tc>
          <w:tcPr>
            <w:tcW w:w="0" w:type="auto"/>
            <w:gridSpan w:val="3"/>
            <w:vAlign w:val="center"/>
            <w:hideMark/>
          </w:tcPr>
          <w:p w14:paraId="73571F98" w14:textId="77777777" w:rsidR="00000000" w:rsidRDefault="00E614A4">
            <w:pPr>
              <w:rPr>
                <w:rFonts w:eastAsia="Times New Roman"/>
                <w:sz w:val="20"/>
                <w:szCs w:val="20"/>
              </w:rPr>
            </w:pPr>
          </w:p>
        </w:tc>
        <w:tc>
          <w:tcPr>
            <w:tcW w:w="0" w:type="auto"/>
            <w:gridSpan w:val="3"/>
            <w:vAlign w:val="center"/>
            <w:hideMark/>
          </w:tcPr>
          <w:p w14:paraId="70640E3D" w14:textId="77777777" w:rsidR="00000000" w:rsidRDefault="00E614A4">
            <w:pPr>
              <w:rPr>
                <w:rFonts w:eastAsia="Times New Roman"/>
                <w:sz w:val="20"/>
                <w:szCs w:val="20"/>
              </w:rPr>
            </w:pPr>
          </w:p>
        </w:tc>
        <w:tc>
          <w:tcPr>
            <w:tcW w:w="0" w:type="auto"/>
            <w:gridSpan w:val="3"/>
            <w:vAlign w:val="center"/>
            <w:hideMark/>
          </w:tcPr>
          <w:p w14:paraId="49833C76" w14:textId="77777777" w:rsidR="00000000" w:rsidRDefault="00E614A4">
            <w:pPr>
              <w:rPr>
                <w:rFonts w:eastAsia="Times New Roman"/>
                <w:sz w:val="20"/>
                <w:szCs w:val="20"/>
              </w:rPr>
            </w:pPr>
          </w:p>
        </w:tc>
        <w:tc>
          <w:tcPr>
            <w:tcW w:w="0" w:type="auto"/>
            <w:gridSpan w:val="3"/>
            <w:vAlign w:val="center"/>
            <w:hideMark/>
          </w:tcPr>
          <w:p w14:paraId="4AB34FE9" w14:textId="77777777" w:rsidR="00000000" w:rsidRDefault="00E614A4">
            <w:pPr>
              <w:rPr>
                <w:rFonts w:eastAsia="Times New Roman"/>
                <w:sz w:val="20"/>
                <w:szCs w:val="20"/>
              </w:rPr>
            </w:pPr>
          </w:p>
        </w:tc>
      </w:tr>
      <w:tr w:rsidR="00E614A4" w14:paraId="2ED5197F"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0C9C36FD" w14:textId="77777777" w:rsidR="00000000" w:rsidRDefault="00E614A4">
            <w:pPr>
              <w:rPr>
                <w:rFonts w:eastAsia="Times New Roman"/>
              </w:rPr>
            </w:pPr>
            <w:r>
              <w:rPr>
                <w:rFonts w:eastAsia="Times New Roman"/>
                <w:b/>
                <w:bCs/>
                <w:color w:val="000000"/>
                <w:sz w:val="18"/>
                <w:szCs w:val="18"/>
              </w:rPr>
              <w:t>Balance as of December 31, 2017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F63E28" w14:textId="77777777" w:rsidR="00000000" w:rsidRDefault="00E614A4">
            <w:pPr>
              <w:jc w:val="right"/>
              <w:rPr>
                <w:rFonts w:eastAsia="Times New Roman"/>
              </w:rPr>
            </w:pPr>
            <w:r>
              <w:rPr>
                <w:rFonts w:eastAsia="Times New Roman"/>
                <w:b/>
                <w:bCs/>
                <w:color w:val="000000"/>
                <w:sz w:val="18"/>
                <w:szCs w:val="18"/>
              </w:rPr>
              <w:t>57,289,047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BB71D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B9290"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02540A"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5EC02C" w14:textId="77777777" w:rsidR="00000000" w:rsidRDefault="00E614A4">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FF4F3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8E0AA1"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3A97D6"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DF9BF3" w14:textId="77777777" w:rsidR="00000000" w:rsidRDefault="00E614A4">
            <w:pPr>
              <w:jc w:val="right"/>
              <w:rPr>
                <w:rFonts w:eastAsia="Times New Roman"/>
              </w:rPr>
            </w:pPr>
            <w:r>
              <w:rPr>
                <w:rFonts w:eastAsia="Times New Roman"/>
                <w:b/>
                <w:bCs/>
                <w:color w:val="000000"/>
                <w:sz w:val="18"/>
                <w:szCs w:val="18"/>
              </w:rPr>
              <w:t>1,407,717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6E7D6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D1D14"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E14122"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8CB062" w14:textId="77777777" w:rsidR="00000000" w:rsidRDefault="00E614A4">
            <w:pPr>
              <w:jc w:val="right"/>
              <w:rPr>
                <w:rFonts w:eastAsia="Times New Roman"/>
              </w:rPr>
            </w:pPr>
            <w:r>
              <w:rPr>
                <w:rFonts w:eastAsia="Times New Roman"/>
                <w:b/>
                <w:bCs/>
                <w:color w:val="000000"/>
                <w:sz w:val="18"/>
                <w:szCs w:val="18"/>
              </w:rPr>
              <w:t>(6,224)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57835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624A7"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C8ED2A"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3F3D93" w14:textId="77777777" w:rsidR="00000000" w:rsidRDefault="00E614A4">
            <w:pPr>
              <w:jc w:val="right"/>
              <w:rPr>
                <w:rFonts w:eastAsia="Times New Roman"/>
              </w:rPr>
            </w:pPr>
            <w:r>
              <w:rPr>
                <w:rFonts w:eastAsia="Times New Roman"/>
                <w:b/>
                <w:bCs/>
                <w:color w:val="000000"/>
                <w:sz w:val="18"/>
                <w:szCs w:val="18"/>
              </w:rPr>
              <w:t>(609,091)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29F7A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EDE45"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71C8AB"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2C2C86" w14:textId="77777777" w:rsidR="00000000" w:rsidRDefault="00E614A4">
            <w:pPr>
              <w:jc w:val="right"/>
              <w:rPr>
                <w:rFonts w:eastAsia="Times New Roman"/>
              </w:rPr>
            </w:pPr>
            <w:r>
              <w:rPr>
                <w:rFonts w:eastAsia="Times New Roman"/>
                <w:b/>
                <w:bCs/>
                <w:color w:val="000000"/>
                <w:sz w:val="18"/>
                <w:szCs w:val="18"/>
              </w:rPr>
              <w:t>(135,970)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B4F9C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0279A"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5C4225"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626160" w14:textId="77777777" w:rsidR="00000000" w:rsidRDefault="00E614A4">
            <w:pPr>
              <w:jc w:val="right"/>
              <w:rPr>
                <w:rFonts w:eastAsia="Times New Roman"/>
              </w:rPr>
            </w:pPr>
            <w:r>
              <w:rPr>
                <w:rFonts w:eastAsia="Times New Roman"/>
                <w:b/>
                <w:bCs/>
                <w:color w:val="000000"/>
                <w:sz w:val="18"/>
                <w:szCs w:val="18"/>
              </w:rPr>
              <w:t>656,492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3E9B35" w14:textId="77777777" w:rsidR="00000000" w:rsidRDefault="00E614A4">
            <w:pPr>
              <w:jc w:val="right"/>
              <w:rPr>
                <w:rFonts w:eastAsia="Times New Roman"/>
              </w:rPr>
            </w:pPr>
          </w:p>
        </w:tc>
      </w:tr>
      <w:tr w:rsidR="00000000" w14:paraId="2B29D9C8" w14:textId="77777777">
        <w:trPr>
          <w:divId w:val="1025441864"/>
          <w:jc w:val="center"/>
        </w:trPr>
        <w:tc>
          <w:tcPr>
            <w:tcW w:w="0" w:type="auto"/>
            <w:gridSpan w:val="3"/>
            <w:shd w:val="clear" w:color="auto" w:fill="FFFFFF"/>
            <w:tcMar>
              <w:top w:w="30" w:type="dxa"/>
              <w:left w:w="20" w:type="dxa"/>
              <w:bottom w:w="30" w:type="dxa"/>
              <w:right w:w="20" w:type="dxa"/>
            </w:tcMar>
            <w:hideMark/>
          </w:tcPr>
          <w:p w14:paraId="403FDD6D" w14:textId="77777777" w:rsidR="00000000" w:rsidRDefault="00E614A4">
            <w:pPr>
              <w:rPr>
                <w:rFonts w:eastAsia="Times New Roman"/>
              </w:rPr>
            </w:pPr>
            <w:r>
              <w:rPr>
                <w:rFonts w:eastAsia="Times New Roman"/>
                <w:color w:val="000000"/>
                <w:sz w:val="18"/>
                <w:szCs w:val="18"/>
              </w:rPr>
              <w:t>Adoption of ASC 60</w:t>
            </w:r>
            <w:r>
              <w:rPr>
                <w:rFonts w:eastAsia="Times New Roman"/>
                <w:color w:val="000000"/>
                <w:sz w:val="18"/>
                <w:szCs w:val="18"/>
              </w:rPr>
              <w:t>6</w:t>
            </w:r>
          </w:p>
        </w:tc>
        <w:tc>
          <w:tcPr>
            <w:tcW w:w="0" w:type="auto"/>
            <w:gridSpan w:val="2"/>
            <w:shd w:val="clear" w:color="auto" w:fill="FFFFFF"/>
            <w:tcMar>
              <w:top w:w="30" w:type="dxa"/>
              <w:left w:w="20" w:type="dxa"/>
              <w:bottom w:w="30" w:type="dxa"/>
              <w:right w:w="0" w:type="dxa"/>
            </w:tcMar>
            <w:vAlign w:val="bottom"/>
            <w:hideMark/>
          </w:tcPr>
          <w:p w14:paraId="6D1E729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1EFC7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7895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CA5F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A8138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111B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1212E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6C8F0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6BB3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39A42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5BE86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E942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65783" w14:textId="77777777" w:rsidR="00000000" w:rsidRDefault="00E614A4">
            <w:pPr>
              <w:jc w:val="right"/>
              <w:rPr>
                <w:rFonts w:eastAsia="Times New Roman"/>
              </w:rPr>
            </w:pPr>
            <w:r>
              <w:rPr>
                <w:rFonts w:eastAsia="Times New Roman"/>
                <w:color w:val="000000"/>
                <w:sz w:val="18"/>
                <w:szCs w:val="18"/>
              </w:rPr>
              <w:t>(736)</w:t>
            </w:r>
          </w:p>
        </w:tc>
        <w:tc>
          <w:tcPr>
            <w:tcW w:w="0" w:type="auto"/>
            <w:shd w:val="clear" w:color="auto" w:fill="FFFFFF"/>
            <w:tcMar>
              <w:top w:w="30" w:type="dxa"/>
              <w:left w:w="0" w:type="dxa"/>
              <w:bottom w:w="30" w:type="dxa"/>
              <w:right w:w="20" w:type="dxa"/>
            </w:tcMar>
            <w:vAlign w:val="bottom"/>
            <w:hideMark/>
          </w:tcPr>
          <w:p w14:paraId="7748110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254F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1974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54CCE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521B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2B4FFC" w14:textId="77777777" w:rsidR="00000000" w:rsidRDefault="00E614A4">
            <w:pPr>
              <w:jc w:val="right"/>
              <w:rPr>
                <w:rFonts w:eastAsia="Times New Roman"/>
              </w:rPr>
            </w:pPr>
            <w:r>
              <w:rPr>
                <w:rFonts w:eastAsia="Times New Roman"/>
                <w:color w:val="000000"/>
                <w:sz w:val="18"/>
                <w:szCs w:val="18"/>
              </w:rPr>
              <w:t>(736)</w:t>
            </w:r>
          </w:p>
        </w:tc>
        <w:tc>
          <w:tcPr>
            <w:tcW w:w="0" w:type="auto"/>
            <w:shd w:val="clear" w:color="auto" w:fill="FFFFFF"/>
            <w:tcMar>
              <w:top w:w="30" w:type="dxa"/>
              <w:left w:w="0" w:type="dxa"/>
              <w:bottom w:w="30" w:type="dxa"/>
              <w:right w:w="20" w:type="dxa"/>
            </w:tcMar>
            <w:vAlign w:val="bottom"/>
            <w:hideMark/>
          </w:tcPr>
          <w:p w14:paraId="22A83C9B" w14:textId="77777777" w:rsidR="00000000" w:rsidRDefault="00E614A4">
            <w:pPr>
              <w:jc w:val="right"/>
              <w:rPr>
                <w:rFonts w:eastAsia="Times New Roman"/>
              </w:rPr>
            </w:pPr>
          </w:p>
        </w:tc>
      </w:tr>
      <w:tr w:rsidR="00000000" w14:paraId="097AD910" w14:textId="77777777">
        <w:trPr>
          <w:divId w:val="1025441864"/>
          <w:jc w:val="center"/>
        </w:trPr>
        <w:tc>
          <w:tcPr>
            <w:tcW w:w="0" w:type="auto"/>
            <w:gridSpan w:val="3"/>
            <w:vAlign w:val="center"/>
            <w:hideMark/>
          </w:tcPr>
          <w:p w14:paraId="7F948E77" w14:textId="77777777" w:rsidR="00000000" w:rsidRDefault="00E614A4">
            <w:pPr>
              <w:jc w:val="right"/>
              <w:rPr>
                <w:rFonts w:eastAsia="Times New Roman"/>
                <w:sz w:val="20"/>
                <w:szCs w:val="20"/>
              </w:rPr>
            </w:pPr>
          </w:p>
        </w:tc>
        <w:tc>
          <w:tcPr>
            <w:tcW w:w="0" w:type="auto"/>
            <w:gridSpan w:val="3"/>
            <w:vAlign w:val="center"/>
            <w:hideMark/>
          </w:tcPr>
          <w:p w14:paraId="012A7002" w14:textId="77777777" w:rsidR="00000000" w:rsidRDefault="00E614A4">
            <w:pPr>
              <w:rPr>
                <w:rFonts w:eastAsia="Times New Roman"/>
                <w:sz w:val="20"/>
                <w:szCs w:val="20"/>
              </w:rPr>
            </w:pPr>
          </w:p>
        </w:tc>
        <w:tc>
          <w:tcPr>
            <w:tcW w:w="0" w:type="auto"/>
            <w:gridSpan w:val="3"/>
            <w:vAlign w:val="center"/>
            <w:hideMark/>
          </w:tcPr>
          <w:p w14:paraId="5417AB1B" w14:textId="77777777" w:rsidR="00000000" w:rsidRDefault="00E614A4">
            <w:pPr>
              <w:rPr>
                <w:rFonts w:eastAsia="Times New Roman"/>
                <w:sz w:val="20"/>
                <w:szCs w:val="20"/>
              </w:rPr>
            </w:pPr>
          </w:p>
        </w:tc>
        <w:tc>
          <w:tcPr>
            <w:tcW w:w="0" w:type="auto"/>
            <w:gridSpan w:val="3"/>
            <w:vAlign w:val="center"/>
            <w:hideMark/>
          </w:tcPr>
          <w:p w14:paraId="2B0C155C" w14:textId="77777777" w:rsidR="00000000" w:rsidRDefault="00E614A4">
            <w:pPr>
              <w:rPr>
                <w:rFonts w:eastAsia="Times New Roman"/>
                <w:sz w:val="20"/>
                <w:szCs w:val="20"/>
              </w:rPr>
            </w:pPr>
          </w:p>
        </w:tc>
        <w:tc>
          <w:tcPr>
            <w:tcW w:w="0" w:type="auto"/>
            <w:gridSpan w:val="3"/>
            <w:vAlign w:val="center"/>
            <w:hideMark/>
          </w:tcPr>
          <w:p w14:paraId="099C349B" w14:textId="77777777" w:rsidR="00000000" w:rsidRDefault="00E614A4">
            <w:pPr>
              <w:rPr>
                <w:rFonts w:eastAsia="Times New Roman"/>
                <w:sz w:val="20"/>
                <w:szCs w:val="20"/>
              </w:rPr>
            </w:pPr>
          </w:p>
        </w:tc>
        <w:tc>
          <w:tcPr>
            <w:tcW w:w="0" w:type="auto"/>
            <w:gridSpan w:val="3"/>
            <w:vAlign w:val="center"/>
            <w:hideMark/>
          </w:tcPr>
          <w:p w14:paraId="489ACB0A" w14:textId="77777777" w:rsidR="00000000" w:rsidRDefault="00E614A4">
            <w:pPr>
              <w:rPr>
                <w:rFonts w:eastAsia="Times New Roman"/>
                <w:sz w:val="20"/>
                <w:szCs w:val="20"/>
              </w:rPr>
            </w:pPr>
          </w:p>
        </w:tc>
        <w:tc>
          <w:tcPr>
            <w:tcW w:w="0" w:type="auto"/>
            <w:gridSpan w:val="3"/>
            <w:vAlign w:val="center"/>
            <w:hideMark/>
          </w:tcPr>
          <w:p w14:paraId="756C2954" w14:textId="77777777" w:rsidR="00000000" w:rsidRDefault="00E614A4">
            <w:pPr>
              <w:rPr>
                <w:rFonts w:eastAsia="Times New Roman"/>
                <w:sz w:val="20"/>
                <w:szCs w:val="20"/>
              </w:rPr>
            </w:pPr>
          </w:p>
        </w:tc>
        <w:tc>
          <w:tcPr>
            <w:tcW w:w="0" w:type="auto"/>
            <w:gridSpan w:val="3"/>
            <w:vAlign w:val="center"/>
            <w:hideMark/>
          </w:tcPr>
          <w:p w14:paraId="517A6E88" w14:textId="77777777" w:rsidR="00000000" w:rsidRDefault="00E614A4">
            <w:pPr>
              <w:rPr>
                <w:rFonts w:eastAsia="Times New Roman"/>
                <w:sz w:val="20"/>
                <w:szCs w:val="20"/>
              </w:rPr>
            </w:pPr>
          </w:p>
        </w:tc>
        <w:tc>
          <w:tcPr>
            <w:tcW w:w="0" w:type="auto"/>
            <w:gridSpan w:val="3"/>
            <w:vAlign w:val="center"/>
            <w:hideMark/>
          </w:tcPr>
          <w:p w14:paraId="60EF2A5A" w14:textId="77777777" w:rsidR="00000000" w:rsidRDefault="00E614A4">
            <w:pPr>
              <w:rPr>
                <w:rFonts w:eastAsia="Times New Roman"/>
                <w:sz w:val="20"/>
                <w:szCs w:val="20"/>
              </w:rPr>
            </w:pPr>
          </w:p>
        </w:tc>
        <w:tc>
          <w:tcPr>
            <w:tcW w:w="0" w:type="auto"/>
            <w:gridSpan w:val="3"/>
            <w:vAlign w:val="center"/>
            <w:hideMark/>
          </w:tcPr>
          <w:p w14:paraId="52389B75" w14:textId="77777777" w:rsidR="00000000" w:rsidRDefault="00E614A4">
            <w:pPr>
              <w:rPr>
                <w:rFonts w:eastAsia="Times New Roman"/>
                <w:sz w:val="20"/>
                <w:szCs w:val="20"/>
              </w:rPr>
            </w:pPr>
          </w:p>
        </w:tc>
        <w:tc>
          <w:tcPr>
            <w:tcW w:w="0" w:type="auto"/>
            <w:gridSpan w:val="3"/>
            <w:vAlign w:val="center"/>
            <w:hideMark/>
          </w:tcPr>
          <w:p w14:paraId="60B0AC65" w14:textId="77777777" w:rsidR="00000000" w:rsidRDefault="00E614A4">
            <w:pPr>
              <w:rPr>
                <w:rFonts w:eastAsia="Times New Roman"/>
                <w:sz w:val="20"/>
                <w:szCs w:val="20"/>
              </w:rPr>
            </w:pPr>
          </w:p>
        </w:tc>
        <w:tc>
          <w:tcPr>
            <w:tcW w:w="0" w:type="auto"/>
            <w:gridSpan w:val="3"/>
            <w:vAlign w:val="center"/>
            <w:hideMark/>
          </w:tcPr>
          <w:p w14:paraId="74D2972C" w14:textId="77777777" w:rsidR="00000000" w:rsidRDefault="00E614A4">
            <w:pPr>
              <w:rPr>
                <w:rFonts w:eastAsia="Times New Roman"/>
                <w:sz w:val="20"/>
                <w:szCs w:val="20"/>
              </w:rPr>
            </w:pPr>
          </w:p>
        </w:tc>
        <w:tc>
          <w:tcPr>
            <w:tcW w:w="0" w:type="auto"/>
            <w:gridSpan w:val="3"/>
            <w:vAlign w:val="center"/>
            <w:hideMark/>
          </w:tcPr>
          <w:p w14:paraId="4DFE762F" w14:textId="77777777" w:rsidR="00000000" w:rsidRDefault="00E614A4">
            <w:pPr>
              <w:rPr>
                <w:rFonts w:eastAsia="Times New Roman"/>
                <w:sz w:val="20"/>
                <w:szCs w:val="20"/>
              </w:rPr>
            </w:pPr>
          </w:p>
        </w:tc>
        <w:tc>
          <w:tcPr>
            <w:tcW w:w="0" w:type="auto"/>
            <w:gridSpan w:val="3"/>
            <w:vAlign w:val="center"/>
            <w:hideMark/>
          </w:tcPr>
          <w:p w14:paraId="3608C503" w14:textId="77777777" w:rsidR="00000000" w:rsidRDefault="00E614A4">
            <w:pPr>
              <w:rPr>
                <w:rFonts w:eastAsia="Times New Roman"/>
                <w:sz w:val="20"/>
                <w:szCs w:val="20"/>
              </w:rPr>
            </w:pPr>
          </w:p>
        </w:tc>
      </w:tr>
      <w:tr w:rsidR="00000000" w14:paraId="52B3446A" w14:textId="77777777">
        <w:trPr>
          <w:divId w:val="1025441864"/>
          <w:jc w:val="center"/>
        </w:trPr>
        <w:tc>
          <w:tcPr>
            <w:tcW w:w="0" w:type="auto"/>
            <w:gridSpan w:val="3"/>
            <w:shd w:val="clear" w:color="auto" w:fill="CCEEFF"/>
            <w:tcMar>
              <w:top w:w="30" w:type="dxa"/>
              <w:left w:w="20" w:type="dxa"/>
              <w:bottom w:w="30" w:type="dxa"/>
              <w:right w:w="20" w:type="dxa"/>
            </w:tcMar>
            <w:hideMark/>
          </w:tcPr>
          <w:p w14:paraId="48E5ED8A" w14:textId="77777777" w:rsidR="00000000" w:rsidRDefault="00E614A4">
            <w:pPr>
              <w:rPr>
                <w:rFonts w:eastAsia="Times New Roman"/>
              </w:rPr>
            </w:pPr>
            <w:r>
              <w:rPr>
                <w:rFonts w:eastAsia="Times New Roman"/>
                <w:color w:val="000000"/>
                <w:sz w:val="18"/>
                <w:szCs w:val="18"/>
              </w:rPr>
              <w:t xml:space="preserve">Net loss </w:t>
            </w:r>
          </w:p>
        </w:tc>
        <w:tc>
          <w:tcPr>
            <w:tcW w:w="0" w:type="auto"/>
            <w:gridSpan w:val="2"/>
            <w:shd w:val="clear" w:color="auto" w:fill="CCEEFF"/>
            <w:tcMar>
              <w:top w:w="30" w:type="dxa"/>
              <w:left w:w="20" w:type="dxa"/>
              <w:bottom w:w="30" w:type="dxa"/>
              <w:right w:w="0" w:type="dxa"/>
            </w:tcMar>
            <w:vAlign w:val="bottom"/>
            <w:hideMark/>
          </w:tcPr>
          <w:p w14:paraId="37D69FD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BF241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7910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E3356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854A7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5EBE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B8CE3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CD16F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7A20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10CB2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4D74E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897E9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C9DF5E" w14:textId="77777777" w:rsidR="00000000" w:rsidRDefault="00E614A4">
            <w:pPr>
              <w:jc w:val="right"/>
              <w:rPr>
                <w:rFonts w:eastAsia="Times New Roman"/>
              </w:rPr>
            </w:pPr>
            <w:r>
              <w:rPr>
                <w:rFonts w:eastAsia="Times New Roman"/>
                <w:color w:val="000000"/>
                <w:sz w:val="18"/>
                <w:szCs w:val="18"/>
              </w:rPr>
              <w:t>(159,268)</w:t>
            </w:r>
          </w:p>
        </w:tc>
        <w:tc>
          <w:tcPr>
            <w:tcW w:w="0" w:type="auto"/>
            <w:shd w:val="clear" w:color="auto" w:fill="CCEEFF"/>
            <w:tcMar>
              <w:top w:w="30" w:type="dxa"/>
              <w:left w:w="0" w:type="dxa"/>
              <w:bottom w:w="30" w:type="dxa"/>
              <w:right w:w="20" w:type="dxa"/>
            </w:tcMar>
            <w:vAlign w:val="bottom"/>
            <w:hideMark/>
          </w:tcPr>
          <w:p w14:paraId="5B8AC65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772A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6A32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4DB60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E1B5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7BB3CB" w14:textId="77777777" w:rsidR="00000000" w:rsidRDefault="00E614A4">
            <w:pPr>
              <w:jc w:val="right"/>
              <w:rPr>
                <w:rFonts w:eastAsia="Times New Roman"/>
              </w:rPr>
            </w:pPr>
            <w:r>
              <w:rPr>
                <w:rFonts w:eastAsia="Times New Roman"/>
                <w:color w:val="000000"/>
                <w:sz w:val="18"/>
                <w:szCs w:val="18"/>
              </w:rPr>
              <w:t>(159,268)</w:t>
            </w:r>
          </w:p>
        </w:tc>
        <w:tc>
          <w:tcPr>
            <w:tcW w:w="0" w:type="auto"/>
            <w:shd w:val="clear" w:color="auto" w:fill="CCEEFF"/>
            <w:tcMar>
              <w:top w:w="30" w:type="dxa"/>
              <w:left w:w="0" w:type="dxa"/>
              <w:bottom w:w="30" w:type="dxa"/>
              <w:right w:w="20" w:type="dxa"/>
            </w:tcMar>
            <w:vAlign w:val="bottom"/>
            <w:hideMark/>
          </w:tcPr>
          <w:p w14:paraId="4BAD4EC2" w14:textId="77777777" w:rsidR="00000000" w:rsidRDefault="00E614A4">
            <w:pPr>
              <w:jc w:val="right"/>
              <w:rPr>
                <w:rFonts w:eastAsia="Times New Roman"/>
              </w:rPr>
            </w:pPr>
          </w:p>
        </w:tc>
      </w:tr>
      <w:tr w:rsidR="00000000" w14:paraId="0630125D"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42546B7A" w14:textId="77777777" w:rsidR="00000000" w:rsidRDefault="00E614A4">
            <w:pPr>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3BAC006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9894D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3982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1276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90567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286E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0DF3B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A4B2B8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21D3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B840F2" w14:textId="77777777" w:rsidR="00000000" w:rsidRDefault="00E614A4">
            <w:pPr>
              <w:jc w:val="right"/>
              <w:rPr>
                <w:rFonts w:eastAsia="Times New Roman"/>
              </w:rPr>
            </w:pPr>
            <w:r>
              <w:rPr>
                <w:rFonts w:eastAsia="Times New Roman"/>
                <w:color w:val="000000"/>
                <w:sz w:val="18"/>
                <w:szCs w:val="18"/>
              </w:rPr>
              <w:t>(4,397)</w:t>
            </w:r>
          </w:p>
        </w:tc>
        <w:tc>
          <w:tcPr>
            <w:tcW w:w="0" w:type="auto"/>
            <w:shd w:val="clear" w:color="auto" w:fill="FFFFFF"/>
            <w:tcMar>
              <w:top w:w="30" w:type="dxa"/>
              <w:left w:w="0" w:type="dxa"/>
              <w:bottom w:w="30" w:type="dxa"/>
              <w:right w:w="20" w:type="dxa"/>
            </w:tcMar>
            <w:vAlign w:val="bottom"/>
            <w:hideMark/>
          </w:tcPr>
          <w:p w14:paraId="12A0359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4D79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402D2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1169E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8A99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2F89F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CCCB6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4263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5B69EB" w14:textId="77777777" w:rsidR="00000000" w:rsidRDefault="00E614A4">
            <w:pPr>
              <w:jc w:val="right"/>
              <w:rPr>
                <w:rFonts w:eastAsia="Times New Roman"/>
              </w:rPr>
            </w:pPr>
            <w:r>
              <w:rPr>
                <w:rFonts w:eastAsia="Times New Roman"/>
                <w:color w:val="000000"/>
                <w:sz w:val="18"/>
                <w:szCs w:val="18"/>
              </w:rPr>
              <w:t>(4,397)</w:t>
            </w:r>
          </w:p>
        </w:tc>
        <w:tc>
          <w:tcPr>
            <w:tcW w:w="0" w:type="auto"/>
            <w:shd w:val="clear" w:color="auto" w:fill="FFFFFF"/>
            <w:tcMar>
              <w:top w:w="30" w:type="dxa"/>
              <w:left w:w="0" w:type="dxa"/>
              <w:bottom w:w="30" w:type="dxa"/>
              <w:right w:w="20" w:type="dxa"/>
            </w:tcMar>
            <w:vAlign w:val="bottom"/>
            <w:hideMark/>
          </w:tcPr>
          <w:p w14:paraId="14FB426D" w14:textId="77777777" w:rsidR="00000000" w:rsidRDefault="00E614A4">
            <w:pPr>
              <w:jc w:val="right"/>
              <w:rPr>
                <w:rFonts w:eastAsia="Times New Roman"/>
              </w:rPr>
            </w:pPr>
          </w:p>
        </w:tc>
      </w:tr>
      <w:tr w:rsidR="00000000" w14:paraId="05CAE626"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7D3D2730" w14:textId="77777777" w:rsidR="00000000" w:rsidRDefault="00E614A4">
            <w:pPr>
              <w:rPr>
                <w:rFonts w:eastAsia="Times New Roman"/>
              </w:rPr>
            </w:pPr>
            <w:r>
              <w:rPr>
                <w:rFonts w:eastAsia="Times New Roman"/>
                <w:color w:val="000000"/>
                <w:sz w:val="18"/>
                <w:szCs w:val="18"/>
              </w:rPr>
              <w:t>Subscription Receivable</w:t>
            </w:r>
          </w:p>
        </w:tc>
        <w:tc>
          <w:tcPr>
            <w:tcW w:w="0" w:type="auto"/>
            <w:gridSpan w:val="2"/>
            <w:shd w:val="clear" w:color="auto" w:fill="CCEEFF"/>
            <w:tcMar>
              <w:top w:w="30" w:type="dxa"/>
              <w:left w:w="20" w:type="dxa"/>
              <w:bottom w:w="30" w:type="dxa"/>
              <w:right w:w="0" w:type="dxa"/>
            </w:tcMar>
            <w:vAlign w:val="bottom"/>
            <w:hideMark/>
          </w:tcPr>
          <w:p w14:paraId="2E155F7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FD0C6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1F55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BE7C6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B734E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4CE8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2386ED" w14:textId="77777777" w:rsidR="00000000" w:rsidRDefault="00E614A4">
            <w:pPr>
              <w:jc w:val="right"/>
              <w:rPr>
                <w:rFonts w:eastAsia="Times New Roman"/>
              </w:rPr>
            </w:pPr>
            <w:r>
              <w:rPr>
                <w:rFonts w:eastAsia="Times New Roman"/>
                <w:color w:val="000000"/>
                <w:sz w:val="18"/>
                <w:szCs w:val="18"/>
              </w:rPr>
              <w:t>10,254 </w:t>
            </w:r>
          </w:p>
        </w:tc>
        <w:tc>
          <w:tcPr>
            <w:tcW w:w="0" w:type="auto"/>
            <w:shd w:val="clear" w:color="auto" w:fill="CCEEFF"/>
            <w:tcMar>
              <w:top w:w="30" w:type="dxa"/>
              <w:left w:w="0" w:type="dxa"/>
              <w:bottom w:w="30" w:type="dxa"/>
              <w:right w:w="20" w:type="dxa"/>
            </w:tcMar>
            <w:vAlign w:val="bottom"/>
            <w:hideMark/>
          </w:tcPr>
          <w:p w14:paraId="71FC1E4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3082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FD739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4898E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F04C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08045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9C401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3D08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73B5E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15C66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9C17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31220A" w14:textId="77777777" w:rsidR="00000000" w:rsidRDefault="00E614A4">
            <w:pPr>
              <w:jc w:val="right"/>
              <w:rPr>
                <w:rFonts w:eastAsia="Times New Roman"/>
              </w:rPr>
            </w:pPr>
            <w:r>
              <w:rPr>
                <w:rFonts w:eastAsia="Times New Roman"/>
                <w:color w:val="000000"/>
                <w:sz w:val="18"/>
                <w:szCs w:val="18"/>
              </w:rPr>
              <w:t>10,254 </w:t>
            </w:r>
          </w:p>
        </w:tc>
        <w:tc>
          <w:tcPr>
            <w:tcW w:w="0" w:type="auto"/>
            <w:shd w:val="clear" w:color="auto" w:fill="CCEEFF"/>
            <w:tcMar>
              <w:top w:w="30" w:type="dxa"/>
              <w:left w:w="0" w:type="dxa"/>
              <w:bottom w:w="30" w:type="dxa"/>
              <w:right w:w="20" w:type="dxa"/>
            </w:tcMar>
            <w:vAlign w:val="bottom"/>
            <w:hideMark/>
          </w:tcPr>
          <w:p w14:paraId="55F3D1F7" w14:textId="77777777" w:rsidR="00000000" w:rsidRDefault="00E614A4">
            <w:pPr>
              <w:jc w:val="right"/>
              <w:rPr>
                <w:rFonts w:eastAsia="Times New Roman"/>
              </w:rPr>
            </w:pPr>
          </w:p>
        </w:tc>
      </w:tr>
      <w:tr w:rsidR="00000000" w14:paraId="5D0B1E53" w14:textId="77777777">
        <w:trPr>
          <w:divId w:val="1025441864"/>
          <w:jc w:val="center"/>
        </w:trPr>
        <w:tc>
          <w:tcPr>
            <w:tcW w:w="0" w:type="auto"/>
            <w:gridSpan w:val="3"/>
            <w:shd w:val="clear" w:color="auto" w:fill="FFFFFF"/>
            <w:tcMar>
              <w:top w:w="30" w:type="dxa"/>
              <w:left w:w="20" w:type="dxa"/>
              <w:bottom w:w="30" w:type="dxa"/>
              <w:right w:w="20" w:type="dxa"/>
            </w:tcMar>
            <w:hideMark/>
          </w:tcPr>
          <w:p w14:paraId="53EBE51E" w14:textId="77777777" w:rsidR="00000000" w:rsidRDefault="00E614A4">
            <w:pPr>
              <w:rPr>
                <w:rFonts w:eastAsia="Times New Roman"/>
              </w:rPr>
            </w:pPr>
            <w:r>
              <w:rPr>
                <w:rFonts w:eastAsia="Times New Roman"/>
                <w:color w:val="000000"/>
                <w:sz w:val="18"/>
                <w:szCs w:val="18"/>
              </w:rPr>
              <w:t>Common Stock warrants issued</w:t>
            </w:r>
          </w:p>
        </w:tc>
        <w:tc>
          <w:tcPr>
            <w:tcW w:w="0" w:type="auto"/>
            <w:gridSpan w:val="2"/>
            <w:shd w:val="clear" w:color="auto" w:fill="FFFFFF"/>
            <w:tcMar>
              <w:top w:w="30" w:type="dxa"/>
              <w:left w:w="20" w:type="dxa"/>
              <w:bottom w:w="30" w:type="dxa"/>
              <w:right w:w="0" w:type="dxa"/>
            </w:tcMar>
            <w:vAlign w:val="bottom"/>
            <w:hideMark/>
          </w:tcPr>
          <w:p w14:paraId="1BC19B4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6E8B1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A05A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8E3C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E8893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4D71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DBFCA" w14:textId="77777777" w:rsidR="00000000" w:rsidRDefault="00E614A4">
            <w:pPr>
              <w:jc w:val="right"/>
              <w:rPr>
                <w:rFonts w:eastAsia="Times New Roman"/>
              </w:rPr>
            </w:pPr>
            <w:r>
              <w:rPr>
                <w:rFonts w:eastAsia="Times New Roman"/>
                <w:color w:val="000000"/>
                <w:sz w:val="18"/>
                <w:szCs w:val="18"/>
              </w:rPr>
              <w:t>5,545 </w:t>
            </w:r>
          </w:p>
        </w:tc>
        <w:tc>
          <w:tcPr>
            <w:tcW w:w="0" w:type="auto"/>
            <w:shd w:val="clear" w:color="auto" w:fill="FFFFFF"/>
            <w:tcMar>
              <w:top w:w="30" w:type="dxa"/>
              <w:left w:w="0" w:type="dxa"/>
              <w:bottom w:w="30" w:type="dxa"/>
              <w:right w:w="20" w:type="dxa"/>
            </w:tcMar>
            <w:vAlign w:val="bottom"/>
            <w:hideMark/>
          </w:tcPr>
          <w:p w14:paraId="7D53881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7CC4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85241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C6BE8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82D0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33C27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B89BD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0231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8EC68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620F9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D04B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AA0FA2" w14:textId="77777777" w:rsidR="00000000" w:rsidRDefault="00E614A4">
            <w:pPr>
              <w:jc w:val="right"/>
              <w:rPr>
                <w:rFonts w:eastAsia="Times New Roman"/>
              </w:rPr>
            </w:pPr>
            <w:r>
              <w:rPr>
                <w:rFonts w:eastAsia="Times New Roman"/>
                <w:color w:val="000000"/>
                <w:sz w:val="18"/>
                <w:szCs w:val="18"/>
              </w:rPr>
              <w:t>5,545 </w:t>
            </w:r>
          </w:p>
        </w:tc>
        <w:tc>
          <w:tcPr>
            <w:tcW w:w="0" w:type="auto"/>
            <w:shd w:val="clear" w:color="auto" w:fill="FFFFFF"/>
            <w:tcMar>
              <w:top w:w="30" w:type="dxa"/>
              <w:left w:w="0" w:type="dxa"/>
              <w:bottom w:w="30" w:type="dxa"/>
              <w:right w:w="20" w:type="dxa"/>
            </w:tcMar>
            <w:vAlign w:val="bottom"/>
            <w:hideMark/>
          </w:tcPr>
          <w:p w14:paraId="42269411" w14:textId="77777777" w:rsidR="00000000" w:rsidRDefault="00E614A4">
            <w:pPr>
              <w:jc w:val="right"/>
              <w:rPr>
                <w:rFonts w:eastAsia="Times New Roman"/>
              </w:rPr>
            </w:pPr>
          </w:p>
        </w:tc>
      </w:tr>
      <w:tr w:rsidR="00000000" w14:paraId="750D401B" w14:textId="77777777">
        <w:trPr>
          <w:divId w:val="1025441864"/>
          <w:jc w:val="center"/>
        </w:trPr>
        <w:tc>
          <w:tcPr>
            <w:tcW w:w="0" w:type="auto"/>
            <w:gridSpan w:val="3"/>
            <w:vAlign w:val="center"/>
            <w:hideMark/>
          </w:tcPr>
          <w:p w14:paraId="0E97414E" w14:textId="77777777" w:rsidR="00000000" w:rsidRDefault="00E614A4">
            <w:pPr>
              <w:jc w:val="right"/>
              <w:rPr>
                <w:rFonts w:eastAsia="Times New Roman"/>
                <w:sz w:val="20"/>
                <w:szCs w:val="20"/>
              </w:rPr>
            </w:pPr>
          </w:p>
        </w:tc>
        <w:tc>
          <w:tcPr>
            <w:tcW w:w="0" w:type="auto"/>
            <w:gridSpan w:val="3"/>
            <w:vAlign w:val="center"/>
            <w:hideMark/>
          </w:tcPr>
          <w:p w14:paraId="5BB0F712" w14:textId="77777777" w:rsidR="00000000" w:rsidRDefault="00E614A4">
            <w:pPr>
              <w:rPr>
                <w:rFonts w:eastAsia="Times New Roman"/>
                <w:sz w:val="20"/>
                <w:szCs w:val="20"/>
              </w:rPr>
            </w:pPr>
          </w:p>
        </w:tc>
        <w:tc>
          <w:tcPr>
            <w:tcW w:w="0" w:type="auto"/>
            <w:gridSpan w:val="3"/>
            <w:vAlign w:val="center"/>
            <w:hideMark/>
          </w:tcPr>
          <w:p w14:paraId="2F034E0C" w14:textId="77777777" w:rsidR="00000000" w:rsidRDefault="00E614A4">
            <w:pPr>
              <w:rPr>
                <w:rFonts w:eastAsia="Times New Roman"/>
                <w:sz w:val="20"/>
                <w:szCs w:val="20"/>
              </w:rPr>
            </w:pPr>
          </w:p>
        </w:tc>
        <w:tc>
          <w:tcPr>
            <w:tcW w:w="0" w:type="auto"/>
            <w:gridSpan w:val="3"/>
            <w:vAlign w:val="center"/>
            <w:hideMark/>
          </w:tcPr>
          <w:p w14:paraId="2CD5FA67" w14:textId="77777777" w:rsidR="00000000" w:rsidRDefault="00E614A4">
            <w:pPr>
              <w:rPr>
                <w:rFonts w:eastAsia="Times New Roman"/>
                <w:sz w:val="20"/>
                <w:szCs w:val="20"/>
              </w:rPr>
            </w:pPr>
          </w:p>
        </w:tc>
        <w:tc>
          <w:tcPr>
            <w:tcW w:w="0" w:type="auto"/>
            <w:gridSpan w:val="3"/>
            <w:vAlign w:val="center"/>
            <w:hideMark/>
          </w:tcPr>
          <w:p w14:paraId="27F4054E" w14:textId="77777777" w:rsidR="00000000" w:rsidRDefault="00E614A4">
            <w:pPr>
              <w:rPr>
                <w:rFonts w:eastAsia="Times New Roman"/>
                <w:sz w:val="20"/>
                <w:szCs w:val="20"/>
              </w:rPr>
            </w:pPr>
          </w:p>
        </w:tc>
        <w:tc>
          <w:tcPr>
            <w:tcW w:w="0" w:type="auto"/>
            <w:gridSpan w:val="3"/>
            <w:vAlign w:val="center"/>
            <w:hideMark/>
          </w:tcPr>
          <w:p w14:paraId="577C4A8A" w14:textId="77777777" w:rsidR="00000000" w:rsidRDefault="00E614A4">
            <w:pPr>
              <w:rPr>
                <w:rFonts w:eastAsia="Times New Roman"/>
                <w:sz w:val="20"/>
                <w:szCs w:val="20"/>
              </w:rPr>
            </w:pPr>
          </w:p>
        </w:tc>
        <w:tc>
          <w:tcPr>
            <w:tcW w:w="0" w:type="auto"/>
            <w:gridSpan w:val="3"/>
            <w:vAlign w:val="center"/>
            <w:hideMark/>
          </w:tcPr>
          <w:p w14:paraId="56447BBB" w14:textId="77777777" w:rsidR="00000000" w:rsidRDefault="00E614A4">
            <w:pPr>
              <w:rPr>
                <w:rFonts w:eastAsia="Times New Roman"/>
                <w:sz w:val="20"/>
                <w:szCs w:val="20"/>
              </w:rPr>
            </w:pPr>
          </w:p>
        </w:tc>
        <w:tc>
          <w:tcPr>
            <w:tcW w:w="0" w:type="auto"/>
            <w:gridSpan w:val="3"/>
            <w:vAlign w:val="center"/>
            <w:hideMark/>
          </w:tcPr>
          <w:p w14:paraId="1C4B887B" w14:textId="77777777" w:rsidR="00000000" w:rsidRDefault="00E614A4">
            <w:pPr>
              <w:rPr>
                <w:rFonts w:eastAsia="Times New Roman"/>
                <w:sz w:val="20"/>
                <w:szCs w:val="20"/>
              </w:rPr>
            </w:pPr>
          </w:p>
        </w:tc>
        <w:tc>
          <w:tcPr>
            <w:tcW w:w="0" w:type="auto"/>
            <w:gridSpan w:val="3"/>
            <w:vAlign w:val="center"/>
            <w:hideMark/>
          </w:tcPr>
          <w:p w14:paraId="18BF9E78" w14:textId="77777777" w:rsidR="00000000" w:rsidRDefault="00E614A4">
            <w:pPr>
              <w:rPr>
                <w:rFonts w:eastAsia="Times New Roman"/>
                <w:sz w:val="20"/>
                <w:szCs w:val="20"/>
              </w:rPr>
            </w:pPr>
          </w:p>
        </w:tc>
        <w:tc>
          <w:tcPr>
            <w:tcW w:w="0" w:type="auto"/>
            <w:gridSpan w:val="3"/>
            <w:vAlign w:val="center"/>
            <w:hideMark/>
          </w:tcPr>
          <w:p w14:paraId="0A2F1586" w14:textId="77777777" w:rsidR="00000000" w:rsidRDefault="00E614A4">
            <w:pPr>
              <w:rPr>
                <w:rFonts w:eastAsia="Times New Roman"/>
                <w:sz w:val="20"/>
                <w:szCs w:val="20"/>
              </w:rPr>
            </w:pPr>
          </w:p>
        </w:tc>
        <w:tc>
          <w:tcPr>
            <w:tcW w:w="0" w:type="auto"/>
            <w:gridSpan w:val="3"/>
            <w:vAlign w:val="center"/>
            <w:hideMark/>
          </w:tcPr>
          <w:p w14:paraId="4B59646F" w14:textId="77777777" w:rsidR="00000000" w:rsidRDefault="00E614A4">
            <w:pPr>
              <w:rPr>
                <w:rFonts w:eastAsia="Times New Roman"/>
                <w:sz w:val="20"/>
                <w:szCs w:val="20"/>
              </w:rPr>
            </w:pPr>
          </w:p>
        </w:tc>
        <w:tc>
          <w:tcPr>
            <w:tcW w:w="0" w:type="auto"/>
            <w:gridSpan w:val="3"/>
            <w:vAlign w:val="center"/>
            <w:hideMark/>
          </w:tcPr>
          <w:p w14:paraId="3F6EDD5A" w14:textId="77777777" w:rsidR="00000000" w:rsidRDefault="00E614A4">
            <w:pPr>
              <w:rPr>
                <w:rFonts w:eastAsia="Times New Roman"/>
                <w:sz w:val="20"/>
                <w:szCs w:val="20"/>
              </w:rPr>
            </w:pPr>
          </w:p>
        </w:tc>
        <w:tc>
          <w:tcPr>
            <w:tcW w:w="0" w:type="auto"/>
            <w:gridSpan w:val="3"/>
            <w:vAlign w:val="center"/>
            <w:hideMark/>
          </w:tcPr>
          <w:p w14:paraId="1B2E962C" w14:textId="77777777" w:rsidR="00000000" w:rsidRDefault="00E614A4">
            <w:pPr>
              <w:rPr>
                <w:rFonts w:eastAsia="Times New Roman"/>
                <w:sz w:val="20"/>
                <w:szCs w:val="20"/>
              </w:rPr>
            </w:pPr>
          </w:p>
        </w:tc>
        <w:tc>
          <w:tcPr>
            <w:tcW w:w="0" w:type="auto"/>
            <w:gridSpan w:val="3"/>
            <w:vAlign w:val="center"/>
            <w:hideMark/>
          </w:tcPr>
          <w:p w14:paraId="6543CC9B" w14:textId="77777777" w:rsidR="00000000" w:rsidRDefault="00E614A4">
            <w:pPr>
              <w:rPr>
                <w:rFonts w:eastAsia="Times New Roman"/>
                <w:sz w:val="20"/>
                <w:szCs w:val="20"/>
              </w:rPr>
            </w:pPr>
          </w:p>
        </w:tc>
      </w:tr>
      <w:tr w:rsidR="00000000" w14:paraId="5000B6A3" w14:textId="77777777">
        <w:trPr>
          <w:divId w:val="1025441864"/>
          <w:jc w:val="center"/>
        </w:trPr>
        <w:tc>
          <w:tcPr>
            <w:tcW w:w="0" w:type="auto"/>
            <w:gridSpan w:val="3"/>
            <w:shd w:val="clear" w:color="auto" w:fill="CCEEFF"/>
            <w:tcMar>
              <w:top w:w="30" w:type="dxa"/>
              <w:left w:w="20" w:type="dxa"/>
              <w:bottom w:w="30" w:type="dxa"/>
              <w:right w:w="20" w:type="dxa"/>
            </w:tcMar>
            <w:hideMark/>
          </w:tcPr>
          <w:p w14:paraId="186137EF" w14:textId="77777777" w:rsidR="00000000" w:rsidRDefault="00E614A4">
            <w:pPr>
              <w:rPr>
                <w:rFonts w:eastAsia="Times New Roman"/>
              </w:rPr>
            </w:pPr>
            <w:r>
              <w:rPr>
                <w:rFonts w:eastAsia="Times New Roman"/>
                <w:color w:val="000000"/>
                <w:sz w:val="18"/>
                <w:szCs w:val="18"/>
              </w:rPr>
              <w:t>Exercise of Common Stock options, net</w:t>
            </w:r>
          </w:p>
        </w:tc>
        <w:tc>
          <w:tcPr>
            <w:tcW w:w="0" w:type="auto"/>
            <w:gridSpan w:val="2"/>
            <w:shd w:val="clear" w:color="auto" w:fill="CCEEFF"/>
            <w:tcMar>
              <w:top w:w="30" w:type="dxa"/>
              <w:left w:w="20" w:type="dxa"/>
              <w:bottom w:w="30" w:type="dxa"/>
              <w:right w:w="0" w:type="dxa"/>
            </w:tcMar>
            <w:vAlign w:val="bottom"/>
            <w:hideMark/>
          </w:tcPr>
          <w:p w14:paraId="64AB837E" w14:textId="77777777" w:rsidR="00000000" w:rsidRDefault="00E614A4">
            <w:pPr>
              <w:jc w:val="right"/>
              <w:rPr>
                <w:rFonts w:eastAsia="Times New Roman"/>
              </w:rPr>
            </w:pPr>
            <w:r>
              <w:rPr>
                <w:rFonts w:eastAsia="Times New Roman"/>
                <w:color w:val="000000"/>
                <w:sz w:val="18"/>
                <w:szCs w:val="18"/>
              </w:rPr>
              <w:t>222,229 </w:t>
            </w:r>
          </w:p>
        </w:tc>
        <w:tc>
          <w:tcPr>
            <w:tcW w:w="0" w:type="auto"/>
            <w:shd w:val="clear" w:color="auto" w:fill="CCEEFF"/>
            <w:tcMar>
              <w:top w:w="30" w:type="dxa"/>
              <w:left w:w="0" w:type="dxa"/>
              <w:bottom w:w="30" w:type="dxa"/>
              <w:right w:w="20" w:type="dxa"/>
            </w:tcMar>
            <w:vAlign w:val="bottom"/>
            <w:hideMark/>
          </w:tcPr>
          <w:p w14:paraId="22E0776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1833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236B7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DE543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1FE0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8C0F6A" w14:textId="77777777" w:rsidR="00000000" w:rsidRDefault="00E614A4">
            <w:pPr>
              <w:jc w:val="right"/>
              <w:rPr>
                <w:rFonts w:eastAsia="Times New Roman"/>
              </w:rPr>
            </w:pPr>
            <w:r>
              <w:rPr>
                <w:rFonts w:eastAsia="Times New Roman"/>
                <w:color w:val="000000"/>
                <w:sz w:val="18"/>
                <w:szCs w:val="18"/>
              </w:rPr>
              <w:t>2,855 </w:t>
            </w:r>
          </w:p>
        </w:tc>
        <w:tc>
          <w:tcPr>
            <w:tcW w:w="0" w:type="auto"/>
            <w:shd w:val="clear" w:color="auto" w:fill="CCEEFF"/>
            <w:tcMar>
              <w:top w:w="30" w:type="dxa"/>
              <w:left w:w="0" w:type="dxa"/>
              <w:bottom w:w="30" w:type="dxa"/>
              <w:right w:w="20" w:type="dxa"/>
            </w:tcMar>
            <w:vAlign w:val="bottom"/>
            <w:hideMark/>
          </w:tcPr>
          <w:p w14:paraId="6F38357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8F06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DB59C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1060F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4C19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6494B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AA849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DEA6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063ED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A4CA1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AB3D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02423B" w14:textId="77777777" w:rsidR="00000000" w:rsidRDefault="00E614A4">
            <w:pPr>
              <w:jc w:val="right"/>
              <w:rPr>
                <w:rFonts w:eastAsia="Times New Roman"/>
              </w:rPr>
            </w:pPr>
            <w:r>
              <w:rPr>
                <w:rFonts w:eastAsia="Times New Roman"/>
                <w:color w:val="000000"/>
                <w:sz w:val="18"/>
                <w:szCs w:val="18"/>
              </w:rPr>
              <w:t>2,855 </w:t>
            </w:r>
          </w:p>
        </w:tc>
        <w:tc>
          <w:tcPr>
            <w:tcW w:w="0" w:type="auto"/>
            <w:shd w:val="clear" w:color="auto" w:fill="CCEEFF"/>
            <w:tcMar>
              <w:top w:w="30" w:type="dxa"/>
              <w:left w:w="0" w:type="dxa"/>
              <w:bottom w:w="30" w:type="dxa"/>
              <w:right w:w="20" w:type="dxa"/>
            </w:tcMar>
            <w:vAlign w:val="bottom"/>
            <w:hideMark/>
          </w:tcPr>
          <w:p w14:paraId="5DB3A653" w14:textId="77777777" w:rsidR="00000000" w:rsidRDefault="00E614A4">
            <w:pPr>
              <w:jc w:val="right"/>
              <w:rPr>
                <w:rFonts w:eastAsia="Times New Roman"/>
              </w:rPr>
            </w:pPr>
          </w:p>
        </w:tc>
      </w:tr>
      <w:tr w:rsidR="00000000" w14:paraId="08A83D9D" w14:textId="77777777">
        <w:trPr>
          <w:divId w:val="1025441864"/>
          <w:jc w:val="center"/>
        </w:trPr>
        <w:tc>
          <w:tcPr>
            <w:tcW w:w="0" w:type="auto"/>
            <w:gridSpan w:val="3"/>
            <w:vAlign w:val="center"/>
            <w:hideMark/>
          </w:tcPr>
          <w:p w14:paraId="466B680D" w14:textId="77777777" w:rsidR="00000000" w:rsidRDefault="00E614A4">
            <w:pPr>
              <w:jc w:val="right"/>
              <w:rPr>
                <w:rFonts w:eastAsia="Times New Roman"/>
                <w:sz w:val="20"/>
                <w:szCs w:val="20"/>
              </w:rPr>
            </w:pPr>
          </w:p>
        </w:tc>
        <w:tc>
          <w:tcPr>
            <w:tcW w:w="0" w:type="auto"/>
            <w:gridSpan w:val="3"/>
            <w:vAlign w:val="center"/>
            <w:hideMark/>
          </w:tcPr>
          <w:p w14:paraId="21839696" w14:textId="77777777" w:rsidR="00000000" w:rsidRDefault="00E614A4">
            <w:pPr>
              <w:rPr>
                <w:rFonts w:eastAsia="Times New Roman"/>
                <w:sz w:val="20"/>
                <w:szCs w:val="20"/>
              </w:rPr>
            </w:pPr>
          </w:p>
        </w:tc>
        <w:tc>
          <w:tcPr>
            <w:tcW w:w="0" w:type="auto"/>
            <w:gridSpan w:val="3"/>
            <w:vAlign w:val="center"/>
            <w:hideMark/>
          </w:tcPr>
          <w:p w14:paraId="5034C67E" w14:textId="77777777" w:rsidR="00000000" w:rsidRDefault="00E614A4">
            <w:pPr>
              <w:rPr>
                <w:rFonts w:eastAsia="Times New Roman"/>
                <w:sz w:val="20"/>
                <w:szCs w:val="20"/>
              </w:rPr>
            </w:pPr>
          </w:p>
        </w:tc>
        <w:tc>
          <w:tcPr>
            <w:tcW w:w="0" w:type="auto"/>
            <w:gridSpan w:val="3"/>
            <w:vAlign w:val="center"/>
            <w:hideMark/>
          </w:tcPr>
          <w:p w14:paraId="13AFACFD" w14:textId="77777777" w:rsidR="00000000" w:rsidRDefault="00E614A4">
            <w:pPr>
              <w:rPr>
                <w:rFonts w:eastAsia="Times New Roman"/>
                <w:sz w:val="20"/>
                <w:szCs w:val="20"/>
              </w:rPr>
            </w:pPr>
          </w:p>
        </w:tc>
        <w:tc>
          <w:tcPr>
            <w:tcW w:w="0" w:type="auto"/>
            <w:gridSpan w:val="3"/>
            <w:vAlign w:val="center"/>
            <w:hideMark/>
          </w:tcPr>
          <w:p w14:paraId="558C17E3" w14:textId="77777777" w:rsidR="00000000" w:rsidRDefault="00E614A4">
            <w:pPr>
              <w:rPr>
                <w:rFonts w:eastAsia="Times New Roman"/>
                <w:sz w:val="20"/>
                <w:szCs w:val="20"/>
              </w:rPr>
            </w:pPr>
          </w:p>
        </w:tc>
        <w:tc>
          <w:tcPr>
            <w:tcW w:w="0" w:type="auto"/>
            <w:gridSpan w:val="3"/>
            <w:vAlign w:val="center"/>
            <w:hideMark/>
          </w:tcPr>
          <w:p w14:paraId="7A7D3F38" w14:textId="77777777" w:rsidR="00000000" w:rsidRDefault="00E614A4">
            <w:pPr>
              <w:rPr>
                <w:rFonts w:eastAsia="Times New Roman"/>
                <w:sz w:val="20"/>
                <w:szCs w:val="20"/>
              </w:rPr>
            </w:pPr>
          </w:p>
        </w:tc>
        <w:tc>
          <w:tcPr>
            <w:tcW w:w="0" w:type="auto"/>
            <w:gridSpan w:val="3"/>
            <w:vAlign w:val="center"/>
            <w:hideMark/>
          </w:tcPr>
          <w:p w14:paraId="31EF4CCB" w14:textId="77777777" w:rsidR="00000000" w:rsidRDefault="00E614A4">
            <w:pPr>
              <w:rPr>
                <w:rFonts w:eastAsia="Times New Roman"/>
                <w:sz w:val="20"/>
                <w:szCs w:val="20"/>
              </w:rPr>
            </w:pPr>
          </w:p>
        </w:tc>
        <w:tc>
          <w:tcPr>
            <w:tcW w:w="0" w:type="auto"/>
            <w:gridSpan w:val="3"/>
            <w:vAlign w:val="center"/>
            <w:hideMark/>
          </w:tcPr>
          <w:p w14:paraId="4461CE8E" w14:textId="77777777" w:rsidR="00000000" w:rsidRDefault="00E614A4">
            <w:pPr>
              <w:rPr>
                <w:rFonts w:eastAsia="Times New Roman"/>
                <w:sz w:val="20"/>
                <w:szCs w:val="20"/>
              </w:rPr>
            </w:pPr>
          </w:p>
        </w:tc>
        <w:tc>
          <w:tcPr>
            <w:tcW w:w="0" w:type="auto"/>
            <w:gridSpan w:val="3"/>
            <w:vAlign w:val="center"/>
            <w:hideMark/>
          </w:tcPr>
          <w:p w14:paraId="773DEA02" w14:textId="77777777" w:rsidR="00000000" w:rsidRDefault="00E614A4">
            <w:pPr>
              <w:rPr>
                <w:rFonts w:eastAsia="Times New Roman"/>
                <w:sz w:val="20"/>
                <w:szCs w:val="20"/>
              </w:rPr>
            </w:pPr>
          </w:p>
        </w:tc>
        <w:tc>
          <w:tcPr>
            <w:tcW w:w="0" w:type="auto"/>
            <w:gridSpan w:val="3"/>
            <w:vAlign w:val="center"/>
            <w:hideMark/>
          </w:tcPr>
          <w:p w14:paraId="1D47596C" w14:textId="77777777" w:rsidR="00000000" w:rsidRDefault="00E614A4">
            <w:pPr>
              <w:rPr>
                <w:rFonts w:eastAsia="Times New Roman"/>
                <w:sz w:val="20"/>
                <w:szCs w:val="20"/>
              </w:rPr>
            </w:pPr>
          </w:p>
        </w:tc>
        <w:tc>
          <w:tcPr>
            <w:tcW w:w="0" w:type="auto"/>
            <w:gridSpan w:val="3"/>
            <w:vAlign w:val="center"/>
            <w:hideMark/>
          </w:tcPr>
          <w:p w14:paraId="553E401A" w14:textId="77777777" w:rsidR="00000000" w:rsidRDefault="00E614A4">
            <w:pPr>
              <w:rPr>
                <w:rFonts w:eastAsia="Times New Roman"/>
                <w:sz w:val="20"/>
                <w:szCs w:val="20"/>
              </w:rPr>
            </w:pPr>
          </w:p>
        </w:tc>
        <w:tc>
          <w:tcPr>
            <w:tcW w:w="0" w:type="auto"/>
            <w:gridSpan w:val="3"/>
            <w:vAlign w:val="center"/>
            <w:hideMark/>
          </w:tcPr>
          <w:p w14:paraId="502E044E" w14:textId="77777777" w:rsidR="00000000" w:rsidRDefault="00E614A4">
            <w:pPr>
              <w:rPr>
                <w:rFonts w:eastAsia="Times New Roman"/>
                <w:sz w:val="20"/>
                <w:szCs w:val="20"/>
              </w:rPr>
            </w:pPr>
          </w:p>
        </w:tc>
        <w:tc>
          <w:tcPr>
            <w:tcW w:w="0" w:type="auto"/>
            <w:gridSpan w:val="3"/>
            <w:vAlign w:val="center"/>
            <w:hideMark/>
          </w:tcPr>
          <w:p w14:paraId="1067FC88" w14:textId="77777777" w:rsidR="00000000" w:rsidRDefault="00E614A4">
            <w:pPr>
              <w:rPr>
                <w:rFonts w:eastAsia="Times New Roman"/>
                <w:sz w:val="20"/>
                <w:szCs w:val="20"/>
              </w:rPr>
            </w:pPr>
          </w:p>
        </w:tc>
        <w:tc>
          <w:tcPr>
            <w:tcW w:w="0" w:type="auto"/>
            <w:gridSpan w:val="3"/>
            <w:vAlign w:val="center"/>
            <w:hideMark/>
          </w:tcPr>
          <w:p w14:paraId="004F98DE" w14:textId="77777777" w:rsidR="00000000" w:rsidRDefault="00E614A4">
            <w:pPr>
              <w:rPr>
                <w:rFonts w:eastAsia="Times New Roman"/>
                <w:sz w:val="20"/>
                <w:szCs w:val="20"/>
              </w:rPr>
            </w:pPr>
          </w:p>
        </w:tc>
      </w:tr>
      <w:tr w:rsidR="00000000" w14:paraId="294126B2" w14:textId="77777777">
        <w:trPr>
          <w:divId w:val="1025441864"/>
          <w:jc w:val="center"/>
        </w:trPr>
        <w:tc>
          <w:tcPr>
            <w:tcW w:w="0" w:type="auto"/>
            <w:gridSpan w:val="3"/>
            <w:vAlign w:val="center"/>
            <w:hideMark/>
          </w:tcPr>
          <w:p w14:paraId="39507605" w14:textId="77777777" w:rsidR="00000000" w:rsidRDefault="00E614A4">
            <w:pPr>
              <w:rPr>
                <w:rFonts w:eastAsia="Times New Roman"/>
                <w:sz w:val="20"/>
                <w:szCs w:val="20"/>
              </w:rPr>
            </w:pPr>
          </w:p>
        </w:tc>
        <w:tc>
          <w:tcPr>
            <w:tcW w:w="0" w:type="auto"/>
            <w:gridSpan w:val="3"/>
            <w:vAlign w:val="center"/>
            <w:hideMark/>
          </w:tcPr>
          <w:p w14:paraId="5ECC78B2" w14:textId="77777777" w:rsidR="00000000" w:rsidRDefault="00E614A4">
            <w:pPr>
              <w:rPr>
                <w:rFonts w:eastAsia="Times New Roman"/>
                <w:sz w:val="20"/>
                <w:szCs w:val="20"/>
              </w:rPr>
            </w:pPr>
          </w:p>
        </w:tc>
        <w:tc>
          <w:tcPr>
            <w:tcW w:w="0" w:type="auto"/>
            <w:gridSpan w:val="3"/>
            <w:vAlign w:val="center"/>
            <w:hideMark/>
          </w:tcPr>
          <w:p w14:paraId="653F1BE1" w14:textId="77777777" w:rsidR="00000000" w:rsidRDefault="00E614A4">
            <w:pPr>
              <w:rPr>
                <w:rFonts w:eastAsia="Times New Roman"/>
                <w:sz w:val="20"/>
                <w:szCs w:val="20"/>
              </w:rPr>
            </w:pPr>
          </w:p>
        </w:tc>
        <w:tc>
          <w:tcPr>
            <w:tcW w:w="0" w:type="auto"/>
            <w:gridSpan w:val="3"/>
            <w:vAlign w:val="center"/>
            <w:hideMark/>
          </w:tcPr>
          <w:p w14:paraId="411D7110" w14:textId="77777777" w:rsidR="00000000" w:rsidRDefault="00E614A4">
            <w:pPr>
              <w:rPr>
                <w:rFonts w:eastAsia="Times New Roman"/>
                <w:sz w:val="20"/>
                <w:szCs w:val="20"/>
              </w:rPr>
            </w:pPr>
          </w:p>
        </w:tc>
        <w:tc>
          <w:tcPr>
            <w:tcW w:w="0" w:type="auto"/>
            <w:gridSpan w:val="3"/>
            <w:vAlign w:val="center"/>
            <w:hideMark/>
          </w:tcPr>
          <w:p w14:paraId="218742FD" w14:textId="77777777" w:rsidR="00000000" w:rsidRDefault="00E614A4">
            <w:pPr>
              <w:rPr>
                <w:rFonts w:eastAsia="Times New Roman"/>
                <w:sz w:val="20"/>
                <w:szCs w:val="20"/>
              </w:rPr>
            </w:pPr>
          </w:p>
        </w:tc>
        <w:tc>
          <w:tcPr>
            <w:tcW w:w="0" w:type="auto"/>
            <w:gridSpan w:val="3"/>
            <w:vAlign w:val="center"/>
            <w:hideMark/>
          </w:tcPr>
          <w:p w14:paraId="5D21A505" w14:textId="77777777" w:rsidR="00000000" w:rsidRDefault="00E614A4">
            <w:pPr>
              <w:rPr>
                <w:rFonts w:eastAsia="Times New Roman"/>
                <w:sz w:val="20"/>
                <w:szCs w:val="20"/>
              </w:rPr>
            </w:pPr>
          </w:p>
        </w:tc>
        <w:tc>
          <w:tcPr>
            <w:tcW w:w="0" w:type="auto"/>
            <w:gridSpan w:val="3"/>
            <w:vAlign w:val="center"/>
            <w:hideMark/>
          </w:tcPr>
          <w:p w14:paraId="6EC4AB19" w14:textId="77777777" w:rsidR="00000000" w:rsidRDefault="00E614A4">
            <w:pPr>
              <w:rPr>
                <w:rFonts w:eastAsia="Times New Roman"/>
                <w:sz w:val="20"/>
                <w:szCs w:val="20"/>
              </w:rPr>
            </w:pPr>
          </w:p>
        </w:tc>
        <w:tc>
          <w:tcPr>
            <w:tcW w:w="0" w:type="auto"/>
            <w:gridSpan w:val="3"/>
            <w:vAlign w:val="center"/>
            <w:hideMark/>
          </w:tcPr>
          <w:p w14:paraId="09E4C8B5" w14:textId="77777777" w:rsidR="00000000" w:rsidRDefault="00E614A4">
            <w:pPr>
              <w:rPr>
                <w:rFonts w:eastAsia="Times New Roman"/>
                <w:sz w:val="20"/>
                <w:szCs w:val="20"/>
              </w:rPr>
            </w:pPr>
          </w:p>
        </w:tc>
        <w:tc>
          <w:tcPr>
            <w:tcW w:w="0" w:type="auto"/>
            <w:gridSpan w:val="3"/>
            <w:vAlign w:val="center"/>
            <w:hideMark/>
          </w:tcPr>
          <w:p w14:paraId="28F48D84" w14:textId="77777777" w:rsidR="00000000" w:rsidRDefault="00E614A4">
            <w:pPr>
              <w:rPr>
                <w:rFonts w:eastAsia="Times New Roman"/>
                <w:sz w:val="20"/>
                <w:szCs w:val="20"/>
              </w:rPr>
            </w:pPr>
          </w:p>
        </w:tc>
        <w:tc>
          <w:tcPr>
            <w:tcW w:w="0" w:type="auto"/>
            <w:gridSpan w:val="3"/>
            <w:vAlign w:val="center"/>
            <w:hideMark/>
          </w:tcPr>
          <w:p w14:paraId="48E5B88D" w14:textId="77777777" w:rsidR="00000000" w:rsidRDefault="00E614A4">
            <w:pPr>
              <w:rPr>
                <w:rFonts w:eastAsia="Times New Roman"/>
                <w:sz w:val="20"/>
                <w:szCs w:val="20"/>
              </w:rPr>
            </w:pPr>
          </w:p>
        </w:tc>
        <w:tc>
          <w:tcPr>
            <w:tcW w:w="0" w:type="auto"/>
            <w:gridSpan w:val="3"/>
            <w:vAlign w:val="center"/>
            <w:hideMark/>
          </w:tcPr>
          <w:p w14:paraId="2FE5CA85" w14:textId="77777777" w:rsidR="00000000" w:rsidRDefault="00E614A4">
            <w:pPr>
              <w:rPr>
                <w:rFonts w:eastAsia="Times New Roman"/>
                <w:sz w:val="20"/>
                <w:szCs w:val="20"/>
              </w:rPr>
            </w:pPr>
          </w:p>
        </w:tc>
        <w:tc>
          <w:tcPr>
            <w:tcW w:w="0" w:type="auto"/>
            <w:gridSpan w:val="3"/>
            <w:vAlign w:val="center"/>
            <w:hideMark/>
          </w:tcPr>
          <w:p w14:paraId="1D972D3B" w14:textId="77777777" w:rsidR="00000000" w:rsidRDefault="00E614A4">
            <w:pPr>
              <w:rPr>
                <w:rFonts w:eastAsia="Times New Roman"/>
                <w:sz w:val="20"/>
                <w:szCs w:val="20"/>
              </w:rPr>
            </w:pPr>
          </w:p>
        </w:tc>
        <w:tc>
          <w:tcPr>
            <w:tcW w:w="0" w:type="auto"/>
            <w:gridSpan w:val="3"/>
            <w:vAlign w:val="center"/>
            <w:hideMark/>
          </w:tcPr>
          <w:p w14:paraId="4BAEECE6" w14:textId="77777777" w:rsidR="00000000" w:rsidRDefault="00E614A4">
            <w:pPr>
              <w:rPr>
                <w:rFonts w:eastAsia="Times New Roman"/>
                <w:sz w:val="20"/>
                <w:szCs w:val="20"/>
              </w:rPr>
            </w:pPr>
          </w:p>
        </w:tc>
        <w:tc>
          <w:tcPr>
            <w:tcW w:w="0" w:type="auto"/>
            <w:gridSpan w:val="3"/>
            <w:vAlign w:val="center"/>
            <w:hideMark/>
          </w:tcPr>
          <w:p w14:paraId="10C323CD" w14:textId="77777777" w:rsidR="00000000" w:rsidRDefault="00E614A4">
            <w:pPr>
              <w:rPr>
                <w:rFonts w:eastAsia="Times New Roman"/>
                <w:sz w:val="20"/>
                <w:szCs w:val="20"/>
              </w:rPr>
            </w:pPr>
          </w:p>
        </w:tc>
      </w:tr>
      <w:tr w:rsidR="00000000" w14:paraId="6C211944" w14:textId="77777777">
        <w:trPr>
          <w:divId w:val="1025441864"/>
          <w:jc w:val="center"/>
        </w:trPr>
        <w:tc>
          <w:tcPr>
            <w:tcW w:w="0" w:type="auto"/>
            <w:gridSpan w:val="3"/>
            <w:shd w:val="clear" w:color="auto" w:fill="FFFFFF"/>
            <w:tcMar>
              <w:top w:w="30" w:type="dxa"/>
              <w:left w:w="20" w:type="dxa"/>
              <w:bottom w:w="30" w:type="dxa"/>
              <w:right w:w="20" w:type="dxa"/>
            </w:tcMar>
            <w:hideMark/>
          </w:tcPr>
          <w:p w14:paraId="43764F7C" w14:textId="77777777" w:rsidR="00000000" w:rsidRDefault="00E614A4">
            <w:pPr>
              <w:rPr>
                <w:rFonts w:eastAsia="Times New Roman"/>
              </w:rPr>
            </w:pPr>
            <w:r>
              <w:rPr>
                <w:rFonts w:eastAsia="Times New Roman"/>
                <w:color w:val="000000"/>
                <w:sz w:val="18"/>
                <w:szCs w:val="18"/>
              </w:rPr>
              <w:t>Shares issued in connection with settlement of litigation</w:t>
            </w:r>
          </w:p>
        </w:tc>
        <w:tc>
          <w:tcPr>
            <w:tcW w:w="0" w:type="auto"/>
            <w:gridSpan w:val="2"/>
            <w:shd w:val="clear" w:color="auto" w:fill="FFFFFF"/>
            <w:tcMar>
              <w:top w:w="30" w:type="dxa"/>
              <w:left w:w="20" w:type="dxa"/>
              <w:bottom w:w="30" w:type="dxa"/>
              <w:right w:w="0" w:type="dxa"/>
            </w:tcMar>
            <w:vAlign w:val="bottom"/>
            <w:hideMark/>
          </w:tcPr>
          <w:p w14:paraId="2CD41334" w14:textId="77777777" w:rsidR="00000000" w:rsidRDefault="00E614A4">
            <w:pPr>
              <w:jc w:val="right"/>
              <w:rPr>
                <w:rFonts w:eastAsia="Times New Roman"/>
              </w:rPr>
            </w:pPr>
            <w:r>
              <w:rPr>
                <w:rFonts w:eastAsia="Times New Roman"/>
                <w:color w:val="000000"/>
                <w:sz w:val="18"/>
                <w:szCs w:val="18"/>
              </w:rPr>
              <w:t>4,024,115 </w:t>
            </w:r>
          </w:p>
        </w:tc>
        <w:tc>
          <w:tcPr>
            <w:tcW w:w="0" w:type="auto"/>
            <w:shd w:val="clear" w:color="auto" w:fill="FFFFFF"/>
            <w:tcMar>
              <w:top w:w="30" w:type="dxa"/>
              <w:left w:w="0" w:type="dxa"/>
              <w:bottom w:w="30" w:type="dxa"/>
              <w:right w:w="20" w:type="dxa"/>
            </w:tcMar>
            <w:vAlign w:val="bottom"/>
            <w:hideMark/>
          </w:tcPr>
          <w:p w14:paraId="5EF16C7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DBAC8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6D54A" w14:textId="77777777" w:rsidR="00000000" w:rsidRDefault="00E614A4">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14:paraId="75E169B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0CE9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18916" w14:textId="77777777" w:rsidR="00000000" w:rsidRDefault="00E614A4">
            <w:pPr>
              <w:jc w:val="right"/>
              <w:rPr>
                <w:rFonts w:eastAsia="Times New Roman"/>
              </w:rPr>
            </w:pPr>
            <w:r>
              <w:rPr>
                <w:rFonts w:eastAsia="Times New Roman"/>
                <w:color w:val="000000"/>
                <w:sz w:val="18"/>
                <w:szCs w:val="18"/>
              </w:rPr>
              <w:t>90,764 </w:t>
            </w:r>
          </w:p>
        </w:tc>
        <w:tc>
          <w:tcPr>
            <w:tcW w:w="0" w:type="auto"/>
            <w:shd w:val="clear" w:color="auto" w:fill="FFFFFF"/>
            <w:tcMar>
              <w:top w:w="30" w:type="dxa"/>
              <w:left w:w="0" w:type="dxa"/>
              <w:bottom w:w="30" w:type="dxa"/>
              <w:right w:w="20" w:type="dxa"/>
            </w:tcMar>
            <w:vAlign w:val="bottom"/>
            <w:hideMark/>
          </w:tcPr>
          <w:p w14:paraId="4094E6D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965E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7742E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4E9F0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37230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47EE2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883ED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05EF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7991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A9217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765DE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FC2D51" w14:textId="77777777" w:rsidR="00000000" w:rsidRDefault="00E614A4">
            <w:pPr>
              <w:jc w:val="right"/>
              <w:rPr>
                <w:rFonts w:eastAsia="Times New Roman"/>
              </w:rPr>
            </w:pPr>
            <w:r>
              <w:rPr>
                <w:rFonts w:eastAsia="Times New Roman"/>
                <w:color w:val="000000"/>
                <w:sz w:val="18"/>
                <w:szCs w:val="18"/>
              </w:rPr>
              <w:t>90,768 </w:t>
            </w:r>
          </w:p>
        </w:tc>
        <w:tc>
          <w:tcPr>
            <w:tcW w:w="0" w:type="auto"/>
            <w:shd w:val="clear" w:color="auto" w:fill="FFFFFF"/>
            <w:tcMar>
              <w:top w:w="30" w:type="dxa"/>
              <w:left w:w="0" w:type="dxa"/>
              <w:bottom w:w="30" w:type="dxa"/>
              <w:right w:w="20" w:type="dxa"/>
            </w:tcMar>
            <w:vAlign w:val="bottom"/>
            <w:hideMark/>
          </w:tcPr>
          <w:p w14:paraId="08637F8E" w14:textId="77777777" w:rsidR="00000000" w:rsidRDefault="00E614A4">
            <w:pPr>
              <w:jc w:val="right"/>
              <w:rPr>
                <w:rFonts w:eastAsia="Times New Roman"/>
              </w:rPr>
            </w:pPr>
          </w:p>
        </w:tc>
      </w:tr>
      <w:tr w:rsidR="00000000" w14:paraId="5141E728" w14:textId="77777777">
        <w:trPr>
          <w:divId w:val="1025441864"/>
          <w:jc w:val="center"/>
        </w:trPr>
        <w:tc>
          <w:tcPr>
            <w:tcW w:w="0" w:type="auto"/>
            <w:gridSpan w:val="3"/>
            <w:shd w:val="clear" w:color="auto" w:fill="CCEEFF"/>
            <w:tcMar>
              <w:top w:w="30" w:type="dxa"/>
              <w:left w:w="20" w:type="dxa"/>
              <w:bottom w:w="30" w:type="dxa"/>
              <w:right w:w="20" w:type="dxa"/>
            </w:tcMar>
            <w:hideMark/>
          </w:tcPr>
          <w:p w14:paraId="4CD325C3" w14:textId="77777777" w:rsidR="00000000" w:rsidRDefault="00E614A4">
            <w:pPr>
              <w:rPr>
                <w:rFonts w:eastAsia="Times New Roman"/>
              </w:rPr>
            </w:pPr>
            <w:r>
              <w:rPr>
                <w:rFonts w:eastAsia="Times New Roman"/>
                <w:color w:val="000000"/>
                <w:sz w:val="18"/>
                <w:szCs w:val="18"/>
              </w:rPr>
              <w:t xml:space="preserve">Repurchase of Common Stock in exchange for senior secured convertible notes </w:t>
            </w:r>
          </w:p>
        </w:tc>
        <w:tc>
          <w:tcPr>
            <w:tcW w:w="0" w:type="auto"/>
            <w:gridSpan w:val="2"/>
            <w:shd w:val="clear" w:color="auto" w:fill="CCEEFF"/>
            <w:tcMar>
              <w:top w:w="30" w:type="dxa"/>
              <w:left w:w="20" w:type="dxa"/>
              <w:bottom w:w="30" w:type="dxa"/>
              <w:right w:w="0" w:type="dxa"/>
            </w:tcMar>
            <w:vAlign w:val="bottom"/>
            <w:hideMark/>
          </w:tcPr>
          <w:p w14:paraId="5B5C7E95" w14:textId="77777777" w:rsidR="00000000" w:rsidRDefault="00E614A4">
            <w:pPr>
              <w:jc w:val="right"/>
              <w:rPr>
                <w:rFonts w:eastAsia="Times New Roman"/>
              </w:rPr>
            </w:pPr>
            <w:r>
              <w:rPr>
                <w:rFonts w:eastAsia="Times New Roman"/>
                <w:color w:val="000000"/>
                <w:sz w:val="18"/>
                <w:szCs w:val="18"/>
              </w:rPr>
              <w:t>(4,000,000)</w:t>
            </w:r>
          </w:p>
        </w:tc>
        <w:tc>
          <w:tcPr>
            <w:tcW w:w="0" w:type="auto"/>
            <w:shd w:val="clear" w:color="auto" w:fill="CCEEFF"/>
            <w:tcMar>
              <w:top w:w="30" w:type="dxa"/>
              <w:left w:w="0" w:type="dxa"/>
              <w:bottom w:w="30" w:type="dxa"/>
              <w:right w:w="20" w:type="dxa"/>
            </w:tcMar>
            <w:vAlign w:val="bottom"/>
            <w:hideMark/>
          </w:tcPr>
          <w:p w14:paraId="067104A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CD45E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007036" w14:textId="77777777" w:rsidR="00000000" w:rsidRDefault="00E614A4">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49DD9CA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CFDF7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BC39B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FFBDE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55A9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1A04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3FD2C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64BE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B93F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07846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6E5DE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167037" w14:textId="77777777" w:rsidR="00000000" w:rsidRDefault="00E614A4">
            <w:pPr>
              <w:jc w:val="right"/>
              <w:rPr>
                <w:rFonts w:eastAsia="Times New Roman"/>
              </w:rPr>
            </w:pPr>
            <w:r>
              <w:rPr>
                <w:rFonts w:eastAsia="Times New Roman"/>
                <w:color w:val="000000"/>
                <w:sz w:val="18"/>
                <w:szCs w:val="18"/>
              </w:rPr>
              <w:t>(94,014)</w:t>
            </w:r>
          </w:p>
        </w:tc>
        <w:tc>
          <w:tcPr>
            <w:tcW w:w="0" w:type="auto"/>
            <w:shd w:val="clear" w:color="auto" w:fill="CCEEFF"/>
            <w:tcMar>
              <w:top w:w="30" w:type="dxa"/>
              <w:left w:w="0" w:type="dxa"/>
              <w:bottom w:w="30" w:type="dxa"/>
              <w:right w:w="20" w:type="dxa"/>
            </w:tcMar>
            <w:vAlign w:val="bottom"/>
            <w:hideMark/>
          </w:tcPr>
          <w:p w14:paraId="04DBD86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8D86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61E498" w14:textId="77777777" w:rsidR="00000000" w:rsidRDefault="00E614A4">
            <w:pPr>
              <w:jc w:val="right"/>
              <w:rPr>
                <w:rFonts w:eastAsia="Times New Roman"/>
              </w:rPr>
            </w:pPr>
            <w:r>
              <w:rPr>
                <w:rFonts w:eastAsia="Times New Roman"/>
                <w:color w:val="000000"/>
                <w:sz w:val="18"/>
                <w:szCs w:val="18"/>
              </w:rPr>
              <w:t>(94,021)</w:t>
            </w:r>
          </w:p>
        </w:tc>
        <w:tc>
          <w:tcPr>
            <w:tcW w:w="0" w:type="auto"/>
            <w:shd w:val="clear" w:color="auto" w:fill="CCEEFF"/>
            <w:tcMar>
              <w:top w:w="30" w:type="dxa"/>
              <w:left w:w="0" w:type="dxa"/>
              <w:bottom w:w="30" w:type="dxa"/>
              <w:right w:w="20" w:type="dxa"/>
            </w:tcMar>
            <w:vAlign w:val="bottom"/>
            <w:hideMark/>
          </w:tcPr>
          <w:p w14:paraId="058B6F85" w14:textId="77777777" w:rsidR="00000000" w:rsidRDefault="00E614A4">
            <w:pPr>
              <w:jc w:val="right"/>
              <w:rPr>
                <w:rFonts w:eastAsia="Times New Roman"/>
              </w:rPr>
            </w:pPr>
          </w:p>
        </w:tc>
      </w:tr>
      <w:tr w:rsidR="00000000" w14:paraId="7F57F206" w14:textId="77777777">
        <w:trPr>
          <w:divId w:val="1025441864"/>
          <w:jc w:val="center"/>
        </w:trPr>
        <w:tc>
          <w:tcPr>
            <w:tcW w:w="0" w:type="auto"/>
            <w:gridSpan w:val="3"/>
            <w:vAlign w:val="center"/>
            <w:hideMark/>
          </w:tcPr>
          <w:p w14:paraId="684DB8F4" w14:textId="77777777" w:rsidR="00000000" w:rsidRDefault="00E614A4">
            <w:pPr>
              <w:jc w:val="right"/>
              <w:rPr>
                <w:rFonts w:eastAsia="Times New Roman"/>
                <w:sz w:val="20"/>
                <w:szCs w:val="20"/>
              </w:rPr>
            </w:pPr>
          </w:p>
        </w:tc>
        <w:tc>
          <w:tcPr>
            <w:tcW w:w="0" w:type="auto"/>
            <w:gridSpan w:val="3"/>
            <w:vAlign w:val="center"/>
            <w:hideMark/>
          </w:tcPr>
          <w:p w14:paraId="08BD572A" w14:textId="77777777" w:rsidR="00000000" w:rsidRDefault="00E614A4">
            <w:pPr>
              <w:rPr>
                <w:rFonts w:eastAsia="Times New Roman"/>
                <w:sz w:val="20"/>
                <w:szCs w:val="20"/>
              </w:rPr>
            </w:pPr>
          </w:p>
        </w:tc>
        <w:tc>
          <w:tcPr>
            <w:tcW w:w="0" w:type="auto"/>
            <w:gridSpan w:val="3"/>
            <w:vAlign w:val="center"/>
            <w:hideMark/>
          </w:tcPr>
          <w:p w14:paraId="62C596A9" w14:textId="77777777" w:rsidR="00000000" w:rsidRDefault="00E614A4">
            <w:pPr>
              <w:rPr>
                <w:rFonts w:eastAsia="Times New Roman"/>
                <w:sz w:val="20"/>
                <w:szCs w:val="20"/>
              </w:rPr>
            </w:pPr>
          </w:p>
        </w:tc>
        <w:tc>
          <w:tcPr>
            <w:tcW w:w="0" w:type="auto"/>
            <w:gridSpan w:val="3"/>
            <w:vAlign w:val="center"/>
            <w:hideMark/>
          </w:tcPr>
          <w:p w14:paraId="5131B845" w14:textId="77777777" w:rsidR="00000000" w:rsidRDefault="00E614A4">
            <w:pPr>
              <w:rPr>
                <w:rFonts w:eastAsia="Times New Roman"/>
                <w:sz w:val="20"/>
                <w:szCs w:val="20"/>
              </w:rPr>
            </w:pPr>
          </w:p>
        </w:tc>
        <w:tc>
          <w:tcPr>
            <w:tcW w:w="0" w:type="auto"/>
            <w:gridSpan w:val="3"/>
            <w:vAlign w:val="center"/>
            <w:hideMark/>
          </w:tcPr>
          <w:p w14:paraId="7B7717F6" w14:textId="77777777" w:rsidR="00000000" w:rsidRDefault="00E614A4">
            <w:pPr>
              <w:rPr>
                <w:rFonts w:eastAsia="Times New Roman"/>
                <w:sz w:val="20"/>
                <w:szCs w:val="20"/>
              </w:rPr>
            </w:pPr>
          </w:p>
        </w:tc>
        <w:tc>
          <w:tcPr>
            <w:tcW w:w="0" w:type="auto"/>
            <w:gridSpan w:val="3"/>
            <w:vAlign w:val="center"/>
            <w:hideMark/>
          </w:tcPr>
          <w:p w14:paraId="22DF43F6" w14:textId="77777777" w:rsidR="00000000" w:rsidRDefault="00E614A4">
            <w:pPr>
              <w:rPr>
                <w:rFonts w:eastAsia="Times New Roman"/>
                <w:sz w:val="20"/>
                <w:szCs w:val="20"/>
              </w:rPr>
            </w:pPr>
          </w:p>
        </w:tc>
        <w:tc>
          <w:tcPr>
            <w:tcW w:w="0" w:type="auto"/>
            <w:gridSpan w:val="3"/>
            <w:vAlign w:val="center"/>
            <w:hideMark/>
          </w:tcPr>
          <w:p w14:paraId="6A3EF720" w14:textId="77777777" w:rsidR="00000000" w:rsidRDefault="00E614A4">
            <w:pPr>
              <w:rPr>
                <w:rFonts w:eastAsia="Times New Roman"/>
                <w:sz w:val="20"/>
                <w:szCs w:val="20"/>
              </w:rPr>
            </w:pPr>
          </w:p>
        </w:tc>
        <w:tc>
          <w:tcPr>
            <w:tcW w:w="0" w:type="auto"/>
            <w:gridSpan w:val="3"/>
            <w:vAlign w:val="center"/>
            <w:hideMark/>
          </w:tcPr>
          <w:p w14:paraId="0C9B80C3" w14:textId="77777777" w:rsidR="00000000" w:rsidRDefault="00E614A4">
            <w:pPr>
              <w:rPr>
                <w:rFonts w:eastAsia="Times New Roman"/>
                <w:sz w:val="20"/>
                <w:szCs w:val="20"/>
              </w:rPr>
            </w:pPr>
          </w:p>
        </w:tc>
        <w:tc>
          <w:tcPr>
            <w:tcW w:w="0" w:type="auto"/>
            <w:gridSpan w:val="3"/>
            <w:vAlign w:val="center"/>
            <w:hideMark/>
          </w:tcPr>
          <w:p w14:paraId="44A76F2A" w14:textId="77777777" w:rsidR="00000000" w:rsidRDefault="00E614A4">
            <w:pPr>
              <w:rPr>
                <w:rFonts w:eastAsia="Times New Roman"/>
                <w:sz w:val="20"/>
                <w:szCs w:val="20"/>
              </w:rPr>
            </w:pPr>
          </w:p>
        </w:tc>
        <w:tc>
          <w:tcPr>
            <w:tcW w:w="0" w:type="auto"/>
            <w:gridSpan w:val="3"/>
            <w:vAlign w:val="center"/>
            <w:hideMark/>
          </w:tcPr>
          <w:p w14:paraId="66606C2E" w14:textId="77777777" w:rsidR="00000000" w:rsidRDefault="00E614A4">
            <w:pPr>
              <w:rPr>
                <w:rFonts w:eastAsia="Times New Roman"/>
                <w:sz w:val="20"/>
                <w:szCs w:val="20"/>
              </w:rPr>
            </w:pPr>
          </w:p>
        </w:tc>
        <w:tc>
          <w:tcPr>
            <w:tcW w:w="0" w:type="auto"/>
            <w:gridSpan w:val="3"/>
            <w:vAlign w:val="center"/>
            <w:hideMark/>
          </w:tcPr>
          <w:p w14:paraId="1C231D52" w14:textId="77777777" w:rsidR="00000000" w:rsidRDefault="00E614A4">
            <w:pPr>
              <w:rPr>
                <w:rFonts w:eastAsia="Times New Roman"/>
                <w:sz w:val="20"/>
                <w:szCs w:val="20"/>
              </w:rPr>
            </w:pPr>
          </w:p>
        </w:tc>
        <w:tc>
          <w:tcPr>
            <w:tcW w:w="0" w:type="auto"/>
            <w:gridSpan w:val="3"/>
            <w:vAlign w:val="center"/>
            <w:hideMark/>
          </w:tcPr>
          <w:p w14:paraId="0A2888E4" w14:textId="77777777" w:rsidR="00000000" w:rsidRDefault="00E614A4">
            <w:pPr>
              <w:rPr>
                <w:rFonts w:eastAsia="Times New Roman"/>
                <w:sz w:val="20"/>
                <w:szCs w:val="20"/>
              </w:rPr>
            </w:pPr>
          </w:p>
        </w:tc>
        <w:tc>
          <w:tcPr>
            <w:tcW w:w="0" w:type="auto"/>
            <w:gridSpan w:val="3"/>
            <w:vAlign w:val="center"/>
            <w:hideMark/>
          </w:tcPr>
          <w:p w14:paraId="50184BD9" w14:textId="77777777" w:rsidR="00000000" w:rsidRDefault="00E614A4">
            <w:pPr>
              <w:rPr>
                <w:rFonts w:eastAsia="Times New Roman"/>
                <w:sz w:val="20"/>
                <w:szCs w:val="20"/>
              </w:rPr>
            </w:pPr>
          </w:p>
        </w:tc>
        <w:tc>
          <w:tcPr>
            <w:tcW w:w="0" w:type="auto"/>
            <w:gridSpan w:val="3"/>
            <w:vAlign w:val="center"/>
            <w:hideMark/>
          </w:tcPr>
          <w:p w14:paraId="4F22A670" w14:textId="77777777" w:rsidR="00000000" w:rsidRDefault="00E614A4">
            <w:pPr>
              <w:rPr>
                <w:rFonts w:eastAsia="Times New Roman"/>
                <w:sz w:val="20"/>
                <w:szCs w:val="20"/>
              </w:rPr>
            </w:pPr>
          </w:p>
        </w:tc>
      </w:tr>
      <w:tr w:rsidR="00000000" w14:paraId="1B03E209" w14:textId="77777777">
        <w:trPr>
          <w:divId w:val="1025441864"/>
          <w:jc w:val="center"/>
        </w:trPr>
        <w:tc>
          <w:tcPr>
            <w:tcW w:w="0" w:type="auto"/>
            <w:gridSpan w:val="3"/>
            <w:shd w:val="clear" w:color="auto" w:fill="FFFFFF"/>
            <w:tcMar>
              <w:top w:w="30" w:type="dxa"/>
              <w:left w:w="20" w:type="dxa"/>
              <w:bottom w:w="30" w:type="dxa"/>
              <w:right w:w="20" w:type="dxa"/>
            </w:tcMar>
            <w:hideMark/>
          </w:tcPr>
          <w:p w14:paraId="6BECBA20" w14:textId="77777777" w:rsidR="00000000" w:rsidRDefault="00E614A4">
            <w:pPr>
              <w:rPr>
                <w:rFonts w:eastAsia="Times New Roman"/>
              </w:rPr>
            </w:pPr>
            <w:r>
              <w:rPr>
                <w:rFonts w:eastAsia="Times New Roman"/>
                <w:color w:val="000000"/>
                <w:sz w:val="18"/>
                <w:szCs w:val="18"/>
              </w:rPr>
              <w:t>Restricted stock units vested</w:t>
            </w:r>
          </w:p>
        </w:tc>
        <w:tc>
          <w:tcPr>
            <w:tcW w:w="0" w:type="auto"/>
            <w:gridSpan w:val="2"/>
            <w:shd w:val="clear" w:color="auto" w:fill="FFFFFF"/>
            <w:tcMar>
              <w:top w:w="30" w:type="dxa"/>
              <w:left w:w="20" w:type="dxa"/>
              <w:bottom w:w="30" w:type="dxa"/>
              <w:right w:w="0" w:type="dxa"/>
            </w:tcMar>
            <w:vAlign w:val="bottom"/>
            <w:hideMark/>
          </w:tcPr>
          <w:p w14:paraId="73AD57D5" w14:textId="77777777" w:rsidR="00000000" w:rsidRDefault="00E614A4">
            <w:pPr>
              <w:jc w:val="right"/>
              <w:rPr>
                <w:rFonts w:eastAsia="Times New Roman"/>
              </w:rPr>
            </w:pPr>
            <w:r>
              <w:rPr>
                <w:rFonts w:eastAsia="Times New Roman"/>
                <w:color w:val="000000"/>
                <w:sz w:val="18"/>
                <w:szCs w:val="18"/>
              </w:rPr>
              <w:t>2,077,253 </w:t>
            </w:r>
          </w:p>
        </w:tc>
        <w:tc>
          <w:tcPr>
            <w:tcW w:w="0" w:type="auto"/>
            <w:shd w:val="clear" w:color="auto" w:fill="FFFFFF"/>
            <w:tcMar>
              <w:top w:w="30" w:type="dxa"/>
              <w:left w:w="0" w:type="dxa"/>
              <w:bottom w:w="30" w:type="dxa"/>
              <w:right w:w="20" w:type="dxa"/>
            </w:tcMar>
            <w:vAlign w:val="bottom"/>
            <w:hideMark/>
          </w:tcPr>
          <w:p w14:paraId="5C0F6A1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6850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9EA48" w14:textId="77777777" w:rsidR="00000000" w:rsidRDefault="00E614A4">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356DA15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3C15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AC7FDE" w14:textId="77777777" w:rsidR="00000000" w:rsidRDefault="00E614A4">
            <w:pPr>
              <w:jc w:val="right"/>
              <w:rPr>
                <w:rFonts w:eastAsia="Times New Roman"/>
              </w:rPr>
            </w:pPr>
            <w:r>
              <w:rPr>
                <w:rFonts w:eastAsia="Times New Roman"/>
                <w:color w:val="000000"/>
                <w:sz w:val="18"/>
                <w:szCs w:val="18"/>
              </w:rPr>
              <w:t>15,816 </w:t>
            </w:r>
          </w:p>
        </w:tc>
        <w:tc>
          <w:tcPr>
            <w:tcW w:w="0" w:type="auto"/>
            <w:shd w:val="clear" w:color="auto" w:fill="FFFFFF"/>
            <w:tcMar>
              <w:top w:w="30" w:type="dxa"/>
              <w:left w:w="0" w:type="dxa"/>
              <w:bottom w:w="30" w:type="dxa"/>
              <w:right w:w="20" w:type="dxa"/>
            </w:tcMar>
            <w:vAlign w:val="bottom"/>
            <w:hideMark/>
          </w:tcPr>
          <w:p w14:paraId="03B2450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E440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53B1E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DBE49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DC9B1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36AA5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3144B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25DF0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A9C8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84110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F256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9A6F55" w14:textId="77777777" w:rsidR="00000000" w:rsidRDefault="00E614A4">
            <w:pPr>
              <w:jc w:val="right"/>
              <w:rPr>
                <w:rFonts w:eastAsia="Times New Roman"/>
              </w:rPr>
            </w:pPr>
            <w:r>
              <w:rPr>
                <w:rFonts w:eastAsia="Times New Roman"/>
                <w:color w:val="000000"/>
                <w:sz w:val="18"/>
                <w:szCs w:val="18"/>
              </w:rPr>
              <w:t>15,818 </w:t>
            </w:r>
          </w:p>
        </w:tc>
        <w:tc>
          <w:tcPr>
            <w:tcW w:w="0" w:type="auto"/>
            <w:shd w:val="clear" w:color="auto" w:fill="FFFFFF"/>
            <w:tcMar>
              <w:top w:w="30" w:type="dxa"/>
              <w:left w:w="0" w:type="dxa"/>
              <w:bottom w:w="30" w:type="dxa"/>
              <w:right w:w="20" w:type="dxa"/>
            </w:tcMar>
            <w:vAlign w:val="bottom"/>
            <w:hideMark/>
          </w:tcPr>
          <w:p w14:paraId="79ADC8F9" w14:textId="77777777" w:rsidR="00000000" w:rsidRDefault="00E614A4">
            <w:pPr>
              <w:jc w:val="right"/>
              <w:rPr>
                <w:rFonts w:eastAsia="Times New Roman"/>
              </w:rPr>
            </w:pPr>
          </w:p>
        </w:tc>
      </w:tr>
      <w:tr w:rsidR="00000000" w14:paraId="6B0E2F3A" w14:textId="77777777">
        <w:trPr>
          <w:divId w:val="1025441864"/>
          <w:jc w:val="center"/>
        </w:trPr>
        <w:tc>
          <w:tcPr>
            <w:tcW w:w="0" w:type="auto"/>
            <w:gridSpan w:val="3"/>
            <w:shd w:val="clear" w:color="auto" w:fill="CCEEFF"/>
            <w:tcMar>
              <w:top w:w="30" w:type="dxa"/>
              <w:left w:w="20" w:type="dxa"/>
              <w:bottom w:w="30" w:type="dxa"/>
              <w:right w:w="20" w:type="dxa"/>
            </w:tcMar>
            <w:hideMark/>
          </w:tcPr>
          <w:p w14:paraId="7F033B1F" w14:textId="77777777" w:rsidR="00000000" w:rsidRDefault="00E614A4">
            <w:pPr>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3A001BE2" w14:textId="77777777" w:rsidR="00000000" w:rsidRDefault="00E614A4">
            <w:pPr>
              <w:jc w:val="right"/>
              <w:rPr>
                <w:rFonts w:eastAsia="Times New Roman"/>
              </w:rPr>
            </w:pPr>
            <w:r>
              <w:rPr>
                <w:rFonts w:eastAsia="Times New Roman"/>
                <w:color w:val="000000"/>
                <w:sz w:val="18"/>
                <w:szCs w:val="18"/>
              </w:rPr>
              <w:t>(222,814)</w:t>
            </w:r>
          </w:p>
        </w:tc>
        <w:tc>
          <w:tcPr>
            <w:tcW w:w="0" w:type="auto"/>
            <w:shd w:val="clear" w:color="auto" w:fill="CCEEFF"/>
            <w:tcMar>
              <w:top w:w="30" w:type="dxa"/>
              <w:left w:w="0" w:type="dxa"/>
              <w:bottom w:w="30" w:type="dxa"/>
              <w:right w:w="20" w:type="dxa"/>
            </w:tcMar>
            <w:vAlign w:val="bottom"/>
            <w:hideMark/>
          </w:tcPr>
          <w:p w14:paraId="313A7E4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A2C3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4F71C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CCCEC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5D9A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1B8CFA" w14:textId="77777777" w:rsidR="00000000" w:rsidRDefault="00E614A4">
            <w:pPr>
              <w:jc w:val="right"/>
              <w:rPr>
                <w:rFonts w:eastAsia="Times New Roman"/>
              </w:rPr>
            </w:pPr>
            <w:r>
              <w:rPr>
                <w:rFonts w:eastAsia="Times New Roman"/>
                <w:color w:val="000000"/>
                <w:sz w:val="18"/>
                <w:szCs w:val="18"/>
              </w:rPr>
              <w:t>(5,263)</w:t>
            </w:r>
          </w:p>
        </w:tc>
        <w:tc>
          <w:tcPr>
            <w:tcW w:w="0" w:type="auto"/>
            <w:shd w:val="clear" w:color="auto" w:fill="CCEEFF"/>
            <w:tcMar>
              <w:top w:w="30" w:type="dxa"/>
              <w:left w:w="0" w:type="dxa"/>
              <w:bottom w:w="30" w:type="dxa"/>
              <w:right w:w="20" w:type="dxa"/>
            </w:tcMar>
            <w:vAlign w:val="bottom"/>
            <w:hideMark/>
          </w:tcPr>
          <w:p w14:paraId="69FBF3D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7431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65D97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53A93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F28F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23C6A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89BC1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228C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E44E3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9A471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A6EBE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B55BAE" w14:textId="77777777" w:rsidR="00000000" w:rsidRDefault="00E614A4">
            <w:pPr>
              <w:jc w:val="right"/>
              <w:rPr>
                <w:rFonts w:eastAsia="Times New Roman"/>
              </w:rPr>
            </w:pPr>
            <w:r>
              <w:rPr>
                <w:rFonts w:eastAsia="Times New Roman"/>
                <w:color w:val="000000"/>
                <w:sz w:val="18"/>
                <w:szCs w:val="18"/>
              </w:rPr>
              <w:t>(5,263)</w:t>
            </w:r>
          </w:p>
        </w:tc>
        <w:tc>
          <w:tcPr>
            <w:tcW w:w="0" w:type="auto"/>
            <w:shd w:val="clear" w:color="auto" w:fill="CCEEFF"/>
            <w:tcMar>
              <w:top w:w="30" w:type="dxa"/>
              <w:left w:w="0" w:type="dxa"/>
              <w:bottom w:w="30" w:type="dxa"/>
              <w:right w:w="20" w:type="dxa"/>
            </w:tcMar>
            <w:vAlign w:val="bottom"/>
            <w:hideMark/>
          </w:tcPr>
          <w:p w14:paraId="2C8AFCBA" w14:textId="77777777" w:rsidR="00000000" w:rsidRDefault="00E614A4">
            <w:pPr>
              <w:jc w:val="right"/>
              <w:rPr>
                <w:rFonts w:eastAsia="Times New Roman"/>
              </w:rPr>
            </w:pPr>
          </w:p>
        </w:tc>
      </w:tr>
      <w:tr w:rsidR="00000000" w14:paraId="2118CAA5" w14:textId="77777777">
        <w:trPr>
          <w:divId w:val="1025441864"/>
          <w:jc w:val="center"/>
        </w:trPr>
        <w:tc>
          <w:tcPr>
            <w:tcW w:w="0" w:type="auto"/>
            <w:gridSpan w:val="3"/>
            <w:shd w:val="clear" w:color="auto" w:fill="FFFFFF"/>
            <w:tcMar>
              <w:top w:w="30" w:type="dxa"/>
              <w:left w:w="20" w:type="dxa"/>
              <w:bottom w:w="30" w:type="dxa"/>
              <w:right w:w="20" w:type="dxa"/>
            </w:tcMar>
            <w:hideMark/>
          </w:tcPr>
          <w:p w14:paraId="1A36C519" w14:textId="77777777" w:rsidR="00000000" w:rsidRDefault="00E614A4">
            <w:pPr>
              <w:rPr>
                <w:rFonts w:eastAsia="Times New Roman"/>
              </w:rPr>
            </w:pPr>
            <w:r>
              <w:rPr>
                <w:rFonts w:eastAsia="Times New Roman"/>
                <w:color w:val="00000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14:paraId="423421D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02A25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C06F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4975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16DA08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3DA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D5CF9C" w14:textId="77777777" w:rsidR="00000000" w:rsidRDefault="00E614A4">
            <w:pPr>
              <w:jc w:val="right"/>
              <w:rPr>
                <w:rFonts w:eastAsia="Times New Roman"/>
              </w:rPr>
            </w:pPr>
            <w:r>
              <w:rPr>
                <w:rFonts w:eastAsia="Times New Roman"/>
                <w:color w:val="000000"/>
                <w:sz w:val="18"/>
                <w:szCs w:val="18"/>
              </w:rPr>
              <w:t>33,520 </w:t>
            </w:r>
          </w:p>
        </w:tc>
        <w:tc>
          <w:tcPr>
            <w:tcW w:w="0" w:type="auto"/>
            <w:shd w:val="clear" w:color="auto" w:fill="FFFFFF"/>
            <w:tcMar>
              <w:top w:w="30" w:type="dxa"/>
              <w:left w:w="0" w:type="dxa"/>
              <w:bottom w:w="30" w:type="dxa"/>
              <w:right w:w="20" w:type="dxa"/>
            </w:tcMar>
            <w:vAlign w:val="bottom"/>
            <w:hideMark/>
          </w:tcPr>
          <w:p w14:paraId="788A7E1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34FA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4A9A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4CD3E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AA1F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D407B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3833B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5F86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8904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8367A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2C618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6A5F3" w14:textId="77777777" w:rsidR="00000000" w:rsidRDefault="00E614A4">
            <w:pPr>
              <w:jc w:val="right"/>
              <w:rPr>
                <w:rFonts w:eastAsia="Times New Roman"/>
              </w:rPr>
            </w:pPr>
            <w:r>
              <w:rPr>
                <w:rFonts w:eastAsia="Times New Roman"/>
                <w:color w:val="000000"/>
                <w:sz w:val="18"/>
                <w:szCs w:val="18"/>
              </w:rPr>
              <w:t>33,520 </w:t>
            </w:r>
          </w:p>
        </w:tc>
        <w:tc>
          <w:tcPr>
            <w:tcW w:w="0" w:type="auto"/>
            <w:shd w:val="clear" w:color="auto" w:fill="FFFFFF"/>
            <w:tcMar>
              <w:top w:w="30" w:type="dxa"/>
              <w:left w:w="0" w:type="dxa"/>
              <w:bottom w:w="30" w:type="dxa"/>
              <w:right w:w="20" w:type="dxa"/>
            </w:tcMar>
            <w:vAlign w:val="bottom"/>
            <w:hideMark/>
          </w:tcPr>
          <w:p w14:paraId="30394BAC" w14:textId="77777777" w:rsidR="00000000" w:rsidRDefault="00E614A4">
            <w:pPr>
              <w:jc w:val="right"/>
              <w:rPr>
                <w:rFonts w:eastAsia="Times New Roman"/>
              </w:rPr>
            </w:pPr>
          </w:p>
        </w:tc>
      </w:tr>
      <w:tr w:rsidR="00E614A4" w14:paraId="47EB50F7"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4F22E884" w14:textId="77777777" w:rsidR="00000000" w:rsidRDefault="00E614A4">
            <w:pPr>
              <w:rPr>
                <w:rFonts w:eastAsia="Times New Roman"/>
              </w:rPr>
            </w:pPr>
            <w:r>
              <w:rPr>
                <w:rFonts w:eastAsia="Times New Roman"/>
                <w:b/>
                <w:bCs/>
                <w:color w:val="000000"/>
                <w:sz w:val="18"/>
                <w:szCs w:val="18"/>
              </w:rPr>
              <w:t>Balance as of December 31,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3F0239" w14:textId="77777777" w:rsidR="00000000" w:rsidRDefault="00E614A4">
            <w:pPr>
              <w:jc w:val="right"/>
              <w:rPr>
                <w:rFonts w:eastAsia="Times New Roman"/>
              </w:rPr>
            </w:pPr>
            <w:r>
              <w:rPr>
                <w:rFonts w:eastAsia="Times New Roman"/>
                <w:b/>
                <w:bCs/>
                <w:color w:val="000000"/>
                <w:sz w:val="18"/>
                <w:szCs w:val="18"/>
              </w:rPr>
              <w:t>59,389,830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44F84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4D49D"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8D86AB"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741CB9" w14:textId="77777777" w:rsidR="00000000" w:rsidRDefault="00E614A4">
            <w:pPr>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7EAD7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07F6D"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B534FE"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BEB72F" w14:textId="77777777" w:rsidR="00000000" w:rsidRDefault="00E614A4">
            <w:pPr>
              <w:jc w:val="right"/>
              <w:rPr>
                <w:rFonts w:eastAsia="Times New Roman"/>
              </w:rPr>
            </w:pPr>
            <w:r>
              <w:rPr>
                <w:rFonts w:eastAsia="Times New Roman"/>
                <w:b/>
                <w:bCs/>
                <w:color w:val="000000"/>
                <w:sz w:val="18"/>
                <w:szCs w:val="18"/>
              </w:rPr>
              <w:t>1,561,208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8667C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48381A"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9D0C1F"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E6D076" w14:textId="77777777" w:rsidR="00000000" w:rsidRDefault="00E614A4">
            <w:pPr>
              <w:jc w:val="right"/>
              <w:rPr>
                <w:rFonts w:eastAsia="Times New Roman"/>
              </w:rPr>
            </w:pPr>
            <w:r>
              <w:rPr>
                <w:rFonts w:eastAsia="Times New Roman"/>
                <w:b/>
                <w:bCs/>
                <w:color w:val="000000"/>
                <w:sz w:val="18"/>
                <w:szCs w:val="18"/>
              </w:rPr>
              <w:t>(10,621)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D8187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009D1"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F55651"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FD2E86" w14:textId="77777777" w:rsidR="00000000" w:rsidRDefault="00E614A4">
            <w:pPr>
              <w:jc w:val="right"/>
              <w:rPr>
                <w:rFonts w:eastAsia="Times New Roman"/>
              </w:rPr>
            </w:pPr>
            <w:r>
              <w:rPr>
                <w:rFonts w:eastAsia="Times New Roman"/>
                <w:b/>
                <w:bCs/>
                <w:color w:val="000000"/>
                <w:sz w:val="18"/>
                <w:szCs w:val="18"/>
              </w:rPr>
              <w:t>(769,095)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EEC75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2F7DA"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CB4176"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9B087C" w14:textId="77777777" w:rsidR="00000000" w:rsidRDefault="00E614A4">
            <w:pPr>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A154D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18EA2"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09A95B"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B2CCFF" w14:textId="77777777" w:rsidR="00000000" w:rsidRDefault="00E614A4">
            <w:pPr>
              <w:jc w:val="right"/>
              <w:rPr>
                <w:rFonts w:eastAsia="Times New Roman"/>
              </w:rPr>
            </w:pPr>
            <w:r>
              <w:rPr>
                <w:rFonts w:eastAsia="Times New Roman"/>
                <w:b/>
                <w:bCs/>
                <w:color w:val="000000"/>
                <w:sz w:val="18"/>
                <w:szCs w:val="18"/>
              </w:rPr>
              <w:t>551,567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F0A50" w14:textId="77777777" w:rsidR="00000000" w:rsidRDefault="00E614A4">
            <w:pPr>
              <w:jc w:val="right"/>
              <w:rPr>
                <w:rFonts w:eastAsia="Times New Roman"/>
              </w:rPr>
            </w:pPr>
          </w:p>
        </w:tc>
      </w:tr>
      <w:tr w:rsidR="00000000" w14:paraId="31B90DF8"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298DEC86" w14:textId="77777777" w:rsidR="00000000" w:rsidRDefault="00E614A4">
            <w:pPr>
              <w:rPr>
                <w:rFonts w:eastAsia="Times New Roman"/>
              </w:rPr>
            </w:pPr>
            <w:r>
              <w:rPr>
                <w:rFonts w:eastAsia="Times New Roman"/>
                <w:color w:val="000000"/>
                <w:sz w:val="18"/>
                <w:szCs w:val="18"/>
              </w:rPr>
              <w:t>Adoption of ASC 84</w:t>
            </w:r>
            <w:r>
              <w:rPr>
                <w:rFonts w:eastAsia="Times New Roman"/>
                <w:color w:val="000000"/>
                <w:sz w:val="18"/>
                <w:szCs w:val="18"/>
              </w:rPr>
              <w:t>2</w:t>
            </w:r>
          </w:p>
        </w:tc>
        <w:tc>
          <w:tcPr>
            <w:tcW w:w="0" w:type="auto"/>
            <w:gridSpan w:val="2"/>
            <w:shd w:val="clear" w:color="auto" w:fill="FFFFFF"/>
            <w:tcMar>
              <w:top w:w="30" w:type="dxa"/>
              <w:left w:w="20" w:type="dxa"/>
              <w:bottom w:w="30" w:type="dxa"/>
              <w:right w:w="0" w:type="dxa"/>
            </w:tcMar>
            <w:vAlign w:val="bottom"/>
            <w:hideMark/>
          </w:tcPr>
          <w:p w14:paraId="44B78D8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BD140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68C9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D39B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DC747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D64E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C3EF8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C97F3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3158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FE027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B12C9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8F19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288851" w14:textId="77777777" w:rsidR="00000000" w:rsidRDefault="00E614A4">
            <w:pPr>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14:paraId="7B02653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0D38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EED97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018E59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CE9B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FB241" w14:textId="77777777" w:rsidR="00000000" w:rsidRDefault="00E614A4">
            <w:pPr>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14:paraId="79364319" w14:textId="77777777" w:rsidR="00000000" w:rsidRDefault="00E614A4">
            <w:pPr>
              <w:jc w:val="right"/>
              <w:rPr>
                <w:rFonts w:eastAsia="Times New Roman"/>
              </w:rPr>
            </w:pPr>
          </w:p>
        </w:tc>
      </w:tr>
      <w:tr w:rsidR="00000000" w14:paraId="4A9DD92E"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2359AE8C" w14:textId="77777777" w:rsidR="00000000" w:rsidRDefault="00E614A4">
            <w:pPr>
              <w:rPr>
                <w:rFonts w:eastAsia="Times New Roman"/>
              </w:rPr>
            </w:pPr>
            <w:r>
              <w:rPr>
                <w:rFonts w:eastAsia="Times New Roman"/>
                <w:color w:val="000000"/>
                <w:sz w:val="18"/>
                <w:szCs w:val="18"/>
              </w:rPr>
              <w:t>Net loss</w:t>
            </w:r>
          </w:p>
        </w:tc>
        <w:tc>
          <w:tcPr>
            <w:tcW w:w="0" w:type="auto"/>
            <w:gridSpan w:val="2"/>
            <w:shd w:val="clear" w:color="auto" w:fill="CCEEFF"/>
            <w:tcMar>
              <w:top w:w="30" w:type="dxa"/>
              <w:left w:w="20" w:type="dxa"/>
              <w:bottom w:w="30" w:type="dxa"/>
              <w:right w:w="0" w:type="dxa"/>
            </w:tcMar>
            <w:vAlign w:val="bottom"/>
            <w:hideMark/>
          </w:tcPr>
          <w:p w14:paraId="428A075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447EC8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97D5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5A2FF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EF343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38DE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58BCC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B4EE58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9221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2DE4B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AAAF1F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1ECF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BD3AF" w14:textId="77777777" w:rsidR="00000000" w:rsidRDefault="00E614A4">
            <w:pPr>
              <w:jc w:val="right"/>
              <w:rPr>
                <w:rFonts w:eastAsia="Times New Roman"/>
              </w:rPr>
            </w:pPr>
            <w:r>
              <w:rPr>
                <w:rFonts w:eastAsia="Times New Roman"/>
                <w:color w:val="000000"/>
                <w:sz w:val="18"/>
                <w:szCs w:val="18"/>
              </w:rPr>
              <w:t>(338,996)</w:t>
            </w:r>
          </w:p>
        </w:tc>
        <w:tc>
          <w:tcPr>
            <w:tcW w:w="0" w:type="auto"/>
            <w:shd w:val="clear" w:color="auto" w:fill="CCEEFF"/>
            <w:tcMar>
              <w:top w:w="30" w:type="dxa"/>
              <w:left w:w="0" w:type="dxa"/>
              <w:bottom w:w="30" w:type="dxa"/>
              <w:right w:w="20" w:type="dxa"/>
            </w:tcMar>
            <w:vAlign w:val="bottom"/>
            <w:hideMark/>
          </w:tcPr>
          <w:p w14:paraId="65B4BD4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D814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4E3F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09976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11D4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CC4F96" w14:textId="77777777" w:rsidR="00000000" w:rsidRDefault="00E614A4">
            <w:pPr>
              <w:jc w:val="right"/>
              <w:rPr>
                <w:rFonts w:eastAsia="Times New Roman"/>
              </w:rPr>
            </w:pPr>
            <w:r>
              <w:rPr>
                <w:rFonts w:eastAsia="Times New Roman"/>
                <w:color w:val="000000"/>
                <w:sz w:val="18"/>
                <w:szCs w:val="18"/>
              </w:rPr>
              <w:t>(338,996)</w:t>
            </w:r>
          </w:p>
        </w:tc>
        <w:tc>
          <w:tcPr>
            <w:tcW w:w="0" w:type="auto"/>
            <w:shd w:val="clear" w:color="auto" w:fill="CCEEFF"/>
            <w:tcMar>
              <w:top w:w="30" w:type="dxa"/>
              <w:left w:w="0" w:type="dxa"/>
              <w:bottom w:w="30" w:type="dxa"/>
              <w:right w:w="20" w:type="dxa"/>
            </w:tcMar>
            <w:vAlign w:val="bottom"/>
            <w:hideMark/>
          </w:tcPr>
          <w:p w14:paraId="0815E278" w14:textId="77777777" w:rsidR="00000000" w:rsidRDefault="00E614A4">
            <w:pPr>
              <w:jc w:val="right"/>
              <w:rPr>
                <w:rFonts w:eastAsia="Times New Roman"/>
              </w:rPr>
            </w:pPr>
          </w:p>
        </w:tc>
      </w:tr>
      <w:tr w:rsidR="00000000" w14:paraId="3149E548"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24A18D68" w14:textId="77777777" w:rsidR="00000000" w:rsidRDefault="00E614A4">
            <w:pPr>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64BAA47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45948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094B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6838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61AC4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B543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AD12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B73CE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7710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A926D0" w14:textId="77777777" w:rsidR="00000000" w:rsidRDefault="00E614A4">
            <w:pPr>
              <w:jc w:val="right"/>
              <w:rPr>
                <w:rFonts w:eastAsia="Times New Roman"/>
              </w:rPr>
            </w:pPr>
            <w:r>
              <w:rPr>
                <w:rFonts w:eastAsia="Times New Roman"/>
                <w:color w:val="000000"/>
                <w:sz w:val="18"/>
                <w:szCs w:val="18"/>
              </w:rPr>
              <w:t>(1,712)</w:t>
            </w:r>
          </w:p>
        </w:tc>
        <w:tc>
          <w:tcPr>
            <w:tcW w:w="0" w:type="auto"/>
            <w:shd w:val="clear" w:color="auto" w:fill="FFFFFF"/>
            <w:tcMar>
              <w:top w:w="30" w:type="dxa"/>
              <w:left w:w="0" w:type="dxa"/>
              <w:bottom w:w="30" w:type="dxa"/>
              <w:right w:w="20" w:type="dxa"/>
            </w:tcMar>
            <w:vAlign w:val="bottom"/>
            <w:hideMark/>
          </w:tcPr>
          <w:p w14:paraId="0E42D5C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0E3F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05D03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12DB1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C42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43AC5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38624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DEB6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DC59BB" w14:textId="77777777" w:rsidR="00000000" w:rsidRDefault="00E614A4">
            <w:pPr>
              <w:jc w:val="right"/>
              <w:rPr>
                <w:rFonts w:eastAsia="Times New Roman"/>
              </w:rPr>
            </w:pPr>
            <w:r>
              <w:rPr>
                <w:rFonts w:eastAsia="Times New Roman"/>
                <w:color w:val="000000"/>
                <w:sz w:val="18"/>
                <w:szCs w:val="18"/>
              </w:rPr>
              <w:t>(1,712)</w:t>
            </w:r>
          </w:p>
        </w:tc>
        <w:tc>
          <w:tcPr>
            <w:tcW w:w="0" w:type="auto"/>
            <w:shd w:val="clear" w:color="auto" w:fill="FFFFFF"/>
            <w:tcMar>
              <w:top w:w="30" w:type="dxa"/>
              <w:left w:w="0" w:type="dxa"/>
              <w:bottom w:w="30" w:type="dxa"/>
              <w:right w:w="20" w:type="dxa"/>
            </w:tcMar>
            <w:vAlign w:val="bottom"/>
            <w:hideMark/>
          </w:tcPr>
          <w:p w14:paraId="5F6B452E" w14:textId="77777777" w:rsidR="00000000" w:rsidRDefault="00E614A4">
            <w:pPr>
              <w:jc w:val="right"/>
              <w:rPr>
                <w:rFonts w:eastAsia="Times New Roman"/>
              </w:rPr>
            </w:pPr>
          </w:p>
        </w:tc>
      </w:tr>
      <w:tr w:rsidR="00000000" w14:paraId="6B059FA1"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7AEDC063" w14:textId="77777777" w:rsidR="00000000" w:rsidRDefault="00E614A4">
            <w:pPr>
              <w:rPr>
                <w:rFonts w:eastAsia="Times New Roman"/>
              </w:rPr>
            </w:pPr>
            <w:r>
              <w:rPr>
                <w:rFonts w:eastAsia="Times New Roman"/>
                <w:color w:val="000000"/>
                <w:sz w:val="18"/>
                <w:szCs w:val="18"/>
              </w:rPr>
              <w:t>Issuance of Common Stock - CVI</w:t>
            </w:r>
          </w:p>
        </w:tc>
        <w:tc>
          <w:tcPr>
            <w:tcW w:w="0" w:type="auto"/>
            <w:gridSpan w:val="2"/>
            <w:shd w:val="clear" w:color="auto" w:fill="CCEEFF"/>
            <w:tcMar>
              <w:top w:w="30" w:type="dxa"/>
              <w:left w:w="20" w:type="dxa"/>
              <w:bottom w:w="30" w:type="dxa"/>
              <w:right w:w="0" w:type="dxa"/>
            </w:tcMar>
            <w:vAlign w:val="bottom"/>
            <w:hideMark/>
          </w:tcPr>
          <w:p w14:paraId="0DFA8FE0" w14:textId="77777777" w:rsidR="00000000" w:rsidRDefault="00E614A4">
            <w:pPr>
              <w:jc w:val="right"/>
              <w:rPr>
                <w:rFonts w:eastAsia="Times New Roman"/>
              </w:rPr>
            </w:pPr>
            <w:r>
              <w:rPr>
                <w:rFonts w:eastAsia="Times New Roman"/>
                <w:color w:val="000000"/>
                <w:sz w:val="18"/>
                <w:szCs w:val="18"/>
              </w:rPr>
              <w:t>2,728,513 </w:t>
            </w:r>
          </w:p>
        </w:tc>
        <w:tc>
          <w:tcPr>
            <w:tcW w:w="0" w:type="auto"/>
            <w:shd w:val="clear" w:color="auto" w:fill="CCEEFF"/>
            <w:tcMar>
              <w:top w:w="30" w:type="dxa"/>
              <w:left w:w="0" w:type="dxa"/>
              <w:bottom w:w="30" w:type="dxa"/>
              <w:right w:w="20" w:type="dxa"/>
            </w:tcMar>
            <w:vAlign w:val="bottom"/>
            <w:hideMark/>
          </w:tcPr>
          <w:p w14:paraId="606E4C3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F54B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10DB4D" w14:textId="77777777" w:rsidR="00000000" w:rsidRDefault="00E614A4">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14:paraId="15B9DA0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D890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AEF4B3" w14:textId="77777777" w:rsidR="00000000" w:rsidRDefault="00E614A4">
            <w:pPr>
              <w:jc w:val="right"/>
              <w:rPr>
                <w:rFonts w:eastAsia="Times New Roman"/>
              </w:rPr>
            </w:pPr>
            <w:r>
              <w:rPr>
                <w:rFonts w:eastAsia="Times New Roman"/>
                <w:color w:val="000000"/>
                <w:sz w:val="18"/>
                <w:szCs w:val="18"/>
              </w:rPr>
              <w:t>8,159 </w:t>
            </w:r>
          </w:p>
        </w:tc>
        <w:tc>
          <w:tcPr>
            <w:tcW w:w="0" w:type="auto"/>
            <w:shd w:val="clear" w:color="auto" w:fill="CCEEFF"/>
            <w:tcMar>
              <w:top w:w="30" w:type="dxa"/>
              <w:left w:w="0" w:type="dxa"/>
              <w:bottom w:w="30" w:type="dxa"/>
              <w:right w:w="20" w:type="dxa"/>
            </w:tcMar>
            <w:vAlign w:val="bottom"/>
            <w:hideMark/>
          </w:tcPr>
          <w:p w14:paraId="56EE51B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234E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7322DC" w14:textId="77777777" w:rsidR="00000000" w:rsidRDefault="00E614A4">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0D0F3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D7AC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2C47A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C5112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2FF66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0BF90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5E2D5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DE5E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69A876" w14:textId="77777777" w:rsidR="00000000" w:rsidRDefault="00E614A4">
            <w:pPr>
              <w:jc w:val="right"/>
              <w:rPr>
                <w:rFonts w:eastAsia="Times New Roman"/>
              </w:rPr>
            </w:pPr>
            <w:r>
              <w:rPr>
                <w:rFonts w:eastAsia="Times New Roman"/>
                <w:color w:val="000000"/>
                <w:sz w:val="18"/>
                <w:szCs w:val="18"/>
              </w:rPr>
              <w:t>8,162 </w:t>
            </w:r>
          </w:p>
        </w:tc>
        <w:tc>
          <w:tcPr>
            <w:tcW w:w="0" w:type="auto"/>
            <w:shd w:val="clear" w:color="auto" w:fill="CCEEFF"/>
            <w:tcMar>
              <w:top w:w="30" w:type="dxa"/>
              <w:left w:w="0" w:type="dxa"/>
              <w:bottom w:w="30" w:type="dxa"/>
              <w:right w:w="20" w:type="dxa"/>
            </w:tcMar>
            <w:vAlign w:val="bottom"/>
            <w:hideMark/>
          </w:tcPr>
          <w:p w14:paraId="63706CAA" w14:textId="77777777" w:rsidR="00000000" w:rsidRDefault="00E614A4">
            <w:pPr>
              <w:jc w:val="right"/>
              <w:rPr>
                <w:rFonts w:eastAsia="Times New Roman"/>
              </w:rPr>
            </w:pPr>
          </w:p>
        </w:tc>
      </w:tr>
      <w:tr w:rsidR="00000000" w14:paraId="63EBAFDA"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51C9D694" w14:textId="77777777" w:rsidR="00000000" w:rsidRDefault="00E614A4">
            <w:pPr>
              <w:rPr>
                <w:rFonts w:eastAsia="Times New Roman"/>
              </w:rPr>
            </w:pPr>
            <w:r>
              <w:rPr>
                <w:rFonts w:eastAsia="Times New Roman"/>
                <w:color w:val="000000"/>
                <w:sz w:val="18"/>
                <w:szCs w:val="18"/>
              </w:rPr>
              <w:t>Common Stock warrants exercised - Starboard</w:t>
            </w:r>
          </w:p>
        </w:tc>
        <w:tc>
          <w:tcPr>
            <w:tcW w:w="0" w:type="auto"/>
            <w:gridSpan w:val="2"/>
            <w:shd w:val="clear" w:color="auto" w:fill="FFFFFF"/>
            <w:tcMar>
              <w:top w:w="30" w:type="dxa"/>
              <w:left w:w="20" w:type="dxa"/>
              <w:bottom w:w="30" w:type="dxa"/>
              <w:right w:w="0" w:type="dxa"/>
            </w:tcMar>
            <w:vAlign w:val="bottom"/>
            <w:hideMark/>
          </w:tcPr>
          <w:p w14:paraId="4739C59B" w14:textId="77777777" w:rsidR="00000000" w:rsidRDefault="00E614A4">
            <w:pPr>
              <w:jc w:val="right"/>
              <w:rPr>
                <w:rFonts w:eastAsia="Times New Roman"/>
              </w:rPr>
            </w:pPr>
            <w:r>
              <w:rPr>
                <w:rFonts w:eastAsia="Times New Roman"/>
                <w:color w:val="000000"/>
                <w:sz w:val="18"/>
                <w:szCs w:val="18"/>
              </w:rPr>
              <w:t>323,448 </w:t>
            </w:r>
          </w:p>
        </w:tc>
        <w:tc>
          <w:tcPr>
            <w:tcW w:w="0" w:type="auto"/>
            <w:shd w:val="clear" w:color="auto" w:fill="FFFFFF"/>
            <w:tcMar>
              <w:top w:w="30" w:type="dxa"/>
              <w:left w:w="0" w:type="dxa"/>
              <w:bottom w:w="30" w:type="dxa"/>
              <w:right w:w="20" w:type="dxa"/>
            </w:tcMar>
            <w:vAlign w:val="bottom"/>
            <w:hideMark/>
          </w:tcPr>
          <w:p w14:paraId="0E5E9CF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B9229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702FA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DFFF3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FB99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F244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6EA20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4A231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31B0B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55BB6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2D3D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863AF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902D3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3152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F0782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3D4B7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557B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8303D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37FCD8" w14:textId="77777777" w:rsidR="00000000" w:rsidRDefault="00E614A4">
            <w:pPr>
              <w:jc w:val="right"/>
              <w:rPr>
                <w:rFonts w:eastAsia="Times New Roman"/>
              </w:rPr>
            </w:pPr>
          </w:p>
        </w:tc>
      </w:tr>
      <w:tr w:rsidR="00000000" w14:paraId="2C818C2F"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63C61FAD" w14:textId="77777777" w:rsidR="00000000" w:rsidRDefault="00E614A4">
            <w:pPr>
              <w:rPr>
                <w:rFonts w:eastAsia="Times New Roman"/>
              </w:rPr>
            </w:pPr>
            <w:r>
              <w:rPr>
                <w:rFonts w:eastAsia="Times New Roman"/>
                <w:color w:val="000000"/>
                <w:sz w:val="18"/>
                <w:szCs w:val="18"/>
              </w:rPr>
              <w:t>Common Stock warrants exercised - CVI</w:t>
            </w:r>
          </w:p>
        </w:tc>
        <w:tc>
          <w:tcPr>
            <w:tcW w:w="0" w:type="auto"/>
            <w:gridSpan w:val="2"/>
            <w:shd w:val="clear" w:color="auto" w:fill="CCEEFF"/>
            <w:tcMar>
              <w:top w:w="30" w:type="dxa"/>
              <w:left w:w="20" w:type="dxa"/>
              <w:bottom w:w="30" w:type="dxa"/>
              <w:right w:w="0" w:type="dxa"/>
            </w:tcMar>
            <w:vAlign w:val="bottom"/>
            <w:hideMark/>
          </w:tcPr>
          <w:p w14:paraId="42BA15C0" w14:textId="77777777" w:rsidR="00000000" w:rsidRDefault="00E614A4">
            <w:pPr>
              <w:jc w:val="right"/>
              <w:rPr>
                <w:rFonts w:eastAsia="Times New Roman"/>
              </w:rPr>
            </w:pPr>
            <w:r>
              <w:rPr>
                <w:rFonts w:eastAsia="Times New Roman"/>
                <w:color w:val="000000"/>
                <w:sz w:val="18"/>
                <w:szCs w:val="18"/>
              </w:rPr>
              <w:t>2,728,513 </w:t>
            </w:r>
          </w:p>
        </w:tc>
        <w:tc>
          <w:tcPr>
            <w:tcW w:w="0" w:type="auto"/>
            <w:shd w:val="clear" w:color="auto" w:fill="CCEEFF"/>
            <w:tcMar>
              <w:top w:w="30" w:type="dxa"/>
              <w:left w:w="0" w:type="dxa"/>
              <w:bottom w:w="30" w:type="dxa"/>
              <w:right w:w="20" w:type="dxa"/>
            </w:tcMar>
            <w:vAlign w:val="bottom"/>
            <w:hideMark/>
          </w:tcPr>
          <w:p w14:paraId="77E141C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5B07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6F5CD5" w14:textId="77777777" w:rsidR="00000000" w:rsidRDefault="00E614A4">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14:paraId="2D49398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3114A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F273B6" w14:textId="77777777" w:rsidR="00000000" w:rsidRDefault="00E614A4">
            <w:pPr>
              <w:jc w:val="right"/>
              <w:rPr>
                <w:rFonts w:eastAsia="Times New Roman"/>
              </w:rPr>
            </w:pPr>
            <w:r>
              <w:rPr>
                <w:rFonts w:eastAsia="Times New Roman"/>
                <w:color w:val="000000"/>
                <w:sz w:val="18"/>
                <w:szCs w:val="18"/>
              </w:rPr>
              <w:t>5,482 </w:t>
            </w:r>
          </w:p>
        </w:tc>
        <w:tc>
          <w:tcPr>
            <w:tcW w:w="0" w:type="auto"/>
            <w:shd w:val="clear" w:color="auto" w:fill="CCEEFF"/>
            <w:tcMar>
              <w:top w:w="30" w:type="dxa"/>
              <w:left w:w="0" w:type="dxa"/>
              <w:bottom w:w="30" w:type="dxa"/>
              <w:right w:w="20" w:type="dxa"/>
            </w:tcMar>
            <w:vAlign w:val="bottom"/>
            <w:hideMark/>
          </w:tcPr>
          <w:p w14:paraId="064DB83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0675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AAA87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0DA7F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0595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A0061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1695F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511D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0ADD9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E2E9C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04D7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19A374" w14:textId="77777777" w:rsidR="00000000" w:rsidRDefault="00E614A4">
            <w:pPr>
              <w:jc w:val="right"/>
              <w:rPr>
                <w:rFonts w:eastAsia="Times New Roman"/>
              </w:rPr>
            </w:pPr>
            <w:r>
              <w:rPr>
                <w:rFonts w:eastAsia="Times New Roman"/>
                <w:color w:val="000000"/>
                <w:sz w:val="18"/>
                <w:szCs w:val="18"/>
              </w:rPr>
              <w:t>5,485 </w:t>
            </w:r>
          </w:p>
        </w:tc>
        <w:tc>
          <w:tcPr>
            <w:tcW w:w="0" w:type="auto"/>
            <w:shd w:val="clear" w:color="auto" w:fill="CCEEFF"/>
            <w:tcMar>
              <w:top w:w="30" w:type="dxa"/>
              <w:left w:w="0" w:type="dxa"/>
              <w:bottom w:w="30" w:type="dxa"/>
              <w:right w:w="20" w:type="dxa"/>
            </w:tcMar>
            <w:vAlign w:val="bottom"/>
            <w:hideMark/>
          </w:tcPr>
          <w:p w14:paraId="49A07A53" w14:textId="77777777" w:rsidR="00000000" w:rsidRDefault="00E614A4">
            <w:pPr>
              <w:jc w:val="right"/>
              <w:rPr>
                <w:rFonts w:eastAsia="Times New Roman"/>
              </w:rPr>
            </w:pPr>
          </w:p>
        </w:tc>
      </w:tr>
      <w:tr w:rsidR="00000000" w14:paraId="26EB75E8"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00EBAC3D" w14:textId="77777777" w:rsidR="00000000" w:rsidRDefault="00E614A4">
            <w:pPr>
              <w:rPr>
                <w:rFonts w:eastAsia="Times New Roman"/>
              </w:rPr>
            </w:pPr>
            <w:r>
              <w:rPr>
                <w:rFonts w:eastAsia="Times New Roman"/>
                <w:color w:val="000000"/>
                <w:sz w:val="18"/>
                <w:szCs w:val="18"/>
              </w:rPr>
              <w:t>Exercise of Common Stock options, net</w:t>
            </w:r>
          </w:p>
        </w:tc>
        <w:tc>
          <w:tcPr>
            <w:tcW w:w="0" w:type="auto"/>
            <w:gridSpan w:val="2"/>
            <w:shd w:val="clear" w:color="auto" w:fill="FFFFFF"/>
            <w:tcMar>
              <w:top w:w="30" w:type="dxa"/>
              <w:left w:w="20" w:type="dxa"/>
              <w:bottom w:w="30" w:type="dxa"/>
              <w:right w:w="0" w:type="dxa"/>
            </w:tcMar>
            <w:vAlign w:val="bottom"/>
            <w:hideMark/>
          </w:tcPr>
          <w:p w14:paraId="6C3B465F" w14:textId="77777777" w:rsidR="00000000" w:rsidRDefault="00E614A4">
            <w:pPr>
              <w:jc w:val="right"/>
              <w:rPr>
                <w:rFonts w:eastAsia="Times New Roman"/>
              </w:rPr>
            </w:pPr>
            <w:r>
              <w:rPr>
                <w:rFonts w:eastAsia="Times New Roman"/>
                <w:color w:val="000000"/>
                <w:sz w:val="18"/>
                <w:szCs w:val="18"/>
              </w:rPr>
              <w:t>68,259 </w:t>
            </w:r>
          </w:p>
        </w:tc>
        <w:tc>
          <w:tcPr>
            <w:tcW w:w="0" w:type="auto"/>
            <w:shd w:val="clear" w:color="auto" w:fill="FFFFFF"/>
            <w:tcMar>
              <w:top w:w="30" w:type="dxa"/>
              <w:left w:w="0" w:type="dxa"/>
              <w:bottom w:w="30" w:type="dxa"/>
              <w:right w:w="20" w:type="dxa"/>
            </w:tcMar>
            <w:vAlign w:val="bottom"/>
            <w:hideMark/>
          </w:tcPr>
          <w:p w14:paraId="39079CC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663D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04DD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B760A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423A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D801CE" w14:textId="77777777" w:rsidR="00000000" w:rsidRDefault="00E614A4">
            <w:pPr>
              <w:jc w:val="right"/>
              <w:rPr>
                <w:rFonts w:eastAsia="Times New Roman"/>
              </w:rPr>
            </w:pPr>
            <w:r>
              <w:rPr>
                <w:rFonts w:eastAsia="Times New Roman"/>
                <w:color w:val="000000"/>
                <w:sz w:val="18"/>
                <w:szCs w:val="18"/>
              </w:rPr>
              <w:t>1,191 </w:t>
            </w:r>
          </w:p>
        </w:tc>
        <w:tc>
          <w:tcPr>
            <w:tcW w:w="0" w:type="auto"/>
            <w:shd w:val="clear" w:color="auto" w:fill="FFFFFF"/>
            <w:tcMar>
              <w:top w:w="30" w:type="dxa"/>
              <w:left w:w="0" w:type="dxa"/>
              <w:bottom w:w="30" w:type="dxa"/>
              <w:right w:w="20" w:type="dxa"/>
            </w:tcMar>
            <w:vAlign w:val="bottom"/>
            <w:hideMark/>
          </w:tcPr>
          <w:p w14:paraId="6CC9EA4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E0A6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51CC1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0F4A7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7EB2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F60F8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BEF41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6800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8A617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C8D7C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BFD0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F71E22" w14:textId="77777777" w:rsidR="00000000" w:rsidRDefault="00E614A4">
            <w:pPr>
              <w:jc w:val="right"/>
              <w:rPr>
                <w:rFonts w:eastAsia="Times New Roman"/>
              </w:rPr>
            </w:pPr>
            <w:r>
              <w:rPr>
                <w:rFonts w:eastAsia="Times New Roman"/>
                <w:color w:val="000000"/>
                <w:sz w:val="18"/>
                <w:szCs w:val="18"/>
              </w:rPr>
              <w:t>1,191 </w:t>
            </w:r>
          </w:p>
        </w:tc>
        <w:tc>
          <w:tcPr>
            <w:tcW w:w="0" w:type="auto"/>
            <w:shd w:val="clear" w:color="auto" w:fill="FFFFFF"/>
            <w:tcMar>
              <w:top w:w="30" w:type="dxa"/>
              <w:left w:w="0" w:type="dxa"/>
              <w:bottom w:w="30" w:type="dxa"/>
              <w:right w:w="20" w:type="dxa"/>
            </w:tcMar>
            <w:vAlign w:val="bottom"/>
            <w:hideMark/>
          </w:tcPr>
          <w:p w14:paraId="704BCC59" w14:textId="77777777" w:rsidR="00000000" w:rsidRDefault="00E614A4">
            <w:pPr>
              <w:jc w:val="right"/>
              <w:rPr>
                <w:rFonts w:eastAsia="Times New Roman"/>
              </w:rPr>
            </w:pPr>
          </w:p>
        </w:tc>
      </w:tr>
      <w:tr w:rsidR="00000000" w14:paraId="3CE8F8FD" w14:textId="77777777">
        <w:trPr>
          <w:divId w:val="1025441864"/>
          <w:jc w:val="center"/>
        </w:trPr>
        <w:tc>
          <w:tcPr>
            <w:tcW w:w="0" w:type="auto"/>
            <w:gridSpan w:val="3"/>
            <w:vAlign w:val="center"/>
            <w:hideMark/>
          </w:tcPr>
          <w:p w14:paraId="32171D9F" w14:textId="77777777" w:rsidR="00000000" w:rsidRDefault="00E614A4">
            <w:pPr>
              <w:jc w:val="right"/>
              <w:rPr>
                <w:rFonts w:eastAsia="Times New Roman"/>
                <w:sz w:val="20"/>
                <w:szCs w:val="20"/>
              </w:rPr>
            </w:pPr>
          </w:p>
        </w:tc>
        <w:tc>
          <w:tcPr>
            <w:tcW w:w="0" w:type="auto"/>
            <w:gridSpan w:val="3"/>
            <w:vAlign w:val="center"/>
            <w:hideMark/>
          </w:tcPr>
          <w:p w14:paraId="3BD83C85" w14:textId="77777777" w:rsidR="00000000" w:rsidRDefault="00E614A4">
            <w:pPr>
              <w:rPr>
                <w:rFonts w:eastAsia="Times New Roman"/>
                <w:sz w:val="20"/>
                <w:szCs w:val="20"/>
              </w:rPr>
            </w:pPr>
          </w:p>
        </w:tc>
        <w:tc>
          <w:tcPr>
            <w:tcW w:w="0" w:type="auto"/>
            <w:gridSpan w:val="3"/>
            <w:vAlign w:val="center"/>
            <w:hideMark/>
          </w:tcPr>
          <w:p w14:paraId="71969966" w14:textId="77777777" w:rsidR="00000000" w:rsidRDefault="00E614A4">
            <w:pPr>
              <w:rPr>
                <w:rFonts w:eastAsia="Times New Roman"/>
                <w:sz w:val="20"/>
                <w:szCs w:val="20"/>
              </w:rPr>
            </w:pPr>
          </w:p>
        </w:tc>
        <w:tc>
          <w:tcPr>
            <w:tcW w:w="0" w:type="auto"/>
            <w:gridSpan w:val="3"/>
            <w:vAlign w:val="center"/>
            <w:hideMark/>
          </w:tcPr>
          <w:p w14:paraId="3987CB27" w14:textId="77777777" w:rsidR="00000000" w:rsidRDefault="00E614A4">
            <w:pPr>
              <w:rPr>
                <w:rFonts w:eastAsia="Times New Roman"/>
                <w:sz w:val="20"/>
                <w:szCs w:val="20"/>
              </w:rPr>
            </w:pPr>
          </w:p>
        </w:tc>
        <w:tc>
          <w:tcPr>
            <w:tcW w:w="0" w:type="auto"/>
            <w:gridSpan w:val="3"/>
            <w:vAlign w:val="center"/>
            <w:hideMark/>
          </w:tcPr>
          <w:p w14:paraId="29895CA1" w14:textId="77777777" w:rsidR="00000000" w:rsidRDefault="00E614A4">
            <w:pPr>
              <w:rPr>
                <w:rFonts w:eastAsia="Times New Roman"/>
                <w:sz w:val="20"/>
                <w:szCs w:val="20"/>
              </w:rPr>
            </w:pPr>
          </w:p>
        </w:tc>
        <w:tc>
          <w:tcPr>
            <w:tcW w:w="0" w:type="auto"/>
            <w:gridSpan w:val="3"/>
            <w:vAlign w:val="center"/>
            <w:hideMark/>
          </w:tcPr>
          <w:p w14:paraId="15B34E94" w14:textId="77777777" w:rsidR="00000000" w:rsidRDefault="00E614A4">
            <w:pPr>
              <w:rPr>
                <w:rFonts w:eastAsia="Times New Roman"/>
                <w:sz w:val="20"/>
                <w:szCs w:val="20"/>
              </w:rPr>
            </w:pPr>
          </w:p>
        </w:tc>
        <w:tc>
          <w:tcPr>
            <w:tcW w:w="0" w:type="auto"/>
            <w:gridSpan w:val="3"/>
            <w:vAlign w:val="center"/>
            <w:hideMark/>
          </w:tcPr>
          <w:p w14:paraId="1ADA3F30" w14:textId="77777777" w:rsidR="00000000" w:rsidRDefault="00E614A4">
            <w:pPr>
              <w:rPr>
                <w:rFonts w:eastAsia="Times New Roman"/>
                <w:sz w:val="20"/>
                <w:szCs w:val="20"/>
              </w:rPr>
            </w:pPr>
          </w:p>
        </w:tc>
        <w:tc>
          <w:tcPr>
            <w:tcW w:w="0" w:type="auto"/>
            <w:gridSpan w:val="3"/>
            <w:vAlign w:val="center"/>
            <w:hideMark/>
          </w:tcPr>
          <w:p w14:paraId="41B6C97D" w14:textId="77777777" w:rsidR="00000000" w:rsidRDefault="00E614A4">
            <w:pPr>
              <w:rPr>
                <w:rFonts w:eastAsia="Times New Roman"/>
                <w:sz w:val="20"/>
                <w:szCs w:val="20"/>
              </w:rPr>
            </w:pPr>
          </w:p>
        </w:tc>
        <w:tc>
          <w:tcPr>
            <w:tcW w:w="0" w:type="auto"/>
            <w:gridSpan w:val="3"/>
            <w:vAlign w:val="center"/>
            <w:hideMark/>
          </w:tcPr>
          <w:p w14:paraId="1C5C8AF7" w14:textId="77777777" w:rsidR="00000000" w:rsidRDefault="00E614A4">
            <w:pPr>
              <w:rPr>
                <w:rFonts w:eastAsia="Times New Roman"/>
                <w:sz w:val="20"/>
                <w:szCs w:val="20"/>
              </w:rPr>
            </w:pPr>
          </w:p>
        </w:tc>
        <w:tc>
          <w:tcPr>
            <w:tcW w:w="0" w:type="auto"/>
            <w:gridSpan w:val="3"/>
            <w:vAlign w:val="center"/>
            <w:hideMark/>
          </w:tcPr>
          <w:p w14:paraId="254BF54E" w14:textId="77777777" w:rsidR="00000000" w:rsidRDefault="00E614A4">
            <w:pPr>
              <w:rPr>
                <w:rFonts w:eastAsia="Times New Roman"/>
                <w:sz w:val="20"/>
                <w:szCs w:val="20"/>
              </w:rPr>
            </w:pPr>
          </w:p>
        </w:tc>
        <w:tc>
          <w:tcPr>
            <w:tcW w:w="0" w:type="auto"/>
            <w:gridSpan w:val="3"/>
            <w:vAlign w:val="center"/>
            <w:hideMark/>
          </w:tcPr>
          <w:p w14:paraId="6E0E876D" w14:textId="77777777" w:rsidR="00000000" w:rsidRDefault="00E614A4">
            <w:pPr>
              <w:rPr>
                <w:rFonts w:eastAsia="Times New Roman"/>
                <w:sz w:val="20"/>
                <w:szCs w:val="20"/>
              </w:rPr>
            </w:pPr>
          </w:p>
        </w:tc>
        <w:tc>
          <w:tcPr>
            <w:tcW w:w="0" w:type="auto"/>
            <w:gridSpan w:val="3"/>
            <w:vAlign w:val="center"/>
            <w:hideMark/>
          </w:tcPr>
          <w:p w14:paraId="3E6E557C" w14:textId="77777777" w:rsidR="00000000" w:rsidRDefault="00E614A4">
            <w:pPr>
              <w:rPr>
                <w:rFonts w:eastAsia="Times New Roman"/>
                <w:sz w:val="20"/>
                <w:szCs w:val="20"/>
              </w:rPr>
            </w:pPr>
          </w:p>
        </w:tc>
        <w:tc>
          <w:tcPr>
            <w:tcW w:w="0" w:type="auto"/>
            <w:gridSpan w:val="3"/>
            <w:vAlign w:val="center"/>
            <w:hideMark/>
          </w:tcPr>
          <w:p w14:paraId="29D25DAD" w14:textId="77777777" w:rsidR="00000000" w:rsidRDefault="00E614A4">
            <w:pPr>
              <w:rPr>
                <w:rFonts w:eastAsia="Times New Roman"/>
                <w:sz w:val="20"/>
                <w:szCs w:val="20"/>
              </w:rPr>
            </w:pPr>
          </w:p>
        </w:tc>
        <w:tc>
          <w:tcPr>
            <w:tcW w:w="0" w:type="auto"/>
            <w:gridSpan w:val="3"/>
            <w:vAlign w:val="center"/>
            <w:hideMark/>
          </w:tcPr>
          <w:p w14:paraId="06607158" w14:textId="77777777" w:rsidR="00000000" w:rsidRDefault="00E614A4">
            <w:pPr>
              <w:rPr>
                <w:rFonts w:eastAsia="Times New Roman"/>
                <w:sz w:val="20"/>
                <w:szCs w:val="20"/>
              </w:rPr>
            </w:pPr>
          </w:p>
        </w:tc>
      </w:tr>
      <w:tr w:rsidR="00000000" w14:paraId="1E859F52"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50A4C858" w14:textId="77777777" w:rsidR="00000000" w:rsidRDefault="00E614A4">
            <w:pPr>
              <w:rPr>
                <w:rFonts w:eastAsia="Times New Roman"/>
              </w:rPr>
            </w:pPr>
            <w:r>
              <w:rPr>
                <w:rFonts w:eastAsia="Times New Roman"/>
                <w:color w:val="000000"/>
                <w:sz w:val="18"/>
                <w:szCs w:val="18"/>
              </w:rPr>
              <w:t>Interest paid in Common Stock</w:t>
            </w:r>
          </w:p>
        </w:tc>
        <w:tc>
          <w:tcPr>
            <w:tcW w:w="0" w:type="auto"/>
            <w:gridSpan w:val="2"/>
            <w:shd w:val="clear" w:color="auto" w:fill="CCEEFF"/>
            <w:tcMar>
              <w:top w:w="30" w:type="dxa"/>
              <w:left w:w="20" w:type="dxa"/>
              <w:bottom w:w="30" w:type="dxa"/>
              <w:right w:w="0" w:type="dxa"/>
            </w:tcMar>
            <w:vAlign w:val="bottom"/>
            <w:hideMark/>
          </w:tcPr>
          <w:p w14:paraId="5CA6A7EA" w14:textId="77777777" w:rsidR="00000000" w:rsidRDefault="00E614A4">
            <w:pPr>
              <w:jc w:val="right"/>
              <w:rPr>
                <w:rFonts w:eastAsia="Times New Roman"/>
              </w:rPr>
            </w:pPr>
            <w:r>
              <w:rPr>
                <w:rFonts w:eastAsia="Times New Roman"/>
                <w:color w:val="000000"/>
                <w:sz w:val="18"/>
                <w:szCs w:val="18"/>
              </w:rPr>
              <w:t>4,057,129 </w:t>
            </w:r>
          </w:p>
        </w:tc>
        <w:tc>
          <w:tcPr>
            <w:tcW w:w="0" w:type="auto"/>
            <w:shd w:val="clear" w:color="auto" w:fill="CCEEFF"/>
            <w:tcMar>
              <w:top w:w="30" w:type="dxa"/>
              <w:left w:w="0" w:type="dxa"/>
              <w:bottom w:w="30" w:type="dxa"/>
              <w:right w:w="20" w:type="dxa"/>
            </w:tcMar>
            <w:vAlign w:val="bottom"/>
            <w:hideMark/>
          </w:tcPr>
          <w:p w14:paraId="0084B4F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E61D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9C11E0" w14:textId="77777777" w:rsidR="00000000" w:rsidRDefault="00E614A4">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7466C08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4C22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C9142E" w14:textId="77777777" w:rsidR="00000000" w:rsidRDefault="00E614A4">
            <w:pPr>
              <w:jc w:val="right"/>
              <w:rPr>
                <w:rFonts w:eastAsia="Times New Roman"/>
              </w:rPr>
            </w:pPr>
            <w:r>
              <w:rPr>
                <w:rFonts w:eastAsia="Times New Roman"/>
                <w:color w:val="000000"/>
                <w:sz w:val="18"/>
                <w:szCs w:val="18"/>
              </w:rPr>
              <w:t>17,370 </w:t>
            </w:r>
          </w:p>
        </w:tc>
        <w:tc>
          <w:tcPr>
            <w:tcW w:w="0" w:type="auto"/>
            <w:shd w:val="clear" w:color="auto" w:fill="CCEEFF"/>
            <w:tcMar>
              <w:top w:w="30" w:type="dxa"/>
              <w:left w:w="0" w:type="dxa"/>
              <w:bottom w:w="30" w:type="dxa"/>
              <w:right w:w="20" w:type="dxa"/>
            </w:tcMar>
            <w:vAlign w:val="bottom"/>
            <w:hideMark/>
          </w:tcPr>
          <w:p w14:paraId="2918038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C0B3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57072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BA82F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00E9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7D435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8C9A1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08DD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4E6C5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9FFDE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C8A1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AB7CC3" w14:textId="77777777" w:rsidR="00000000" w:rsidRDefault="00E614A4">
            <w:pPr>
              <w:jc w:val="right"/>
              <w:rPr>
                <w:rFonts w:eastAsia="Times New Roman"/>
              </w:rPr>
            </w:pPr>
            <w:r>
              <w:rPr>
                <w:rFonts w:eastAsia="Times New Roman"/>
                <w:color w:val="000000"/>
                <w:sz w:val="18"/>
                <w:szCs w:val="18"/>
              </w:rPr>
              <w:t>17,374 </w:t>
            </w:r>
          </w:p>
        </w:tc>
        <w:tc>
          <w:tcPr>
            <w:tcW w:w="0" w:type="auto"/>
            <w:shd w:val="clear" w:color="auto" w:fill="CCEEFF"/>
            <w:tcMar>
              <w:top w:w="30" w:type="dxa"/>
              <w:left w:w="0" w:type="dxa"/>
              <w:bottom w:w="30" w:type="dxa"/>
              <w:right w:w="20" w:type="dxa"/>
            </w:tcMar>
            <w:vAlign w:val="bottom"/>
            <w:hideMark/>
          </w:tcPr>
          <w:p w14:paraId="6CDE12D6" w14:textId="77777777" w:rsidR="00000000" w:rsidRDefault="00E614A4">
            <w:pPr>
              <w:jc w:val="right"/>
              <w:rPr>
                <w:rFonts w:eastAsia="Times New Roman"/>
              </w:rPr>
            </w:pPr>
          </w:p>
        </w:tc>
      </w:tr>
      <w:tr w:rsidR="00000000" w14:paraId="795EAF8F"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073DBEC5" w14:textId="77777777" w:rsidR="00000000" w:rsidRDefault="00E614A4">
            <w:pPr>
              <w:rPr>
                <w:rFonts w:eastAsia="Times New Roman"/>
              </w:rPr>
            </w:pPr>
            <w:r>
              <w:rPr>
                <w:rFonts w:eastAsia="Times New Roman"/>
                <w:color w:val="000000"/>
                <w:sz w:val="18"/>
                <w:szCs w:val="18"/>
              </w:rPr>
              <w:t>Restricted stock units vested</w:t>
            </w:r>
          </w:p>
        </w:tc>
        <w:tc>
          <w:tcPr>
            <w:tcW w:w="0" w:type="auto"/>
            <w:gridSpan w:val="2"/>
            <w:shd w:val="clear" w:color="auto" w:fill="FFFFFF"/>
            <w:tcMar>
              <w:top w:w="30" w:type="dxa"/>
              <w:left w:w="20" w:type="dxa"/>
              <w:bottom w:w="30" w:type="dxa"/>
              <w:right w:w="0" w:type="dxa"/>
            </w:tcMar>
            <w:vAlign w:val="bottom"/>
            <w:hideMark/>
          </w:tcPr>
          <w:p w14:paraId="66CC44F6" w14:textId="77777777" w:rsidR="00000000" w:rsidRDefault="00E614A4">
            <w:pPr>
              <w:jc w:val="right"/>
              <w:rPr>
                <w:rFonts w:eastAsia="Times New Roman"/>
              </w:rPr>
            </w:pPr>
            <w:r>
              <w:rPr>
                <w:rFonts w:eastAsia="Times New Roman"/>
                <w:color w:val="000000"/>
                <w:sz w:val="18"/>
                <w:szCs w:val="18"/>
              </w:rPr>
              <w:t>854,998 </w:t>
            </w:r>
          </w:p>
        </w:tc>
        <w:tc>
          <w:tcPr>
            <w:tcW w:w="0" w:type="auto"/>
            <w:shd w:val="clear" w:color="auto" w:fill="FFFFFF"/>
            <w:tcMar>
              <w:top w:w="30" w:type="dxa"/>
              <w:left w:w="0" w:type="dxa"/>
              <w:bottom w:w="30" w:type="dxa"/>
              <w:right w:w="20" w:type="dxa"/>
            </w:tcMar>
            <w:vAlign w:val="bottom"/>
            <w:hideMark/>
          </w:tcPr>
          <w:p w14:paraId="457E707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CD8E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8CED5" w14:textId="77777777" w:rsidR="00000000" w:rsidRDefault="00E614A4">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34F3A9D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70BC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1C6C86" w14:textId="77777777" w:rsidR="00000000" w:rsidRDefault="00E614A4">
            <w:pPr>
              <w:jc w:val="right"/>
              <w:rPr>
                <w:rFonts w:eastAsia="Times New Roman"/>
              </w:rPr>
            </w:pPr>
            <w:r>
              <w:rPr>
                <w:rFonts w:eastAsia="Times New Roman"/>
                <w:color w:val="000000"/>
                <w:sz w:val="18"/>
                <w:szCs w:val="18"/>
              </w:rPr>
              <w:t>4,610 </w:t>
            </w:r>
          </w:p>
        </w:tc>
        <w:tc>
          <w:tcPr>
            <w:tcW w:w="0" w:type="auto"/>
            <w:shd w:val="clear" w:color="auto" w:fill="FFFFFF"/>
            <w:tcMar>
              <w:top w:w="30" w:type="dxa"/>
              <w:left w:w="0" w:type="dxa"/>
              <w:bottom w:w="30" w:type="dxa"/>
              <w:right w:w="20" w:type="dxa"/>
            </w:tcMar>
            <w:vAlign w:val="bottom"/>
            <w:hideMark/>
          </w:tcPr>
          <w:p w14:paraId="427C1B3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DB36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4736E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120B4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7174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53F38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B15C0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3586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3FAB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B5B2B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602E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FA2B62" w14:textId="77777777" w:rsidR="00000000" w:rsidRDefault="00E614A4">
            <w:pPr>
              <w:jc w:val="right"/>
              <w:rPr>
                <w:rFonts w:eastAsia="Times New Roman"/>
              </w:rPr>
            </w:pPr>
            <w:r>
              <w:rPr>
                <w:rFonts w:eastAsia="Times New Roman"/>
                <w:color w:val="000000"/>
                <w:sz w:val="18"/>
                <w:szCs w:val="18"/>
              </w:rPr>
              <w:t>4,611 </w:t>
            </w:r>
          </w:p>
        </w:tc>
        <w:tc>
          <w:tcPr>
            <w:tcW w:w="0" w:type="auto"/>
            <w:shd w:val="clear" w:color="auto" w:fill="FFFFFF"/>
            <w:tcMar>
              <w:top w:w="30" w:type="dxa"/>
              <w:left w:w="0" w:type="dxa"/>
              <w:bottom w:w="30" w:type="dxa"/>
              <w:right w:w="20" w:type="dxa"/>
            </w:tcMar>
            <w:vAlign w:val="bottom"/>
            <w:hideMark/>
          </w:tcPr>
          <w:p w14:paraId="245F5C25" w14:textId="77777777" w:rsidR="00000000" w:rsidRDefault="00E614A4">
            <w:pPr>
              <w:jc w:val="right"/>
              <w:rPr>
                <w:rFonts w:eastAsia="Times New Roman"/>
              </w:rPr>
            </w:pPr>
          </w:p>
        </w:tc>
      </w:tr>
      <w:tr w:rsidR="00000000" w14:paraId="44F5C65F"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40820306" w14:textId="77777777" w:rsidR="00000000" w:rsidRDefault="00E614A4">
            <w:pPr>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56BAE39B" w14:textId="77777777" w:rsidR="00000000" w:rsidRDefault="00E614A4">
            <w:pPr>
              <w:jc w:val="right"/>
              <w:rPr>
                <w:rFonts w:eastAsia="Times New Roman"/>
              </w:rPr>
            </w:pPr>
            <w:r>
              <w:rPr>
                <w:rFonts w:eastAsia="Times New Roman"/>
                <w:color w:val="000000"/>
                <w:sz w:val="18"/>
                <w:szCs w:val="18"/>
              </w:rPr>
              <w:t>(85,560)</w:t>
            </w:r>
          </w:p>
        </w:tc>
        <w:tc>
          <w:tcPr>
            <w:tcW w:w="0" w:type="auto"/>
            <w:shd w:val="clear" w:color="auto" w:fill="CCEEFF"/>
            <w:tcMar>
              <w:top w:w="30" w:type="dxa"/>
              <w:left w:w="0" w:type="dxa"/>
              <w:bottom w:w="30" w:type="dxa"/>
              <w:right w:w="20" w:type="dxa"/>
            </w:tcMar>
            <w:vAlign w:val="bottom"/>
            <w:hideMark/>
          </w:tcPr>
          <w:p w14:paraId="5ABA96C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368E6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2F8C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0E32C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E98E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FD31AE" w14:textId="77777777" w:rsidR="00000000" w:rsidRDefault="00E614A4">
            <w:pPr>
              <w:jc w:val="right"/>
              <w:rPr>
                <w:rFonts w:eastAsia="Times New Roman"/>
              </w:rPr>
            </w:pPr>
            <w:r>
              <w:rPr>
                <w:rFonts w:eastAsia="Times New Roman"/>
                <w:color w:val="000000"/>
                <w:sz w:val="18"/>
                <w:szCs w:val="18"/>
              </w:rPr>
              <w:t>(1,267)</w:t>
            </w:r>
          </w:p>
        </w:tc>
        <w:tc>
          <w:tcPr>
            <w:tcW w:w="0" w:type="auto"/>
            <w:shd w:val="clear" w:color="auto" w:fill="CCEEFF"/>
            <w:tcMar>
              <w:top w:w="30" w:type="dxa"/>
              <w:left w:w="0" w:type="dxa"/>
              <w:bottom w:w="30" w:type="dxa"/>
              <w:right w:w="20" w:type="dxa"/>
            </w:tcMar>
            <w:vAlign w:val="bottom"/>
            <w:hideMark/>
          </w:tcPr>
          <w:p w14:paraId="3167D6E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C049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3979F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109A41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E8131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3231C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AD5F6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1319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48DCA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45C85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22703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7CEF0" w14:textId="77777777" w:rsidR="00000000" w:rsidRDefault="00E614A4">
            <w:pPr>
              <w:jc w:val="right"/>
              <w:rPr>
                <w:rFonts w:eastAsia="Times New Roman"/>
              </w:rPr>
            </w:pPr>
            <w:r>
              <w:rPr>
                <w:rFonts w:eastAsia="Times New Roman"/>
                <w:color w:val="000000"/>
                <w:sz w:val="18"/>
                <w:szCs w:val="18"/>
              </w:rPr>
              <w:t>(1,267)</w:t>
            </w:r>
          </w:p>
        </w:tc>
        <w:tc>
          <w:tcPr>
            <w:tcW w:w="0" w:type="auto"/>
            <w:shd w:val="clear" w:color="auto" w:fill="CCEEFF"/>
            <w:tcMar>
              <w:top w:w="30" w:type="dxa"/>
              <w:left w:w="0" w:type="dxa"/>
              <w:bottom w:w="30" w:type="dxa"/>
              <w:right w:w="20" w:type="dxa"/>
            </w:tcMar>
            <w:vAlign w:val="bottom"/>
            <w:hideMark/>
          </w:tcPr>
          <w:p w14:paraId="450AA8AD" w14:textId="77777777" w:rsidR="00000000" w:rsidRDefault="00E614A4">
            <w:pPr>
              <w:jc w:val="right"/>
              <w:rPr>
                <w:rFonts w:eastAsia="Times New Roman"/>
              </w:rPr>
            </w:pPr>
          </w:p>
        </w:tc>
      </w:tr>
      <w:tr w:rsidR="00000000" w14:paraId="67A9E52D"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23C7F5F7" w14:textId="77777777" w:rsidR="00000000" w:rsidRDefault="00E614A4">
            <w:pPr>
              <w:rPr>
                <w:rFonts w:eastAsia="Times New Roman"/>
              </w:rPr>
            </w:pPr>
            <w:r>
              <w:rPr>
                <w:rFonts w:eastAsia="Times New Roman"/>
                <w:color w:val="00000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14:paraId="4933DB3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6CFE8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D7A6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FE8B5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33E64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6778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F45D4B" w14:textId="77777777" w:rsidR="00000000" w:rsidRDefault="00E614A4">
            <w:pPr>
              <w:jc w:val="right"/>
              <w:rPr>
                <w:rFonts w:eastAsia="Times New Roman"/>
              </w:rPr>
            </w:pPr>
            <w:r>
              <w:rPr>
                <w:rFonts w:eastAsia="Times New Roman"/>
                <w:color w:val="000000"/>
                <w:sz w:val="18"/>
                <w:szCs w:val="18"/>
              </w:rPr>
              <w:t>12,605 </w:t>
            </w:r>
          </w:p>
        </w:tc>
        <w:tc>
          <w:tcPr>
            <w:tcW w:w="0" w:type="auto"/>
            <w:shd w:val="clear" w:color="auto" w:fill="FFFFFF"/>
            <w:tcMar>
              <w:top w:w="30" w:type="dxa"/>
              <w:left w:w="0" w:type="dxa"/>
              <w:bottom w:w="30" w:type="dxa"/>
              <w:right w:w="20" w:type="dxa"/>
            </w:tcMar>
            <w:vAlign w:val="bottom"/>
            <w:hideMark/>
          </w:tcPr>
          <w:p w14:paraId="32ABEBA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B29C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FD6F4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A40B4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0A9A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8890B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2435F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6FFD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20DB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D5C05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0715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48149A" w14:textId="77777777" w:rsidR="00000000" w:rsidRDefault="00E614A4">
            <w:pPr>
              <w:jc w:val="right"/>
              <w:rPr>
                <w:rFonts w:eastAsia="Times New Roman"/>
              </w:rPr>
            </w:pPr>
            <w:r>
              <w:rPr>
                <w:rFonts w:eastAsia="Times New Roman"/>
                <w:color w:val="000000"/>
                <w:sz w:val="18"/>
                <w:szCs w:val="18"/>
              </w:rPr>
              <w:t>12,605 </w:t>
            </w:r>
          </w:p>
        </w:tc>
        <w:tc>
          <w:tcPr>
            <w:tcW w:w="0" w:type="auto"/>
            <w:shd w:val="clear" w:color="auto" w:fill="FFFFFF"/>
            <w:tcMar>
              <w:top w:w="30" w:type="dxa"/>
              <w:left w:w="0" w:type="dxa"/>
              <w:bottom w:w="30" w:type="dxa"/>
              <w:right w:w="20" w:type="dxa"/>
            </w:tcMar>
            <w:vAlign w:val="bottom"/>
            <w:hideMark/>
          </w:tcPr>
          <w:p w14:paraId="5F4B5287" w14:textId="77777777" w:rsidR="00000000" w:rsidRDefault="00E614A4">
            <w:pPr>
              <w:jc w:val="right"/>
              <w:rPr>
                <w:rFonts w:eastAsia="Times New Roman"/>
              </w:rPr>
            </w:pPr>
          </w:p>
        </w:tc>
      </w:tr>
      <w:tr w:rsidR="00E614A4" w14:paraId="2C2BD9C0"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7BC9CAE8" w14:textId="77777777" w:rsidR="00000000" w:rsidRDefault="00E614A4">
            <w:pPr>
              <w:rPr>
                <w:rFonts w:eastAsia="Times New Roman"/>
              </w:rPr>
            </w:pPr>
            <w:r>
              <w:rPr>
                <w:rFonts w:eastAsia="Times New Roman"/>
                <w:b/>
                <w:bCs/>
                <w:color w:val="000000"/>
                <w:sz w:val="18"/>
                <w:szCs w:val="18"/>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7A2523" w14:textId="77777777" w:rsidR="00000000" w:rsidRDefault="00E614A4">
            <w:pPr>
              <w:jc w:val="right"/>
              <w:rPr>
                <w:rFonts w:eastAsia="Times New Roman"/>
              </w:rPr>
            </w:pPr>
            <w:r>
              <w:rPr>
                <w:rFonts w:eastAsia="Times New Roman"/>
                <w:b/>
                <w:bCs/>
                <w:color w:val="000000"/>
                <w:sz w:val="18"/>
                <w:szCs w:val="18"/>
              </w:rPr>
              <w:t>70,065,130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EF771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9BE12"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BDA244"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06C97F" w14:textId="77777777" w:rsidR="00000000" w:rsidRDefault="00E614A4">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6CC8D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24A7C"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D0311D"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F91CF9" w14:textId="77777777" w:rsidR="00000000" w:rsidRDefault="00E614A4">
            <w:pPr>
              <w:jc w:val="right"/>
              <w:rPr>
                <w:rFonts w:eastAsia="Times New Roman"/>
              </w:rPr>
            </w:pPr>
            <w:r>
              <w:rPr>
                <w:rFonts w:eastAsia="Times New Roman"/>
                <w:b/>
                <w:bCs/>
                <w:color w:val="000000"/>
                <w:sz w:val="18"/>
                <w:szCs w:val="18"/>
              </w:rPr>
              <w:t>1,609,358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D9449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A11CD"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F9CC5A"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215B3C" w14:textId="77777777" w:rsidR="00000000" w:rsidRDefault="00E614A4">
            <w:pPr>
              <w:jc w:val="right"/>
              <w:rPr>
                <w:rFonts w:eastAsia="Times New Roman"/>
              </w:rPr>
            </w:pPr>
            <w:r>
              <w:rPr>
                <w:rFonts w:eastAsia="Times New Roman"/>
                <w:b/>
                <w:bCs/>
                <w:color w:val="000000"/>
                <w:sz w:val="18"/>
                <w:szCs w:val="18"/>
              </w:rPr>
              <w:t>(12,333)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B5CBA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2FB71"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851138"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F24BDD" w14:textId="77777777" w:rsidR="00000000" w:rsidRDefault="00E614A4">
            <w:pPr>
              <w:jc w:val="right"/>
              <w:rPr>
                <w:rFonts w:eastAsia="Times New Roman"/>
              </w:rPr>
            </w:pPr>
            <w:r>
              <w:rPr>
                <w:rFonts w:eastAsia="Times New Roman"/>
                <w:b/>
                <w:bCs/>
                <w:color w:val="000000"/>
                <w:sz w:val="18"/>
                <w:szCs w:val="18"/>
              </w:rPr>
              <w:t>(1,108,137)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5531C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4817B"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C816C3"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1E10D4" w14:textId="77777777" w:rsidR="00000000" w:rsidRDefault="00E614A4">
            <w:pPr>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78749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EEF45"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CE1F7B"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9A7D5D" w14:textId="77777777" w:rsidR="00000000" w:rsidRDefault="00E614A4">
            <w:pPr>
              <w:jc w:val="right"/>
              <w:rPr>
                <w:rFonts w:eastAsia="Times New Roman"/>
              </w:rPr>
            </w:pPr>
            <w:r>
              <w:rPr>
                <w:rFonts w:eastAsia="Times New Roman"/>
                <w:b/>
                <w:bCs/>
                <w:color w:val="000000"/>
                <w:sz w:val="18"/>
                <w:szCs w:val="18"/>
              </w:rPr>
              <w:t>258,974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C81DCC" w14:textId="77777777" w:rsidR="00000000" w:rsidRDefault="00E614A4">
            <w:pPr>
              <w:jc w:val="right"/>
              <w:rPr>
                <w:rFonts w:eastAsia="Times New Roman"/>
              </w:rPr>
            </w:pPr>
          </w:p>
        </w:tc>
      </w:tr>
      <w:tr w:rsidR="00000000" w14:paraId="339B8F38"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294D6EE5" w14:textId="77777777" w:rsidR="00000000" w:rsidRDefault="00E614A4">
            <w:pPr>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1AA4205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7A22B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3AB2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194EE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F5EBE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680F4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1E00A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0B46C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6364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7D054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414E1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C95A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E5F957" w14:textId="77777777" w:rsidR="00000000" w:rsidRDefault="00E614A4">
            <w:pPr>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14:paraId="149B57F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B9FD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80AD0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7B249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8558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36FD1A" w14:textId="77777777" w:rsidR="00000000" w:rsidRDefault="00E614A4">
            <w:pPr>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14:paraId="4F98CA73" w14:textId="77777777" w:rsidR="00000000" w:rsidRDefault="00E614A4">
            <w:pPr>
              <w:jc w:val="right"/>
              <w:rPr>
                <w:rFonts w:eastAsia="Times New Roman"/>
              </w:rPr>
            </w:pPr>
          </w:p>
        </w:tc>
      </w:tr>
      <w:tr w:rsidR="00000000" w14:paraId="360412F1"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71D23154" w14:textId="77777777" w:rsidR="00000000" w:rsidRDefault="00E614A4">
            <w:pPr>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27BB697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CAB18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A89E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5A0DC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6D0875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E4862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B111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CC269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0D99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D7C621" w14:textId="77777777" w:rsidR="00000000" w:rsidRDefault="00E614A4">
            <w:pPr>
              <w:jc w:val="right"/>
              <w:rPr>
                <w:rFonts w:eastAsia="Times New Roman"/>
              </w:rPr>
            </w:pPr>
            <w:r>
              <w:rPr>
                <w:rFonts w:eastAsia="Times New Roman"/>
                <w:color w:val="000000"/>
                <w:sz w:val="18"/>
                <w:szCs w:val="18"/>
              </w:rPr>
              <w:t>5,303 </w:t>
            </w:r>
          </w:p>
        </w:tc>
        <w:tc>
          <w:tcPr>
            <w:tcW w:w="0" w:type="auto"/>
            <w:shd w:val="clear" w:color="auto" w:fill="CCEEFF"/>
            <w:tcMar>
              <w:top w:w="30" w:type="dxa"/>
              <w:left w:w="0" w:type="dxa"/>
              <w:bottom w:w="30" w:type="dxa"/>
              <w:right w:w="20" w:type="dxa"/>
            </w:tcMar>
            <w:vAlign w:val="bottom"/>
            <w:hideMark/>
          </w:tcPr>
          <w:p w14:paraId="0FD89EC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01A6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10A5C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B5638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89C9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5B550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9DA764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7DE6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1CDFA1" w14:textId="77777777" w:rsidR="00000000" w:rsidRDefault="00E614A4">
            <w:pPr>
              <w:jc w:val="right"/>
              <w:rPr>
                <w:rFonts w:eastAsia="Times New Roman"/>
              </w:rPr>
            </w:pPr>
            <w:r>
              <w:rPr>
                <w:rFonts w:eastAsia="Times New Roman"/>
                <w:color w:val="000000"/>
                <w:sz w:val="18"/>
                <w:szCs w:val="18"/>
              </w:rPr>
              <w:t>5,303 </w:t>
            </w:r>
          </w:p>
        </w:tc>
        <w:tc>
          <w:tcPr>
            <w:tcW w:w="0" w:type="auto"/>
            <w:shd w:val="clear" w:color="auto" w:fill="CCEEFF"/>
            <w:tcMar>
              <w:top w:w="30" w:type="dxa"/>
              <w:left w:w="0" w:type="dxa"/>
              <w:bottom w:w="30" w:type="dxa"/>
              <w:right w:w="20" w:type="dxa"/>
            </w:tcMar>
            <w:vAlign w:val="bottom"/>
            <w:hideMark/>
          </w:tcPr>
          <w:p w14:paraId="1ABBE9C6" w14:textId="77777777" w:rsidR="00000000" w:rsidRDefault="00E614A4">
            <w:pPr>
              <w:jc w:val="right"/>
              <w:rPr>
                <w:rFonts w:eastAsia="Times New Roman"/>
              </w:rPr>
            </w:pPr>
          </w:p>
        </w:tc>
      </w:tr>
      <w:tr w:rsidR="00000000" w14:paraId="2D78F849"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5557825D" w14:textId="77777777" w:rsidR="00000000" w:rsidRDefault="00E614A4">
            <w:pPr>
              <w:rPr>
                <w:rFonts w:eastAsia="Times New Roman"/>
              </w:rPr>
            </w:pPr>
            <w:r>
              <w:rPr>
                <w:rFonts w:eastAsia="Times New Roman"/>
                <w:color w:val="000000"/>
                <w:sz w:val="18"/>
                <w:szCs w:val="18"/>
              </w:rPr>
              <w:t>Exercise of Common Stock options, net</w:t>
            </w:r>
          </w:p>
        </w:tc>
        <w:tc>
          <w:tcPr>
            <w:tcW w:w="0" w:type="auto"/>
            <w:gridSpan w:val="2"/>
            <w:shd w:val="clear" w:color="auto" w:fill="FFFFFF"/>
            <w:tcMar>
              <w:top w:w="30" w:type="dxa"/>
              <w:left w:w="20" w:type="dxa"/>
              <w:bottom w:w="30" w:type="dxa"/>
              <w:right w:w="0" w:type="dxa"/>
            </w:tcMar>
            <w:vAlign w:val="bottom"/>
            <w:hideMark/>
          </w:tcPr>
          <w:p w14:paraId="19310952" w14:textId="77777777" w:rsidR="00000000" w:rsidRDefault="00E614A4">
            <w:pPr>
              <w:jc w:val="right"/>
              <w:rPr>
                <w:rFonts w:eastAsia="Times New Roman"/>
              </w:rPr>
            </w:pPr>
            <w:r>
              <w:rPr>
                <w:rFonts w:eastAsia="Times New Roman"/>
                <w:color w:val="000000"/>
                <w:sz w:val="18"/>
                <w:szCs w:val="18"/>
              </w:rPr>
              <w:t>75,000 </w:t>
            </w:r>
          </w:p>
        </w:tc>
        <w:tc>
          <w:tcPr>
            <w:tcW w:w="0" w:type="auto"/>
            <w:shd w:val="clear" w:color="auto" w:fill="FFFFFF"/>
            <w:tcMar>
              <w:top w:w="30" w:type="dxa"/>
              <w:left w:w="0" w:type="dxa"/>
              <w:bottom w:w="30" w:type="dxa"/>
              <w:right w:w="20" w:type="dxa"/>
            </w:tcMar>
            <w:vAlign w:val="bottom"/>
            <w:hideMark/>
          </w:tcPr>
          <w:p w14:paraId="093F58F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4F53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F1D2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8D945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1AD0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D76E9C" w14:textId="77777777" w:rsidR="00000000" w:rsidRDefault="00E614A4">
            <w:pPr>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bottom"/>
            <w:hideMark/>
          </w:tcPr>
          <w:p w14:paraId="43BB2FB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144A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54CDE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6D141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81D5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7A061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4893B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8D5B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C74D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EB83B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9105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64EC64" w14:textId="77777777" w:rsidR="00000000" w:rsidRDefault="00E614A4">
            <w:pPr>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bottom"/>
            <w:hideMark/>
          </w:tcPr>
          <w:p w14:paraId="09CD8BCD" w14:textId="77777777" w:rsidR="00000000" w:rsidRDefault="00E614A4">
            <w:pPr>
              <w:jc w:val="right"/>
              <w:rPr>
                <w:rFonts w:eastAsia="Times New Roman"/>
              </w:rPr>
            </w:pPr>
          </w:p>
        </w:tc>
      </w:tr>
      <w:tr w:rsidR="00000000" w14:paraId="6DEC08D2"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14D9E6EF" w14:textId="77777777" w:rsidR="00000000" w:rsidRDefault="00E614A4">
            <w:pPr>
              <w:rPr>
                <w:rFonts w:eastAsia="Times New Roman"/>
              </w:rPr>
            </w:pPr>
            <w:r>
              <w:rPr>
                <w:rFonts w:eastAsia="Times New Roman"/>
                <w:color w:val="000000"/>
                <w:sz w:val="18"/>
                <w:szCs w:val="18"/>
              </w:rPr>
              <w:t>Interest paid in Common Stock</w:t>
            </w:r>
          </w:p>
        </w:tc>
        <w:tc>
          <w:tcPr>
            <w:tcW w:w="0" w:type="auto"/>
            <w:gridSpan w:val="2"/>
            <w:shd w:val="clear" w:color="auto" w:fill="CCEEFF"/>
            <w:tcMar>
              <w:top w:w="30" w:type="dxa"/>
              <w:left w:w="20" w:type="dxa"/>
              <w:bottom w:w="30" w:type="dxa"/>
              <w:right w:w="0" w:type="dxa"/>
            </w:tcMar>
            <w:vAlign w:val="bottom"/>
            <w:hideMark/>
          </w:tcPr>
          <w:p w14:paraId="067D0D35" w14:textId="77777777" w:rsidR="00000000" w:rsidRDefault="00E614A4">
            <w:pPr>
              <w:jc w:val="right"/>
              <w:rPr>
                <w:rFonts w:eastAsia="Times New Roman"/>
              </w:rPr>
            </w:pPr>
            <w:r>
              <w:rPr>
                <w:rFonts w:eastAsia="Times New Roman"/>
                <w:color w:val="000000"/>
                <w:sz w:val="18"/>
                <w:szCs w:val="18"/>
              </w:rPr>
              <w:t>1,474,201 </w:t>
            </w:r>
          </w:p>
        </w:tc>
        <w:tc>
          <w:tcPr>
            <w:tcW w:w="0" w:type="auto"/>
            <w:shd w:val="clear" w:color="auto" w:fill="CCEEFF"/>
            <w:tcMar>
              <w:top w:w="30" w:type="dxa"/>
              <w:left w:w="0" w:type="dxa"/>
              <w:bottom w:w="30" w:type="dxa"/>
              <w:right w:w="20" w:type="dxa"/>
            </w:tcMar>
            <w:vAlign w:val="bottom"/>
            <w:hideMark/>
          </w:tcPr>
          <w:p w14:paraId="06706E7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9A3C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C7150" w14:textId="77777777" w:rsidR="00000000" w:rsidRDefault="00E614A4">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14:paraId="2434057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C2ACB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693723" w14:textId="77777777" w:rsidR="00000000" w:rsidRDefault="00E614A4">
            <w:pPr>
              <w:jc w:val="right"/>
              <w:rPr>
                <w:rFonts w:eastAsia="Times New Roman"/>
              </w:rPr>
            </w:pPr>
            <w:r>
              <w:rPr>
                <w:rFonts w:eastAsia="Times New Roman"/>
                <w:color w:val="000000"/>
                <w:sz w:val="18"/>
                <w:szCs w:val="18"/>
              </w:rPr>
              <w:t>3,058 </w:t>
            </w:r>
          </w:p>
        </w:tc>
        <w:tc>
          <w:tcPr>
            <w:tcW w:w="0" w:type="auto"/>
            <w:shd w:val="clear" w:color="auto" w:fill="CCEEFF"/>
            <w:tcMar>
              <w:top w:w="30" w:type="dxa"/>
              <w:left w:w="0" w:type="dxa"/>
              <w:bottom w:w="30" w:type="dxa"/>
              <w:right w:w="20" w:type="dxa"/>
            </w:tcMar>
            <w:vAlign w:val="bottom"/>
            <w:hideMark/>
          </w:tcPr>
          <w:p w14:paraId="7474EBF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E448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8573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67E20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8089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4DF94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60AE4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B787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196BC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48CFD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A526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19324F" w14:textId="77777777" w:rsidR="00000000" w:rsidRDefault="00E614A4">
            <w:pPr>
              <w:jc w:val="right"/>
              <w:rPr>
                <w:rFonts w:eastAsia="Times New Roman"/>
              </w:rPr>
            </w:pPr>
            <w:r>
              <w:rPr>
                <w:rFonts w:eastAsia="Times New Roman"/>
                <w:color w:val="000000"/>
                <w:sz w:val="18"/>
                <w:szCs w:val="18"/>
              </w:rPr>
              <w:t>3,060 </w:t>
            </w:r>
          </w:p>
        </w:tc>
        <w:tc>
          <w:tcPr>
            <w:tcW w:w="0" w:type="auto"/>
            <w:shd w:val="clear" w:color="auto" w:fill="CCEEFF"/>
            <w:tcMar>
              <w:top w:w="30" w:type="dxa"/>
              <w:left w:w="0" w:type="dxa"/>
              <w:bottom w:w="30" w:type="dxa"/>
              <w:right w:w="20" w:type="dxa"/>
            </w:tcMar>
            <w:vAlign w:val="bottom"/>
            <w:hideMark/>
          </w:tcPr>
          <w:p w14:paraId="24ABCD34" w14:textId="77777777" w:rsidR="00000000" w:rsidRDefault="00E614A4">
            <w:pPr>
              <w:jc w:val="right"/>
              <w:rPr>
                <w:rFonts w:eastAsia="Times New Roman"/>
              </w:rPr>
            </w:pPr>
          </w:p>
        </w:tc>
      </w:tr>
      <w:tr w:rsidR="00000000" w14:paraId="21994776"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131B64B1" w14:textId="77777777" w:rsidR="00000000" w:rsidRDefault="00E614A4">
            <w:pPr>
              <w:rPr>
                <w:rFonts w:eastAsia="Times New Roman"/>
              </w:rPr>
            </w:pPr>
            <w:r>
              <w:rPr>
                <w:rFonts w:eastAsia="Times New Roman"/>
                <w:color w:val="000000"/>
                <w:sz w:val="18"/>
                <w:szCs w:val="18"/>
              </w:rPr>
              <w:t>Restricted stock units vested</w:t>
            </w:r>
          </w:p>
        </w:tc>
        <w:tc>
          <w:tcPr>
            <w:tcW w:w="0" w:type="auto"/>
            <w:gridSpan w:val="2"/>
            <w:shd w:val="clear" w:color="auto" w:fill="FFFFFF"/>
            <w:tcMar>
              <w:top w:w="30" w:type="dxa"/>
              <w:left w:w="20" w:type="dxa"/>
              <w:bottom w:w="30" w:type="dxa"/>
              <w:right w:w="0" w:type="dxa"/>
            </w:tcMar>
            <w:vAlign w:val="bottom"/>
            <w:hideMark/>
          </w:tcPr>
          <w:p w14:paraId="1CF28C48" w14:textId="77777777" w:rsidR="00000000" w:rsidRDefault="00E614A4">
            <w:pPr>
              <w:jc w:val="right"/>
              <w:rPr>
                <w:rFonts w:eastAsia="Times New Roman"/>
              </w:rPr>
            </w:pPr>
            <w:r>
              <w:rPr>
                <w:rFonts w:eastAsia="Times New Roman"/>
                <w:color w:val="000000"/>
                <w:sz w:val="18"/>
                <w:szCs w:val="18"/>
              </w:rPr>
              <w:t>1,363,152 </w:t>
            </w:r>
          </w:p>
        </w:tc>
        <w:tc>
          <w:tcPr>
            <w:tcW w:w="0" w:type="auto"/>
            <w:shd w:val="clear" w:color="auto" w:fill="FFFFFF"/>
            <w:tcMar>
              <w:top w:w="30" w:type="dxa"/>
              <w:left w:w="0" w:type="dxa"/>
              <w:bottom w:w="30" w:type="dxa"/>
              <w:right w:w="20" w:type="dxa"/>
            </w:tcMar>
            <w:vAlign w:val="bottom"/>
            <w:hideMark/>
          </w:tcPr>
          <w:p w14:paraId="1FFC5F8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A834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C346E" w14:textId="77777777" w:rsidR="00000000" w:rsidRDefault="00E614A4">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19344BC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C201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88D97" w14:textId="77777777" w:rsidR="00000000" w:rsidRDefault="00E614A4">
            <w:pPr>
              <w:jc w:val="right"/>
              <w:rPr>
                <w:rFonts w:eastAsia="Times New Roman"/>
              </w:rPr>
            </w:pPr>
            <w:r>
              <w:rPr>
                <w:rFonts w:eastAsia="Times New Roman"/>
                <w:color w:val="000000"/>
                <w:sz w:val="18"/>
                <w:szCs w:val="18"/>
              </w:rPr>
              <w:t>3,064 </w:t>
            </w:r>
          </w:p>
        </w:tc>
        <w:tc>
          <w:tcPr>
            <w:tcW w:w="0" w:type="auto"/>
            <w:shd w:val="clear" w:color="auto" w:fill="FFFFFF"/>
            <w:tcMar>
              <w:top w:w="30" w:type="dxa"/>
              <w:left w:w="0" w:type="dxa"/>
              <w:bottom w:w="30" w:type="dxa"/>
              <w:right w:w="20" w:type="dxa"/>
            </w:tcMar>
            <w:vAlign w:val="bottom"/>
            <w:hideMark/>
          </w:tcPr>
          <w:p w14:paraId="78DCB54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2E29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5CBD6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DB423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7B5A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50D60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E2FCF3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E4B4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0B914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D1358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E27C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489A37" w14:textId="77777777" w:rsidR="00000000" w:rsidRDefault="00E614A4">
            <w:pPr>
              <w:jc w:val="right"/>
              <w:rPr>
                <w:rFonts w:eastAsia="Times New Roman"/>
              </w:rPr>
            </w:pPr>
            <w:r>
              <w:rPr>
                <w:rFonts w:eastAsia="Times New Roman"/>
                <w:color w:val="000000"/>
                <w:sz w:val="18"/>
                <w:szCs w:val="18"/>
              </w:rPr>
              <w:t>3,065 </w:t>
            </w:r>
          </w:p>
        </w:tc>
        <w:tc>
          <w:tcPr>
            <w:tcW w:w="0" w:type="auto"/>
            <w:shd w:val="clear" w:color="auto" w:fill="FFFFFF"/>
            <w:tcMar>
              <w:top w:w="30" w:type="dxa"/>
              <w:left w:w="0" w:type="dxa"/>
              <w:bottom w:w="30" w:type="dxa"/>
              <w:right w:w="20" w:type="dxa"/>
            </w:tcMar>
            <w:vAlign w:val="bottom"/>
            <w:hideMark/>
          </w:tcPr>
          <w:p w14:paraId="55510E2A" w14:textId="77777777" w:rsidR="00000000" w:rsidRDefault="00E614A4">
            <w:pPr>
              <w:jc w:val="right"/>
              <w:rPr>
                <w:rFonts w:eastAsia="Times New Roman"/>
              </w:rPr>
            </w:pPr>
          </w:p>
        </w:tc>
      </w:tr>
      <w:tr w:rsidR="00000000" w14:paraId="30108496"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10574A6B" w14:textId="77777777" w:rsidR="00000000" w:rsidRDefault="00E614A4">
            <w:pPr>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7FCEA875" w14:textId="77777777" w:rsidR="00000000" w:rsidRDefault="00E614A4">
            <w:pPr>
              <w:jc w:val="right"/>
              <w:rPr>
                <w:rFonts w:eastAsia="Times New Roman"/>
              </w:rPr>
            </w:pPr>
            <w:r>
              <w:rPr>
                <w:rFonts w:eastAsia="Times New Roman"/>
                <w:color w:val="000000"/>
                <w:sz w:val="18"/>
                <w:szCs w:val="18"/>
              </w:rPr>
              <w:t>(38,937)</w:t>
            </w:r>
          </w:p>
        </w:tc>
        <w:tc>
          <w:tcPr>
            <w:tcW w:w="0" w:type="auto"/>
            <w:shd w:val="clear" w:color="auto" w:fill="CCEEFF"/>
            <w:tcMar>
              <w:top w:w="30" w:type="dxa"/>
              <w:left w:w="0" w:type="dxa"/>
              <w:bottom w:w="30" w:type="dxa"/>
              <w:right w:w="20" w:type="dxa"/>
            </w:tcMar>
            <w:vAlign w:val="bottom"/>
            <w:hideMark/>
          </w:tcPr>
          <w:p w14:paraId="36219C8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F6D1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88069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71611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581F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77FB29" w14:textId="77777777" w:rsidR="00000000" w:rsidRDefault="00E614A4">
            <w:pPr>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14:paraId="63EB153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A614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91FF3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F98DF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82F8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D3E5A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1DCD1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2102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15F8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F9EDC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4705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F6B383" w14:textId="77777777" w:rsidR="00000000" w:rsidRDefault="00E614A4">
            <w:pPr>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14:paraId="175196BD" w14:textId="77777777" w:rsidR="00000000" w:rsidRDefault="00E614A4">
            <w:pPr>
              <w:jc w:val="right"/>
              <w:rPr>
                <w:rFonts w:eastAsia="Times New Roman"/>
              </w:rPr>
            </w:pPr>
          </w:p>
        </w:tc>
      </w:tr>
      <w:tr w:rsidR="00000000" w14:paraId="3C2A47C3" w14:textId="77777777">
        <w:trPr>
          <w:divId w:val="1025441864"/>
          <w:jc w:val="center"/>
        </w:trPr>
        <w:tc>
          <w:tcPr>
            <w:tcW w:w="0" w:type="auto"/>
            <w:gridSpan w:val="3"/>
            <w:shd w:val="clear" w:color="auto" w:fill="FFFFFF"/>
            <w:tcMar>
              <w:top w:w="30" w:type="dxa"/>
              <w:left w:w="20" w:type="dxa"/>
              <w:bottom w:w="30" w:type="dxa"/>
              <w:right w:w="20" w:type="dxa"/>
            </w:tcMar>
            <w:vAlign w:val="bottom"/>
            <w:hideMark/>
          </w:tcPr>
          <w:p w14:paraId="04BB439D" w14:textId="77777777" w:rsidR="00000000" w:rsidRDefault="00E614A4">
            <w:pPr>
              <w:rPr>
                <w:rFonts w:eastAsia="Times New Roman"/>
              </w:rPr>
            </w:pPr>
            <w:r>
              <w:rPr>
                <w:rFonts w:eastAsia="Times New Roman"/>
                <w:color w:val="00000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14:paraId="1F1D9EB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5E098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F507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F8ED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77E09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FDED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43C939" w14:textId="77777777" w:rsidR="00000000" w:rsidRDefault="00E614A4">
            <w:pPr>
              <w:jc w:val="right"/>
              <w:rPr>
                <w:rFonts w:eastAsia="Times New Roman"/>
              </w:rPr>
            </w:pPr>
            <w:r>
              <w:rPr>
                <w:rFonts w:eastAsia="Times New Roman"/>
                <w:color w:val="000000"/>
                <w:sz w:val="18"/>
                <w:szCs w:val="18"/>
              </w:rPr>
              <w:t>6,480 </w:t>
            </w:r>
          </w:p>
        </w:tc>
        <w:tc>
          <w:tcPr>
            <w:tcW w:w="0" w:type="auto"/>
            <w:shd w:val="clear" w:color="auto" w:fill="FFFFFF"/>
            <w:tcMar>
              <w:top w:w="30" w:type="dxa"/>
              <w:left w:w="0" w:type="dxa"/>
              <w:bottom w:w="30" w:type="dxa"/>
              <w:right w:w="20" w:type="dxa"/>
            </w:tcMar>
            <w:vAlign w:val="bottom"/>
            <w:hideMark/>
          </w:tcPr>
          <w:p w14:paraId="5E8B6C9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2CC3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F1BD5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F883A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F4C2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7832C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40DD4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4BBB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53132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13BD8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ABA8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B1FE98" w14:textId="77777777" w:rsidR="00000000" w:rsidRDefault="00E614A4">
            <w:pPr>
              <w:jc w:val="right"/>
              <w:rPr>
                <w:rFonts w:eastAsia="Times New Roman"/>
              </w:rPr>
            </w:pPr>
            <w:r>
              <w:rPr>
                <w:rFonts w:eastAsia="Times New Roman"/>
                <w:color w:val="000000"/>
                <w:sz w:val="18"/>
                <w:szCs w:val="18"/>
              </w:rPr>
              <w:t>6,480 </w:t>
            </w:r>
          </w:p>
        </w:tc>
        <w:tc>
          <w:tcPr>
            <w:tcW w:w="0" w:type="auto"/>
            <w:shd w:val="clear" w:color="auto" w:fill="FFFFFF"/>
            <w:tcMar>
              <w:top w:w="30" w:type="dxa"/>
              <w:left w:w="0" w:type="dxa"/>
              <w:bottom w:w="30" w:type="dxa"/>
              <w:right w:w="20" w:type="dxa"/>
            </w:tcMar>
            <w:vAlign w:val="bottom"/>
            <w:hideMark/>
          </w:tcPr>
          <w:p w14:paraId="0580E051" w14:textId="77777777" w:rsidR="00000000" w:rsidRDefault="00E614A4">
            <w:pPr>
              <w:jc w:val="right"/>
              <w:rPr>
                <w:rFonts w:eastAsia="Times New Roman"/>
              </w:rPr>
            </w:pPr>
          </w:p>
        </w:tc>
      </w:tr>
      <w:tr w:rsidR="00E614A4" w14:paraId="7563AFC6" w14:textId="77777777">
        <w:trPr>
          <w:divId w:val="1025441864"/>
          <w:jc w:val="center"/>
        </w:trPr>
        <w:tc>
          <w:tcPr>
            <w:tcW w:w="0" w:type="auto"/>
            <w:gridSpan w:val="3"/>
            <w:shd w:val="clear" w:color="auto" w:fill="CCEEFF"/>
            <w:tcMar>
              <w:top w:w="30" w:type="dxa"/>
              <w:left w:w="20" w:type="dxa"/>
              <w:bottom w:w="30" w:type="dxa"/>
              <w:right w:w="20" w:type="dxa"/>
            </w:tcMar>
            <w:vAlign w:val="bottom"/>
            <w:hideMark/>
          </w:tcPr>
          <w:p w14:paraId="3D0FD07E" w14:textId="77777777" w:rsidR="00000000" w:rsidRDefault="00E614A4">
            <w:pPr>
              <w:rPr>
                <w:rFonts w:eastAsia="Times New Roman"/>
              </w:rPr>
            </w:pPr>
            <w:r>
              <w:rPr>
                <w:rFonts w:eastAsia="Times New Roman"/>
                <w:b/>
                <w:bCs/>
                <w:color w:val="000000"/>
                <w:sz w:val="18"/>
                <w:szCs w:val="18"/>
              </w:rPr>
              <w:t>Balance as of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BE44A5" w14:textId="77777777" w:rsidR="00000000" w:rsidRDefault="00E614A4">
            <w:pPr>
              <w:jc w:val="right"/>
              <w:rPr>
                <w:rFonts w:eastAsia="Times New Roman"/>
              </w:rPr>
            </w:pPr>
            <w:r>
              <w:rPr>
                <w:rFonts w:eastAsia="Times New Roman"/>
                <w:b/>
                <w:bCs/>
                <w:color w:val="000000"/>
                <w:sz w:val="18"/>
                <w:szCs w:val="18"/>
              </w:rPr>
              <w:t>72,938,546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5C43B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F5C51"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A53AD0"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CDF78F" w14:textId="77777777" w:rsidR="00000000" w:rsidRDefault="00E614A4">
            <w:pPr>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9EF30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F2C36"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B00270"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5A4EF7" w14:textId="77777777" w:rsidR="00000000" w:rsidRDefault="00E614A4">
            <w:pPr>
              <w:jc w:val="right"/>
              <w:rPr>
                <w:rFonts w:eastAsia="Times New Roman"/>
              </w:rPr>
            </w:pPr>
            <w:r>
              <w:rPr>
                <w:rFonts w:eastAsia="Times New Roman"/>
                <w:b/>
                <w:bCs/>
                <w:color w:val="000000"/>
                <w:sz w:val="18"/>
                <w:szCs w:val="18"/>
              </w:rPr>
              <w:t>1,621,986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94302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6FFA9"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8ACD8A"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FBE41F" w14:textId="77777777" w:rsidR="00000000" w:rsidRDefault="00E614A4">
            <w:pPr>
              <w:jc w:val="right"/>
              <w:rPr>
                <w:rFonts w:eastAsia="Times New Roman"/>
              </w:rPr>
            </w:pPr>
            <w:r>
              <w:rPr>
                <w:rFonts w:eastAsia="Times New Roman"/>
                <w:b/>
                <w:bCs/>
                <w:color w:val="000000"/>
                <w:sz w:val="18"/>
                <w:szCs w:val="18"/>
              </w:rPr>
              <w:t>(7,030)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6B73E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AE58B"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550A45"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77CDD0" w14:textId="77777777" w:rsidR="00000000" w:rsidRDefault="00E614A4">
            <w:pPr>
              <w:jc w:val="right"/>
              <w:rPr>
                <w:rFonts w:eastAsia="Times New Roman"/>
              </w:rPr>
            </w:pPr>
            <w:r>
              <w:rPr>
                <w:rFonts w:eastAsia="Times New Roman"/>
                <w:b/>
                <w:bCs/>
                <w:color w:val="000000"/>
                <w:sz w:val="18"/>
                <w:szCs w:val="18"/>
              </w:rPr>
              <w:t>(1,156,055)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1F68B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24C77"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3C4C59"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49A103" w14:textId="77777777" w:rsidR="00000000" w:rsidRDefault="00E614A4">
            <w:pPr>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B2D02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81667"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B023BE" w14:textId="77777777" w:rsidR="00000000" w:rsidRDefault="00E614A4">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57FDF3" w14:textId="77777777" w:rsidR="00000000" w:rsidRDefault="00E614A4">
            <w:pPr>
              <w:jc w:val="right"/>
              <w:rPr>
                <w:rFonts w:eastAsia="Times New Roman"/>
              </w:rPr>
            </w:pPr>
            <w:r>
              <w:rPr>
                <w:rFonts w:eastAsia="Times New Roman"/>
                <w:b/>
                <w:bCs/>
                <w:color w:val="000000"/>
                <w:sz w:val="18"/>
                <w:szCs w:val="18"/>
              </w:rPr>
              <w:t>228,990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B62985" w14:textId="77777777" w:rsidR="00000000" w:rsidRDefault="00E614A4">
            <w:pPr>
              <w:jc w:val="right"/>
              <w:rPr>
                <w:rFonts w:eastAsia="Times New Roman"/>
              </w:rPr>
            </w:pPr>
          </w:p>
        </w:tc>
      </w:tr>
    </w:tbl>
    <w:p w14:paraId="0C5B44AE" w14:textId="77777777" w:rsidR="00000000" w:rsidRDefault="00E614A4">
      <w:pPr>
        <w:jc w:val="center"/>
        <w:divId w:val="1462504708"/>
        <w:rPr>
          <w:rFonts w:eastAsia="Times New Roman"/>
        </w:rPr>
      </w:pPr>
      <w:r>
        <w:rPr>
          <w:rFonts w:eastAsia="Times New Roman"/>
          <w:color w:val="000000"/>
          <w:sz w:val="18"/>
          <w:szCs w:val="18"/>
        </w:rPr>
        <w:t>See accompanying Notes to Consolidated Financial Statements.</w:t>
      </w:r>
    </w:p>
    <w:p w14:paraId="24668388" w14:textId="77777777" w:rsidR="00000000" w:rsidRDefault="00E614A4">
      <w:pPr>
        <w:jc w:val="center"/>
        <w:divId w:val="1293707494"/>
        <w:rPr>
          <w:rFonts w:eastAsia="Times New Roman"/>
        </w:rPr>
      </w:pPr>
      <w:r>
        <w:rPr>
          <w:rFonts w:eastAsia="Times New Roman"/>
          <w:color w:val="000000"/>
          <w:sz w:val="20"/>
          <w:szCs w:val="20"/>
        </w:rPr>
        <w:t>61</w:t>
      </w:r>
    </w:p>
    <w:p w14:paraId="0BD0B45A" w14:textId="77777777" w:rsidR="00000000" w:rsidRDefault="00E614A4">
      <w:pPr>
        <w:rPr>
          <w:rFonts w:eastAsia="Times New Roman"/>
        </w:rPr>
      </w:pPr>
      <w:r>
        <w:rPr>
          <w:rFonts w:eastAsia="Times New Roman"/>
        </w:rPr>
        <w:pict w14:anchorId="274C78B8">
          <v:rect id="_x0000_i1089" style="width:0;height:1.5pt" o:hralign="center" o:hrstd="t" o:hr="t" fillcolor="#a0a0a0" stroked="f"/>
        </w:pict>
      </w:r>
    </w:p>
    <w:p w14:paraId="60A3A028" w14:textId="77777777" w:rsidR="00000000" w:rsidRDefault="00E614A4">
      <w:pPr>
        <w:divId w:val="52856435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04418F8" w14:textId="77777777" w:rsidR="00000000" w:rsidRDefault="00E614A4">
      <w:pPr>
        <w:divId w:val="1882860382"/>
        <w:rPr>
          <w:rFonts w:eastAsia="Times New Roman"/>
        </w:rPr>
      </w:pPr>
    </w:p>
    <w:p w14:paraId="4F7E8DED" w14:textId="77777777" w:rsidR="00000000" w:rsidRDefault="00E614A4">
      <w:pPr>
        <w:jc w:val="center"/>
        <w:divId w:val="1146555866"/>
        <w:rPr>
          <w:rFonts w:eastAsia="Times New Roman"/>
        </w:rPr>
      </w:pPr>
      <w:r>
        <w:rPr>
          <w:rFonts w:eastAsia="Times New Roman"/>
          <w:b/>
          <w:bCs/>
          <w:color w:val="000000"/>
          <w:sz w:val="20"/>
          <w:szCs w:val="20"/>
        </w:rPr>
        <w:t>COMSCORE, INC.</w:t>
      </w:r>
    </w:p>
    <w:p w14:paraId="4517A0E7" w14:textId="77777777" w:rsidR="00000000" w:rsidRDefault="00E614A4">
      <w:pPr>
        <w:jc w:val="center"/>
        <w:rPr>
          <w:rFonts w:eastAsia="Times New Roman"/>
        </w:rPr>
      </w:pPr>
      <w:r>
        <w:rPr>
          <w:rFonts w:eastAsia="Times New Roman"/>
          <w:b/>
          <w:bCs/>
          <w:color w:val="000000"/>
          <w:sz w:val="20"/>
          <w:szCs w:val="20"/>
        </w:rPr>
        <w:t>CONSOLIDATED STATEMENTS OF CASH FLOWS</w:t>
      </w:r>
    </w:p>
    <w:p w14:paraId="3684A40C" w14:textId="77777777" w:rsidR="00000000" w:rsidRDefault="00E614A4">
      <w:pPr>
        <w:jc w:val="center"/>
        <w:rPr>
          <w:rFonts w:eastAsia="Times New Roman"/>
        </w:rPr>
      </w:pPr>
      <w:r>
        <w:rPr>
          <w:rFonts w:eastAsia="Times New Roman"/>
          <w:b/>
          <w:bCs/>
          <w:color w:val="000000"/>
          <w:sz w:val="16"/>
          <w:szCs w:val="16"/>
        </w:rPr>
        <w:t>(In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683"/>
        <w:gridCol w:w="39"/>
        <w:gridCol w:w="110"/>
        <w:gridCol w:w="963"/>
        <w:gridCol w:w="36"/>
        <w:gridCol w:w="36"/>
        <w:gridCol w:w="36"/>
        <w:gridCol w:w="36"/>
        <w:gridCol w:w="110"/>
        <w:gridCol w:w="963"/>
        <w:gridCol w:w="36"/>
        <w:gridCol w:w="36"/>
        <w:gridCol w:w="36"/>
        <w:gridCol w:w="36"/>
        <w:gridCol w:w="110"/>
        <w:gridCol w:w="964"/>
        <w:gridCol w:w="36"/>
      </w:tblGrid>
      <w:tr w:rsidR="00000000" w14:paraId="6B358F79" w14:textId="77777777">
        <w:trPr>
          <w:divId w:val="1037663851"/>
          <w:jc w:val="center"/>
        </w:trPr>
        <w:tc>
          <w:tcPr>
            <w:tcW w:w="50" w:type="pct"/>
            <w:vAlign w:val="center"/>
            <w:hideMark/>
          </w:tcPr>
          <w:p w14:paraId="199629F1" w14:textId="77777777" w:rsidR="00000000" w:rsidRDefault="00E614A4">
            <w:pPr>
              <w:jc w:val="center"/>
              <w:rPr>
                <w:rFonts w:eastAsia="Times New Roman"/>
              </w:rPr>
            </w:pPr>
          </w:p>
        </w:tc>
        <w:tc>
          <w:tcPr>
            <w:tcW w:w="2868" w:type="pct"/>
            <w:vAlign w:val="center"/>
            <w:hideMark/>
          </w:tcPr>
          <w:p w14:paraId="30D3C444" w14:textId="77777777" w:rsidR="00000000" w:rsidRDefault="00E614A4">
            <w:pPr>
              <w:rPr>
                <w:rFonts w:eastAsia="Times New Roman"/>
                <w:sz w:val="20"/>
                <w:szCs w:val="20"/>
              </w:rPr>
            </w:pPr>
          </w:p>
        </w:tc>
        <w:tc>
          <w:tcPr>
            <w:tcW w:w="5" w:type="pct"/>
            <w:vAlign w:val="center"/>
            <w:hideMark/>
          </w:tcPr>
          <w:p w14:paraId="471D23A5" w14:textId="77777777" w:rsidR="00000000" w:rsidRDefault="00E614A4">
            <w:pPr>
              <w:rPr>
                <w:rFonts w:eastAsia="Times New Roman"/>
                <w:sz w:val="20"/>
                <w:szCs w:val="20"/>
              </w:rPr>
            </w:pPr>
          </w:p>
        </w:tc>
        <w:tc>
          <w:tcPr>
            <w:tcW w:w="50" w:type="pct"/>
            <w:vAlign w:val="center"/>
            <w:hideMark/>
          </w:tcPr>
          <w:p w14:paraId="43ED3A99" w14:textId="77777777" w:rsidR="00000000" w:rsidRDefault="00E614A4">
            <w:pPr>
              <w:rPr>
                <w:rFonts w:eastAsia="Times New Roman"/>
                <w:sz w:val="20"/>
                <w:szCs w:val="20"/>
              </w:rPr>
            </w:pPr>
          </w:p>
        </w:tc>
        <w:tc>
          <w:tcPr>
            <w:tcW w:w="618" w:type="pct"/>
            <w:vAlign w:val="center"/>
            <w:hideMark/>
          </w:tcPr>
          <w:p w14:paraId="7EEDC842" w14:textId="77777777" w:rsidR="00000000" w:rsidRDefault="00E614A4">
            <w:pPr>
              <w:rPr>
                <w:rFonts w:eastAsia="Times New Roman"/>
                <w:sz w:val="20"/>
                <w:szCs w:val="20"/>
              </w:rPr>
            </w:pPr>
          </w:p>
        </w:tc>
        <w:tc>
          <w:tcPr>
            <w:tcW w:w="5" w:type="pct"/>
            <w:vAlign w:val="center"/>
            <w:hideMark/>
          </w:tcPr>
          <w:p w14:paraId="03289387" w14:textId="77777777" w:rsidR="00000000" w:rsidRDefault="00E614A4">
            <w:pPr>
              <w:rPr>
                <w:rFonts w:eastAsia="Times New Roman"/>
                <w:sz w:val="20"/>
                <w:szCs w:val="20"/>
              </w:rPr>
            </w:pPr>
          </w:p>
        </w:tc>
        <w:tc>
          <w:tcPr>
            <w:tcW w:w="5" w:type="pct"/>
            <w:vAlign w:val="center"/>
            <w:hideMark/>
          </w:tcPr>
          <w:p w14:paraId="46B045C9" w14:textId="77777777" w:rsidR="00000000" w:rsidRDefault="00E614A4">
            <w:pPr>
              <w:rPr>
                <w:rFonts w:eastAsia="Times New Roman"/>
                <w:sz w:val="20"/>
                <w:szCs w:val="20"/>
              </w:rPr>
            </w:pPr>
          </w:p>
        </w:tc>
        <w:tc>
          <w:tcPr>
            <w:tcW w:w="17" w:type="pct"/>
            <w:vAlign w:val="center"/>
            <w:hideMark/>
          </w:tcPr>
          <w:p w14:paraId="7371FC25" w14:textId="77777777" w:rsidR="00000000" w:rsidRDefault="00E614A4">
            <w:pPr>
              <w:rPr>
                <w:rFonts w:eastAsia="Times New Roman"/>
                <w:sz w:val="20"/>
                <w:szCs w:val="20"/>
              </w:rPr>
            </w:pPr>
          </w:p>
        </w:tc>
        <w:tc>
          <w:tcPr>
            <w:tcW w:w="5" w:type="pct"/>
            <w:vAlign w:val="center"/>
            <w:hideMark/>
          </w:tcPr>
          <w:p w14:paraId="76E31D43" w14:textId="77777777" w:rsidR="00000000" w:rsidRDefault="00E614A4">
            <w:pPr>
              <w:rPr>
                <w:rFonts w:eastAsia="Times New Roman"/>
                <w:sz w:val="20"/>
                <w:szCs w:val="20"/>
              </w:rPr>
            </w:pPr>
          </w:p>
        </w:tc>
        <w:tc>
          <w:tcPr>
            <w:tcW w:w="50" w:type="pct"/>
            <w:vAlign w:val="center"/>
            <w:hideMark/>
          </w:tcPr>
          <w:p w14:paraId="01E67D11" w14:textId="77777777" w:rsidR="00000000" w:rsidRDefault="00E614A4">
            <w:pPr>
              <w:rPr>
                <w:rFonts w:eastAsia="Times New Roman"/>
                <w:sz w:val="20"/>
                <w:szCs w:val="20"/>
              </w:rPr>
            </w:pPr>
          </w:p>
        </w:tc>
        <w:tc>
          <w:tcPr>
            <w:tcW w:w="618" w:type="pct"/>
            <w:vAlign w:val="center"/>
            <w:hideMark/>
          </w:tcPr>
          <w:p w14:paraId="0258B40B" w14:textId="77777777" w:rsidR="00000000" w:rsidRDefault="00E614A4">
            <w:pPr>
              <w:rPr>
                <w:rFonts w:eastAsia="Times New Roman"/>
                <w:sz w:val="20"/>
                <w:szCs w:val="20"/>
              </w:rPr>
            </w:pPr>
          </w:p>
        </w:tc>
        <w:tc>
          <w:tcPr>
            <w:tcW w:w="5" w:type="pct"/>
            <w:vAlign w:val="center"/>
            <w:hideMark/>
          </w:tcPr>
          <w:p w14:paraId="1FFFCCB0" w14:textId="77777777" w:rsidR="00000000" w:rsidRDefault="00E614A4">
            <w:pPr>
              <w:rPr>
                <w:rFonts w:eastAsia="Times New Roman"/>
                <w:sz w:val="20"/>
                <w:szCs w:val="20"/>
              </w:rPr>
            </w:pPr>
          </w:p>
        </w:tc>
        <w:tc>
          <w:tcPr>
            <w:tcW w:w="5" w:type="pct"/>
            <w:vAlign w:val="center"/>
            <w:hideMark/>
          </w:tcPr>
          <w:p w14:paraId="335C3960" w14:textId="77777777" w:rsidR="00000000" w:rsidRDefault="00E614A4">
            <w:pPr>
              <w:rPr>
                <w:rFonts w:eastAsia="Times New Roman"/>
                <w:sz w:val="20"/>
                <w:szCs w:val="20"/>
              </w:rPr>
            </w:pPr>
          </w:p>
        </w:tc>
        <w:tc>
          <w:tcPr>
            <w:tcW w:w="17" w:type="pct"/>
            <w:vAlign w:val="center"/>
            <w:hideMark/>
          </w:tcPr>
          <w:p w14:paraId="7411E7F8" w14:textId="77777777" w:rsidR="00000000" w:rsidRDefault="00E614A4">
            <w:pPr>
              <w:rPr>
                <w:rFonts w:eastAsia="Times New Roman"/>
                <w:sz w:val="20"/>
                <w:szCs w:val="20"/>
              </w:rPr>
            </w:pPr>
          </w:p>
        </w:tc>
        <w:tc>
          <w:tcPr>
            <w:tcW w:w="5" w:type="pct"/>
            <w:vAlign w:val="center"/>
            <w:hideMark/>
          </w:tcPr>
          <w:p w14:paraId="6DFD1BF6" w14:textId="77777777" w:rsidR="00000000" w:rsidRDefault="00E614A4">
            <w:pPr>
              <w:rPr>
                <w:rFonts w:eastAsia="Times New Roman"/>
                <w:sz w:val="20"/>
                <w:szCs w:val="20"/>
              </w:rPr>
            </w:pPr>
          </w:p>
        </w:tc>
        <w:tc>
          <w:tcPr>
            <w:tcW w:w="50" w:type="pct"/>
            <w:vAlign w:val="center"/>
            <w:hideMark/>
          </w:tcPr>
          <w:p w14:paraId="2226AAC6" w14:textId="77777777" w:rsidR="00000000" w:rsidRDefault="00E614A4">
            <w:pPr>
              <w:rPr>
                <w:rFonts w:eastAsia="Times New Roman"/>
                <w:sz w:val="20"/>
                <w:szCs w:val="20"/>
              </w:rPr>
            </w:pPr>
          </w:p>
        </w:tc>
        <w:tc>
          <w:tcPr>
            <w:tcW w:w="618" w:type="pct"/>
            <w:vAlign w:val="center"/>
            <w:hideMark/>
          </w:tcPr>
          <w:p w14:paraId="407231E4" w14:textId="77777777" w:rsidR="00000000" w:rsidRDefault="00E614A4">
            <w:pPr>
              <w:rPr>
                <w:rFonts w:eastAsia="Times New Roman"/>
                <w:sz w:val="20"/>
                <w:szCs w:val="20"/>
              </w:rPr>
            </w:pPr>
          </w:p>
        </w:tc>
        <w:tc>
          <w:tcPr>
            <w:tcW w:w="5" w:type="pct"/>
            <w:vAlign w:val="center"/>
            <w:hideMark/>
          </w:tcPr>
          <w:p w14:paraId="77F0C800" w14:textId="77777777" w:rsidR="00000000" w:rsidRDefault="00E614A4">
            <w:pPr>
              <w:rPr>
                <w:rFonts w:eastAsia="Times New Roman"/>
                <w:sz w:val="20"/>
                <w:szCs w:val="20"/>
              </w:rPr>
            </w:pPr>
          </w:p>
        </w:tc>
      </w:tr>
      <w:tr w:rsidR="00000000" w14:paraId="1A680B78" w14:textId="77777777">
        <w:trPr>
          <w:divId w:val="1037663851"/>
          <w:jc w:val="center"/>
        </w:trPr>
        <w:tc>
          <w:tcPr>
            <w:tcW w:w="0" w:type="auto"/>
            <w:gridSpan w:val="3"/>
            <w:tcMar>
              <w:top w:w="30" w:type="dxa"/>
              <w:left w:w="20" w:type="dxa"/>
              <w:bottom w:w="30" w:type="dxa"/>
              <w:right w:w="20" w:type="dxa"/>
            </w:tcMar>
            <w:vAlign w:val="bottom"/>
            <w:hideMark/>
          </w:tcPr>
          <w:p w14:paraId="00CE0F52" w14:textId="77777777" w:rsidR="00000000" w:rsidRDefault="00E614A4">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7C2E61BA"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0DB23233" w14:textId="77777777">
        <w:trPr>
          <w:divId w:val="1037663851"/>
          <w:jc w:val="center"/>
        </w:trPr>
        <w:tc>
          <w:tcPr>
            <w:tcW w:w="0" w:type="auto"/>
            <w:gridSpan w:val="3"/>
            <w:tcMar>
              <w:top w:w="0" w:type="dxa"/>
              <w:left w:w="20" w:type="dxa"/>
              <w:bottom w:w="0" w:type="dxa"/>
              <w:right w:w="20" w:type="dxa"/>
            </w:tcMar>
            <w:vAlign w:val="center"/>
            <w:hideMark/>
          </w:tcPr>
          <w:p w14:paraId="248CB304"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BC71AD"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C61CFCB"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6D5F56"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41EF2FBF"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07937F" w14:textId="77777777" w:rsidR="00000000" w:rsidRDefault="00E614A4">
            <w:pPr>
              <w:jc w:val="center"/>
              <w:rPr>
                <w:rFonts w:eastAsia="Times New Roman"/>
              </w:rPr>
            </w:pPr>
            <w:r>
              <w:rPr>
                <w:rFonts w:eastAsia="Times New Roman"/>
                <w:b/>
                <w:bCs/>
                <w:color w:val="000000"/>
                <w:sz w:val="16"/>
                <w:szCs w:val="16"/>
              </w:rPr>
              <w:t>2018</w:t>
            </w:r>
          </w:p>
        </w:tc>
      </w:tr>
      <w:tr w:rsidR="00000000" w14:paraId="6277F74A" w14:textId="77777777">
        <w:trPr>
          <w:divId w:val="1037663851"/>
          <w:jc w:val="center"/>
        </w:trPr>
        <w:tc>
          <w:tcPr>
            <w:tcW w:w="0" w:type="auto"/>
            <w:gridSpan w:val="3"/>
            <w:shd w:val="clear" w:color="auto" w:fill="CCEEFF"/>
            <w:tcMar>
              <w:top w:w="30" w:type="dxa"/>
              <w:left w:w="20" w:type="dxa"/>
              <w:bottom w:w="30" w:type="dxa"/>
              <w:right w:w="20" w:type="dxa"/>
            </w:tcMar>
            <w:hideMark/>
          </w:tcPr>
          <w:p w14:paraId="083C97D0" w14:textId="77777777" w:rsidR="00000000" w:rsidRDefault="00E614A4">
            <w:pPr>
              <w:divId w:val="1605262970"/>
              <w:rPr>
                <w:rFonts w:eastAsia="Times New Roman"/>
              </w:rPr>
            </w:pPr>
            <w:r>
              <w:rPr>
                <w:rFonts w:eastAsia="Times New Roman"/>
                <w:b/>
                <w:bCs/>
                <w:color w:val="000000"/>
                <w:sz w:val="18"/>
                <w:szCs w:val="18"/>
              </w:rPr>
              <w:t>Operating activities</w:t>
            </w: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98AC67"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ABAD7"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7EB8A0"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7DA8E5"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C519B4" w14:textId="77777777" w:rsidR="00000000" w:rsidRDefault="00E614A4">
            <w:pPr>
              <w:rPr>
                <w:rFonts w:eastAsia="Times New Roman"/>
                <w:sz w:val="20"/>
                <w:szCs w:val="20"/>
              </w:rPr>
            </w:pPr>
          </w:p>
        </w:tc>
      </w:tr>
      <w:tr w:rsidR="00000000" w14:paraId="5EF29B30" w14:textId="77777777">
        <w:trPr>
          <w:divId w:val="1037663851"/>
          <w:jc w:val="center"/>
        </w:trPr>
        <w:tc>
          <w:tcPr>
            <w:tcW w:w="0" w:type="auto"/>
            <w:gridSpan w:val="3"/>
            <w:shd w:val="clear" w:color="auto" w:fill="FFFFFF"/>
            <w:tcMar>
              <w:top w:w="30" w:type="dxa"/>
              <w:left w:w="20" w:type="dxa"/>
              <w:bottom w:w="30" w:type="dxa"/>
              <w:right w:w="20" w:type="dxa"/>
            </w:tcMar>
            <w:hideMark/>
          </w:tcPr>
          <w:p w14:paraId="2F56B71D" w14:textId="77777777" w:rsidR="00000000" w:rsidRDefault="00E614A4">
            <w:pPr>
              <w:rPr>
                <w:rFonts w:eastAsia="Times New Roman"/>
              </w:rPr>
            </w:pPr>
            <w:r>
              <w:rPr>
                <w:rFonts w:eastAsia="Times New Roman"/>
                <w:color w:val="000000"/>
                <w:sz w:val="18"/>
                <w:szCs w:val="18"/>
              </w:rPr>
              <w:t>Net loss</w:t>
            </w:r>
          </w:p>
        </w:tc>
        <w:tc>
          <w:tcPr>
            <w:tcW w:w="0" w:type="auto"/>
            <w:shd w:val="clear" w:color="auto" w:fill="FFFFFF"/>
            <w:tcMar>
              <w:top w:w="30" w:type="dxa"/>
              <w:left w:w="20" w:type="dxa"/>
              <w:bottom w:w="30" w:type="dxa"/>
              <w:right w:w="0" w:type="dxa"/>
            </w:tcMar>
            <w:vAlign w:val="bottom"/>
            <w:hideMark/>
          </w:tcPr>
          <w:p w14:paraId="2CBB9639"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37ED582" w14:textId="77777777" w:rsidR="00000000" w:rsidRDefault="00E614A4">
            <w:pPr>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14:paraId="23D1BD0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DCFD2"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2A850F"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E3F34C9" w14:textId="77777777" w:rsidR="00000000" w:rsidRDefault="00E614A4">
            <w:pPr>
              <w:jc w:val="right"/>
              <w:rPr>
                <w:rFonts w:eastAsia="Times New Roman"/>
              </w:rPr>
            </w:pPr>
            <w:r>
              <w:rPr>
                <w:rFonts w:eastAsia="Times New Roman"/>
                <w:color w:val="000000"/>
                <w:sz w:val="18"/>
                <w:szCs w:val="18"/>
              </w:rPr>
              <w:t>(338,996)</w:t>
            </w:r>
          </w:p>
        </w:tc>
        <w:tc>
          <w:tcPr>
            <w:tcW w:w="0" w:type="auto"/>
            <w:shd w:val="clear" w:color="auto" w:fill="FFFFFF"/>
            <w:tcMar>
              <w:top w:w="30" w:type="dxa"/>
              <w:left w:w="0" w:type="dxa"/>
              <w:bottom w:w="30" w:type="dxa"/>
              <w:right w:w="20" w:type="dxa"/>
            </w:tcMar>
            <w:vAlign w:val="bottom"/>
            <w:hideMark/>
          </w:tcPr>
          <w:p w14:paraId="09D906E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EA4D0A"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9A6E45"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7852DA7" w14:textId="77777777" w:rsidR="00000000" w:rsidRDefault="00E614A4">
            <w:pPr>
              <w:jc w:val="right"/>
              <w:rPr>
                <w:rFonts w:eastAsia="Times New Roman"/>
              </w:rPr>
            </w:pPr>
            <w:r>
              <w:rPr>
                <w:rFonts w:eastAsia="Times New Roman"/>
                <w:color w:val="000000"/>
                <w:sz w:val="18"/>
                <w:szCs w:val="18"/>
              </w:rPr>
              <w:t>(159,268)</w:t>
            </w:r>
          </w:p>
        </w:tc>
        <w:tc>
          <w:tcPr>
            <w:tcW w:w="0" w:type="auto"/>
            <w:shd w:val="clear" w:color="auto" w:fill="FFFFFF"/>
            <w:tcMar>
              <w:top w:w="30" w:type="dxa"/>
              <w:left w:w="0" w:type="dxa"/>
              <w:bottom w:w="30" w:type="dxa"/>
              <w:right w:w="20" w:type="dxa"/>
            </w:tcMar>
            <w:vAlign w:val="bottom"/>
            <w:hideMark/>
          </w:tcPr>
          <w:p w14:paraId="1B351851" w14:textId="77777777" w:rsidR="00000000" w:rsidRDefault="00E614A4">
            <w:pPr>
              <w:jc w:val="right"/>
              <w:rPr>
                <w:rFonts w:eastAsia="Times New Roman"/>
              </w:rPr>
            </w:pPr>
          </w:p>
        </w:tc>
      </w:tr>
      <w:tr w:rsidR="00000000" w14:paraId="067FB67D" w14:textId="77777777">
        <w:trPr>
          <w:divId w:val="1037663851"/>
          <w:jc w:val="center"/>
        </w:trPr>
        <w:tc>
          <w:tcPr>
            <w:tcW w:w="0" w:type="auto"/>
            <w:gridSpan w:val="3"/>
            <w:shd w:val="clear" w:color="auto" w:fill="CCEEFF"/>
            <w:tcMar>
              <w:top w:w="30" w:type="dxa"/>
              <w:left w:w="20" w:type="dxa"/>
              <w:bottom w:w="30" w:type="dxa"/>
              <w:right w:w="20" w:type="dxa"/>
            </w:tcMar>
            <w:hideMark/>
          </w:tcPr>
          <w:p w14:paraId="1C387062" w14:textId="77777777" w:rsidR="00000000" w:rsidRDefault="00E614A4">
            <w:pPr>
              <w:rPr>
                <w:rFonts w:eastAsia="Times New Roman"/>
              </w:rPr>
            </w:pPr>
            <w:r>
              <w:rPr>
                <w:rFonts w:eastAsia="Times New Roman"/>
                <w:color w:val="000000"/>
                <w:sz w:val="18"/>
                <w:szCs w:val="18"/>
              </w:rPr>
              <w:t>Adjustments to reconcile net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3C3C2150"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6DF5D"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43E2CD"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60C18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ECC649" w14:textId="77777777" w:rsidR="00000000" w:rsidRDefault="00E614A4">
            <w:pPr>
              <w:rPr>
                <w:rFonts w:eastAsia="Times New Roman"/>
                <w:sz w:val="20"/>
                <w:szCs w:val="20"/>
              </w:rPr>
            </w:pPr>
          </w:p>
        </w:tc>
      </w:tr>
      <w:tr w:rsidR="00000000" w14:paraId="29A18B6B" w14:textId="77777777">
        <w:trPr>
          <w:divId w:val="1037663851"/>
          <w:jc w:val="center"/>
        </w:trPr>
        <w:tc>
          <w:tcPr>
            <w:tcW w:w="0" w:type="auto"/>
            <w:gridSpan w:val="3"/>
            <w:shd w:val="clear" w:color="auto" w:fill="FFFFFF"/>
            <w:tcMar>
              <w:top w:w="30" w:type="dxa"/>
              <w:left w:w="260" w:type="dxa"/>
              <w:bottom w:w="30" w:type="dxa"/>
              <w:right w:w="20" w:type="dxa"/>
            </w:tcMar>
            <w:hideMark/>
          </w:tcPr>
          <w:p w14:paraId="6C889653" w14:textId="77777777" w:rsidR="00000000" w:rsidRDefault="00E614A4">
            <w:pPr>
              <w:rPr>
                <w:rFonts w:eastAsia="Times New Roman"/>
              </w:rPr>
            </w:pPr>
            <w:r>
              <w:rPr>
                <w:rFonts w:eastAsia="Times New Roman"/>
                <w:color w:val="000000"/>
                <w:sz w:val="18"/>
                <w:szCs w:val="18"/>
              </w:rPr>
              <w:t xml:space="preserve">Amortization of intangible assets </w:t>
            </w:r>
          </w:p>
        </w:tc>
        <w:tc>
          <w:tcPr>
            <w:tcW w:w="0" w:type="auto"/>
            <w:gridSpan w:val="2"/>
            <w:shd w:val="clear" w:color="auto" w:fill="FFFFFF"/>
            <w:tcMar>
              <w:top w:w="30" w:type="dxa"/>
              <w:left w:w="20" w:type="dxa"/>
              <w:bottom w:w="30" w:type="dxa"/>
              <w:right w:w="0" w:type="dxa"/>
            </w:tcMar>
            <w:vAlign w:val="bottom"/>
            <w:hideMark/>
          </w:tcPr>
          <w:p w14:paraId="4EFBE1D7" w14:textId="77777777" w:rsidR="00000000" w:rsidRDefault="00E614A4">
            <w:pPr>
              <w:jc w:val="right"/>
              <w:rPr>
                <w:rFonts w:eastAsia="Times New Roman"/>
              </w:rPr>
            </w:pPr>
            <w:r>
              <w:rPr>
                <w:rFonts w:eastAsia="Times New Roman"/>
                <w:color w:val="000000"/>
                <w:sz w:val="18"/>
                <w:szCs w:val="18"/>
              </w:rPr>
              <w:t>27,219 </w:t>
            </w:r>
          </w:p>
        </w:tc>
        <w:tc>
          <w:tcPr>
            <w:tcW w:w="0" w:type="auto"/>
            <w:shd w:val="clear" w:color="auto" w:fill="FFFFFF"/>
            <w:tcMar>
              <w:top w:w="30" w:type="dxa"/>
              <w:left w:w="0" w:type="dxa"/>
              <w:bottom w:w="30" w:type="dxa"/>
              <w:right w:w="20" w:type="dxa"/>
            </w:tcMar>
            <w:vAlign w:val="bottom"/>
            <w:hideMark/>
          </w:tcPr>
          <w:p w14:paraId="3013E05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1CD9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88A984" w14:textId="77777777" w:rsidR="00000000" w:rsidRDefault="00E614A4">
            <w:pPr>
              <w:jc w:val="right"/>
              <w:rPr>
                <w:rFonts w:eastAsia="Times New Roman"/>
              </w:rPr>
            </w:pPr>
            <w:r>
              <w:rPr>
                <w:rFonts w:eastAsia="Times New Roman"/>
                <w:color w:val="000000"/>
                <w:sz w:val="18"/>
                <w:szCs w:val="18"/>
              </w:rPr>
              <w:t>30,076 </w:t>
            </w:r>
          </w:p>
        </w:tc>
        <w:tc>
          <w:tcPr>
            <w:tcW w:w="0" w:type="auto"/>
            <w:shd w:val="clear" w:color="auto" w:fill="FFFFFF"/>
            <w:tcMar>
              <w:top w:w="30" w:type="dxa"/>
              <w:left w:w="0" w:type="dxa"/>
              <w:bottom w:w="30" w:type="dxa"/>
              <w:right w:w="20" w:type="dxa"/>
            </w:tcMar>
            <w:vAlign w:val="bottom"/>
            <w:hideMark/>
          </w:tcPr>
          <w:p w14:paraId="26DC055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6CDE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D4E557" w14:textId="77777777" w:rsidR="00000000" w:rsidRDefault="00E614A4">
            <w:pPr>
              <w:jc w:val="right"/>
              <w:rPr>
                <w:rFonts w:eastAsia="Times New Roman"/>
              </w:rPr>
            </w:pPr>
            <w:r>
              <w:rPr>
                <w:rFonts w:eastAsia="Times New Roman"/>
                <w:color w:val="000000"/>
                <w:sz w:val="18"/>
                <w:szCs w:val="18"/>
              </w:rPr>
              <w:t>32,864 </w:t>
            </w:r>
          </w:p>
        </w:tc>
        <w:tc>
          <w:tcPr>
            <w:tcW w:w="0" w:type="auto"/>
            <w:shd w:val="clear" w:color="auto" w:fill="FFFFFF"/>
            <w:tcMar>
              <w:top w:w="30" w:type="dxa"/>
              <w:left w:w="0" w:type="dxa"/>
              <w:bottom w:w="30" w:type="dxa"/>
              <w:right w:w="20" w:type="dxa"/>
            </w:tcMar>
            <w:vAlign w:val="bottom"/>
            <w:hideMark/>
          </w:tcPr>
          <w:p w14:paraId="5C6F01B6" w14:textId="77777777" w:rsidR="00000000" w:rsidRDefault="00E614A4">
            <w:pPr>
              <w:jc w:val="right"/>
              <w:rPr>
                <w:rFonts w:eastAsia="Times New Roman"/>
              </w:rPr>
            </w:pPr>
          </w:p>
        </w:tc>
      </w:tr>
      <w:tr w:rsidR="00000000" w14:paraId="1BAA3483" w14:textId="77777777">
        <w:trPr>
          <w:divId w:val="1037663851"/>
          <w:jc w:val="center"/>
        </w:trPr>
        <w:tc>
          <w:tcPr>
            <w:tcW w:w="0" w:type="auto"/>
            <w:gridSpan w:val="3"/>
            <w:shd w:val="clear" w:color="auto" w:fill="CCEEFF"/>
            <w:tcMar>
              <w:top w:w="30" w:type="dxa"/>
              <w:left w:w="260" w:type="dxa"/>
              <w:bottom w:w="30" w:type="dxa"/>
              <w:right w:w="20" w:type="dxa"/>
            </w:tcMar>
            <w:hideMark/>
          </w:tcPr>
          <w:p w14:paraId="356E5BB8" w14:textId="77777777" w:rsidR="00000000" w:rsidRDefault="00E614A4">
            <w:pPr>
              <w:rPr>
                <w:rFonts w:eastAsia="Times New Roman"/>
              </w:rPr>
            </w:pPr>
            <w:r>
              <w:rPr>
                <w:rFonts w:eastAsia="Times New Roman"/>
                <w:color w:val="000000"/>
                <w:sz w:val="18"/>
                <w:szCs w:val="18"/>
              </w:rPr>
              <w:t>Depreciation</w:t>
            </w:r>
          </w:p>
        </w:tc>
        <w:tc>
          <w:tcPr>
            <w:tcW w:w="0" w:type="auto"/>
            <w:gridSpan w:val="2"/>
            <w:shd w:val="clear" w:color="auto" w:fill="CCEEFF"/>
            <w:tcMar>
              <w:top w:w="30" w:type="dxa"/>
              <w:left w:w="20" w:type="dxa"/>
              <w:bottom w:w="30" w:type="dxa"/>
              <w:right w:w="0" w:type="dxa"/>
            </w:tcMar>
            <w:vAlign w:val="bottom"/>
            <w:hideMark/>
          </w:tcPr>
          <w:p w14:paraId="65C15F22" w14:textId="77777777" w:rsidR="00000000" w:rsidRDefault="00E614A4">
            <w:pPr>
              <w:jc w:val="right"/>
              <w:rPr>
                <w:rFonts w:eastAsia="Times New Roman"/>
              </w:rPr>
            </w:pPr>
            <w:r>
              <w:rPr>
                <w:rFonts w:eastAsia="Times New Roman"/>
                <w:color w:val="000000"/>
                <w:sz w:val="18"/>
                <w:szCs w:val="18"/>
              </w:rPr>
              <w:t>14,064 </w:t>
            </w:r>
          </w:p>
        </w:tc>
        <w:tc>
          <w:tcPr>
            <w:tcW w:w="0" w:type="auto"/>
            <w:shd w:val="clear" w:color="auto" w:fill="CCEEFF"/>
            <w:tcMar>
              <w:top w:w="30" w:type="dxa"/>
              <w:left w:w="0" w:type="dxa"/>
              <w:bottom w:w="30" w:type="dxa"/>
              <w:right w:w="20" w:type="dxa"/>
            </w:tcMar>
            <w:vAlign w:val="bottom"/>
            <w:hideMark/>
          </w:tcPr>
          <w:p w14:paraId="466B8B8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443E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3F00C4" w14:textId="77777777" w:rsidR="00000000" w:rsidRDefault="00E614A4">
            <w:pPr>
              <w:jc w:val="right"/>
              <w:rPr>
                <w:rFonts w:eastAsia="Times New Roman"/>
              </w:rPr>
            </w:pPr>
            <w:r>
              <w:rPr>
                <w:rFonts w:eastAsia="Times New Roman"/>
                <w:color w:val="000000"/>
                <w:sz w:val="18"/>
                <w:szCs w:val="18"/>
              </w:rPr>
              <w:t>12,778 </w:t>
            </w:r>
          </w:p>
        </w:tc>
        <w:tc>
          <w:tcPr>
            <w:tcW w:w="0" w:type="auto"/>
            <w:shd w:val="clear" w:color="auto" w:fill="CCEEFF"/>
            <w:tcMar>
              <w:top w:w="30" w:type="dxa"/>
              <w:left w:w="0" w:type="dxa"/>
              <w:bottom w:w="30" w:type="dxa"/>
              <w:right w:w="20" w:type="dxa"/>
            </w:tcMar>
            <w:vAlign w:val="bottom"/>
            <w:hideMark/>
          </w:tcPr>
          <w:p w14:paraId="640D29F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1066A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3F517C" w14:textId="77777777" w:rsidR="00000000" w:rsidRDefault="00E614A4">
            <w:pPr>
              <w:jc w:val="right"/>
              <w:rPr>
                <w:rFonts w:eastAsia="Times New Roman"/>
              </w:rPr>
            </w:pPr>
            <w:r>
              <w:rPr>
                <w:rFonts w:eastAsia="Times New Roman"/>
                <w:color w:val="000000"/>
                <w:sz w:val="18"/>
                <w:szCs w:val="18"/>
              </w:rPr>
              <w:t>17,259 </w:t>
            </w:r>
          </w:p>
        </w:tc>
        <w:tc>
          <w:tcPr>
            <w:tcW w:w="0" w:type="auto"/>
            <w:shd w:val="clear" w:color="auto" w:fill="CCEEFF"/>
            <w:tcMar>
              <w:top w:w="30" w:type="dxa"/>
              <w:left w:w="0" w:type="dxa"/>
              <w:bottom w:w="30" w:type="dxa"/>
              <w:right w:w="20" w:type="dxa"/>
            </w:tcMar>
            <w:vAlign w:val="bottom"/>
            <w:hideMark/>
          </w:tcPr>
          <w:p w14:paraId="1025F810" w14:textId="77777777" w:rsidR="00000000" w:rsidRDefault="00E614A4">
            <w:pPr>
              <w:jc w:val="right"/>
              <w:rPr>
                <w:rFonts w:eastAsia="Times New Roman"/>
              </w:rPr>
            </w:pPr>
          </w:p>
        </w:tc>
      </w:tr>
      <w:tr w:rsidR="00000000" w14:paraId="4545B683" w14:textId="77777777">
        <w:trPr>
          <w:divId w:val="1037663851"/>
          <w:jc w:val="center"/>
        </w:trPr>
        <w:tc>
          <w:tcPr>
            <w:tcW w:w="0" w:type="auto"/>
            <w:gridSpan w:val="3"/>
            <w:shd w:val="clear" w:color="auto" w:fill="FFFFFF"/>
            <w:tcMar>
              <w:top w:w="30" w:type="dxa"/>
              <w:left w:w="260" w:type="dxa"/>
              <w:bottom w:w="30" w:type="dxa"/>
              <w:right w:w="20" w:type="dxa"/>
            </w:tcMar>
            <w:hideMark/>
          </w:tcPr>
          <w:p w14:paraId="6BAD4FFE" w14:textId="77777777" w:rsidR="00000000" w:rsidRDefault="00E614A4">
            <w:pPr>
              <w:rPr>
                <w:rFonts w:eastAsia="Times New Roman"/>
              </w:rPr>
            </w:pPr>
            <w:r>
              <w:rPr>
                <w:rFonts w:eastAsia="Times New Roman"/>
                <w:color w:val="00000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14:paraId="72E2AB45" w14:textId="77777777" w:rsidR="00000000" w:rsidRDefault="00E614A4">
            <w:pPr>
              <w:jc w:val="right"/>
              <w:rPr>
                <w:rFonts w:eastAsia="Times New Roman"/>
              </w:rPr>
            </w:pPr>
            <w:r>
              <w:rPr>
                <w:rFonts w:eastAsia="Times New Roman"/>
                <w:color w:val="000000"/>
                <w:sz w:val="18"/>
                <w:szCs w:val="18"/>
              </w:rPr>
              <w:t>10,073 </w:t>
            </w:r>
          </w:p>
        </w:tc>
        <w:tc>
          <w:tcPr>
            <w:tcW w:w="0" w:type="auto"/>
            <w:shd w:val="clear" w:color="auto" w:fill="FFFFFF"/>
            <w:tcMar>
              <w:top w:w="30" w:type="dxa"/>
              <w:left w:w="0" w:type="dxa"/>
              <w:bottom w:w="30" w:type="dxa"/>
              <w:right w:w="20" w:type="dxa"/>
            </w:tcMar>
            <w:vAlign w:val="bottom"/>
            <w:hideMark/>
          </w:tcPr>
          <w:p w14:paraId="7CD17AC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F7F0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A0B6F" w14:textId="77777777" w:rsidR="00000000" w:rsidRDefault="00E614A4">
            <w:pPr>
              <w:jc w:val="right"/>
              <w:rPr>
                <w:rFonts w:eastAsia="Times New Roman"/>
              </w:rPr>
            </w:pPr>
            <w:r>
              <w:rPr>
                <w:rFonts w:eastAsia="Times New Roman"/>
                <w:color w:val="000000"/>
                <w:sz w:val="18"/>
                <w:szCs w:val="18"/>
              </w:rPr>
              <w:t>16,558 </w:t>
            </w:r>
          </w:p>
        </w:tc>
        <w:tc>
          <w:tcPr>
            <w:tcW w:w="0" w:type="auto"/>
            <w:shd w:val="clear" w:color="auto" w:fill="FFFFFF"/>
            <w:tcMar>
              <w:top w:w="30" w:type="dxa"/>
              <w:left w:w="0" w:type="dxa"/>
              <w:bottom w:w="30" w:type="dxa"/>
              <w:right w:w="20" w:type="dxa"/>
            </w:tcMar>
            <w:vAlign w:val="bottom"/>
            <w:hideMark/>
          </w:tcPr>
          <w:p w14:paraId="55B588E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0D44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BF4D8" w14:textId="77777777" w:rsidR="00000000" w:rsidRDefault="00E614A4">
            <w:pPr>
              <w:jc w:val="right"/>
              <w:rPr>
                <w:rFonts w:eastAsia="Times New Roman"/>
              </w:rPr>
            </w:pPr>
            <w:r>
              <w:rPr>
                <w:rFonts w:eastAsia="Times New Roman"/>
                <w:color w:val="000000"/>
                <w:sz w:val="18"/>
                <w:szCs w:val="18"/>
              </w:rPr>
              <w:t>37,619 </w:t>
            </w:r>
          </w:p>
        </w:tc>
        <w:tc>
          <w:tcPr>
            <w:tcW w:w="0" w:type="auto"/>
            <w:shd w:val="clear" w:color="auto" w:fill="FFFFFF"/>
            <w:tcMar>
              <w:top w:w="30" w:type="dxa"/>
              <w:left w:w="0" w:type="dxa"/>
              <w:bottom w:w="30" w:type="dxa"/>
              <w:right w:w="20" w:type="dxa"/>
            </w:tcMar>
            <w:vAlign w:val="bottom"/>
            <w:hideMark/>
          </w:tcPr>
          <w:p w14:paraId="221CC887" w14:textId="77777777" w:rsidR="00000000" w:rsidRDefault="00E614A4">
            <w:pPr>
              <w:jc w:val="right"/>
              <w:rPr>
                <w:rFonts w:eastAsia="Times New Roman"/>
              </w:rPr>
            </w:pPr>
          </w:p>
        </w:tc>
      </w:tr>
      <w:tr w:rsidR="00000000" w14:paraId="270CCC5E" w14:textId="77777777">
        <w:trPr>
          <w:divId w:val="1037663851"/>
          <w:jc w:val="center"/>
        </w:trPr>
        <w:tc>
          <w:tcPr>
            <w:tcW w:w="0" w:type="auto"/>
            <w:gridSpan w:val="3"/>
            <w:shd w:val="clear" w:color="auto" w:fill="CCEEFF"/>
            <w:tcMar>
              <w:top w:w="30" w:type="dxa"/>
              <w:left w:w="260" w:type="dxa"/>
              <w:bottom w:w="30" w:type="dxa"/>
              <w:right w:w="20" w:type="dxa"/>
            </w:tcMar>
            <w:hideMark/>
          </w:tcPr>
          <w:p w14:paraId="1E77A6C5" w14:textId="77777777" w:rsidR="00000000" w:rsidRDefault="00E614A4">
            <w:pPr>
              <w:rPr>
                <w:rFonts w:eastAsia="Times New Roman"/>
              </w:rPr>
            </w:pPr>
            <w:r>
              <w:rPr>
                <w:rFonts w:eastAsia="Times New Roman"/>
                <w:color w:val="000000"/>
                <w:sz w:val="18"/>
                <w:szCs w:val="18"/>
              </w:rPr>
              <w:t>Non-cash interest expense on senior secured convertible notes (related party)</w:t>
            </w:r>
          </w:p>
        </w:tc>
        <w:tc>
          <w:tcPr>
            <w:tcW w:w="0" w:type="auto"/>
            <w:gridSpan w:val="2"/>
            <w:shd w:val="clear" w:color="auto" w:fill="CCEEFF"/>
            <w:tcMar>
              <w:top w:w="30" w:type="dxa"/>
              <w:left w:w="20" w:type="dxa"/>
              <w:bottom w:w="30" w:type="dxa"/>
              <w:right w:w="0" w:type="dxa"/>
            </w:tcMar>
            <w:vAlign w:val="bottom"/>
            <w:hideMark/>
          </w:tcPr>
          <w:p w14:paraId="6F458B9C" w14:textId="77777777" w:rsidR="00000000" w:rsidRDefault="00E614A4">
            <w:pPr>
              <w:jc w:val="right"/>
              <w:rPr>
                <w:rFonts w:eastAsia="Times New Roman"/>
              </w:rPr>
            </w:pPr>
            <w:r>
              <w:rPr>
                <w:rFonts w:eastAsia="Times New Roman"/>
                <w:color w:val="000000"/>
                <w:sz w:val="18"/>
                <w:szCs w:val="18"/>
              </w:rPr>
              <w:t>9,180 </w:t>
            </w:r>
          </w:p>
        </w:tc>
        <w:tc>
          <w:tcPr>
            <w:tcW w:w="0" w:type="auto"/>
            <w:shd w:val="clear" w:color="auto" w:fill="CCEEFF"/>
            <w:tcMar>
              <w:top w:w="30" w:type="dxa"/>
              <w:left w:w="0" w:type="dxa"/>
              <w:bottom w:w="30" w:type="dxa"/>
              <w:right w:w="20" w:type="dxa"/>
            </w:tcMar>
            <w:vAlign w:val="bottom"/>
            <w:hideMark/>
          </w:tcPr>
          <w:p w14:paraId="5A09DAC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AEEE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4C730D" w14:textId="77777777" w:rsidR="00000000" w:rsidRDefault="00E614A4">
            <w:pPr>
              <w:jc w:val="right"/>
              <w:rPr>
                <w:rFonts w:eastAsia="Times New Roman"/>
              </w:rPr>
            </w:pPr>
            <w:r>
              <w:rPr>
                <w:rFonts w:eastAsia="Times New Roman"/>
                <w:color w:val="000000"/>
                <w:sz w:val="18"/>
                <w:szCs w:val="18"/>
              </w:rPr>
              <w:t>17,374 </w:t>
            </w:r>
          </w:p>
        </w:tc>
        <w:tc>
          <w:tcPr>
            <w:tcW w:w="0" w:type="auto"/>
            <w:shd w:val="clear" w:color="auto" w:fill="CCEEFF"/>
            <w:tcMar>
              <w:top w:w="30" w:type="dxa"/>
              <w:left w:w="0" w:type="dxa"/>
              <w:bottom w:w="30" w:type="dxa"/>
              <w:right w:w="20" w:type="dxa"/>
            </w:tcMar>
            <w:vAlign w:val="bottom"/>
            <w:hideMark/>
          </w:tcPr>
          <w:p w14:paraId="62E6B71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A4FC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A2A8F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39876A" w14:textId="77777777" w:rsidR="00000000" w:rsidRDefault="00E614A4">
            <w:pPr>
              <w:jc w:val="right"/>
              <w:rPr>
                <w:rFonts w:eastAsia="Times New Roman"/>
              </w:rPr>
            </w:pPr>
          </w:p>
        </w:tc>
      </w:tr>
      <w:tr w:rsidR="00000000" w14:paraId="57CDBAB6" w14:textId="77777777">
        <w:trPr>
          <w:divId w:val="1037663851"/>
          <w:jc w:val="center"/>
        </w:trPr>
        <w:tc>
          <w:tcPr>
            <w:tcW w:w="0" w:type="auto"/>
            <w:gridSpan w:val="3"/>
            <w:shd w:val="clear" w:color="auto" w:fill="FFFFFF"/>
            <w:tcMar>
              <w:top w:w="30" w:type="dxa"/>
              <w:left w:w="260" w:type="dxa"/>
              <w:bottom w:w="30" w:type="dxa"/>
              <w:right w:w="20" w:type="dxa"/>
            </w:tcMar>
            <w:hideMark/>
          </w:tcPr>
          <w:p w14:paraId="31090A57" w14:textId="77777777" w:rsidR="00000000" w:rsidRDefault="00E614A4">
            <w:pPr>
              <w:rPr>
                <w:rFonts w:eastAsia="Times New Roman"/>
              </w:rPr>
            </w:pPr>
            <w:r>
              <w:rPr>
                <w:rFonts w:eastAsia="Times New Roman"/>
                <w:color w:val="000000"/>
                <w:sz w:val="18"/>
                <w:szCs w:val="18"/>
              </w:rPr>
              <w:t>Accretion of debt discount</w:t>
            </w:r>
          </w:p>
        </w:tc>
        <w:tc>
          <w:tcPr>
            <w:tcW w:w="0" w:type="auto"/>
            <w:gridSpan w:val="2"/>
            <w:shd w:val="clear" w:color="auto" w:fill="FFFFFF"/>
            <w:tcMar>
              <w:top w:w="30" w:type="dxa"/>
              <w:left w:w="20" w:type="dxa"/>
              <w:bottom w:w="30" w:type="dxa"/>
              <w:right w:w="0" w:type="dxa"/>
            </w:tcMar>
            <w:vAlign w:val="bottom"/>
            <w:hideMark/>
          </w:tcPr>
          <w:p w14:paraId="42DE7D6D" w14:textId="77777777" w:rsidR="00000000" w:rsidRDefault="00E614A4">
            <w:pPr>
              <w:jc w:val="right"/>
              <w:rPr>
                <w:rFonts w:eastAsia="Times New Roman"/>
              </w:rPr>
            </w:pPr>
            <w:r>
              <w:rPr>
                <w:rFonts w:eastAsia="Times New Roman"/>
                <w:color w:val="000000"/>
                <w:sz w:val="18"/>
                <w:szCs w:val="18"/>
              </w:rPr>
              <w:t>7,571 </w:t>
            </w:r>
          </w:p>
        </w:tc>
        <w:tc>
          <w:tcPr>
            <w:tcW w:w="0" w:type="auto"/>
            <w:shd w:val="clear" w:color="auto" w:fill="FFFFFF"/>
            <w:tcMar>
              <w:top w:w="30" w:type="dxa"/>
              <w:left w:w="0" w:type="dxa"/>
              <w:bottom w:w="30" w:type="dxa"/>
              <w:right w:w="20" w:type="dxa"/>
            </w:tcMar>
            <w:vAlign w:val="bottom"/>
            <w:hideMark/>
          </w:tcPr>
          <w:p w14:paraId="6C7EA5E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03B1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76147" w14:textId="77777777" w:rsidR="00000000" w:rsidRDefault="00E614A4">
            <w:pPr>
              <w:jc w:val="right"/>
              <w:rPr>
                <w:rFonts w:eastAsia="Times New Roman"/>
              </w:rPr>
            </w:pPr>
            <w:r>
              <w:rPr>
                <w:rFonts w:eastAsia="Times New Roman"/>
                <w:color w:val="000000"/>
                <w:sz w:val="18"/>
                <w:szCs w:val="18"/>
              </w:rPr>
              <w:t>6,242 </w:t>
            </w:r>
          </w:p>
        </w:tc>
        <w:tc>
          <w:tcPr>
            <w:tcW w:w="0" w:type="auto"/>
            <w:shd w:val="clear" w:color="auto" w:fill="FFFFFF"/>
            <w:tcMar>
              <w:top w:w="30" w:type="dxa"/>
              <w:left w:w="0" w:type="dxa"/>
              <w:bottom w:w="30" w:type="dxa"/>
              <w:right w:w="20" w:type="dxa"/>
            </w:tcMar>
            <w:vAlign w:val="bottom"/>
            <w:hideMark/>
          </w:tcPr>
          <w:p w14:paraId="11BBDA0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8147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6C000" w14:textId="77777777" w:rsidR="00000000" w:rsidRDefault="00E614A4">
            <w:pPr>
              <w:jc w:val="right"/>
              <w:rPr>
                <w:rFonts w:eastAsia="Times New Roman"/>
              </w:rPr>
            </w:pPr>
            <w:r>
              <w:rPr>
                <w:rFonts w:eastAsia="Times New Roman"/>
                <w:color w:val="000000"/>
                <w:sz w:val="18"/>
                <w:szCs w:val="18"/>
              </w:rPr>
              <w:t>4,812 </w:t>
            </w:r>
          </w:p>
        </w:tc>
        <w:tc>
          <w:tcPr>
            <w:tcW w:w="0" w:type="auto"/>
            <w:shd w:val="clear" w:color="auto" w:fill="FFFFFF"/>
            <w:tcMar>
              <w:top w:w="30" w:type="dxa"/>
              <w:left w:w="0" w:type="dxa"/>
              <w:bottom w:w="30" w:type="dxa"/>
              <w:right w:w="20" w:type="dxa"/>
            </w:tcMar>
            <w:vAlign w:val="bottom"/>
            <w:hideMark/>
          </w:tcPr>
          <w:p w14:paraId="06A089A9" w14:textId="77777777" w:rsidR="00000000" w:rsidRDefault="00E614A4">
            <w:pPr>
              <w:jc w:val="right"/>
              <w:rPr>
                <w:rFonts w:eastAsia="Times New Roman"/>
              </w:rPr>
            </w:pPr>
          </w:p>
        </w:tc>
      </w:tr>
      <w:tr w:rsidR="00000000" w14:paraId="6E1AF9EC" w14:textId="77777777">
        <w:trPr>
          <w:divId w:val="1037663851"/>
          <w:jc w:val="center"/>
        </w:trPr>
        <w:tc>
          <w:tcPr>
            <w:tcW w:w="0" w:type="auto"/>
            <w:gridSpan w:val="3"/>
            <w:shd w:val="clear" w:color="auto" w:fill="CCEEFF"/>
            <w:tcMar>
              <w:top w:w="30" w:type="dxa"/>
              <w:left w:w="260" w:type="dxa"/>
              <w:bottom w:w="30" w:type="dxa"/>
              <w:right w:w="20" w:type="dxa"/>
            </w:tcMar>
            <w:hideMark/>
          </w:tcPr>
          <w:p w14:paraId="0A80B94E" w14:textId="77777777" w:rsidR="00000000" w:rsidRDefault="00E614A4">
            <w:pPr>
              <w:rPr>
                <w:rFonts w:eastAsia="Times New Roman"/>
              </w:rPr>
            </w:pPr>
            <w:r>
              <w:rPr>
                <w:rFonts w:eastAsia="Times New Roman"/>
                <w:color w:val="000000"/>
                <w:sz w:val="18"/>
                <w:szCs w:val="18"/>
              </w:rPr>
              <w:t>Non-cash operating lease expense</w:t>
            </w:r>
          </w:p>
        </w:tc>
        <w:tc>
          <w:tcPr>
            <w:tcW w:w="0" w:type="auto"/>
            <w:gridSpan w:val="2"/>
            <w:shd w:val="clear" w:color="auto" w:fill="CCEEFF"/>
            <w:tcMar>
              <w:top w:w="30" w:type="dxa"/>
              <w:left w:w="20" w:type="dxa"/>
              <w:bottom w:w="30" w:type="dxa"/>
              <w:right w:w="0" w:type="dxa"/>
            </w:tcMar>
            <w:vAlign w:val="bottom"/>
            <w:hideMark/>
          </w:tcPr>
          <w:p w14:paraId="07518901" w14:textId="77777777" w:rsidR="00000000" w:rsidRDefault="00E614A4">
            <w:pPr>
              <w:jc w:val="right"/>
              <w:rPr>
                <w:rFonts w:eastAsia="Times New Roman"/>
              </w:rPr>
            </w:pPr>
            <w:r>
              <w:rPr>
                <w:rFonts w:eastAsia="Times New Roman"/>
                <w:color w:val="000000"/>
                <w:sz w:val="18"/>
                <w:szCs w:val="18"/>
              </w:rPr>
              <w:t>5,555 </w:t>
            </w:r>
          </w:p>
        </w:tc>
        <w:tc>
          <w:tcPr>
            <w:tcW w:w="0" w:type="auto"/>
            <w:shd w:val="clear" w:color="auto" w:fill="CCEEFF"/>
            <w:tcMar>
              <w:top w:w="30" w:type="dxa"/>
              <w:left w:w="0" w:type="dxa"/>
              <w:bottom w:w="30" w:type="dxa"/>
              <w:right w:w="20" w:type="dxa"/>
            </w:tcMar>
            <w:vAlign w:val="bottom"/>
            <w:hideMark/>
          </w:tcPr>
          <w:p w14:paraId="5E01B08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DD14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B19CE1" w14:textId="77777777" w:rsidR="00000000" w:rsidRDefault="00E614A4">
            <w:pPr>
              <w:jc w:val="right"/>
              <w:rPr>
                <w:rFonts w:eastAsia="Times New Roman"/>
              </w:rPr>
            </w:pPr>
            <w:r>
              <w:rPr>
                <w:rFonts w:eastAsia="Times New Roman"/>
                <w:color w:val="000000"/>
                <w:sz w:val="18"/>
                <w:szCs w:val="18"/>
              </w:rPr>
              <w:t>5,369 </w:t>
            </w:r>
          </w:p>
        </w:tc>
        <w:tc>
          <w:tcPr>
            <w:tcW w:w="0" w:type="auto"/>
            <w:shd w:val="clear" w:color="auto" w:fill="CCEEFF"/>
            <w:tcMar>
              <w:top w:w="30" w:type="dxa"/>
              <w:left w:w="0" w:type="dxa"/>
              <w:bottom w:w="30" w:type="dxa"/>
              <w:right w:w="20" w:type="dxa"/>
            </w:tcMar>
            <w:vAlign w:val="bottom"/>
            <w:hideMark/>
          </w:tcPr>
          <w:p w14:paraId="79DC3DA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61F5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5C0C6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551BDE" w14:textId="77777777" w:rsidR="00000000" w:rsidRDefault="00E614A4">
            <w:pPr>
              <w:jc w:val="right"/>
              <w:rPr>
                <w:rFonts w:eastAsia="Times New Roman"/>
              </w:rPr>
            </w:pPr>
          </w:p>
        </w:tc>
      </w:tr>
      <w:tr w:rsidR="00000000" w14:paraId="5DA01120" w14:textId="77777777">
        <w:trPr>
          <w:divId w:val="1037663851"/>
          <w:jc w:val="center"/>
        </w:trPr>
        <w:tc>
          <w:tcPr>
            <w:tcW w:w="0" w:type="auto"/>
            <w:gridSpan w:val="3"/>
            <w:shd w:val="clear" w:color="auto" w:fill="FFFFFF"/>
            <w:tcMar>
              <w:top w:w="30" w:type="dxa"/>
              <w:left w:w="260" w:type="dxa"/>
              <w:bottom w:w="30" w:type="dxa"/>
              <w:right w:w="20" w:type="dxa"/>
            </w:tcMar>
            <w:hideMark/>
          </w:tcPr>
          <w:p w14:paraId="1BF2D09E" w14:textId="77777777" w:rsidR="00000000" w:rsidRDefault="00E614A4">
            <w:pPr>
              <w:rPr>
                <w:rFonts w:eastAsia="Times New Roman"/>
              </w:rPr>
            </w:pPr>
            <w:r>
              <w:rPr>
                <w:rFonts w:eastAsia="Times New Roman"/>
                <w:color w:val="000000"/>
                <w:sz w:val="18"/>
                <w:szCs w:val="18"/>
              </w:rPr>
              <w:t>Impairment of right-of-use and long-lived assets</w:t>
            </w:r>
          </w:p>
        </w:tc>
        <w:tc>
          <w:tcPr>
            <w:tcW w:w="0" w:type="auto"/>
            <w:gridSpan w:val="2"/>
            <w:shd w:val="clear" w:color="auto" w:fill="FFFFFF"/>
            <w:tcMar>
              <w:top w:w="30" w:type="dxa"/>
              <w:left w:w="20" w:type="dxa"/>
              <w:bottom w:w="30" w:type="dxa"/>
              <w:right w:w="0" w:type="dxa"/>
            </w:tcMar>
            <w:vAlign w:val="bottom"/>
            <w:hideMark/>
          </w:tcPr>
          <w:p w14:paraId="4D39F6DE" w14:textId="77777777" w:rsidR="00000000" w:rsidRDefault="00E614A4">
            <w:pPr>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14:paraId="43C088B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9240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F7003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CF631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195CE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0D9A7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EC19A1" w14:textId="77777777" w:rsidR="00000000" w:rsidRDefault="00E614A4">
            <w:pPr>
              <w:jc w:val="right"/>
              <w:rPr>
                <w:rFonts w:eastAsia="Times New Roman"/>
              </w:rPr>
            </w:pPr>
          </w:p>
        </w:tc>
      </w:tr>
      <w:tr w:rsidR="00000000" w14:paraId="0486A871" w14:textId="77777777">
        <w:trPr>
          <w:divId w:val="1037663851"/>
          <w:jc w:val="center"/>
        </w:trPr>
        <w:tc>
          <w:tcPr>
            <w:tcW w:w="0" w:type="auto"/>
            <w:gridSpan w:val="3"/>
            <w:shd w:val="clear" w:color="auto" w:fill="CCEEFF"/>
            <w:tcMar>
              <w:top w:w="30" w:type="dxa"/>
              <w:left w:w="260" w:type="dxa"/>
              <w:bottom w:w="30" w:type="dxa"/>
              <w:right w:w="20" w:type="dxa"/>
            </w:tcMar>
            <w:hideMark/>
          </w:tcPr>
          <w:p w14:paraId="60BDD815" w14:textId="77777777" w:rsidR="00000000" w:rsidRDefault="00E614A4">
            <w:pPr>
              <w:rPr>
                <w:rFonts w:eastAsia="Times New Roman"/>
              </w:rPr>
            </w:pPr>
            <w:r>
              <w:rPr>
                <w:rFonts w:eastAsia="Times New Roman"/>
                <w:color w:val="000000"/>
                <w:sz w:val="18"/>
                <w:szCs w:val="18"/>
              </w:rPr>
              <w:t>Provision for bad debts</w:t>
            </w:r>
          </w:p>
        </w:tc>
        <w:tc>
          <w:tcPr>
            <w:tcW w:w="0" w:type="auto"/>
            <w:gridSpan w:val="2"/>
            <w:shd w:val="clear" w:color="auto" w:fill="CCEEFF"/>
            <w:tcMar>
              <w:top w:w="30" w:type="dxa"/>
              <w:left w:w="20" w:type="dxa"/>
              <w:bottom w:w="30" w:type="dxa"/>
              <w:right w:w="0" w:type="dxa"/>
            </w:tcMar>
            <w:vAlign w:val="bottom"/>
            <w:hideMark/>
          </w:tcPr>
          <w:p w14:paraId="6E178733" w14:textId="77777777" w:rsidR="00000000" w:rsidRDefault="00E614A4">
            <w:pPr>
              <w:jc w:val="right"/>
              <w:rPr>
                <w:rFonts w:eastAsia="Times New Roman"/>
              </w:rPr>
            </w:pPr>
            <w:r>
              <w:rPr>
                <w:rFonts w:eastAsia="Times New Roman"/>
                <w:color w:val="000000"/>
                <w:sz w:val="18"/>
                <w:szCs w:val="18"/>
              </w:rPr>
              <w:t>1,693 </w:t>
            </w:r>
          </w:p>
        </w:tc>
        <w:tc>
          <w:tcPr>
            <w:tcW w:w="0" w:type="auto"/>
            <w:shd w:val="clear" w:color="auto" w:fill="CCEEFF"/>
            <w:tcMar>
              <w:top w:w="30" w:type="dxa"/>
              <w:left w:w="0" w:type="dxa"/>
              <w:bottom w:w="30" w:type="dxa"/>
              <w:right w:w="20" w:type="dxa"/>
            </w:tcMar>
            <w:vAlign w:val="bottom"/>
            <w:hideMark/>
          </w:tcPr>
          <w:p w14:paraId="17AAAD1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FCF2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7A1B87" w14:textId="77777777" w:rsidR="00000000" w:rsidRDefault="00E614A4">
            <w:pPr>
              <w:jc w:val="right"/>
              <w:rPr>
                <w:rFonts w:eastAsia="Times New Roman"/>
              </w:rPr>
            </w:pPr>
            <w:r>
              <w:rPr>
                <w:rFonts w:eastAsia="Times New Roman"/>
                <w:color w:val="000000"/>
                <w:sz w:val="18"/>
                <w:szCs w:val="18"/>
              </w:rPr>
              <w:t>727 </w:t>
            </w:r>
          </w:p>
        </w:tc>
        <w:tc>
          <w:tcPr>
            <w:tcW w:w="0" w:type="auto"/>
            <w:shd w:val="clear" w:color="auto" w:fill="CCEEFF"/>
            <w:tcMar>
              <w:top w:w="30" w:type="dxa"/>
              <w:left w:w="0" w:type="dxa"/>
              <w:bottom w:w="30" w:type="dxa"/>
              <w:right w:w="20" w:type="dxa"/>
            </w:tcMar>
            <w:vAlign w:val="bottom"/>
            <w:hideMark/>
          </w:tcPr>
          <w:p w14:paraId="4D7ECB2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4917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8CD367" w14:textId="77777777" w:rsidR="00000000" w:rsidRDefault="00E614A4">
            <w:pPr>
              <w:jc w:val="right"/>
              <w:rPr>
                <w:rFonts w:eastAsia="Times New Roman"/>
              </w:rPr>
            </w:pPr>
            <w:r>
              <w:rPr>
                <w:rFonts w:eastAsia="Times New Roman"/>
                <w:color w:val="000000"/>
                <w:sz w:val="18"/>
                <w:szCs w:val="18"/>
              </w:rPr>
              <w:t>966 </w:t>
            </w:r>
          </w:p>
        </w:tc>
        <w:tc>
          <w:tcPr>
            <w:tcW w:w="0" w:type="auto"/>
            <w:shd w:val="clear" w:color="auto" w:fill="CCEEFF"/>
            <w:tcMar>
              <w:top w:w="30" w:type="dxa"/>
              <w:left w:w="0" w:type="dxa"/>
              <w:bottom w:w="30" w:type="dxa"/>
              <w:right w:w="20" w:type="dxa"/>
            </w:tcMar>
            <w:vAlign w:val="bottom"/>
            <w:hideMark/>
          </w:tcPr>
          <w:p w14:paraId="2696DC1A" w14:textId="77777777" w:rsidR="00000000" w:rsidRDefault="00E614A4">
            <w:pPr>
              <w:jc w:val="right"/>
              <w:rPr>
                <w:rFonts w:eastAsia="Times New Roman"/>
              </w:rPr>
            </w:pPr>
          </w:p>
        </w:tc>
      </w:tr>
      <w:tr w:rsidR="00000000" w14:paraId="79BE5432" w14:textId="77777777">
        <w:trPr>
          <w:divId w:val="1037663851"/>
          <w:jc w:val="center"/>
        </w:trPr>
        <w:tc>
          <w:tcPr>
            <w:tcW w:w="0" w:type="auto"/>
            <w:gridSpan w:val="3"/>
            <w:shd w:val="clear" w:color="auto" w:fill="FFFFFF"/>
            <w:tcMar>
              <w:top w:w="30" w:type="dxa"/>
              <w:left w:w="260" w:type="dxa"/>
              <w:bottom w:w="30" w:type="dxa"/>
              <w:right w:w="20" w:type="dxa"/>
            </w:tcMar>
            <w:hideMark/>
          </w:tcPr>
          <w:p w14:paraId="3CF8A61B" w14:textId="77777777" w:rsidR="00000000" w:rsidRDefault="00E614A4">
            <w:pPr>
              <w:rPr>
                <w:rFonts w:eastAsia="Times New Roman"/>
              </w:rPr>
            </w:pPr>
            <w:r>
              <w:rPr>
                <w:rFonts w:eastAsia="Times New Roman"/>
                <w:color w:val="000000"/>
                <w:sz w:val="18"/>
                <w:szCs w:val="18"/>
              </w:rPr>
              <w:t>Amortization expense of finance leases</w:t>
            </w:r>
          </w:p>
        </w:tc>
        <w:tc>
          <w:tcPr>
            <w:tcW w:w="0" w:type="auto"/>
            <w:gridSpan w:val="2"/>
            <w:shd w:val="clear" w:color="auto" w:fill="FFFFFF"/>
            <w:tcMar>
              <w:top w:w="30" w:type="dxa"/>
              <w:left w:w="20" w:type="dxa"/>
              <w:bottom w:w="30" w:type="dxa"/>
              <w:right w:w="0" w:type="dxa"/>
            </w:tcMar>
            <w:vAlign w:val="bottom"/>
            <w:hideMark/>
          </w:tcPr>
          <w:p w14:paraId="2A093659" w14:textId="77777777" w:rsidR="00000000" w:rsidRDefault="00E614A4">
            <w:pPr>
              <w:jc w:val="right"/>
              <w:rPr>
                <w:rFonts w:eastAsia="Times New Roman"/>
              </w:rPr>
            </w:pPr>
            <w:r>
              <w:rPr>
                <w:rFonts w:eastAsia="Times New Roman"/>
                <w:color w:val="000000"/>
                <w:sz w:val="18"/>
                <w:szCs w:val="18"/>
              </w:rPr>
              <w:t>1,652 </w:t>
            </w:r>
          </w:p>
        </w:tc>
        <w:tc>
          <w:tcPr>
            <w:tcW w:w="0" w:type="auto"/>
            <w:shd w:val="clear" w:color="auto" w:fill="FFFFFF"/>
            <w:tcMar>
              <w:top w:w="30" w:type="dxa"/>
              <w:left w:w="0" w:type="dxa"/>
              <w:bottom w:w="30" w:type="dxa"/>
              <w:right w:w="20" w:type="dxa"/>
            </w:tcMar>
            <w:vAlign w:val="bottom"/>
            <w:hideMark/>
          </w:tcPr>
          <w:p w14:paraId="3E76B45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08C4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423525" w14:textId="77777777" w:rsidR="00000000" w:rsidRDefault="00E614A4">
            <w:pPr>
              <w:jc w:val="right"/>
              <w:rPr>
                <w:rFonts w:eastAsia="Times New Roman"/>
              </w:rPr>
            </w:pPr>
            <w:r>
              <w:rPr>
                <w:rFonts w:eastAsia="Times New Roman"/>
                <w:color w:val="000000"/>
                <w:sz w:val="18"/>
                <w:szCs w:val="18"/>
              </w:rPr>
              <w:t>2,413 </w:t>
            </w:r>
          </w:p>
        </w:tc>
        <w:tc>
          <w:tcPr>
            <w:tcW w:w="0" w:type="auto"/>
            <w:shd w:val="clear" w:color="auto" w:fill="FFFFFF"/>
            <w:tcMar>
              <w:top w:w="30" w:type="dxa"/>
              <w:left w:w="0" w:type="dxa"/>
              <w:bottom w:w="30" w:type="dxa"/>
              <w:right w:w="20" w:type="dxa"/>
            </w:tcMar>
            <w:vAlign w:val="bottom"/>
            <w:hideMark/>
          </w:tcPr>
          <w:p w14:paraId="6BFD8C8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4165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D8F92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DBB513" w14:textId="77777777" w:rsidR="00000000" w:rsidRDefault="00E614A4">
            <w:pPr>
              <w:jc w:val="right"/>
              <w:rPr>
                <w:rFonts w:eastAsia="Times New Roman"/>
              </w:rPr>
            </w:pPr>
          </w:p>
        </w:tc>
      </w:tr>
      <w:tr w:rsidR="00000000" w14:paraId="3F59A3FB" w14:textId="77777777">
        <w:trPr>
          <w:divId w:val="1037663851"/>
          <w:jc w:val="center"/>
        </w:trPr>
        <w:tc>
          <w:tcPr>
            <w:tcW w:w="0" w:type="auto"/>
            <w:gridSpan w:val="3"/>
            <w:shd w:val="clear" w:color="auto" w:fill="CCEEFF"/>
            <w:tcMar>
              <w:top w:w="30" w:type="dxa"/>
              <w:left w:w="260" w:type="dxa"/>
              <w:bottom w:w="30" w:type="dxa"/>
              <w:right w:w="20" w:type="dxa"/>
            </w:tcMar>
            <w:hideMark/>
          </w:tcPr>
          <w:p w14:paraId="15B0E825" w14:textId="77777777" w:rsidR="00000000" w:rsidRDefault="00E614A4">
            <w:pPr>
              <w:rPr>
                <w:rFonts w:eastAsia="Times New Roman"/>
              </w:rPr>
            </w:pPr>
            <w:r>
              <w:rPr>
                <w:rFonts w:eastAsia="Times New Roman"/>
                <w:color w:val="000000"/>
                <w:sz w:val="18"/>
                <w:szCs w:val="18"/>
              </w:rPr>
              <w:t>Amortization of deferred financing costs</w:t>
            </w:r>
          </w:p>
        </w:tc>
        <w:tc>
          <w:tcPr>
            <w:tcW w:w="0" w:type="auto"/>
            <w:gridSpan w:val="2"/>
            <w:shd w:val="clear" w:color="auto" w:fill="CCEEFF"/>
            <w:tcMar>
              <w:top w:w="30" w:type="dxa"/>
              <w:left w:w="20" w:type="dxa"/>
              <w:bottom w:w="30" w:type="dxa"/>
              <w:right w:w="0" w:type="dxa"/>
            </w:tcMar>
            <w:vAlign w:val="bottom"/>
            <w:hideMark/>
          </w:tcPr>
          <w:p w14:paraId="3EC68F29" w14:textId="77777777" w:rsidR="00000000" w:rsidRDefault="00E614A4">
            <w:pPr>
              <w:jc w:val="right"/>
              <w:rPr>
                <w:rFonts w:eastAsia="Times New Roman"/>
              </w:rPr>
            </w:pPr>
            <w:r>
              <w:rPr>
                <w:rFonts w:eastAsia="Times New Roman"/>
                <w:color w:val="000000"/>
                <w:sz w:val="18"/>
                <w:szCs w:val="18"/>
              </w:rPr>
              <w:t>1,560 </w:t>
            </w:r>
          </w:p>
        </w:tc>
        <w:tc>
          <w:tcPr>
            <w:tcW w:w="0" w:type="auto"/>
            <w:shd w:val="clear" w:color="auto" w:fill="CCEEFF"/>
            <w:tcMar>
              <w:top w:w="30" w:type="dxa"/>
              <w:left w:w="0" w:type="dxa"/>
              <w:bottom w:w="30" w:type="dxa"/>
              <w:right w:w="20" w:type="dxa"/>
            </w:tcMar>
            <w:vAlign w:val="bottom"/>
            <w:hideMark/>
          </w:tcPr>
          <w:p w14:paraId="626EE8D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67A5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0EC7E" w14:textId="77777777" w:rsidR="00000000" w:rsidRDefault="00E614A4">
            <w:pPr>
              <w:jc w:val="right"/>
              <w:rPr>
                <w:rFonts w:eastAsia="Times New Roman"/>
              </w:rPr>
            </w:pPr>
            <w:r>
              <w:rPr>
                <w:rFonts w:eastAsia="Times New Roman"/>
                <w:color w:val="000000"/>
                <w:sz w:val="18"/>
                <w:szCs w:val="18"/>
              </w:rPr>
              <w:t>1,078 </w:t>
            </w:r>
          </w:p>
        </w:tc>
        <w:tc>
          <w:tcPr>
            <w:tcW w:w="0" w:type="auto"/>
            <w:shd w:val="clear" w:color="auto" w:fill="CCEEFF"/>
            <w:tcMar>
              <w:top w:w="30" w:type="dxa"/>
              <w:left w:w="0" w:type="dxa"/>
              <w:bottom w:w="30" w:type="dxa"/>
              <w:right w:w="20" w:type="dxa"/>
            </w:tcMar>
            <w:vAlign w:val="bottom"/>
            <w:hideMark/>
          </w:tcPr>
          <w:p w14:paraId="74AD8C2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6304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6B62F" w14:textId="77777777" w:rsidR="00000000" w:rsidRDefault="00E614A4">
            <w:pPr>
              <w:jc w:val="right"/>
              <w:rPr>
                <w:rFonts w:eastAsia="Times New Roman"/>
              </w:rPr>
            </w:pPr>
            <w:r>
              <w:rPr>
                <w:rFonts w:eastAsia="Times New Roman"/>
                <w:color w:val="000000"/>
                <w:sz w:val="18"/>
                <w:szCs w:val="18"/>
              </w:rPr>
              <w:t>955 </w:t>
            </w:r>
          </w:p>
        </w:tc>
        <w:tc>
          <w:tcPr>
            <w:tcW w:w="0" w:type="auto"/>
            <w:shd w:val="clear" w:color="auto" w:fill="CCEEFF"/>
            <w:tcMar>
              <w:top w:w="30" w:type="dxa"/>
              <w:left w:w="0" w:type="dxa"/>
              <w:bottom w:w="30" w:type="dxa"/>
              <w:right w:w="20" w:type="dxa"/>
            </w:tcMar>
            <w:vAlign w:val="bottom"/>
            <w:hideMark/>
          </w:tcPr>
          <w:p w14:paraId="1D18113A" w14:textId="77777777" w:rsidR="00000000" w:rsidRDefault="00E614A4">
            <w:pPr>
              <w:jc w:val="right"/>
              <w:rPr>
                <w:rFonts w:eastAsia="Times New Roman"/>
              </w:rPr>
            </w:pPr>
          </w:p>
        </w:tc>
      </w:tr>
      <w:tr w:rsidR="00000000" w14:paraId="4E23D5D9" w14:textId="77777777">
        <w:trPr>
          <w:divId w:val="1037663851"/>
          <w:jc w:val="center"/>
        </w:trPr>
        <w:tc>
          <w:tcPr>
            <w:tcW w:w="0" w:type="auto"/>
            <w:gridSpan w:val="3"/>
            <w:shd w:val="clear" w:color="auto" w:fill="FFFFFF"/>
            <w:tcMar>
              <w:top w:w="30" w:type="dxa"/>
              <w:left w:w="260" w:type="dxa"/>
              <w:bottom w:w="30" w:type="dxa"/>
              <w:right w:w="20" w:type="dxa"/>
            </w:tcMar>
            <w:hideMark/>
          </w:tcPr>
          <w:p w14:paraId="6CF499B7" w14:textId="77777777" w:rsidR="00000000" w:rsidRDefault="00E614A4">
            <w:pPr>
              <w:rPr>
                <w:rFonts w:eastAsia="Times New Roman"/>
              </w:rPr>
            </w:pPr>
            <w:r>
              <w:rPr>
                <w:rFonts w:eastAsia="Times New Roman"/>
                <w:color w:val="000000"/>
                <w:sz w:val="18"/>
                <w:szCs w:val="18"/>
              </w:rPr>
              <w:t>Change in fair value of interest make-whole derivative</w:t>
            </w:r>
          </w:p>
        </w:tc>
        <w:tc>
          <w:tcPr>
            <w:tcW w:w="0" w:type="auto"/>
            <w:gridSpan w:val="2"/>
            <w:shd w:val="clear" w:color="auto" w:fill="FFFFFF"/>
            <w:tcMar>
              <w:top w:w="30" w:type="dxa"/>
              <w:left w:w="20" w:type="dxa"/>
              <w:bottom w:w="30" w:type="dxa"/>
              <w:right w:w="0" w:type="dxa"/>
            </w:tcMar>
            <w:vAlign w:val="bottom"/>
            <w:hideMark/>
          </w:tcPr>
          <w:p w14:paraId="7EB9F0E5" w14:textId="77777777" w:rsidR="00000000" w:rsidRDefault="00E614A4">
            <w:pPr>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14:paraId="3E5B854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54AB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E0185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135F0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0A48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55A0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FB060D" w14:textId="77777777" w:rsidR="00000000" w:rsidRDefault="00E614A4">
            <w:pPr>
              <w:jc w:val="right"/>
              <w:rPr>
                <w:rFonts w:eastAsia="Times New Roman"/>
              </w:rPr>
            </w:pPr>
          </w:p>
        </w:tc>
      </w:tr>
      <w:tr w:rsidR="00000000" w14:paraId="02A18642" w14:textId="77777777">
        <w:trPr>
          <w:divId w:val="1037663851"/>
          <w:jc w:val="center"/>
        </w:trPr>
        <w:tc>
          <w:tcPr>
            <w:tcW w:w="0" w:type="auto"/>
            <w:gridSpan w:val="3"/>
            <w:shd w:val="clear" w:color="auto" w:fill="CCEEFF"/>
            <w:tcMar>
              <w:top w:w="30" w:type="dxa"/>
              <w:left w:w="260" w:type="dxa"/>
              <w:bottom w:w="30" w:type="dxa"/>
              <w:right w:w="20" w:type="dxa"/>
            </w:tcMar>
            <w:hideMark/>
          </w:tcPr>
          <w:p w14:paraId="4FCFB75A" w14:textId="77777777" w:rsidR="00000000" w:rsidRDefault="00E614A4">
            <w:pPr>
              <w:rPr>
                <w:rFonts w:eastAsia="Times New Roman"/>
              </w:rPr>
            </w:pPr>
            <w:r>
              <w:rPr>
                <w:rFonts w:eastAsia="Times New Roman"/>
                <w:color w:val="000000"/>
                <w:sz w:val="18"/>
                <w:szCs w:val="18"/>
              </w:rPr>
              <w:t xml:space="preserve">Deferred tax provision (benefit) </w:t>
            </w:r>
          </w:p>
        </w:tc>
        <w:tc>
          <w:tcPr>
            <w:tcW w:w="0" w:type="auto"/>
            <w:gridSpan w:val="2"/>
            <w:shd w:val="clear" w:color="auto" w:fill="CCEEFF"/>
            <w:tcMar>
              <w:top w:w="30" w:type="dxa"/>
              <w:left w:w="20" w:type="dxa"/>
              <w:bottom w:w="30" w:type="dxa"/>
              <w:right w:w="0" w:type="dxa"/>
            </w:tcMar>
            <w:vAlign w:val="bottom"/>
            <w:hideMark/>
          </w:tcPr>
          <w:p w14:paraId="6EB9E982" w14:textId="77777777" w:rsidR="00000000" w:rsidRDefault="00E614A4">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6D401D0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7939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D65BFA" w14:textId="77777777" w:rsidR="00000000" w:rsidRDefault="00E614A4">
            <w:pPr>
              <w:jc w:val="right"/>
              <w:rPr>
                <w:rFonts w:eastAsia="Times New Roman"/>
              </w:rPr>
            </w:pPr>
            <w:r>
              <w:rPr>
                <w:rFonts w:eastAsia="Times New Roman"/>
                <w:color w:val="000000"/>
                <w:sz w:val="18"/>
                <w:szCs w:val="18"/>
              </w:rPr>
              <w:t>(3,727)</w:t>
            </w:r>
          </w:p>
        </w:tc>
        <w:tc>
          <w:tcPr>
            <w:tcW w:w="0" w:type="auto"/>
            <w:shd w:val="clear" w:color="auto" w:fill="CCEEFF"/>
            <w:tcMar>
              <w:top w:w="30" w:type="dxa"/>
              <w:left w:w="0" w:type="dxa"/>
              <w:bottom w:w="30" w:type="dxa"/>
              <w:right w:w="20" w:type="dxa"/>
            </w:tcMar>
            <w:vAlign w:val="bottom"/>
            <w:hideMark/>
          </w:tcPr>
          <w:p w14:paraId="3C93684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4395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E8BEBB" w14:textId="77777777" w:rsidR="00000000" w:rsidRDefault="00E614A4">
            <w:pPr>
              <w:jc w:val="right"/>
              <w:rPr>
                <w:rFonts w:eastAsia="Times New Roman"/>
              </w:rPr>
            </w:pPr>
            <w:r>
              <w:rPr>
                <w:rFonts w:eastAsia="Times New Roman"/>
                <w:color w:val="000000"/>
                <w:sz w:val="18"/>
                <w:szCs w:val="18"/>
              </w:rPr>
              <w:t>2,019 </w:t>
            </w:r>
          </w:p>
        </w:tc>
        <w:tc>
          <w:tcPr>
            <w:tcW w:w="0" w:type="auto"/>
            <w:shd w:val="clear" w:color="auto" w:fill="CCEEFF"/>
            <w:tcMar>
              <w:top w:w="30" w:type="dxa"/>
              <w:left w:w="0" w:type="dxa"/>
              <w:bottom w:w="30" w:type="dxa"/>
              <w:right w:w="20" w:type="dxa"/>
            </w:tcMar>
            <w:vAlign w:val="bottom"/>
            <w:hideMark/>
          </w:tcPr>
          <w:p w14:paraId="43E9FD26" w14:textId="77777777" w:rsidR="00000000" w:rsidRDefault="00E614A4">
            <w:pPr>
              <w:jc w:val="right"/>
              <w:rPr>
                <w:rFonts w:eastAsia="Times New Roman"/>
              </w:rPr>
            </w:pPr>
          </w:p>
        </w:tc>
      </w:tr>
      <w:tr w:rsidR="00000000" w14:paraId="61AF9935" w14:textId="77777777">
        <w:trPr>
          <w:divId w:val="1037663851"/>
          <w:jc w:val="center"/>
        </w:trPr>
        <w:tc>
          <w:tcPr>
            <w:tcW w:w="0" w:type="auto"/>
            <w:gridSpan w:val="3"/>
            <w:shd w:val="clear" w:color="auto" w:fill="FFFFFF"/>
            <w:tcMar>
              <w:top w:w="30" w:type="dxa"/>
              <w:left w:w="260" w:type="dxa"/>
              <w:bottom w:w="30" w:type="dxa"/>
              <w:right w:w="20" w:type="dxa"/>
            </w:tcMar>
            <w:hideMark/>
          </w:tcPr>
          <w:p w14:paraId="09A8313A" w14:textId="77777777" w:rsidR="00000000" w:rsidRDefault="00E614A4">
            <w:pPr>
              <w:rPr>
                <w:rFonts w:eastAsia="Times New Roman"/>
              </w:rPr>
            </w:pPr>
            <w:r>
              <w:rPr>
                <w:rFonts w:eastAsia="Times New Roman"/>
                <w:color w:val="000000"/>
                <w:sz w:val="18"/>
                <w:szCs w:val="18"/>
              </w:rPr>
              <w:t>Change in fair value of financing derivatives</w:t>
            </w:r>
          </w:p>
        </w:tc>
        <w:tc>
          <w:tcPr>
            <w:tcW w:w="0" w:type="auto"/>
            <w:gridSpan w:val="2"/>
            <w:shd w:val="clear" w:color="auto" w:fill="FFFFFF"/>
            <w:tcMar>
              <w:top w:w="30" w:type="dxa"/>
              <w:left w:w="20" w:type="dxa"/>
              <w:bottom w:w="30" w:type="dxa"/>
              <w:right w:w="0" w:type="dxa"/>
            </w:tcMar>
            <w:vAlign w:val="bottom"/>
            <w:hideMark/>
          </w:tcPr>
          <w:p w14:paraId="147527BC" w14:textId="77777777" w:rsidR="00000000" w:rsidRDefault="00E614A4">
            <w:pPr>
              <w:jc w:val="right"/>
              <w:rPr>
                <w:rFonts w:eastAsia="Times New Roman"/>
              </w:rPr>
            </w:pPr>
            <w:r>
              <w:rPr>
                <w:rFonts w:eastAsia="Times New Roman"/>
                <w:color w:val="000000"/>
                <w:sz w:val="18"/>
                <w:szCs w:val="18"/>
              </w:rPr>
              <w:t>(10,287)</w:t>
            </w:r>
          </w:p>
        </w:tc>
        <w:tc>
          <w:tcPr>
            <w:tcW w:w="0" w:type="auto"/>
            <w:shd w:val="clear" w:color="auto" w:fill="FFFFFF"/>
            <w:tcMar>
              <w:top w:w="30" w:type="dxa"/>
              <w:left w:w="0" w:type="dxa"/>
              <w:bottom w:w="30" w:type="dxa"/>
              <w:right w:w="20" w:type="dxa"/>
            </w:tcMar>
            <w:vAlign w:val="bottom"/>
            <w:hideMark/>
          </w:tcPr>
          <w:p w14:paraId="6D82217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ABC7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2C13FE" w14:textId="77777777" w:rsidR="00000000" w:rsidRDefault="00E614A4">
            <w:pPr>
              <w:jc w:val="right"/>
              <w:rPr>
                <w:rFonts w:eastAsia="Times New Roman"/>
              </w:rPr>
            </w:pPr>
            <w:r>
              <w:rPr>
                <w:rFonts w:eastAsia="Times New Roman"/>
                <w:color w:val="000000"/>
                <w:sz w:val="18"/>
                <w:szCs w:val="18"/>
              </w:rPr>
              <w:t>(5,100)</w:t>
            </w:r>
          </w:p>
        </w:tc>
        <w:tc>
          <w:tcPr>
            <w:tcW w:w="0" w:type="auto"/>
            <w:shd w:val="clear" w:color="auto" w:fill="FFFFFF"/>
            <w:tcMar>
              <w:top w:w="30" w:type="dxa"/>
              <w:left w:w="0" w:type="dxa"/>
              <w:bottom w:w="30" w:type="dxa"/>
              <w:right w:w="20" w:type="dxa"/>
            </w:tcMar>
            <w:vAlign w:val="bottom"/>
            <w:hideMark/>
          </w:tcPr>
          <w:p w14:paraId="6007C20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C513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401A0" w14:textId="77777777" w:rsidR="00000000" w:rsidRDefault="00E614A4">
            <w:pPr>
              <w:jc w:val="right"/>
              <w:rPr>
                <w:rFonts w:eastAsia="Times New Roman"/>
              </w:rPr>
            </w:pPr>
            <w:r>
              <w:rPr>
                <w:rFonts w:eastAsia="Times New Roman"/>
                <w:color w:val="000000"/>
                <w:sz w:val="18"/>
                <w:szCs w:val="18"/>
              </w:rPr>
              <w:t>14,226 </w:t>
            </w:r>
          </w:p>
        </w:tc>
        <w:tc>
          <w:tcPr>
            <w:tcW w:w="0" w:type="auto"/>
            <w:shd w:val="clear" w:color="auto" w:fill="FFFFFF"/>
            <w:tcMar>
              <w:top w:w="30" w:type="dxa"/>
              <w:left w:w="0" w:type="dxa"/>
              <w:bottom w:w="30" w:type="dxa"/>
              <w:right w:w="20" w:type="dxa"/>
            </w:tcMar>
            <w:vAlign w:val="bottom"/>
            <w:hideMark/>
          </w:tcPr>
          <w:p w14:paraId="71AF0068" w14:textId="77777777" w:rsidR="00000000" w:rsidRDefault="00E614A4">
            <w:pPr>
              <w:jc w:val="right"/>
              <w:rPr>
                <w:rFonts w:eastAsia="Times New Roman"/>
              </w:rPr>
            </w:pPr>
          </w:p>
        </w:tc>
      </w:tr>
      <w:tr w:rsidR="00000000" w14:paraId="0B58D043" w14:textId="77777777">
        <w:trPr>
          <w:divId w:val="1037663851"/>
          <w:jc w:val="center"/>
        </w:trPr>
        <w:tc>
          <w:tcPr>
            <w:tcW w:w="0" w:type="auto"/>
            <w:gridSpan w:val="3"/>
            <w:shd w:val="clear" w:color="auto" w:fill="CCEEFF"/>
            <w:tcMar>
              <w:top w:w="30" w:type="dxa"/>
              <w:left w:w="260" w:type="dxa"/>
              <w:bottom w:w="30" w:type="dxa"/>
              <w:right w:w="20" w:type="dxa"/>
            </w:tcMar>
            <w:hideMark/>
          </w:tcPr>
          <w:p w14:paraId="289567BD" w14:textId="77777777" w:rsidR="00000000" w:rsidRDefault="00E614A4">
            <w:pPr>
              <w:rPr>
                <w:rFonts w:eastAsia="Times New Roman"/>
              </w:rPr>
            </w:pPr>
            <w:r>
              <w:rPr>
                <w:rFonts w:eastAsia="Times New Roman"/>
                <w:color w:val="000000"/>
                <w:sz w:val="18"/>
                <w:szCs w:val="18"/>
              </w:rPr>
              <w:t>Change in fair value of warrant liability</w:t>
            </w:r>
          </w:p>
        </w:tc>
        <w:tc>
          <w:tcPr>
            <w:tcW w:w="0" w:type="auto"/>
            <w:gridSpan w:val="2"/>
            <w:shd w:val="clear" w:color="auto" w:fill="CCEEFF"/>
            <w:tcMar>
              <w:top w:w="30" w:type="dxa"/>
              <w:left w:w="20" w:type="dxa"/>
              <w:bottom w:w="30" w:type="dxa"/>
              <w:right w:w="0" w:type="dxa"/>
            </w:tcMar>
            <w:vAlign w:val="bottom"/>
            <w:hideMark/>
          </w:tcPr>
          <w:p w14:paraId="06B97D34" w14:textId="77777777" w:rsidR="00000000" w:rsidRDefault="00E614A4">
            <w:pPr>
              <w:jc w:val="right"/>
              <w:rPr>
                <w:rFonts w:eastAsia="Times New Roman"/>
              </w:rPr>
            </w:pPr>
            <w:r>
              <w:rPr>
                <w:rFonts w:eastAsia="Times New Roman"/>
                <w:color w:val="000000"/>
                <w:sz w:val="18"/>
                <w:szCs w:val="18"/>
              </w:rPr>
              <w:t>(4,894)</w:t>
            </w:r>
          </w:p>
        </w:tc>
        <w:tc>
          <w:tcPr>
            <w:tcW w:w="0" w:type="auto"/>
            <w:shd w:val="clear" w:color="auto" w:fill="CCEEFF"/>
            <w:tcMar>
              <w:top w:w="30" w:type="dxa"/>
              <w:left w:w="0" w:type="dxa"/>
              <w:bottom w:w="30" w:type="dxa"/>
              <w:right w:w="20" w:type="dxa"/>
            </w:tcMar>
            <w:vAlign w:val="bottom"/>
            <w:hideMark/>
          </w:tcPr>
          <w:p w14:paraId="1504E89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AD0B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0739EE" w14:textId="77777777" w:rsidR="00000000" w:rsidRDefault="00E614A4">
            <w:pPr>
              <w:jc w:val="right"/>
              <w:rPr>
                <w:rFonts w:eastAsia="Times New Roman"/>
              </w:rPr>
            </w:pPr>
            <w:r>
              <w:rPr>
                <w:rFonts w:eastAsia="Times New Roman"/>
                <w:color w:val="000000"/>
                <w:sz w:val="18"/>
                <w:szCs w:val="18"/>
              </w:rPr>
              <w:t>2,411 </w:t>
            </w:r>
          </w:p>
        </w:tc>
        <w:tc>
          <w:tcPr>
            <w:tcW w:w="0" w:type="auto"/>
            <w:shd w:val="clear" w:color="auto" w:fill="CCEEFF"/>
            <w:tcMar>
              <w:top w:w="30" w:type="dxa"/>
              <w:left w:w="0" w:type="dxa"/>
              <w:bottom w:w="30" w:type="dxa"/>
              <w:right w:w="20" w:type="dxa"/>
            </w:tcMar>
            <w:vAlign w:val="bottom"/>
            <w:hideMark/>
          </w:tcPr>
          <w:p w14:paraId="634633C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C5A3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DC76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B8531A" w14:textId="77777777" w:rsidR="00000000" w:rsidRDefault="00E614A4">
            <w:pPr>
              <w:jc w:val="right"/>
              <w:rPr>
                <w:rFonts w:eastAsia="Times New Roman"/>
              </w:rPr>
            </w:pPr>
          </w:p>
        </w:tc>
      </w:tr>
      <w:tr w:rsidR="00000000" w14:paraId="517CA9EA" w14:textId="77777777">
        <w:trPr>
          <w:divId w:val="1037663851"/>
          <w:jc w:val="center"/>
        </w:trPr>
        <w:tc>
          <w:tcPr>
            <w:tcW w:w="0" w:type="auto"/>
            <w:gridSpan w:val="3"/>
            <w:shd w:val="clear" w:color="auto" w:fill="FFFFFF"/>
            <w:tcMar>
              <w:top w:w="30" w:type="dxa"/>
              <w:left w:w="260" w:type="dxa"/>
              <w:bottom w:w="30" w:type="dxa"/>
              <w:right w:w="20" w:type="dxa"/>
            </w:tcMar>
            <w:hideMark/>
          </w:tcPr>
          <w:p w14:paraId="693A41B5" w14:textId="77777777" w:rsidR="00000000" w:rsidRDefault="00E614A4">
            <w:pPr>
              <w:rPr>
                <w:rFonts w:eastAsia="Times New Roman"/>
              </w:rPr>
            </w:pPr>
            <w:r>
              <w:rPr>
                <w:rFonts w:eastAsia="Times New Roman"/>
                <w:color w:val="000000"/>
                <w:sz w:val="18"/>
                <w:szCs w:val="18"/>
              </w:rPr>
              <w:t>Impairment of goodwill</w:t>
            </w:r>
          </w:p>
        </w:tc>
        <w:tc>
          <w:tcPr>
            <w:tcW w:w="0" w:type="auto"/>
            <w:gridSpan w:val="2"/>
            <w:shd w:val="clear" w:color="auto" w:fill="FFFFFF"/>
            <w:tcMar>
              <w:top w:w="30" w:type="dxa"/>
              <w:left w:w="20" w:type="dxa"/>
              <w:bottom w:w="30" w:type="dxa"/>
              <w:right w:w="0" w:type="dxa"/>
            </w:tcMar>
            <w:vAlign w:val="bottom"/>
            <w:hideMark/>
          </w:tcPr>
          <w:p w14:paraId="7AF7B37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BADED0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AC99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C44121" w14:textId="77777777" w:rsidR="00000000" w:rsidRDefault="00E614A4">
            <w:pPr>
              <w:jc w:val="right"/>
              <w:rPr>
                <w:rFonts w:eastAsia="Times New Roman"/>
              </w:rPr>
            </w:pPr>
            <w:r>
              <w:rPr>
                <w:rFonts w:eastAsia="Times New Roman"/>
                <w:color w:val="000000"/>
                <w:sz w:val="18"/>
                <w:szCs w:val="18"/>
              </w:rPr>
              <w:t>224,272 </w:t>
            </w:r>
          </w:p>
        </w:tc>
        <w:tc>
          <w:tcPr>
            <w:tcW w:w="0" w:type="auto"/>
            <w:shd w:val="clear" w:color="auto" w:fill="FFFFFF"/>
            <w:tcMar>
              <w:top w:w="30" w:type="dxa"/>
              <w:left w:w="0" w:type="dxa"/>
              <w:bottom w:w="30" w:type="dxa"/>
              <w:right w:w="20" w:type="dxa"/>
            </w:tcMar>
            <w:vAlign w:val="bottom"/>
            <w:hideMark/>
          </w:tcPr>
          <w:p w14:paraId="4D036D5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5D6E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330C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C2B3E9" w14:textId="77777777" w:rsidR="00000000" w:rsidRDefault="00E614A4">
            <w:pPr>
              <w:jc w:val="right"/>
              <w:rPr>
                <w:rFonts w:eastAsia="Times New Roman"/>
              </w:rPr>
            </w:pPr>
          </w:p>
        </w:tc>
      </w:tr>
      <w:tr w:rsidR="00000000" w14:paraId="19BDB1F2" w14:textId="77777777">
        <w:trPr>
          <w:divId w:val="1037663851"/>
          <w:jc w:val="center"/>
        </w:trPr>
        <w:tc>
          <w:tcPr>
            <w:tcW w:w="0" w:type="auto"/>
            <w:gridSpan w:val="3"/>
            <w:shd w:val="clear" w:color="auto" w:fill="CCEEFF"/>
            <w:tcMar>
              <w:top w:w="30" w:type="dxa"/>
              <w:left w:w="260" w:type="dxa"/>
              <w:bottom w:w="30" w:type="dxa"/>
              <w:right w:w="20" w:type="dxa"/>
            </w:tcMar>
            <w:hideMark/>
          </w:tcPr>
          <w:p w14:paraId="368F5FA8" w14:textId="77777777" w:rsidR="00000000" w:rsidRDefault="00E614A4">
            <w:pPr>
              <w:rPr>
                <w:rFonts w:eastAsia="Times New Roman"/>
              </w:rPr>
            </w:pPr>
            <w:r>
              <w:rPr>
                <w:rFonts w:eastAsia="Times New Roman"/>
                <w:color w:val="000000"/>
                <w:sz w:val="18"/>
                <w:szCs w:val="18"/>
              </w:rPr>
              <w:t>Impairment of intangible asset</w:t>
            </w:r>
          </w:p>
        </w:tc>
        <w:tc>
          <w:tcPr>
            <w:tcW w:w="0" w:type="auto"/>
            <w:gridSpan w:val="2"/>
            <w:shd w:val="clear" w:color="auto" w:fill="CCEEFF"/>
            <w:tcMar>
              <w:top w:w="30" w:type="dxa"/>
              <w:left w:w="20" w:type="dxa"/>
              <w:bottom w:w="30" w:type="dxa"/>
              <w:right w:w="0" w:type="dxa"/>
            </w:tcMar>
            <w:vAlign w:val="bottom"/>
            <w:hideMark/>
          </w:tcPr>
          <w:p w14:paraId="35558E3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3DBA2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1C6DA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A650B8" w14:textId="77777777" w:rsidR="00000000" w:rsidRDefault="00E614A4">
            <w:pPr>
              <w:jc w:val="right"/>
              <w:rPr>
                <w:rFonts w:eastAsia="Times New Roman"/>
              </w:rPr>
            </w:pPr>
            <w:r>
              <w:rPr>
                <w:rFonts w:eastAsia="Times New Roman"/>
                <w:color w:val="000000"/>
                <w:sz w:val="18"/>
                <w:szCs w:val="18"/>
              </w:rPr>
              <w:t>17,308 </w:t>
            </w:r>
          </w:p>
        </w:tc>
        <w:tc>
          <w:tcPr>
            <w:tcW w:w="0" w:type="auto"/>
            <w:shd w:val="clear" w:color="auto" w:fill="CCEEFF"/>
            <w:tcMar>
              <w:top w:w="30" w:type="dxa"/>
              <w:left w:w="0" w:type="dxa"/>
              <w:bottom w:w="30" w:type="dxa"/>
              <w:right w:w="20" w:type="dxa"/>
            </w:tcMar>
            <w:vAlign w:val="bottom"/>
            <w:hideMark/>
          </w:tcPr>
          <w:p w14:paraId="2973622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9850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C137F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8D7B3D" w14:textId="77777777" w:rsidR="00000000" w:rsidRDefault="00E614A4">
            <w:pPr>
              <w:jc w:val="right"/>
              <w:rPr>
                <w:rFonts w:eastAsia="Times New Roman"/>
              </w:rPr>
            </w:pPr>
          </w:p>
        </w:tc>
      </w:tr>
      <w:tr w:rsidR="00000000" w14:paraId="12497527" w14:textId="77777777">
        <w:trPr>
          <w:divId w:val="1037663851"/>
          <w:jc w:val="center"/>
        </w:trPr>
        <w:tc>
          <w:tcPr>
            <w:tcW w:w="0" w:type="auto"/>
            <w:gridSpan w:val="3"/>
            <w:shd w:val="clear" w:color="auto" w:fill="FFFFFF"/>
            <w:tcMar>
              <w:top w:w="30" w:type="dxa"/>
              <w:left w:w="260" w:type="dxa"/>
              <w:bottom w:w="30" w:type="dxa"/>
              <w:right w:w="20" w:type="dxa"/>
            </w:tcMar>
            <w:hideMark/>
          </w:tcPr>
          <w:p w14:paraId="1D606224" w14:textId="77777777" w:rsidR="00000000" w:rsidRDefault="00E614A4">
            <w:pPr>
              <w:rPr>
                <w:rFonts w:eastAsia="Times New Roman"/>
              </w:rPr>
            </w:pPr>
            <w:r>
              <w:rPr>
                <w:rFonts w:eastAsia="Times New Roman"/>
                <w:color w:val="000000"/>
                <w:sz w:val="18"/>
                <w:szCs w:val="18"/>
              </w:rPr>
              <w:t>Change in fair value of investment in equity securities</w:t>
            </w:r>
          </w:p>
        </w:tc>
        <w:tc>
          <w:tcPr>
            <w:tcW w:w="0" w:type="auto"/>
            <w:gridSpan w:val="2"/>
            <w:shd w:val="clear" w:color="auto" w:fill="FFFFFF"/>
            <w:tcMar>
              <w:top w:w="30" w:type="dxa"/>
              <w:left w:w="20" w:type="dxa"/>
              <w:bottom w:w="30" w:type="dxa"/>
              <w:right w:w="0" w:type="dxa"/>
            </w:tcMar>
            <w:vAlign w:val="bottom"/>
            <w:hideMark/>
          </w:tcPr>
          <w:p w14:paraId="15A1AEA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B649F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1120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5E5DE8" w14:textId="77777777" w:rsidR="00000000" w:rsidRDefault="00E614A4">
            <w:pPr>
              <w:jc w:val="right"/>
              <w:rPr>
                <w:rFonts w:eastAsia="Times New Roman"/>
              </w:rPr>
            </w:pPr>
            <w:r>
              <w:rPr>
                <w:rFonts w:eastAsia="Times New Roman"/>
                <w:color w:val="000000"/>
                <w:sz w:val="18"/>
                <w:szCs w:val="18"/>
              </w:rPr>
              <w:t>2,324 </w:t>
            </w:r>
          </w:p>
        </w:tc>
        <w:tc>
          <w:tcPr>
            <w:tcW w:w="0" w:type="auto"/>
            <w:shd w:val="clear" w:color="auto" w:fill="FFFFFF"/>
            <w:tcMar>
              <w:top w:w="30" w:type="dxa"/>
              <w:left w:w="0" w:type="dxa"/>
              <w:bottom w:w="30" w:type="dxa"/>
              <w:right w:w="20" w:type="dxa"/>
            </w:tcMar>
            <w:vAlign w:val="bottom"/>
            <w:hideMark/>
          </w:tcPr>
          <w:p w14:paraId="6845574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35D3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8C2049" w14:textId="77777777" w:rsidR="00000000" w:rsidRDefault="00E614A4">
            <w:pPr>
              <w:jc w:val="right"/>
              <w:rPr>
                <w:rFonts w:eastAsia="Times New Roman"/>
              </w:rPr>
            </w:pPr>
            <w:r>
              <w:rPr>
                <w:rFonts w:eastAsia="Times New Roman"/>
                <w:color w:val="000000"/>
                <w:sz w:val="18"/>
                <w:szCs w:val="18"/>
              </w:rPr>
              <w:t>(1,443)</w:t>
            </w:r>
          </w:p>
        </w:tc>
        <w:tc>
          <w:tcPr>
            <w:tcW w:w="0" w:type="auto"/>
            <w:shd w:val="clear" w:color="auto" w:fill="FFFFFF"/>
            <w:tcMar>
              <w:top w:w="30" w:type="dxa"/>
              <w:left w:w="0" w:type="dxa"/>
              <w:bottom w:w="30" w:type="dxa"/>
              <w:right w:w="20" w:type="dxa"/>
            </w:tcMar>
            <w:vAlign w:val="bottom"/>
            <w:hideMark/>
          </w:tcPr>
          <w:p w14:paraId="52BF5C6C" w14:textId="77777777" w:rsidR="00000000" w:rsidRDefault="00E614A4">
            <w:pPr>
              <w:jc w:val="right"/>
              <w:rPr>
                <w:rFonts w:eastAsia="Times New Roman"/>
              </w:rPr>
            </w:pPr>
          </w:p>
        </w:tc>
      </w:tr>
      <w:tr w:rsidR="00000000" w14:paraId="5CF9520B" w14:textId="77777777">
        <w:trPr>
          <w:divId w:val="1037663851"/>
          <w:jc w:val="center"/>
        </w:trPr>
        <w:tc>
          <w:tcPr>
            <w:tcW w:w="0" w:type="auto"/>
            <w:gridSpan w:val="3"/>
            <w:shd w:val="clear" w:color="auto" w:fill="CCEEFF"/>
            <w:tcMar>
              <w:top w:w="30" w:type="dxa"/>
              <w:left w:w="260" w:type="dxa"/>
              <w:bottom w:w="30" w:type="dxa"/>
              <w:right w:w="20" w:type="dxa"/>
            </w:tcMar>
            <w:hideMark/>
          </w:tcPr>
          <w:p w14:paraId="27200B72" w14:textId="77777777" w:rsidR="00000000" w:rsidRDefault="00E614A4">
            <w:pPr>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14:paraId="1363E9AF" w14:textId="77777777" w:rsidR="00000000" w:rsidRDefault="00E614A4">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bottom"/>
            <w:hideMark/>
          </w:tcPr>
          <w:p w14:paraId="7B08AD2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E85F9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A78E80" w14:textId="77777777" w:rsidR="00000000" w:rsidRDefault="00E614A4">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1612A74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7520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0312EB" w14:textId="77777777" w:rsidR="00000000" w:rsidRDefault="00E614A4">
            <w:pPr>
              <w:jc w:val="right"/>
              <w:rPr>
                <w:rFonts w:eastAsia="Times New Roman"/>
              </w:rPr>
            </w:pPr>
            <w:r>
              <w:rPr>
                <w:rFonts w:eastAsia="Times New Roman"/>
                <w:color w:val="000000"/>
                <w:sz w:val="18"/>
                <w:szCs w:val="18"/>
              </w:rPr>
              <w:t>568 </w:t>
            </w:r>
          </w:p>
        </w:tc>
        <w:tc>
          <w:tcPr>
            <w:tcW w:w="0" w:type="auto"/>
            <w:shd w:val="clear" w:color="auto" w:fill="CCEEFF"/>
            <w:tcMar>
              <w:top w:w="30" w:type="dxa"/>
              <w:left w:w="0" w:type="dxa"/>
              <w:bottom w:w="30" w:type="dxa"/>
              <w:right w:w="20" w:type="dxa"/>
            </w:tcMar>
            <w:vAlign w:val="bottom"/>
            <w:hideMark/>
          </w:tcPr>
          <w:p w14:paraId="4AF96736" w14:textId="77777777" w:rsidR="00000000" w:rsidRDefault="00E614A4">
            <w:pPr>
              <w:jc w:val="right"/>
              <w:rPr>
                <w:rFonts w:eastAsia="Times New Roman"/>
              </w:rPr>
            </w:pPr>
          </w:p>
        </w:tc>
      </w:tr>
      <w:tr w:rsidR="00000000" w14:paraId="3DD228DA" w14:textId="77777777">
        <w:trPr>
          <w:divId w:val="1037663851"/>
          <w:jc w:val="center"/>
        </w:trPr>
        <w:tc>
          <w:tcPr>
            <w:tcW w:w="0" w:type="auto"/>
            <w:gridSpan w:val="3"/>
            <w:shd w:val="clear" w:color="auto" w:fill="FFFFFF"/>
            <w:tcMar>
              <w:top w:w="30" w:type="dxa"/>
              <w:left w:w="260" w:type="dxa"/>
              <w:bottom w:w="30" w:type="dxa"/>
              <w:right w:w="20" w:type="dxa"/>
            </w:tcMar>
            <w:hideMark/>
          </w:tcPr>
          <w:p w14:paraId="63CD4F27" w14:textId="77777777" w:rsidR="00000000" w:rsidRDefault="00E614A4">
            <w:pPr>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56627F3B"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7E223"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6B1B2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FE6B9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7306A2" w14:textId="77777777" w:rsidR="00000000" w:rsidRDefault="00E614A4">
            <w:pPr>
              <w:rPr>
                <w:rFonts w:eastAsia="Times New Roman"/>
                <w:sz w:val="20"/>
                <w:szCs w:val="20"/>
              </w:rPr>
            </w:pPr>
          </w:p>
        </w:tc>
      </w:tr>
      <w:tr w:rsidR="00000000" w14:paraId="55318625" w14:textId="77777777">
        <w:trPr>
          <w:divId w:val="1037663851"/>
          <w:jc w:val="center"/>
        </w:trPr>
        <w:tc>
          <w:tcPr>
            <w:tcW w:w="0" w:type="auto"/>
            <w:gridSpan w:val="3"/>
            <w:shd w:val="clear" w:color="auto" w:fill="CCEEFF"/>
            <w:tcMar>
              <w:top w:w="30" w:type="dxa"/>
              <w:left w:w="500" w:type="dxa"/>
              <w:bottom w:w="30" w:type="dxa"/>
              <w:right w:w="20" w:type="dxa"/>
            </w:tcMar>
            <w:hideMark/>
          </w:tcPr>
          <w:p w14:paraId="42760F48" w14:textId="77777777" w:rsidR="00000000" w:rsidRDefault="00E614A4">
            <w:pPr>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14:paraId="46352010" w14:textId="77777777" w:rsidR="00000000" w:rsidRDefault="00E614A4">
            <w:pPr>
              <w:jc w:val="right"/>
              <w:rPr>
                <w:rFonts w:eastAsia="Times New Roman"/>
              </w:rPr>
            </w:pPr>
            <w:r>
              <w:rPr>
                <w:rFonts w:eastAsia="Times New Roman"/>
                <w:color w:val="000000"/>
                <w:sz w:val="18"/>
                <w:szCs w:val="18"/>
              </w:rPr>
              <w:t>2,024 </w:t>
            </w:r>
          </w:p>
        </w:tc>
        <w:tc>
          <w:tcPr>
            <w:tcW w:w="0" w:type="auto"/>
            <w:shd w:val="clear" w:color="auto" w:fill="CCEEFF"/>
            <w:tcMar>
              <w:top w:w="30" w:type="dxa"/>
              <w:left w:w="0" w:type="dxa"/>
              <w:bottom w:w="30" w:type="dxa"/>
              <w:right w:w="20" w:type="dxa"/>
            </w:tcMar>
            <w:vAlign w:val="bottom"/>
            <w:hideMark/>
          </w:tcPr>
          <w:p w14:paraId="7F1BD6A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6EAD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CCF44" w14:textId="77777777" w:rsidR="00000000" w:rsidRDefault="00E614A4">
            <w:pPr>
              <w:jc w:val="right"/>
              <w:rPr>
                <w:rFonts w:eastAsia="Times New Roman"/>
              </w:rPr>
            </w:pPr>
            <w:r>
              <w:rPr>
                <w:rFonts w:eastAsia="Times New Roman"/>
                <w:color w:val="000000"/>
                <w:sz w:val="18"/>
                <w:szCs w:val="18"/>
              </w:rPr>
              <w:t>2,738 </w:t>
            </w:r>
          </w:p>
        </w:tc>
        <w:tc>
          <w:tcPr>
            <w:tcW w:w="0" w:type="auto"/>
            <w:shd w:val="clear" w:color="auto" w:fill="CCEEFF"/>
            <w:tcMar>
              <w:top w:w="30" w:type="dxa"/>
              <w:left w:w="0" w:type="dxa"/>
              <w:bottom w:w="30" w:type="dxa"/>
              <w:right w:w="20" w:type="dxa"/>
            </w:tcMar>
            <w:vAlign w:val="bottom"/>
            <w:hideMark/>
          </w:tcPr>
          <w:p w14:paraId="3758394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9F68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3EA3F" w14:textId="77777777" w:rsidR="00000000" w:rsidRDefault="00E614A4">
            <w:pPr>
              <w:jc w:val="right"/>
              <w:rPr>
                <w:rFonts w:eastAsia="Times New Roman"/>
              </w:rPr>
            </w:pPr>
            <w:r>
              <w:rPr>
                <w:rFonts w:eastAsia="Times New Roman"/>
                <w:color w:val="000000"/>
                <w:sz w:val="18"/>
                <w:szCs w:val="18"/>
              </w:rPr>
              <w:t>4,707 </w:t>
            </w:r>
          </w:p>
        </w:tc>
        <w:tc>
          <w:tcPr>
            <w:tcW w:w="0" w:type="auto"/>
            <w:shd w:val="clear" w:color="auto" w:fill="CCEEFF"/>
            <w:tcMar>
              <w:top w:w="30" w:type="dxa"/>
              <w:left w:w="0" w:type="dxa"/>
              <w:bottom w:w="30" w:type="dxa"/>
              <w:right w:w="20" w:type="dxa"/>
            </w:tcMar>
            <w:vAlign w:val="bottom"/>
            <w:hideMark/>
          </w:tcPr>
          <w:p w14:paraId="5C8E2BC2" w14:textId="77777777" w:rsidR="00000000" w:rsidRDefault="00E614A4">
            <w:pPr>
              <w:jc w:val="right"/>
              <w:rPr>
                <w:rFonts w:eastAsia="Times New Roman"/>
              </w:rPr>
            </w:pPr>
          </w:p>
        </w:tc>
      </w:tr>
      <w:tr w:rsidR="00000000" w14:paraId="576E85BF" w14:textId="77777777">
        <w:trPr>
          <w:divId w:val="1037663851"/>
          <w:jc w:val="center"/>
        </w:trPr>
        <w:tc>
          <w:tcPr>
            <w:tcW w:w="0" w:type="auto"/>
            <w:gridSpan w:val="3"/>
            <w:shd w:val="clear" w:color="auto" w:fill="FFFFFF"/>
            <w:tcMar>
              <w:top w:w="30" w:type="dxa"/>
              <w:left w:w="500" w:type="dxa"/>
              <w:bottom w:w="30" w:type="dxa"/>
              <w:right w:w="20" w:type="dxa"/>
            </w:tcMar>
            <w:hideMark/>
          </w:tcPr>
          <w:p w14:paraId="67F41D05" w14:textId="77777777" w:rsidR="00000000" w:rsidRDefault="00E614A4">
            <w:pPr>
              <w:rPr>
                <w:rFonts w:eastAsia="Times New Roman"/>
              </w:rPr>
            </w:pPr>
            <w:r>
              <w:rPr>
                <w:rFonts w:eastAsia="Times New Roman"/>
                <w:color w:val="000000"/>
                <w:sz w:val="18"/>
                <w:szCs w:val="18"/>
              </w:rPr>
              <w:t>Prepaid expenses and other assets</w:t>
            </w:r>
          </w:p>
        </w:tc>
        <w:tc>
          <w:tcPr>
            <w:tcW w:w="0" w:type="auto"/>
            <w:gridSpan w:val="2"/>
            <w:shd w:val="clear" w:color="auto" w:fill="FFFFFF"/>
            <w:tcMar>
              <w:top w:w="30" w:type="dxa"/>
              <w:left w:w="20" w:type="dxa"/>
              <w:bottom w:w="30" w:type="dxa"/>
              <w:right w:w="0" w:type="dxa"/>
            </w:tcMar>
            <w:vAlign w:val="bottom"/>
            <w:hideMark/>
          </w:tcPr>
          <w:p w14:paraId="1B0A3205" w14:textId="77777777" w:rsidR="00000000" w:rsidRDefault="00E614A4">
            <w:pPr>
              <w:jc w:val="right"/>
              <w:rPr>
                <w:rFonts w:eastAsia="Times New Roman"/>
              </w:rPr>
            </w:pPr>
            <w:r>
              <w:rPr>
                <w:rFonts w:eastAsia="Times New Roman"/>
                <w:color w:val="000000"/>
                <w:sz w:val="18"/>
                <w:szCs w:val="18"/>
              </w:rPr>
              <w:t>(6,283)</w:t>
            </w:r>
          </w:p>
        </w:tc>
        <w:tc>
          <w:tcPr>
            <w:tcW w:w="0" w:type="auto"/>
            <w:shd w:val="clear" w:color="auto" w:fill="FFFFFF"/>
            <w:tcMar>
              <w:top w:w="30" w:type="dxa"/>
              <w:left w:w="0" w:type="dxa"/>
              <w:bottom w:w="30" w:type="dxa"/>
              <w:right w:w="20" w:type="dxa"/>
            </w:tcMar>
            <w:vAlign w:val="bottom"/>
            <w:hideMark/>
          </w:tcPr>
          <w:p w14:paraId="712D9E3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A965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76299" w14:textId="77777777" w:rsidR="00000000" w:rsidRDefault="00E614A4">
            <w:pPr>
              <w:jc w:val="right"/>
              <w:rPr>
                <w:rFonts w:eastAsia="Times New Roman"/>
              </w:rPr>
            </w:pPr>
            <w:r>
              <w:rPr>
                <w:rFonts w:eastAsia="Times New Roman"/>
                <w:color w:val="000000"/>
                <w:sz w:val="18"/>
                <w:szCs w:val="18"/>
              </w:rPr>
              <w:t>2,198 </w:t>
            </w:r>
          </w:p>
        </w:tc>
        <w:tc>
          <w:tcPr>
            <w:tcW w:w="0" w:type="auto"/>
            <w:shd w:val="clear" w:color="auto" w:fill="FFFFFF"/>
            <w:tcMar>
              <w:top w:w="30" w:type="dxa"/>
              <w:left w:w="0" w:type="dxa"/>
              <w:bottom w:w="30" w:type="dxa"/>
              <w:right w:w="20" w:type="dxa"/>
            </w:tcMar>
            <w:vAlign w:val="bottom"/>
            <w:hideMark/>
          </w:tcPr>
          <w:p w14:paraId="7F5E685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4B20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DD4C2" w14:textId="77777777" w:rsidR="00000000" w:rsidRDefault="00E614A4">
            <w:pPr>
              <w:jc w:val="right"/>
              <w:rPr>
                <w:rFonts w:eastAsia="Times New Roman"/>
              </w:rPr>
            </w:pPr>
            <w:r>
              <w:rPr>
                <w:rFonts w:eastAsia="Times New Roman"/>
                <w:color w:val="000000"/>
                <w:sz w:val="18"/>
                <w:szCs w:val="18"/>
              </w:rPr>
              <w:t>(2,891)</w:t>
            </w:r>
          </w:p>
        </w:tc>
        <w:tc>
          <w:tcPr>
            <w:tcW w:w="0" w:type="auto"/>
            <w:shd w:val="clear" w:color="auto" w:fill="FFFFFF"/>
            <w:tcMar>
              <w:top w:w="30" w:type="dxa"/>
              <w:left w:w="0" w:type="dxa"/>
              <w:bottom w:w="30" w:type="dxa"/>
              <w:right w:w="20" w:type="dxa"/>
            </w:tcMar>
            <w:vAlign w:val="bottom"/>
            <w:hideMark/>
          </w:tcPr>
          <w:p w14:paraId="1A98151C" w14:textId="77777777" w:rsidR="00000000" w:rsidRDefault="00E614A4">
            <w:pPr>
              <w:jc w:val="right"/>
              <w:rPr>
                <w:rFonts w:eastAsia="Times New Roman"/>
              </w:rPr>
            </w:pPr>
          </w:p>
        </w:tc>
      </w:tr>
      <w:tr w:rsidR="00000000" w14:paraId="1F9F7798" w14:textId="77777777">
        <w:trPr>
          <w:divId w:val="1037663851"/>
          <w:jc w:val="center"/>
        </w:trPr>
        <w:tc>
          <w:tcPr>
            <w:tcW w:w="0" w:type="auto"/>
            <w:gridSpan w:val="3"/>
            <w:shd w:val="clear" w:color="auto" w:fill="CCEEFF"/>
            <w:tcMar>
              <w:top w:w="30" w:type="dxa"/>
              <w:left w:w="500" w:type="dxa"/>
              <w:bottom w:w="30" w:type="dxa"/>
              <w:right w:w="20" w:type="dxa"/>
            </w:tcMar>
            <w:hideMark/>
          </w:tcPr>
          <w:p w14:paraId="460DE187" w14:textId="77777777" w:rsidR="00000000" w:rsidRDefault="00E614A4">
            <w:pPr>
              <w:rPr>
                <w:rFonts w:eastAsia="Times New Roman"/>
              </w:rPr>
            </w:pPr>
            <w:r>
              <w:rPr>
                <w:rFonts w:eastAsia="Times New Roman"/>
                <w:color w:val="000000"/>
                <w:sz w:val="18"/>
                <w:szCs w:val="18"/>
              </w:rPr>
              <w:t>Accounts payable, accrued expenses, and other liabilities</w:t>
            </w:r>
          </w:p>
        </w:tc>
        <w:tc>
          <w:tcPr>
            <w:tcW w:w="0" w:type="auto"/>
            <w:gridSpan w:val="2"/>
            <w:shd w:val="clear" w:color="auto" w:fill="CCEEFF"/>
            <w:tcMar>
              <w:top w:w="30" w:type="dxa"/>
              <w:left w:w="20" w:type="dxa"/>
              <w:bottom w:w="30" w:type="dxa"/>
              <w:right w:w="0" w:type="dxa"/>
            </w:tcMar>
            <w:vAlign w:val="bottom"/>
            <w:hideMark/>
          </w:tcPr>
          <w:p w14:paraId="1D91DC86" w14:textId="77777777" w:rsidR="00000000" w:rsidRDefault="00E614A4">
            <w:pPr>
              <w:jc w:val="right"/>
              <w:rPr>
                <w:rFonts w:eastAsia="Times New Roman"/>
              </w:rPr>
            </w:pPr>
            <w:r>
              <w:rPr>
                <w:rFonts w:eastAsia="Times New Roman"/>
                <w:color w:val="000000"/>
                <w:sz w:val="18"/>
                <w:szCs w:val="18"/>
              </w:rPr>
              <w:t>(17,095)</w:t>
            </w:r>
          </w:p>
        </w:tc>
        <w:tc>
          <w:tcPr>
            <w:tcW w:w="0" w:type="auto"/>
            <w:shd w:val="clear" w:color="auto" w:fill="CCEEFF"/>
            <w:tcMar>
              <w:top w:w="30" w:type="dxa"/>
              <w:left w:w="0" w:type="dxa"/>
              <w:bottom w:w="30" w:type="dxa"/>
              <w:right w:w="20" w:type="dxa"/>
            </w:tcMar>
            <w:vAlign w:val="bottom"/>
            <w:hideMark/>
          </w:tcPr>
          <w:p w14:paraId="7FC5CA6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2EDC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9961E2" w14:textId="77777777" w:rsidR="00000000" w:rsidRDefault="00E614A4">
            <w:pPr>
              <w:jc w:val="right"/>
              <w:rPr>
                <w:rFonts w:eastAsia="Times New Roman"/>
              </w:rPr>
            </w:pPr>
            <w:r>
              <w:rPr>
                <w:rFonts w:eastAsia="Times New Roman"/>
                <w:color w:val="000000"/>
                <w:sz w:val="18"/>
                <w:szCs w:val="18"/>
              </w:rPr>
              <w:t>10,438 </w:t>
            </w:r>
          </w:p>
        </w:tc>
        <w:tc>
          <w:tcPr>
            <w:tcW w:w="0" w:type="auto"/>
            <w:shd w:val="clear" w:color="auto" w:fill="CCEEFF"/>
            <w:tcMar>
              <w:top w:w="30" w:type="dxa"/>
              <w:left w:w="0" w:type="dxa"/>
              <w:bottom w:w="30" w:type="dxa"/>
              <w:right w:w="20" w:type="dxa"/>
            </w:tcMar>
            <w:vAlign w:val="bottom"/>
            <w:hideMark/>
          </w:tcPr>
          <w:p w14:paraId="7A4CEC7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18C1D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D10D86" w14:textId="77777777" w:rsidR="00000000" w:rsidRDefault="00E614A4">
            <w:pPr>
              <w:jc w:val="right"/>
              <w:rPr>
                <w:rFonts w:eastAsia="Times New Roman"/>
              </w:rPr>
            </w:pPr>
            <w:r>
              <w:rPr>
                <w:rFonts w:eastAsia="Times New Roman"/>
                <w:color w:val="000000"/>
                <w:sz w:val="18"/>
                <w:szCs w:val="18"/>
              </w:rPr>
              <w:t>(4,955)</w:t>
            </w:r>
          </w:p>
        </w:tc>
        <w:tc>
          <w:tcPr>
            <w:tcW w:w="0" w:type="auto"/>
            <w:shd w:val="clear" w:color="auto" w:fill="CCEEFF"/>
            <w:tcMar>
              <w:top w:w="30" w:type="dxa"/>
              <w:left w:w="0" w:type="dxa"/>
              <w:bottom w:w="30" w:type="dxa"/>
              <w:right w:w="20" w:type="dxa"/>
            </w:tcMar>
            <w:vAlign w:val="bottom"/>
            <w:hideMark/>
          </w:tcPr>
          <w:p w14:paraId="1300C558" w14:textId="77777777" w:rsidR="00000000" w:rsidRDefault="00E614A4">
            <w:pPr>
              <w:jc w:val="right"/>
              <w:rPr>
                <w:rFonts w:eastAsia="Times New Roman"/>
              </w:rPr>
            </w:pPr>
          </w:p>
        </w:tc>
      </w:tr>
      <w:tr w:rsidR="00000000" w14:paraId="40B1BDB9" w14:textId="77777777">
        <w:trPr>
          <w:divId w:val="1037663851"/>
          <w:jc w:val="center"/>
        </w:trPr>
        <w:tc>
          <w:tcPr>
            <w:tcW w:w="0" w:type="auto"/>
            <w:gridSpan w:val="3"/>
            <w:shd w:val="clear" w:color="auto" w:fill="FFFFFF"/>
            <w:tcMar>
              <w:top w:w="30" w:type="dxa"/>
              <w:left w:w="500" w:type="dxa"/>
              <w:bottom w:w="30" w:type="dxa"/>
              <w:right w:w="20" w:type="dxa"/>
            </w:tcMar>
            <w:hideMark/>
          </w:tcPr>
          <w:p w14:paraId="43BBC5A8" w14:textId="77777777" w:rsidR="00000000" w:rsidRDefault="00E614A4">
            <w:pPr>
              <w:rPr>
                <w:rFonts w:eastAsia="Times New Roman"/>
              </w:rPr>
            </w:pPr>
            <w:r>
              <w:rPr>
                <w:rFonts w:eastAsia="Times New Roman"/>
                <w:color w:val="000000"/>
                <w:sz w:val="18"/>
                <w:szCs w:val="18"/>
              </w:rPr>
              <w:t>Contract liability and customer advances</w:t>
            </w:r>
          </w:p>
        </w:tc>
        <w:tc>
          <w:tcPr>
            <w:tcW w:w="0" w:type="auto"/>
            <w:gridSpan w:val="2"/>
            <w:shd w:val="clear" w:color="auto" w:fill="FFFFFF"/>
            <w:tcMar>
              <w:top w:w="30" w:type="dxa"/>
              <w:left w:w="20" w:type="dxa"/>
              <w:bottom w:w="30" w:type="dxa"/>
              <w:right w:w="0" w:type="dxa"/>
            </w:tcMar>
            <w:vAlign w:val="bottom"/>
            <w:hideMark/>
          </w:tcPr>
          <w:p w14:paraId="159A83CB" w14:textId="77777777" w:rsidR="00000000" w:rsidRDefault="00E614A4">
            <w:pPr>
              <w:jc w:val="right"/>
              <w:rPr>
                <w:rFonts w:eastAsia="Times New Roman"/>
              </w:rPr>
            </w:pPr>
            <w:r>
              <w:rPr>
                <w:rFonts w:eastAsia="Times New Roman"/>
                <w:color w:val="000000"/>
                <w:sz w:val="18"/>
                <w:szCs w:val="18"/>
              </w:rPr>
              <w:t>7,341 </w:t>
            </w:r>
          </w:p>
        </w:tc>
        <w:tc>
          <w:tcPr>
            <w:tcW w:w="0" w:type="auto"/>
            <w:shd w:val="clear" w:color="auto" w:fill="FFFFFF"/>
            <w:tcMar>
              <w:top w:w="30" w:type="dxa"/>
              <w:left w:w="0" w:type="dxa"/>
              <w:bottom w:w="30" w:type="dxa"/>
              <w:right w:w="20" w:type="dxa"/>
            </w:tcMar>
            <w:vAlign w:val="bottom"/>
            <w:hideMark/>
          </w:tcPr>
          <w:p w14:paraId="63BEBA5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F934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C1749D" w14:textId="77777777" w:rsidR="00000000" w:rsidRDefault="00E614A4">
            <w:pPr>
              <w:jc w:val="right"/>
              <w:rPr>
                <w:rFonts w:eastAsia="Times New Roman"/>
              </w:rPr>
            </w:pPr>
            <w:r>
              <w:rPr>
                <w:rFonts w:eastAsia="Times New Roman"/>
                <w:color w:val="000000"/>
                <w:sz w:val="18"/>
                <w:szCs w:val="18"/>
              </w:rPr>
              <w:t>(3,477)</w:t>
            </w:r>
          </w:p>
        </w:tc>
        <w:tc>
          <w:tcPr>
            <w:tcW w:w="0" w:type="auto"/>
            <w:shd w:val="clear" w:color="auto" w:fill="FFFFFF"/>
            <w:tcMar>
              <w:top w:w="30" w:type="dxa"/>
              <w:left w:w="0" w:type="dxa"/>
              <w:bottom w:w="30" w:type="dxa"/>
              <w:right w:w="20" w:type="dxa"/>
            </w:tcMar>
            <w:vAlign w:val="bottom"/>
            <w:hideMark/>
          </w:tcPr>
          <w:p w14:paraId="59A38DD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6478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72E3A1" w14:textId="77777777" w:rsidR="00000000" w:rsidRDefault="00E614A4">
            <w:pPr>
              <w:jc w:val="right"/>
              <w:rPr>
                <w:rFonts w:eastAsia="Times New Roman"/>
              </w:rPr>
            </w:pPr>
            <w:r>
              <w:rPr>
                <w:rFonts w:eastAsia="Times New Roman"/>
                <w:color w:val="000000"/>
                <w:sz w:val="18"/>
                <w:szCs w:val="18"/>
              </w:rPr>
              <w:t>(30,013)</w:t>
            </w:r>
          </w:p>
        </w:tc>
        <w:tc>
          <w:tcPr>
            <w:tcW w:w="0" w:type="auto"/>
            <w:shd w:val="clear" w:color="auto" w:fill="FFFFFF"/>
            <w:tcMar>
              <w:top w:w="30" w:type="dxa"/>
              <w:left w:w="0" w:type="dxa"/>
              <w:bottom w:w="30" w:type="dxa"/>
              <w:right w:w="20" w:type="dxa"/>
            </w:tcMar>
            <w:vAlign w:val="bottom"/>
            <w:hideMark/>
          </w:tcPr>
          <w:p w14:paraId="66936C61" w14:textId="77777777" w:rsidR="00000000" w:rsidRDefault="00E614A4">
            <w:pPr>
              <w:jc w:val="right"/>
              <w:rPr>
                <w:rFonts w:eastAsia="Times New Roman"/>
              </w:rPr>
            </w:pPr>
          </w:p>
        </w:tc>
      </w:tr>
      <w:tr w:rsidR="00000000" w14:paraId="76861365" w14:textId="77777777">
        <w:trPr>
          <w:divId w:val="1037663851"/>
          <w:jc w:val="center"/>
        </w:trPr>
        <w:tc>
          <w:tcPr>
            <w:tcW w:w="0" w:type="auto"/>
            <w:gridSpan w:val="3"/>
            <w:shd w:val="clear" w:color="auto" w:fill="CCEEFF"/>
            <w:tcMar>
              <w:top w:w="30" w:type="dxa"/>
              <w:left w:w="500" w:type="dxa"/>
              <w:bottom w:w="30" w:type="dxa"/>
              <w:right w:w="20" w:type="dxa"/>
            </w:tcMar>
            <w:hideMark/>
          </w:tcPr>
          <w:p w14:paraId="7DC83F0A" w14:textId="77777777" w:rsidR="00000000" w:rsidRDefault="00E614A4">
            <w:pPr>
              <w:rPr>
                <w:rFonts w:eastAsia="Times New Roman"/>
              </w:rPr>
            </w:pPr>
            <w:r>
              <w:rPr>
                <w:rFonts w:eastAsia="Times New Roman"/>
                <w:color w:val="000000"/>
                <w:sz w:val="18"/>
                <w:szCs w:val="18"/>
              </w:rPr>
              <w:t>Current operating lease liability</w:t>
            </w:r>
          </w:p>
        </w:tc>
        <w:tc>
          <w:tcPr>
            <w:tcW w:w="0" w:type="auto"/>
            <w:gridSpan w:val="2"/>
            <w:shd w:val="clear" w:color="auto" w:fill="CCEEFF"/>
            <w:tcMar>
              <w:top w:w="30" w:type="dxa"/>
              <w:left w:w="20" w:type="dxa"/>
              <w:bottom w:w="30" w:type="dxa"/>
              <w:right w:w="0" w:type="dxa"/>
            </w:tcMar>
            <w:vAlign w:val="bottom"/>
            <w:hideMark/>
          </w:tcPr>
          <w:p w14:paraId="062764DD" w14:textId="77777777" w:rsidR="00000000" w:rsidRDefault="00E614A4">
            <w:pPr>
              <w:jc w:val="right"/>
              <w:rPr>
                <w:rFonts w:eastAsia="Times New Roman"/>
              </w:rPr>
            </w:pPr>
            <w:r>
              <w:rPr>
                <w:rFonts w:eastAsia="Times New Roman"/>
                <w:color w:val="000000"/>
                <w:sz w:val="18"/>
                <w:szCs w:val="18"/>
              </w:rPr>
              <w:t>(6,327)</w:t>
            </w:r>
          </w:p>
        </w:tc>
        <w:tc>
          <w:tcPr>
            <w:tcW w:w="0" w:type="auto"/>
            <w:shd w:val="clear" w:color="auto" w:fill="CCEEFF"/>
            <w:tcMar>
              <w:top w:w="30" w:type="dxa"/>
              <w:left w:w="0" w:type="dxa"/>
              <w:bottom w:w="30" w:type="dxa"/>
              <w:right w:w="20" w:type="dxa"/>
            </w:tcMar>
            <w:vAlign w:val="bottom"/>
            <w:hideMark/>
          </w:tcPr>
          <w:p w14:paraId="30551A1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60FB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24A309" w14:textId="77777777" w:rsidR="00000000" w:rsidRDefault="00E614A4">
            <w:pPr>
              <w:jc w:val="right"/>
              <w:rPr>
                <w:rFonts w:eastAsia="Times New Roman"/>
              </w:rPr>
            </w:pPr>
            <w:r>
              <w:rPr>
                <w:rFonts w:eastAsia="Times New Roman"/>
                <w:color w:val="000000"/>
                <w:sz w:val="18"/>
                <w:szCs w:val="18"/>
              </w:rPr>
              <w:t>(7,638)</w:t>
            </w:r>
          </w:p>
        </w:tc>
        <w:tc>
          <w:tcPr>
            <w:tcW w:w="0" w:type="auto"/>
            <w:shd w:val="clear" w:color="auto" w:fill="CCEEFF"/>
            <w:tcMar>
              <w:top w:w="30" w:type="dxa"/>
              <w:left w:w="0" w:type="dxa"/>
              <w:bottom w:w="30" w:type="dxa"/>
              <w:right w:w="20" w:type="dxa"/>
            </w:tcMar>
            <w:vAlign w:val="bottom"/>
            <w:hideMark/>
          </w:tcPr>
          <w:p w14:paraId="0E8F70C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65A5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24592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7C1032" w14:textId="77777777" w:rsidR="00000000" w:rsidRDefault="00E614A4">
            <w:pPr>
              <w:jc w:val="right"/>
              <w:rPr>
                <w:rFonts w:eastAsia="Times New Roman"/>
              </w:rPr>
            </w:pPr>
          </w:p>
        </w:tc>
      </w:tr>
      <w:tr w:rsidR="00000000" w14:paraId="0DD53244" w14:textId="77777777">
        <w:trPr>
          <w:divId w:val="1037663851"/>
          <w:jc w:val="center"/>
        </w:trPr>
        <w:tc>
          <w:tcPr>
            <w:tcW w:w="0" w:type="auto"/>
            <w:gridSpan w:val="3"/>
            <w:shd w:val="clear" w:color="auto" w:fill="FFFFFF"/>
            <w:tcMar>
              <w:top w:w="30" w:type="dxa"/>
              <w:left w:w="500" w:type="dxa"/>
              <w:bottom w:w="30" w:type="dxa"/>
              <w:right w:w="20" w:type="dxa"/>
            </w:tcMar>
            <w:hideMark/>
          </w:tcPr>
          <w:p w14:paraId="10A3039A" w14:textId="77777777" w:rsidR="00000000" w:rsidRDefault="00E614A4">
            <w:pPr>
              <w:rPr>
                <w:rFonts w:eastAsia="Times New Roman"/>
              </w:rPr>
            </w:pPr>
            <w:r>
              <w:rPr>
                <w:rFonts w:eastAsia="Times New Roman"/>
                <w:color w:val="000000"/>
                <w:sz w:val="18"/>
                <w:szCs w:val="18"/>
              </w:rPr>
              <w:t>Insurance recoverable on litigation settlements</w:t>
            </w:r>
          </w:p>
        </w:tc>
        <w:tc>
          <w:tcPr>
            <w:tcW w:w="0" w:type="auto"/>
            <w:gridSpan w:val="2"/>
            <w:shd w:val="clear" w:color="auto" w:fill="FFFFFF"/>
            <w:tcMar>
              <w:top w:w="30" w:type="dxa"/>
              <w:left w:w="20" w:type="dxa"/>
              <w:bottom w:w="30" w:type="dxa"/>
              <w:right w:w="0" w:type="dxa"/>
            </w:tcMar>
            <w:vAlign w:val="bottom"/>
            <w:hideMark/>
          </w:tcPr>
          <w:p w14:paraId="58CDF2C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E883B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26DE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102AF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4C0D1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FAF6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19FB03" w14:textId="77777777" w:rsidR="00000000" w:rsidRDefault="00E614A4">
            <w:pPr>
              <w:jc w:val="right"/>
              <w:rPr>
                <w:rFonts w:eastAsia="Times New Roman"/>
              </w:rPr>
            </w:pPr>
            <w:r>
              <w:rPr>
                <w:rFonts w:eastAsia="Times New Roman"/>
                <w:color w:val="000000"/>
                <w:sz w:val="18"/>
                <w:szCs w:val="18"/>
              </w:rPr>
              <w:t>10,000 </w:t>
            </w:r>
          </w:p>
        </w:tc>
        <w:tc>
          <w:tcPr>
            <w:tcW w:w="0" w:type="auto"/>
            <w:shd w:val="clear" w:color="auto" w:fill="FFFFFF"/>
            <w:tcMar>
              <w:top w:w="30" w:type="dxa"/>
              <w:left w:w="0" w:type="dxa"/>
              <w:bottom w:w="30" w:type="dxa"/>
              <w:right w:w="20" w:type="dxa"/>
            </w:tcMar>
            <w:vAlign w:val="bottom"/>
            <w:hideMark/>
          </w:tcPr>
          <w:p w14:paraId="73BF52B7" w14:textId="77777777" w:rsidR="00000000" w:rsidRDefault="00E614A4">
            <w:pPr>
              <w:jc w:val="right"/>
              <w:rPr>
                <w:rFonts w:eastAsia="Times New Roman"/>
              </w:rPr>
            </w:pPr>
          </w:p>
        </w:tc>
      </w:tr>
      <w:tr w:rsidR="00000000" w14:paraId="74115240" w14:textId="77777777">
        <w:trPr>
          <w:divId w:val="1037663851"/>
          <w:jc w:val="center"/>
        </w:trPr>
        <w:tc>
          <w:tcPr>
            <w:tcW w:w="0" w:type="auto"/>
            <w:gridSpan w:val="3"/>
            <w:shd w:val="clear" w:color="auto" w:fill="CCEEFF"/>
            <w:tcMar>
              <w:top w:w="30" w:type="dxa"/>
              <w:left w:w="20" w:type="dxa"/>
              <w:bottom w:w="30" w:type="dxa"/>
              <w:right w:w="20" w:type="dxa"/>
            </w:tcMar>
            <w:hideMark/>
          </w:tcPr>
          <w:p w14:paraId="46F610E0" w14:textId="77777777" w:rsidR="00000000" w:rsidRDefault="00E614A4">
            <w:pPr>
              <w:rPr>
                <w:rFonts w:eastAsia="Times New Roman"/>
              </w:rPr>
            </w:pPr>
            <w:r>
              <w:rPr>
                <w:rFonts w:eastAsia="Times New Roman"/>
                <w:color w:val="000000"/>
                <w:sz w:val="18"/>
                <w:szCs w:val="18"/>
              </w:rPr>
              <w:t>Net cash provided by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F247BA" w14:textId="77777777" w:rsidR="00000000" w:rsidRDefault="00E614A4">
            <w:pPr>
              <w:jc w:val="right"/>
              <w:rPr>
                <w:rFonts w:eastAsia="Times New Roman"/>
              </w:rPr>
            </w:pPr>
            <w:r>
              <w:rPr>
                <w:rFonts w:eastAsia="Times New Roman"/>
                <w:color w:val="000000"/>
                <w:sz w:val="18"/>
                <w:szCs w:val="18"/>
              </w:rPr>
              <w:t>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B6890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4B9CC"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48AD8A" w14:textId="77777777" w:rsidR="00000000" w:rsidRDefault="00E614A4">
            <w:pPr>
              <w:jc w:val="right"/>
              <w:rPr>
                <w:rFonts w:eastAsia="Times New Roman"/>
              </w:rPr>
            </w:pPr>
            <w:r>
              <w:rPr>
                <w:rFonts w:eastAsia="Times New Roman"/>
                <w:color w:val="000000"/>
                <w:sz w:val="18"/>
                <w:szCs w:val="18"/>
              </w:rPr>
              <w:t>(4,636)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36463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0D04C"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B3DA6A" w14:textId="77777777" w:rsidR="00000000" w:rsidRDefault="00E614A4">
            <w:pPr>
              <w:jc w:val="right"/>
              <w:rPr>
                <w:rFonts w:eastAsia="Times New Roman"/>
              </w:rPr>
            </w:pPr>
            <w:r>
              <w:rPr>
                <w:rFonts w:eastAsia="Times New Roman"/>
                <w:color w:val="000000"/>
                <w:sz w:val="18"/>
                <w:szCs w:val="18"/>
              </w:rPr>
              <w:t>(72,575)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CED014" w14:textId="77777777" w:rsidR="00000000" w:rsidRDefault="00E614A4">
            <w:pPr>
              <w:jc w:val="right"/>
              <w:rPr>
                <w:rFonts w:eastAsia="Times New Roman"/>
              </w:rPr>
            </w:pPr>
          </w:p>
        </w:tc>
      </w:tr>
      <w:tr w:rsidR="00000000" w14:paraId="7A065EFA" w14:textId="77777777">
        <w:trPr>
          <w:divId w:val="1037663851"/>
          <w:trHeight w:val="240"/>
          <w:jc w:val="center"/>
        </w:trPr>
        <w:tc>
          <w:tcPr>
            <w:tcW w:w="0" w:type="auto"/>
            <w:gridSpan w:val="3"/>
            <w:shd w:val="clear" w:color="auto" w:fill="FFFFFF"/>
            <w:tcMar>
              <w:top w:w="0" w:type="dxa"/>
              <w:left w:w="20" w:type="dxa"/>
              <w:bottom w:w="0" w:type="dxa"/>
              <w:right w:w="20" w:type="dxa"/>
            </w:tcMar>
            <w:vAlign w:val="center"/>
            <w:hideMark/>
          </w:tcPr>
          <w:p w14:paraId="578D49EC" w14:textId="77777777" w:rsidR="00000000" w:rsidRDefault="00E614A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59D97E"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F9B328"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5ACD17"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7AB0BE"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B2425" w14:textId="77777777" w:rsidR="00000000" w:rsidRDefault="00E614A4">
            <w:pPr>
              <w:rPr>
                <w:rFonts w:eastAsia="Times New Roman"/>
                <w:sz w:val="20"/>
                <w:szCs w:val="20"/>
              </w:rPr>
            </w:pPr>
          </w:p>
        </w:tc>
      </w:tr>
      <w:tr w:rsidR="00000000" w14:paraId="65CD8335" w14:textId="77777777">
        <w:trPr>
          <w:divId w:val="1037663851"/>
          <w:jc w:val="center"/>
        </w:trPr>
        <w:tc>
          <w:tcPr>
            <w:tcW w:w="0" w:type="auto"/>
            <w:gridSpan w:val="3"/>
            <w:shd w:val="clear" w:color="auto" w:fill="CCEEFF"/>
            <w:tcMar>
              <w:top w:w="30" w:type="dxa"/>
              <w:left w:w="20" w:type="dxa"/>
              <w:bottom w:w="30" w:type="dxa"/>
              <w:right w:w="20" w:type="dxa"/>
            </w:tcMar>
            <w:hideMark/>
          </w:tcPr>
          <w:p w14:paraId="61769E38" w14:textId="77777777" w:rsidR="00000000" w:rsidRDefault="00E614A4">
            <w:pPr>
              <w:divId w:val="621688634"/>
              <w:rPr>
                <w:rFonts w:eastAsia="Times New Roman"/>
              </w:rPr>
            </w:pPr>
            <w:r>
              <w:rPr>
                <w:rFonts w:eastAsia="Times New Roman"/>
                <w:b/>
                <w:bCs/>
                <w:color w:val="000000"/>
                <w:sz w:val="18"/>
                <w:szCs w:val="18"/>
              </w:rPr>
              <w:t>Investing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EA0BEDC"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6C2B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2869DA"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71B0B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94C170" w14:textId="77777777" w:rsidR="00000000" w:rsidRDefault="00E614A4">
            <w:pPr>
              <w:rPr>
                <w:rFonts w:eastAsia="Times New Roman"/>
                <w:sz w:val="20"/>
                <w:szCs w:val="20"/>
              </w:rPr>
            </w:pPr>
          </w:p>
        </w:tc>
      </w:tr>
      <w:tr w:rsidR="00000000" w14:paraId="7F987245" w14:textId="77777777">
        <w:trPr>
          <w:divId w:val="1037663851"/>
          <w:jc w:val="center"/>
        </w:trPr>
        <w:tc>
          <w:tcPr>
            <w:tcW w:w="0" w:type="auto"/>
            <w:gridSpan w:val="3"/>
            <w:shd w:val="clear" w:color="auto" w:fill="FFFFFF"/>
            <w:tcMar>
              <w:top w:w="30" w:type="dxa"/>
              <w:left w:w="20" w:type="dxa"/>
              <w:bottom w:w="30" w:type="dxa"/>
              <w:right w:w="20" w:type="dxa"/>
            </w:tcMar>
            <w:hideMark/>
          </w:tcPr>
          <w:p w14:paraId="182F77D3" w14:textId="77777777" w:rsidR="00000000" w:rsidRDefault="00E614A4">
            <w:pPr>
              <w:rPr>
                <w:rFonts w:eastAsia="Times New Roman"/>
              </w:rPr>
            </w:pPr>
            <w:r>
              <w:rPr>
                <w:rFonts w:eastAsia="Times New Roman"/>
                <w:color w:val="000000"/>
                <w:sz w:val="18"/>
                <w:szCs w:val="18"/>
              </w:rPr>
              <w:t>Capitalized internal-use software costs</w:t>
            </w:r>
          </w:p>
        </w:tc>
        <w:tc>
          <w:tcPr>
            <w:tcW w:w="0" w:type="auto"/>
            <w:gridSpan w:val="2"/>
            <w:shd w:val="clear" w:color="auto" w:fill="FFFFFF"/>
            <w:tcMar>
              <w:top w:w="30" w:type="dxa"/>
              <w:left w:w="20" w:type="dxa"/>
              <w:bottom w:w="30" w:type="dxa"/>
              <w:right w:w="0" w:type="dxa"/>
            </w:tcMar>
            <w:vAlign w:val="bottom"/>
            <w:hideMark/>
          </w:tcPr>
          <w:p w14:paraId="7014AA59" w14:textId="77777777" w:rsidR="00000000" w:rsidRDefault="00E614A4">
            <w:pPr>
              <w:jc w:val="right"/>
              <w:rPr>
                <w:rFonts w:eastAsia="Times New Roman"/>
              </w:rPr>
            </w:pPr>
            <w:r>
              <w:rPr>
                <w:rFonts w:eastAsia="Times New Roman"/>
                <w:color w:val="000000"/>
                <w:sz w:val="18"/>
                <w:szCs w:val="18"/>
              </w:rPr>
              <w:t>(15,078)</w:t>
            </w:r>
          </w:p>
        </w:tc>
        <w:tc>
          <w:tcPr>
            <w:tcW w:w="0" w:type="auto"/>
            <w:shd w:val="clear" w:color="auto" w:fill="FFFFFF"/>
            <w:tcMar>
              <w:top w:w="30" w:type="dxa"/>
              <w:left w:w="0" w:type="dxa"/>
              <w:bottom w:w="30" w:type="dxa"/>
              <w:right w:w="20" w:type="dxa"/>
            </w:tcMar>
            <w:vAlign w:val="bottom"/>
            <w:hideMark/>
          </w:tcPr>
          <w:p w14:paraId="63D80A3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0D0A2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4AF452" w14:textId="77777777" w:rsidR="00000000" w:rsidRDefault="00E614A4">
            <w:pPr>
              <w:jc w:val="right"/>
              <w:rPr>
                <w:rFonts w:eastAsia="Times New Roman"/>
              </w:rPr>
            </w:pPr>
            <w:r>
              <w:rPr>
                <w:rFonts w:eastAsia="Times New Roman"/>
                <w:color w:val="000000"/>
                <w:sz w:val="18"/>
                <w:szCs w:val="18"/>
              </w:rPr>
              <w:t>(11,500)</w:t>
            </w:r>
          </w:p>
        </w:tc>
        <w:tc>
          <w:tcPr>
            <w:tcW w:w="0" w:type="auto"/>
            <w:shd w:val="clear" w:color="auto" w:fill="FFFFFF"/>
            <w:tcMar>
              <w:top w:w="30" w:type="dxa"/>
              <w:left w:w="0" w:type="dxa"/>
              <w:bottom w:w="30" w:type="dxa"/>
              <w:right w:w="20" w:type="dxa"/>
            </w:tcMar>
            <w:vAlign w:val="bottom"/>
            <w:hideMark/>
          </w:tcPr>
          <w:p w14:paraId="4B8BE7B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485E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1105C" w14:textId="77777777" w:rsidR="00000000" w:rsidRDefault="00E614A4">
            <w:pPr>
              <w:jc w:val="right"/>
              <w:rPr>
                <w:rFonts w:eastAsia="Times New Roman"/>
              </w:rPr>
            </w:pPr>
            <w:r>
              <w:rPr>
                <w:rFonts w:eastAsia="Times New Roman"/>
                <w:color w:val="000000"/>
                <w:sz w:val="18"/>
                <w:szCs w:val="18"/>
              </w:rPr>
              <w:t>(9,608)</w:t>
            </w:r>
          </w:p>
        </w:tc>
        <w:tc>
          <w:tcPr>
            <w:tcW w:w="0" w:type="auto"/>
            <w:shd w:val="clear" w:color="auto" w:fill="FFFFFF"/>
            <w:tcMar>
              <w:top w:w="30" w:type="dxa"/>
              <w:left w:w="0" w:type="dxa"/>
              <w:bottom w:w="30" w:type="dxa"/>
              <w:right w:w="20" w:type="dxa"/>
            </w:tcMar>
            <w:vAlign w:val="bottom"/>
            <w:hideMark/>
          </w:tcPr>
          <w:p w14:paraId="0B6D6A6C" w14:textId="77777777" w:rsidR="00000000" w:rsidRDefault="00E614A4">
            <w:pPr>
              <w:jc w:val="right"/>
              <w:rPr>
                <w:rFonts w:eastAsia="Times New Roman"/>
              </w:rPr>
            </w:pPr>
          </w:p>
        </w:tc>
      </w:tr>
      <w:tr w:rsidR="00000000" w14:paraId="0F782F66" w14:textId="77777777">
        <w:trPr>
          <w:divId w:val="1037663851"/>
          <w:jc w:val="center"/>
        </w:trPr>
        <w:tc>
          <w:tcPr>
            <w:tcW w:w="0" w:type="auto"/>
            <w:gridSpan w:val="3"/>
            <w:shd w:val="clear" w:color="auto" w:fill="CCEEFF"/>
            <w:tcMar>
              <w:top w:w="30" w:type="dxa"/>
              <w:left w:w="20" w:type="dxa"/>
              <w:bottom w:w="30" w:type="dxa"/>
              <w:right w:w="20" w:type="dxa"/>
            </w:tcMar>
            <w:hideMark/>
          </w:tcPr>
          <w:p w14:paraId="1664B462" w14:textId="77777777" w:rsidR="00000000" w:rsidRDefault="00E614A4">
            <w:pPr>
              <w:rPr>
                <w:rFonts w:eastAsia="Times New Roman"/>
              </w:rPr>
            </w:pPr>
            <w:r>
              <w:rPr>
                <w:rFonts w:eastAsia="Times New Roman"/>
                <w:color w:val="000000"/>
                <w:sz w:val="18"/>
                <w:szCs w:val="18"/>
              </w:rPr>
              <w:t>Purchases of property and equipment</w:t>
            </w:r>
          </w:p>
        </w:tc>
        <w:tc>
          <w:tcPr>
            <w:tcW w:w="0" w:type="auto"/>
            <w:gridSpan w:val="2"/>
            <w:shd w:val="clear" w:color="auto" w:fill="CCEEFF"/>
            <w:tcMar>
              <w:top w:w="30" w:type="dxa"/>
              <w:left w:w="20" w:type="dxa"/>
              <w:bottom w:w="30" w:type="dxa"/>
              <w:right w:w="0" w:type="dxa"/>
            </w:tcMar>
            <w:vAlign w:val="bottom"/>
            <w:hideMark/>
          </w:tcPr>
          <w:p w14:paraId="3068DC0F" w14:textId="77777777" w:rsidR="00000000" w:rsidRDefault="00E614A4">
            <w:pPr>
              <w:jc w:val="right"/>
              <w:rPr>
                <w:rFonts w:eastAsia="Times New Roman"/>
              </w:rPr>
            </w:pPr>
            <w:r>
              <w:rPr>
                <w:rFonts w:eastAsia="Times New Roman"/>
                <w:color w:val="000000"/>
                <w:sz w:val="18"/>
                <w:szCs w:val="18"/>
              </w:rPr>
              <w:t>(477)</w:t>
            </w:r>
          </w:p>
        </w:tc>
        <w:tc>
          <w:tcPr>
            <w:tcW w:w="0" w:type="auto"/>
            <w:shd w:val="clear" w:color="auto" w:fill="CCEEFF"/>
            <w:tcMar>
              <w:top w:w="30" w:type="dxa"/>
              <w:left w:w="0" w:type="dxa"/>
              <w:bottom w:w="30" w:type="dxa"/>
              <w:right w:w="20" w:type="dxa"/>
            </w:tcMar>
            <w:vAlign w:val="bottom"/>
            <w:hideMark/>
          </w:tcPr>
          <w:p w14:paraId="41CEF7B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270F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B477C4" w14:textId="77777777" w:rsidR="00000000" w:rsidRDefault="00E614A4">
            <w:pPr>
              <w:jc w:val="right"/>
              <w:rPr>
                <w:rFonts w:eastAsia="Times New Roman"/>
              </w:rPr>
            </w:pPr>
            <w:r>
              <w:rPr>
                <w:rFonts w:eastAsia="Times New Roman"/>
                <w:color w:val="000000"/>
                <w:sz w:val="18"/>
                <w:szCs w:val="18"/>
              </w:rPr>
              <w:t>(2,736)</w:t>
            </w:r>
          </w:p>
        </w:tc>
        <w:tc>
          <w:tcPr>
            <w:tcW w:w="0" w:type="auto"/>
            <w:shd w:val="clear" w:color="auto" w:fill="CCEEFF"/>
            <w:tcMar>
              <w:top w:w="30" w:type="dxa"/>
              <w:left w:w="0" w:type="dxa"/>
              <w:bottom w:w="30" w:type="dxa"/>
              <w:right w:w="20" w:type="dxa"/>
            </w:tcMar>
            <w:vAlign w:val="bottom"/>
            <w:hideMark/>
          </w:tcPr>
          <w:p w14:paraId="5A63715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0205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E4E473" w14:textId="77777777" w:rsidR="00000000" w:rsidRDefault="00E614A4">
            <w:pPr>
              <w:jc w:val="right"/>
              <w:rPr>
                <w:rFonts w:eastAsia="Times New Roman"/>
              </w:rPr>
            </w:pPr>
            <w:r>
              <w:rPr>
                <w:rFonts w:eastAsia="Times New Roman"/>
                <w:color w:val="000000"/>
                <w:sz w:val="18"/>
                <w:szCs w:val="18"/>
              </w:rPr>
              <w:t>(4,206)</w:t>
            </w:r>
          </w:p>
        </w:tc>
        <w:tc>
          <w:tcPr>
            <w:tcW w:w="0" w:type="auto"/>
            <w:shd w:val="clear" w:color="auto" w:fill="CCEEFF"/>
            <w:tcMar>
              <w:top w:w="30" w:type="dxa"/>
              <w:left w:w="0" w:type="dxa"/>
              <w:bottom w:w="30" w:type="dxa"/>
              <w:right w:w="20" w:type="dxa"/>
            </w:tcMar>
            <w:vAlign w:val="bottom"/>
            <w:hideMark/>
          </w:tcPr>
          <w:p w14:paraId="7F1CD083" w14:textId="77777777" w:rsidR="00000000" w:rsidRDefault="00E614A4">
            <w:pPr>
              <w:jc w:val="right"/>
              <w:rPr>
                <w:rFonts w:eastAsia="Times New Roman"/>
              </w:rPr>
            </w:pPr>
          </w:p>
        </w:tc>
      </w:tr>
      <w:tr w:rsidR="00000000" w14:paraId="3DCCEBBF" w14:textId="77777777">
        <w:trPr>
          <w:divId w:val="1037663851"/>
          <w:jc w:val="center"/>
        </w:trPr>
        <w:tc>
          <w:tcPr>
            <w:tcW w:w="0" w:type="auto"/>
            <w:gridSpan w:val="3"/>
            <w:shd w:val="clear" w:color="auto" w:fill="FFFFFF"/>
            <w:tcMar>
              <w:top w:w="30" w:type="dxa"/>
              <w:left w:w="20" w:type="dxa"/>
              <w:bottom w:w="30" w:type="dxa"/>
              <w:right w:w="20" w:type="dxa"/>
            </w:tcMar>
            <w:hideMark/>
          </w:tcPr>
          <w:p w14:paraId="10BF0EA2" w14:textId="77777777" w:rsidR="00000000" w:rsidRDefault="00E614A4">
            <w:pPr>
              <w:rPr>
                <w:rFonts w:eastAsia="Times New Roman"/>
              </w:rPr>
            </w:pPr>
            <w:r>
              <w:rPr>
                <w:rFonts w:eastAsia="Times New Roman"/>
                <w:color w:val="000000"/>
                <w:sz w:val="18"/>
                <w:szCs w:val="18"/>
              </w:rPr>
              <w:t>Proceeds from sale of investment in equity securities</w:t>
            </w:r>
          </w:p>
        </w:tc>
        <w:tc>
          <w:tcPr>
            <w:tcW w:w="0" w:type="auto"/>
            <w:gridSpan w:val="2"/>
            <w:shd w:val="clear" w:color="auto" w:fill="FFFFFF"/>
            <w:tcMar>
              <w:top w:w="30" w:type="dxa"/>
              <w:left w:w="20" w:type="dxa"/>
              <w:bottom w:w="30" w:type="dxa"/>
              <w:right w:w="0" w:type="dxa"/>
            </w:tcMar>
            <w:vAlign w:val="bottom"/>
            <w:hideMark/>
          </w:tcPr>
          <w:p w14:paraId="0CA127A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7A2FF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F06D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059C4D" w14:textId="77777777" w:rsidR="00000000" w:rsidRDefault="00E614A4">
            <w:pPr>
              <w:jc w:val="right"/>
              <w:rPr>
                <w:rFonts w:eastAsia="Times New Roman"/>
              </w:rPr>
            </w:pPr>
            <w:r>
              <w:rPr>
                <w:rFonts w:eastAsia="Times New Roman"/>
                <w:color w:val="000000"/>
                <w:sz w:val="18"/>
                <w:szCs w:val="18"/>
              </w:rPr>
              <w:t>3,776 </w:t>
            </w:r>
          </w:p>
        </w:tc>
        <w:tc>
          <w:tcPr>
            <w:tcW w:w="0" w:type="auto"/>
            <w:shd w:val="clear" w:color="auto" w:fill="FFFFFF"/>
            <w:tcMar>
              <w:top w:w="30" w:type="dxa"/>
              <w:left w:w="0" w:type="dxa"/>
              <w:bottom w:w="30" w:type="dxa"/>
              <w:right w:w="20" w:type="dxa"/>
            </w:tcMar>
            <w:vAlign w:val="bottom"/>
            <w:hideMark/>
          </w:tcPr>
          <w:p w14:paraId="5F4A131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BEA8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F1BA6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87D395" w14:textId="77777777" w:rsidR="00000000" w:rsidRDefault="00E614A4">
            <w:pPr>
              <w:jc w:val="right"/>
              <w:rPr>
                <w:rFonts w:eastAsia="Times New Roman"/>
              </w:rPr>
            </w:pPr>
          </w:p>
        </w:tc>
      </w:tr>
      <w:tr w:rsidR="00000000" w14:paraId="37176B59" w14:textId="77777777">
        <w:trPr>
          <w:divId w:val="1037663851"/>
          <w:jc w:val="center"/>
        </w:trPr>
        <w:tc>
          <w:tcPr>
            <w:tcW w:w="0" w:type="auto"/>
            <w:gridSpan w:val="3"/>
            <w:shd w:val="clear" w:color="auto" w:fill="CCEEFF"/>
            <w:tcMar>
              <w:top w:w="30" w:type="dxa"/>
              <w:left w:w="20" w:type="dxa"/>
              <w:bottom w:w="30" w:type="dxa"/>
              <w:right w:w="20" w:type="dxa"/>
            </w:tcMar>
            <w:hideMark/>
          </w:tcPr>
          <w:p w14:paraId="797CD873" w14:textId="77777777" w:rsidR="00000000" w:rsidRDefault="00E614A4">
            <w:pPr>
              <w:rPr>
                <w:rFonts w:eastAsia="Times New Roman"/>
              </w:rPr>
            </w:pPr>
            <w:r>
              <w:rPr>
                <w:rFonts w:eastAsia="Times New Roman"/>
                <w:color w:val="000000"/>
                <w:sz w:val="18"/>
                <w:szCs w:val="18"/>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889A5B" w14:textId="77777777" w:rsidR="00000000" w:rsidRDefault="00E614A4">
            <w:pPr>
              <w:jc w:val="right"/>
              <w:rPr>
                <w:rFonts w:eastAsia="Times New Roman"/>
              </w:rPr>
            </w:pPr>
            <w:r>
              <w:rPr>
                <w:rFonts w:eastAsia="Times New Roman"/>
                <w:color w:val="000000"/>
                <w:sz w:val="18"/>
                <w:szCs w:val="18"/>
              </w:rPr>
              <w:t>(15,555)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96622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409536"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A91C0D" w14:textId="77777777" w:rsidR="00000000" w:rsidRDefault="00E614A4">
            <w:pPr>
              <w:jc w:val="right"/>
              <w:rPr>
                <w:rFonts w:eastAsia="Times New Roman"/>
              </w:rPr>
            </w:pPr>
            <w:r>
              <w:rPr>
                <w:rFonts w:eastAsia="Times New Roman"/>
                <w:color w:val="000000"/>
                <w:sz w:val="18"/>
                <w:szCs w:val="18"/>
              </w:rPr>
              <w:t>(10,460)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A5D3A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45DBD"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7D19D6" w14:textId="77777777" w:rsidR="00000000" w:rsidRDefault="00E614A4">
            <w:pPr>
              <w:jc w:val="right"/>
              <w:rPr>
                <w:rFonts w:eastAsia="Times New Roman"/>
              </w:rPr>
            </w:pPr>
            <w:r>
              <w:rPr>
                <w:rFonts w:eastAsia="Times New Roman"/>
                <w:color w:val="000000"/>
                <w:sz w:val="18"/>
                <w:szCs w:val="18"/>
              </w:rPr>
              <w:t>(13,814)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552273" w14:textId="77777777" w:rsidR="00000000" w:rsidRDefault="00E614A4">
            <w:pPr>
              <w:jc w:val="right"/>
              <w:rPr>
                <w:rFonts w:eastAsia="Times New Roman"/>
              </w:rPr>
            </w:pPr>
          </w:p>
        </w:tc>
      </w:tr>
      <w:tr w:rsidR="00000000" w14:paraId="00D096C1" w14:textId="77777777">
        <w:trPr>
          <w:divId w:val="1037663851"/>
          <w:trHeight w:val="240"/>
          <w:jc w:val="center"/>
        </w:trPr>
        <w:tc>
          <w:tcPr>
            <w:tcW w:w="0" w:type="auto"/>
            <w:gridSpan w:val="3"/>
            <w:shd w:val="clear" w:color="auto" w:fill="FFFFFF"/>
            <w:tcMar>
              <w:top w:w="0" w:type="dxa"/>
              <w:left w:w="20" w:type="dxa"/>
              <w:bottom w:w="0" w:type="dxa"/>
              <w:right w:w="20" w:type="dxa"/>
            </w:tcMar>
            <w:vAlign w:val="center"/>
            <w:hideMark/>
          </w:tcPr>
          <w:p w14:paraId="187DF972" w14:textId="77777777" w:rsidR="00000000" w:rsidRDefault="00E614A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D7422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11FE20"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4F0CA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A56C9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4485E0" w14:textId="77777777" w:rsidR="00000000" w:rsidRDefault="00E614A4">
            <w:pPr>
              <w:rPr>
                <w:rFonts w:eastAsia="Times New Roman"/>
                <w:sz w:val="20"/>
                <w:szCs w:val="20"/>
              </w:rPr>
            </w:pPr>
          </w:p>
        </w:tc>
      </w:tr>
      <w:tr w:rsidR="00000000" w14:paraId="1B2790D3" w14:textId="77777777">
        <w:trPr>
          <w:divId w:val="1037663851"/>
          <w:jc w:val="center"/>
        </w:trPr>
        <w:tc>
          <w:tcPr>
            <w:tcW w:w="0" w:type="auto"/>
            <w:gridSpan w:val="3"/>
            <w:shd w:val="clear" w:color="auto" w:fill="CCEEFF"/>
            <w:tcMar>
              <w:top w:w="30" w:type="dxa"/>
              <w:left w:w="20" w:type="dxa"/>
              <w:bottom w:w="30" w:type="dxa"/>
              <w:right w:w="20" w:type="dxa"/>
            </w:tcMar>
            <w:hideMark/>
          </w:tcPr>
          <w:p w14:paraId="5D341C50" w14:textId="77777777" w:rsidR="00000000" w:rsidRDefault="00E614A4">
            <w:pPr>
              <w:divId w:val="1061368785"/>
              <w:rPr>
                <w:rFonts w:eastAsia="Times New Roman"/>
              </w:rPr>
            </w:pPr>
            <w:r>
              <w:rPr>
                <w:rFonts w:eastAsia="Times New Roman"/>
                <w:b/>
                <w:bCs/>
                <w:color w:val="000000"/>
                <w:sz w:val="18"/>
                <w:szCs w:val="18"/>
              </w:rPr>
              <w:t>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2F1DBA"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446C2"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6B4051"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8F33F9"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C9BB6A" w14:textId="77777777" w:rsidR="00000000" w:rsidRDefault="00E614A4">
            <w:pPr>
              <w:rPr>
                <w:rFonts w:eastAsia="Times New Roman"/>
                <w:sz w:val="20"/>
                <w:szCs w:val="20"/>
              </w:rPr>
            </w:pPr>
          </w:p>
        </w:tc>
      </w:tr>
      <w:tr w:rsidR="00000000" w14:paraId="4E67D909" w14:textId="77777777">
        <w:trPr>
          <w:divId w:val="1037663851"/>
          <w:jc w:val="center"/>
        </w:trPr>
        <w:tc>
          <w:tcPr>
            <w:tcW w:w="0" w:type="auto"/>
            <w:gridSpan w:val="3"/>
            <w:shd w:val="clear" w:color="auto" w:fill="FFFFFF"/>
            <w:tcMar>
              <w:top w:w="30" w:type="dxa"/>
              <w:left w:w="20" w:type="dxa"/>
              <w:bottom w:w="30" w:type="dxa"/>
              <w:right w:w="20" w:type="dxa"/>
            </w:tcMar>
            <w:hideMark/>
          </w:tcPr>
          <w:p w14:paraId="57EBB4C9" w14:textId="77777777" w:rsidR="00000000" w:rsidRDefault="00E614A4">
            <w:pPr>
              <w:rPr>
                <w:rFonts w:eastAsia="Times New Roman"/>
              </w:rPr>
            </w:pPr>
            <w:r>
              <w:rPr>
                <w:rFonts w:eastAsia="Times New Roman"/>
                <w:color w:val="000000"/>
                <w:sz w:val="18"/>
                <w:szCs w:val="18"/>
              </w:rPr>
              <w:t>Principal payments on finance leases</w:t>
            </w:r>
          </w:p>
        </w:tc>
        <w:tc>
          <w:tcPr>
            <w:tcW w:w="0" w:type="auto"/>
            <w:gridSpan w:val="2"/>
            <w:shd w:val="clear" w:color="auto" w:fill="FFFFFF"/>
            <w:tcMar>
              <w:top w:w="30" w:type="dxa"/>
              <w:left w:w="20" w:type="dxa"/>
              <w:bottom w:w="30" w:type="dxa"/>
              <w:right w:w="0" w:type="dxa"/>
            </w:tcMar>
            <w:vAlign w:val="bottom"/>
            <w:hideMark/>
          </w:tcPr>
          <w:p w14:paraId="08835D76" w14:textId="77777777" w:rsidR="00000000" w:rsidRDefault="00E614A4">
            <w:pPr>
              <w:jc w:val="right"/>
              <w:rPr>
                <w:rFonts w:eastAsia="Times New Roman"/>
              </w:rPr>
            </w:pPr>
            <w:r>
              <w:rPr>
                <w:rFonts w:eastAsia="Times New Roman"/>
                <w:color w:val="000000"/>
                <w:sz w:val="18"/>
                <w:szCs w:val="18"/>
              </w:rPr>
              <w:t>(1,754)</w:t>
            </w:r>
          </w:p>
        </w:tc>
        <w:tc>
          <w:tcPr>
            <w:tcW w:w="0" w:type="auto"/>
            <w:shd w:val="clear" w:color="auto" w:fill="FFFFFF"/>
            <w:tcMar>
              <w:top w:w="30" w:type="dxa"/>
              <w:left w:w="0" w:type="dxa"/>
              <w:bottom w:w="30" w:type="dxa"/>
              <w:right w:w="20" w:type="dxa"/>
            </w:tcMar>
            <w:vAlign w:val="bottom"/>
            <w:hideMark/>
          </w:tcPr>
          <w:p w14:paraId="32A5348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E30B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06D86" w14:textId="77777777" w:rsidR="00000000" w:rsidRDefault="00E614A4">
            <w:pPr>
              <w:jc w:val="right"/>
              <w:rPr>
                <w:rFonts w:eastAsia="Times New Roman"/>
              </w:rPr>
            </w:pPr>
            <w:r>
              <w:rPr>
                <w:rFonts w:eastAsia="Times New Roman"/>
                <w:color w:val="000000"/>
                <w:sz w:val="18"/>
                <w:szCs w:val="18"/>
              </w:rPr>
              <w:t>(2,535)</w:t>
            </w:r>
          </w:p>
        </w:tc>
        <w:tc>
          <w:tcPr>
            <w:tcW w:w="0" w:type="auto"/>
            <w:shd w:val="clear" w:color="auto" w:fill="FFFFFF"/>
            <w:tcMar>
              <w:top w:w="30" w:type="dxa"/>
              <w:left w:w="0" w:type="dxa"/>
              <w:bottom w:w="30" w:type="dxa"/>
              <w:right w:w="20" w:type="dxa"/>
            </w:tcMar>
            <w:vAlign w:val="bottom"/>
            <w:hideMark/>
          </w:tcPr>
          <w:p w14:paraId="4C765D4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493E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BDAF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DC16EA" w14:textId="77777777" w:rsidR="00000000" w:rsidRDefault="00E614A4">
            <w:pPr>
              <w:jc w:val="right"/>
              <w:rPr>
                <w:rFonts w:eastAsia="Times New Roman"/>
              </w:rPr>
            </w:pPr>
          </w:p>
        </w:tc>
      </w:tr>
      <w:tr w:rsidR="00000000" w14:paraId="2F8A641D" w14:textId="77777777">
        <w:trPr>
          <w:divId w:val="1037663851"/>
          <w:jc w:val="center"/>
        </w:trPr>
        <w:tc>
          <w:tcPr>
            <w:tcW w:w="0" w:type="auto"/>
            <w:gridSpan w:val="3"/>
            <w:shd w:val="clear" w:color="auto" w:fill="CCEEFF"/>
            <w:tcMar>
              <w:top w:w="30" w:type="dxa"/>
              <w:left w:w="20" w:type="dxa"/>
              <w:bottom w:w="30" w:type="dxa"/>
              <w:right w:w="20" w:type="dxa"/>
            </w:tcMar>
            <w:hideMark/>
          </w:tcPr>
          <w:p w14:paraId="00FE19CC" w14:textId="77777777" w:rsidR="00000000" w:rsidRDefault="00E614A4">
            <w:pPr>
              <w:rPr>
                <w:rFonts w:eastAsia="Times New Roman"/>
              </w:rPr>
            </w:pPr>
            <w:r>
              <w:rPr>
                <w:rFonts w:eastAsia="Times New Roman"/>
                <w:color w:val="000000"/>
                <w:sz w:val="18"/>
                <w:szCs w:val="18"/>
              </w:rPr>
              <w:t>Principal payments on capital lease and software license arrangements</w:t>
            </w:r>
          </w:p>
        </w:tc>
        <w:tc>
          <w:tcPr>
            <w:tcW w:w="0" w:type="auto"/>
            <w:gridSpan w:val="2"/>
            <w:shd w:val="clear" w:color="auto" w:fill="CCEEFF"/>
            <w:tcMar>
              <w:top w:w="30" w:type="dxa"/>
              <w:left w:w="20" w:type="dxa"/>
              <w:bottom w:w="30" w:type="dxa"/>
              <w:right w:w="0" w:type="dxa"/>
            </w:tcMar>
            <w:vAlign w:val="bottom"/>
            <w:hideMark/>
          </w:tcPr>
          <w:p w14:paraId="2F304D53" w14:textId="77777777" w:rsidR="00000000" w:rsidRDefault="00E614A4">
            <w:pPr>
              <w:jc w:val="right"/>
              <w:rPr>
                <w:rFonts w:eastAsia="Times New Roman"/>
              </w:rPr>
            </w:pPr>
            <w:r>
              <w:rPr>
                <w:rFonts w:eastAsia="Times New Roman"/>
                <w:color w:val="000000"/>
                <w:sz w:val="18"/>
                <w:szCs w:val="18"/>
              </w:rPr>
              <w:t>(367)</w:t>
            </w:r>
          </w:p>
        </w:tc>
        <w:tc>
          <w:tcPr>
            <w:tcW w:w="0" w:type="auto"/>
            <w:shd w:val="clear" w:color="auto" w:fill="CCEEFF"/>
            <w:tcMar>
              <w:top w:w="30" w:type="dxa"/>
              <w:left w:w="0" w:type="dxa"/>
              <w:bottom w:w="30" w:type="dxa"/>
              <w:right w:w="20" w:type="dxa"/>
            </w:tcMar>
            <w:vAlign w:val="bottom"/>
            <w:hideMark/>
          </w:tcPr>
          <w:p w14:paraId="6B13350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73F8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7BF8D3" w14:textId="77777777" w:rsidR="00000000" w:rsidRDefault="00E614A4">
            <w:pPr>
              <w:jc w:val="right"/>
              <w:rPr>
                <w:rFonts w:eastAsia="Times New Roman"/>
              </w:rPr>
            </w:pPr>
            <w:r>
              <w:rPr>
                <w:rFonts w:eastAsia="Times New Roman"/>
                <w:color w:val="000000"/>
                <w:sz w:val="18"/>
                <w:szCs w:val="18"/>
              </w:rPr>
              <w:t>(2,070)</w:t>
            </w:r>
          </w:p>
        </w:tc>
        <w:tc>
          <w:tcPr>
            <w:tcW w:w="0" w:type="auto"/>
            <w:shd w:val="clear" w:color="auto" w:fill="CCEEFF"/>
            <w:tcMar>
              <w:top w:w="30" w:type="dxa"/>
              <w:left w:w="0" w:type="dxa"/>
              <w:bottom w:w="30" w:type="dxa"/>
              <w:right w:w="20" w:type="dxa"/>
            </w:tcMar>
            <w:vAlign w:val="bottom"/>
            <w:hideMark/>
          </w:tcPr>
          <w:p w14:paraId="5305A2F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B03A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D7F08A" w14:textId="77777777" w:rsidR="00000000" w:rsidRDefault="00E614A4">
            <w:pPr>
              <w:jc w:val="right"/>
              <w:rPr>
                <w:rFonts w:eastAsia="Times New Roman"/>
              </w:rPr>
            </w:pPr>
            <w:r>
              <w:rPr>
                <w:rFonts w:eastAsia="Times New Roman"/>
                <w:color w:val="000000"/>
                <w:sz w:val="18"/>
                <w:szCs w:val="18"/>
              </w:rPr>
              <w:t>(9,006)</w:t>
            </w:r>
          </w:p>
        </w:tc>
        <w:tc>
          <w:tcPr>
            <w:tcW w:w="0" w:type="auto"/>
            <w:shd w:val="clear" w:color="auto" w:fill="CCEEFF"/>
            <w:tcMar>
              <w:top w:w="30" w:type="dxa"/>
              <w:left w:w="0" w:type="dxa"/>
              <w:bottom w:w="30" w:type="dxa"/>
              <w:right w:w="20" w:type="dxa"/>
            </w:tcMar>
            <w:vAlign w:val="bottom"/>
            <w:hideMark/>
          </w:tcPr>
          <w:p w14:paraId="5933B3ED" w14:textId="77777777" w:rsidR="00000000" w:rsidRDefault="00E614A4">
            <w:pPr>
              <w:jc w:val="right"/>
              <w:rPr>
                <w:rFonts w:eastAsia="Times New Roman"/>
              </w:rPr>
            </w:pPr>
          </w:p>
        </w:tc>
      </w:tr>
      <w:tr w:rsidR="00000000" w14:paraId="2641DF6C" w14:textId="77777777">
        <w:trPr>
          <w:divId w:val="1037663851"/>
          <w:jc w:val="center"/>
        </w:trPr>
        <w:tc>
          <w:tcPr>
            <w:tcW w:w="0" w:type="auto"/>
            <w:gridSpan w:val="3"/>
            <w:shd w:val="clear" w:color="auto" w:fill="FFFFFF"/>
            <w:tcMar>
              <w:top w:w="30" w:type="dxa"/>
              <w:left w:w="20" w:type="dxa"/>
              <w:bottom w:w="30" w:type="dxa"/>
              <w:right w:w="20" w:type="dxa"/>
            </w:tcMar>
            <w:hideMark/>
          </w:tcPr>
          <w:p w14:paraId="6B2F7E48" w14:textId="77777777" w:rsidR="00000000" w:rsidRDefault="00E614A4">
            <w:pPr>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180C7084" w14:textId="77777777" w:rsidR="00000000" w:rsidRDefault="00E614A4">
            <w:pPr>
              <w:jc w:val="right"/>
              <w:rPr>
                <w:rFonts w:eastAsia="Times New Roman"/>
              </w:rPr>
            </w:pPr>
            <w:r>
              <w:rPr>
                <w:rFonts w:eastAsia="Times New Roman"/>
                <w:color w:val="000000"/>
                <w:sz w:val="18"/>
                <w:szCs w:val="18"/>
              </w:rPr>
              <w:t>(117)</w:t>
            </w:r>
          </w:p>
        </w:tc>
        <w:tc>
          <w:tcPr>
            <w:tcW w:w="0" w:type="auto"/>
            <w:shd w:val="clear" w:color="auto" w:fill="FFFFFF"/>
            <w:tcMar>
              <w:top w:w="30" w:type="dxa"/>
              <w:left w:w="0" w:type="dxa"/>
              <w:bottom w:w="30" w:type="dxa"/>
              <w:right w:w="20" w:type="dxa"/>
            </w:tcMar>
            <w:vAlign w:val="bottom"/>
            <w:hideMark/>
          </w:tcPr>
          <w:p w14:paraId="3045423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9C55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E39B01" w14:textId="77777777" w:rsidR="00000000" w:rsidRDefault="00E614A4">
            <w:pPr>
              <w:jc w:val="right"/>
              <w:rPr>
                <w:rFonts w:eastAsia="Times New Roman"/>
              </w:rPr>
            </w:pPr>
            <w:r>
              <w:rPr>
                <w:rFonts w:eastAsia="Times New Roman"/>
                <w:color w:val="000000"/>
                <w:sz w:val="18"/>
                <w:szCs w:val="18"/>
              </w:rPr>
              <w:t>(1,267)</w:t>
            </w:r>
          </w:p>
        </w:tc>
        <w:tc>
          <w:tcPr>
            <w:tcW w:w="0" w:type="auto"/>
            <w:shd w:val="clear" w:color="auto" w:fill="FFFFFF"/>
            <w:tcMar>
              <w:top w:w="30" w:type="dxa"/>
              <w:left w:w="0" w:type="dxa"/>
              <w:bottom w:w="30" w:type="dxa"/>
              <w:right w:w="20" w:type="dxa"/>
            </w:tcMar>
            <w:vAlign w:val="bottom"/>
            <w:hideMark/>
          </w:tcPr>
          <w:p w14:paraId="2FBE427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8A58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3CF4A" w14:textId="77777777" w:rsidR="00000000" w:rsidRDefault="00E614A4">
            <w:pPr>
              <w:jc w:val="right"/>
              <w:rPr>
                <w:rFonts w:eastAsia="Times New Roman"/>
              </w:rPr>
            </w:pPr>
            <w:r>
              <w:rPr>
                <w:rFonts w:eastAsia="Times New Roman"/>
                <w:color w:val="000000"/>
                <w:sz w:val="18"/>
                <w:szCs w:val="18"/>
              </w:rPr>
              <w:t>(5,263)</w:t>
            </w:r>
          </w:p>
        </w:tc>
        <w:tc>
          <w:tcPr>
            <w:tcW w:w="0" w:type="auto"/>
            <w:shd w:val="clear" w:color="auto" w:fill="FFFFFF"/>
            <w:tcMar>
              <w:top w:w="30" w:type="dxa"/>
              <w:left w:w="0" w:type="dxa"/>
              <w:bottom w:w="30" w:type="dxa"/>
              <w:right w:w="20" w:type="dxa"/>
            </w:tcMar>
            <w:vAlign w:val="bottom"/>
            <w:hideMark/>
          </w:tcPr>
          <w:p w14:paraId="79F42524" w14:textId="77777777" w:rsidR="00000000" w:rsidRDefault="00E614A4">
            <w:pPr>
              <w:jc w:val="right"/>
              <w:rPr>
                <w:rFonts w:eastAsia="Times New Roman"/>
              </w:rPr>
            </w:pPr>
          </w:p>
        </w:tc>
      </w:tr>
      <w:tr w:rsidR="00000000" w14:paraId="040103E1" w14:textId="77777777">
        <w:trPr>
          <w:divId w:val="1037663851"/>
          <w:jc w:val="center"/>
        </w:trPr>
        <w:tc>
          <w:tcPr>
            <w:tcW w:w="0" w:type="auto"/>
            <w:gridSpan w:val="3"/>
            <w:shd w:val="clear" w:color="auto" w:fill="CCEEFF"/>
            <w:tcMar>
              <w:top w:w="30" w:type="dxa"/>
              <w:left w:w="20" w:type="dxa"/>
              <w:bottom w:w="30" w:type="dxa"/>
              <w:right w:w="20" w:type="dxa"/>
            </w:tcMar>
            <w:hideMark/>
          </w:tcPr>
          <w:p w14:paraId="48250A20" w14:textId="77777777" w:rsidR="00000000" w:rsidRDefault="00E614A4">
            <w:pPr>
              <w:rPr>
                <w:rFonts w:eastAsia="Times New Roman"/>
              </w:rPr>
            </w:pPr>
            <w:r>
              <w:rPr>
                <w:rFonts w:eastAsia="Times New Roman"/>
                <w:color w:val="000000"/>
                <w:sz w:val="18"/>
                <w:szCs w:val="18"/>
              </w:rPr>
              <w:t>Proceeds from the exercise of stock options</w:t>
            </w:r>
          </w:p>
        </w:tc>
        <w:tc>
          <w:tcPr>
            <w:tcW w:w="0" w:type="auto"/>
            <w:gridSpan w:val="2"/>
            <w:shd w:val="clear" w:color="auto" w:fill="CCEEFF"/>
            <w:tcMar>
              <w:top w:w="30" w:type="dxa"/>
              <w:left w:w="20" w:type="dxa"/>
              <w:bottom w:w="30" w:type="dxa"/>
              <w:right w:w="0" w:type="dxa"/>
            </w:tcMar>
            <w:vAlign w:val="bottom"/>
            <w:hideMark/>
          </w:tcPr>
          <w:p w14:paraId="500249F0" w14:textId="77777777" w:rsidR="00000000" w:rsidRDefault="00E614A4">
            <w:pPr>
              <w:jc w:val="right"/>
              <w:rPr>
                <w:rFonts w:eastAsia="Times New Roman"/>
              </w:rPr>
            </w:pPr>
            <w:r>
              <w:rPr>
                <w:rFonts w:eastAsia="Times New Roman"/>
                <w:color w:val="000000"/>
                <w:sz w:val="18"/>
                <w:szCs w:val="18"/>
              </w:rPr>
              <w:t>142 </w:t>
            </w:r>
          </w:p>
        </w:tc>
        <w:tc>
          <w:tcPr>
            <w:tcW w:w="0" w:type="auto"/>
            <w:shd w:val="clear" w:color="auto" w:fill="CCEEFF"/>
            <w:tcMar>
              <w:top w:w="30" w:type="dxa"/>
              <w:left w:w="0" w:type="dxa"/>
              <w:bottom w:w="30" w:type="dxa"/>
              <w:right w:w="20" w:type="dxa"/>
            </w:tcMar>
            <w:vAlign w:val="bottom"/>
            <w:hideMark/>
          </w:tcPr>
          <w:p w14:paraId="02DB4DA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E2AB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F8EF9F" w14:textId="77777777" w:rsidR="00000000" w:rsidRDefault="00E614A4">
            <w:pPr>
              <w:jc w:val="right"/>
              <w:rPr>
                <w:rFonts w:eastAsia="Times New Roman"/>
              </w:rPr>
            </w:pPr>
            <w:r>
              <w:rPr>
                <w:rFonts w:eastAsia="Times New Roman"/>
                <w:color w:val="000000"/>
                <w:sz w:val="18"/>
                <w:szCs w:val="18"/>
              </w:rPr>
              <w:t>1,191 </w:t>
            </w:r>
          </w:p>
        </w:tc>
        <w:tc>
          <w:tcPr>
            <w:tcW w:w="0" w:type="auto"/>
            <w:shd w:val="clear" w:color="auto" w:fill="CCEEFF"/>
            <w:tcMar>
              <w:top w:w="30" w:type="dxa"/>
              <w:left w:w="0" w:type="dxa"/>
              <w:bottom w:w="30" w:type="dxa"/>
              <w:right w:w="20" w:type="dxa"/>
            </w:tcMar>
            <w:vAlign w:val="bottom"/>
            <w:hideMark/>
          </w:tcPr>
          <w:p w14:paraId="0A0D620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69A6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0D7465" w14:textId="77777777" w:rsidR="00000000" w:rsidRDefault="00E614A4">
            <w:pPr>
              <w:jc w:val="right"/>
              <w:rPr>
                <w:rFonts w:eastAsia="Times New Roman"/>
              </w:rPr>
            </w:pPr>
            <w:r>
              <w:rPr>
                <w:rFonts w:eastAsia="Times New Roman"/>
                <w:color w:val="000000"/>
                <w:sz w:val="18"/>
                <w:szCs w:val="18"/>
              </w:rPr>
              <w:t>2,855 </w:t>
            </w:r>
          </w:p>
        </w:tc>
        <w:tc>
          <w:tcPr>
            <w:tcW w:w="0" w:type="auto"/>
            <w:shd w:val="clear" w:color="auto" w:fill="CCEEFF"/>
            <w:tcMar>
              <w:top w:w="30" w:type="dxa"/>
              <w:left w:w="0" w:type="dxa"/>
              <w:bottom w:w="30" w:type="dxa"/>
              <w:right w:w="20" w:type="dxa"/>
            </w:tcMar>
            <w:vAlign w:val="bottom"/>
            <w:hideMark/>
          </w:tcPr>
          <w:p w14:paraId="0A373BE2" w14:textId="77777777" w:rsidR="00000000" w:rsidRDefault="00E614A4">
            <w:pPr>
              <w:jc w:val="right"/>
              <w:rPr>
                <w:rFonts w:eastAsia="Times New Roman"/>
              </w:rPr>
            </w:pPr>
          </w:p>
        </w:tc>
      </w:tr>
      <w:tr w:rsidR="00000000" w14:paraId="554C4FCF" w14:textId="77777777">
        <w:trPr>
          <w:divId w:val="1037663851"/>
          <w:jc w:val="center"/>
        </w:trPr>
        <w:tc>
          <w:tcPr>
            <w:tcW w:w="0" w:type="auto"/>
            <w:gridSpan w:val="3"/>
            <w:shd w:val="clear" w:color="auto" w:fill="FFFFFF"/>
            <w:tcMar>
              <w:top w:w="30" w:type="dxa"/>
              <w:left w:w="20" w:type="dxa"/>
              <w:bottom w:w="30" w:type="dxa"/>
              <w:right w:w="20" w:type="dxa"/>
            </w:tcMar>
            <w:hideMark/>
          </w:tcPr>
          <w:p w14:paraId="35FE79C0" w14:textId="77777777" w:rsidR="00000000" w:rsidRDefault="00E614A4">
            <w:pPr>
              <w:rPr>
                <w:rFonts w:eastAsia="Times New Roman"/>
              </w:rPr>
            </w:pPr>
            <w:r>
              <w:rPr>
                <w:rFonts w:eastAsia="Times New Roman"/>
                <w:color w:val="000000"/>
                <w:sz w:val="18"/>
                <w:szCs w:val="18"/>
              </w:rPr>
              <w:t>Proceeds from private placement, net of issuance costs paid</w:t>
            </w:r>
          </w:p>
        </w:tc>
        <w:tc>
          <w:tcPr>
            <w:tcW w:w="0" w:type="auto"/>
            <w:gridSpan w:val="2"/>
            <w:shd w:val="clear" w:color="auto" w:fill="FFFFFF"/>
            <w:tcMar>
              <w:top w:w="30" w:type="dxa"/>
              <w:left w:w="20" w:type="dxa"/>
              <w:bottom w:w="30" w:type="dxa"/>
              <w:right w:w="0" w:type="dxa"/>
            </w:tcMar>
            <w:vAlign w:val="bottom"/>
            <w:hideMark/>
          </w:tcPr>
          <w:p w14:paraId="7E91784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BFA76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657C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E1ADE8" w14:textId="77777777" w:rsidR="00000000" w:rsidRDefault="00E614A4">
            <w:pPr>
              <w:jc w:val="right"/>
              <w:rPr>
                <w:rFonts w:eastAsia="Times New Roman"/>
              </w:rPr>
            </w:pPr>
            <w:r>
              <w:rPr>
                <w:rFonts w:eastAsia="Times New Roman"/>
                <w:color w:val="000000"/>
                <w:sz w:val="18"/>
                <w:szCs w:val="18"/>
              </w:rPr>
              <w:t>19,752 </w:t>
            </w:r>
          </w:p>
        </w:tc>
        <w:tc>
          <w:tcPr>
            <w:tcW w:w="0" w:type="auto"/>
            <w:shd w:val="clear" w:color="auto" w:fill="FFFFFF"/>
            <w:tcMar>
              <w:top w:w="30" w:type="dxa"/>
              <w:left w:w="0" w:type="dxa"/>
              <w:bottom w:w="30" w:type="dxa"/>
              <w:right w:w="20" w:type="dxa"/>
            </w:tcMar>
            <w:vAlign w:val="bottom"/>
            <w:hideMark/>
          </w:tcPr>
          <w:p w14:paraId="44D95D7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49E2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94809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16A1DC" w14:textId="77777777" w:rsidR="00000000" w:rsidRDefault="00E614A4">
            <w:pPr>
              <w:jc w:val="right"/>
              <w:rPr>
                <w:rFonts w:eastAsia="Times New Roman"/>
              </w:rPr>
            </w:pPr>
          </w:p>
        </w:tc>
      </w:tr>
      <w:tr w:rsidR="00000000" w14:paraId="60593CD3" w14:textId="77777777">
        <w:trPr>
          <w:divId w:val="1037663851"/>
          <w:jc w:val="center"/>
        </w:trPr>
        <w:tc>
          <w:tcPr>
            <w:tcW w:w="0" w:type="auto"/>
            <w:gridSpan w:val="3"/>
            <w:shd w:val="clear" w:color="auto" w:fill="CCEEFF"/>
            <w:tcMar>
              <w:top w:w="30" w:type="dxa"/>
              <w:left w:w="20" w:type="dxa"/>
              <w:bottom w:w="30" w:type="dxa"/>
              <w:right w:w="20" w:type="dxa"/>
            </w:tcMar>
            <w:hideMark/>
          </w:tcPr>
          <w:p w14:paraId="6B9E9EB3" w14:textId="77777777" w:rsidR="00000000" w:rsidRDefault="00E614A4">
            <w:pPr>
              <w:rPr>
                <w:rFonts w:eastAsia="Times New Roman"/>
              </w:rPr>
            </w:pPr>
            <w:r>
              <w:rPr>
                <w:rFonts w:eastAsia="Times New Roman"/>
                <w:color w:val="000000"/>
                <w:sz w:val="18"/>
                <w:szCs w:val="18"/>
              </w:rPr>
              <w:t>Proceeds from secured term note</w:t>
            </w:r>
          </w:p>
        </w:tc>
        <w:tc>
          <w:tcPr>
            <w:tcW w:w="0" w:type="auto"/>
            <w:gridSpan w:val="2"/>
            <w:shd w:val="clear" w:color="auto" w:fill="CCEEFF"/>
            <w:tcMar>
              <w:top w:w="30" w:type="dxa"/>
              <w:left w:w="20" w:type="dxa"/>
              <w:bottom w:w="30" w:type="dxa"/>
              <w:right w:w="0" w:type="dxa"/>
            </w:tcMar>
            <w:vAlign w:val="bottom"/>
            <w:hideMark/>
          </w:tcPr>
          <w:p w14:paraId="3F3B257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18805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FB7E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40261D" w14:textId="77777777" w:rsidR="00000000" w:rsidRDefault="00E614A4">
            <w:pPr>
              <w:jc w:val="right"/>
              <w:rPr>
                <w:rFonts w:eastAsia="Times New Roman"/>
              </w:rPr>
            </w:pPr>
            <w:r>
              <w:rPr>
                <w:rFonts w:eastAsia="Times New Roman"/>
                <w:color w:val="000000"/>
                <w:sz w:val="18"/>
                <w:szCs w:val="18"/>
              </w:rPr>
              <w:t>13,000 </w:t>
            </w:r>
          </w:p>
        </w:tc>
        <w:tc>
          <w:tcPr>
            <w:tcW w:w="0" w:type="auto"/>
            <w:shd w:val="clear" w:color="auto" w:fill="CCEEFF"/>
            <w:tcMar>
              <w:top w:w="30" w:type="dxa"/>
              <w:left w:w="0" w:type="dxa"/>
              <w:bottom w:w="30" w:type="dxa"/>
              <w:right w:w="20" w:type="dxa"/>
            </w:tcMar>
            <w:vAlign w:val="bottom"/>
            <w:hideMark/>
          </w:tcPr>
          <w:p w14:paraId="0E02FBA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D1CB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C2A92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DF80B3" w14:textId="77777777" w:rsidR="00000000" w:rsidRDefault="00E614A4">
            <w:pPr>
              <w:jc w:val="right"/>
              <w:rPr>
                <w:rFonts w:eastAsia="Times New Roman"/>
              </w:rPr>
            </w:pPr>
          </w:p>
        </w:tc>
      </w:tr>
      <w:tr w:rsidR="00000000" w14:paraId="7A567A32" w14:textId="77777777">
        <w:trPr>
          <w:divId w:val="1037663851"/>
          <w:jc w:val="center"/>
        </w:trPr>
        <w:tc>
          <w:tcPr>
            <w:tcW w:w="0" w:type="auto"/>
            <w:gridSpan w:val="3"/>
            <w:shd w:val="clear" w:color="auto" w:fill="FFFFFF"/>
            <w:tcMar>
              <w:top w:w="30" w:type="dxa"/>
              <w:left w:w="20" w:type="dxa"/>
              <w:bottom w:w="30" w:type="dxa"/>
              <w:right w:w="20" w:type="dxa"/>
            </w:tcMar>
            <w:hideMark/>
          </w:tcPr>
          <w:p w14:paraId="5A7F56C6" w14:textId="77777777" w:rsidR="00000000" w:rsidRDefault="00E614A4">
            <w:pPr>
              <w:rPr>
                <w:rFonts w:eastAsia="Times New Roman"/>
              </w:rPr>
            </w:pPr>
            <w:r>
              <w:rPr>
                <w:rFonts w:eastAsia="Times New Roman"/>
                <w:color w:val="000000"/>
                <w:sz w:val="18"/>
                <w:szCs w:val="18"/>
              </w:rPr>
              <w:t>Secured term note issuance costs</w:t>
            </w:r>
          </w:p>
        </w:tc>
        <w:tc>
          <w:tcPr>
            <w:tcW w:w="0" w:type="auto"/>
            <w:gridSpan w:val="2"/>
            <w:shd w:val="clear" w:color="auto" w:fill="FFFFFF"/>
            <w:tcMar>
              <w:top w:w="30" w:type="dxa"/>
              <w:left w:w="20" w:type="dxa"/>
              <w:bottom w:w="30" w:type="dxa"/>
              <w:right w:w="0" w:type="dxa"/>
            </w:tcMar>
            <w:vAlign w:val="bottom"/>
            <w:hideMark/>
          </w:tcPr>
          <w:p w14:paraId="6230C7E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71472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2738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D7319A" w14:textId="77777777" w:rsidR="00000000" w:rsidRDefault="00E614A4">
            <w:pPr>
              <w:jc w:val="right"/>
              <w:rPr>
                <w:rFonts w:eastAsia="Times New Roman"/>
              </w:rPr>
            </w:pPr>
            <w:r>
              <w:rPr>
                <w:rFonts w:eastAsia="Times New Roman"/>
                <w:color w:val="000000"/>
                <w:sz w:val="18"/>
                <w:szCs w:val="18"/>
              </w:rPr>
              <w:t>(350)</w:t>
            </w:r>
          </w:p>
        </w:tc>
        <w:tc>
          <w:tcPr>
            <w:tcW w:w="0" w:type="auto"/>
            <w:shd w:val="clear" w:color="auto" w:fill="FFFFFF"/>
            <w:tcMar>
              <w:top w:w="30" w:type="dxa"/>
              <w:left w:w="0" w:type="dxa"/>
              <w:bottom w:w="30" w:type="dxa"/>
              <w:right w:w="20" w:type="dxa"/>
            </w:tcMar>
            <w:vAlign w:val="bottom"/>
            <w:hideMark/>
          </w:tcPr>
          <w:p w14:paraId="2896AAD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43E3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47EF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382E57" w14:textId="77777777" w:rsidR="00000000" w:rsidRDefault="00E614A4">
            <w:pPr>
              <w:jc w:val="right"/>
              <w:rPr>
                <w:rFonts w:eastAsia="Times New Roman"/>
              </w:rPr>
            </w:pPr>
          </w:p>
        </w:tc>
      </w:tr>
      <w:tr w:rsidR="00000000" w14:paraId="15385AD6" w14:textId="77777777">
        <w:trPr>
          <w:divId w:val="1037663851"/>
          <w:jc w:val="center"/>
        </w:trPr>
        <w:tc>
          <w:tcPr>
            <w:tcW w:w="0" w:type="auto"/>
            <w:gridSpan w:val="3"/>
            <w:shd w:val="clear" w:color="auto" w:fill="CCEEFF"/>
            <w:tcMar>
              <w:top w:w="30" w:type="dxa"/>
              <w:left w:w="20" w:type="dxa"/>
              <w:bottom w:w="30" w:type="dxa"/>
              <w:right w:w="20" w:type="dxa"/>
            </w:tcMar>
            <w:hideMark/>
          </w:tcPr>
          <w:p w14:paraId="629AD203" w14:textId="77777777" w:rsidR="00000000" w:rsidRDefault="00E614A4">
            <w:pPr>
              <w:rPr>
                <w:rFonts w:eastAsia="Times New Roman"/>
              </w:rPr>
            </w:pPr>
            <w:r>
              <w:rPr>
                <w:rFonts w:eastAsia="Times New Roman"/>
                <w:color w:val="000000"/>
                <w:sz w:val="18"/>
                <w:szCs w:val="18"/>
              </w:rPr>
              <w:t>Proceeds from sale-leaseback financing transaction</w:t>
            </w:r>
          </w:p>
        </w:tc>
        <w:tc>
          <w:tcPr>
            <w:tcW w:w="0" w:type="auto"/>
            <w:gridSpan w:val="2"/>
            <w:shd w:val="clear" w:color="auto" w:fill="CCEEFF"/>
            <w:tcMar>
              <w:top w:w="30" w:type="dxa"/>
              <w:left w:w="20" w:type="dxa"/>
              <w:bottom w:w="30" w:type="dxa"/>
              <w:right w:w="0" w:type="dxa"/>
            </w:tcMar>
            <w:vAlign w:val="bottom"/>
            <w:hideMark/>
          </w:tcPr>
          <w:p w14:paraId="6877B50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69862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C0BC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6D0FC4" w14:textId="77777777" w:rsidR="00000000" w:rsidRDefault="00E614A4">
            <w:pPr>
              <w:jc w:val="right"/>
              <w:rPr>
                <w:rFonts w:eastAsia="Times New Roman"/>
              </w:rPr>
            </w:pPr>
            <w:r>
              <w:rPr>
                <w:rFonts w:eastAsia="Times New Roman"/>
                <w:color w:val="000000"/>
                <w:sz w:val="18"/>
                <w:szCs w:val="18"/>
              </w:rPr>
              <w:t>4,252 </w:t>
            </w:r>
          </w:p>
        </w:tc>
        <w:tc>
          <w:tcPr>
            <w:tcW w:w="0" w:type="auto"/>
            <w:shd w:val="clear" w:color="auto" w:fill="CCEEFF"/>
            <w:tcMar>
              <w:top w:w="30" w:type="dxa"/>
              <w:left w:w="0" w:type="dxa"/>
              <w:bottom w:w="30" w:type="dxa"/>
              <w:right w:w="20" w:type="dxa"/>
            </w:tcMar>
            <w:vAlign w:val="bottom"/>
            <w:hideMark/>
          </w:tcPr>
          <w:p w14:paraId="15027B5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287B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5DE39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F08C04" w14:textId="77777777" w:rsidR="00000000" w:rsidRDefault="00E614A4">
            <w:pPr>
              <w:jc w:val="right"/>
              <w:rPr>
                <w:rFonts w:eastAsia="Times New Roman"/>
              </w:rPr>
            </w:pPr>
          </w:p>
        </w:tc>
      </w:tr>
      <w:tr w:rsidR="00000000" w14:paraId="26F86054" w14:textId="77777777">
        <w:trPr>
          <w:divId w:val="1037663851"/>
          <w:jc w:val="center"/>
        </w:trPr>
        <w:tc>
          <w:tcPr>
            <w:tcW w:w="0" w:type="auto"/>
            <w:gridSpan w:val="3"/>
            <w:shd w:val="clear" w:color="auto" w:fill="FFFFFF"/>
            <w:tcMar>
              <w:top w:w="30" w:type="dxa"/>
              <w:left w:w="20" w:type="dxa"/>
              <w:bottom w:w="30" w:type="dxa"/>
              <w:right w:w="20" w:type="dxa"/>
            </w:tcMar>
            <w:hideMark/>
          </w:tcPr>
          <w:p w14:paraId="2E016E01" w14:textId="77777777" w:rsidR="00000000" w:rsidRDefault="00E614A4">
            <w:pPr>
              <w:rPr>
                <w:rFonts w:eastAsia="Times New Roman"/>
              </w:rPr>
            </w:pPr>
            <w:r>
              <w:rPr>
                <w:rFonts w:eastAsia="Times New Roman"/>
                <w:color w:val="000000"/>
                <w:sz w:val="18"/>
                <w:szCs w:val="18"/>
              </w:rPr>
              <w:t>Proceeds from borrowings on senior secured convertible notes (related party)</w:t>
            </w:r>
          </w:p>
        </w:tc>
        <w:tc>
          <w:tcPr>
            <w:tcW w:w="0" w:type="auto"/>
            <w:gridSpan w:val="2"/>
            <w:shd w:val="clear" w:color="auto" w:fill="FFFFFF"/>
            <w:tcMar>
              <w:top w:w="30" w:type="dxa"/>
              <w:left w:w="20" w:type="dxa"/>
              <w:bottom w:w="30" w:type="dxa"/>
              <w:right w:w="0" w:type="dxa"/>
            </w:tcMar>
            <w:vAlign w:val="bottom"/>
            <w:hideMark/>
          </w:tcPr>
          <w:p w14:paraId="07E5E0E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F29F4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5C6C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36B10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324E5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F4D9B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51279C" w14:textId="77777777" w:rsidR="00000000" w:rsidRDefault="00E614A4">
            <w:pPr>
              <w:jc w:val="right"/>
              <w:rPr>
                <w:rFonts w:eastAsia="Times New Roman"/>
              </w:rPr>
            </w:pPr>
            <w:r>
              <w:rPr>
                <w:rFonts w:eastAsia="Times New Roman"/>
                <w:color w:val="000000"/>
                <w:sz w:val="18"/>
                <w:szCs w:val="18"/>
              </w:rPr>
              <w:t>100,000 </w:t>
            </w:r>
          </w:p>
        </w:tc>
        <w:tc>
          <w:tcPr>
            <w:tcW w:w="0" w:type="auto"/>
            <w:shd w:val="clear" w:color="auto" w:fill="FFFFFF"/>
            <w:tcMar>
              <w:top w:w="30" w:type="dxa"/>
              <w:left w:w="0" w:type="dxa"/>
              <w:bottom w:w="30" w:type="dxa"/>
              <w:right w:w="20" w:type="dxa"/>
            </w:tcMar>
            <w:vAlign w:val="bottom"/>
            <w:hideMark/>
          </w:tcPr>
          <w:p w14:paraId="1F695541" w14:textId="77777777" w:rsidR="00000000" w:rsidRDefault="00E614A4">
            <w:pPr>
              <w:jc w:val="right"/>
              <w:rPr>
                <w:rFonts w:eastAsia="Times New Roman"/>
              </w:rPr>
            </w:pPr>
          </w:p>
        </w:tc>
      </w:tr>
      <w:tr w:rsidR="00000000" w14:paraId="552CDA70" w14:textId="77777777">
        <w:trPr>
          <w:divId w:val="1037663851"/>
          <w:jc w:val="center"/>
        </w:trPr>
        <w:tc>
          <w:tcPr>
            <w:tcW w:w="0" w:type="auto"/>
            <w:gridSpan w:val="3"/>
            <w:shd w:val="clear" w:color="auto" w:fill="CCEEFF"/>
            <w:tcMar>
              <w:top w:w="30" w:type="dxa"/>
              <w:left w:w="20" w:type="dxa"/>
              <w:bottom w:w="30" w:type="dxa"/>
              <w:right w:w="20" w:type="dxa"/>
            </w:tcMar>
            <w:hideMark/>
          </w:tcPr>
          <w:p w14:paraId="21943575" w14:textId="77777777" w:rsidR="00000000" w:rsidRDefault="00E614A4">
            <w:pPr>
              <w:rPr>
                <w:rFonts w:eastAsia="Times New Roman"/>
              </w:rPr>
            </w:pPr>
            <w:r>
              <w:rPr>
                <w:rFonts w:eastAsia="Times New Roman"/>
                <w:color w:val="000000"/>
                <w:sz w:val="18"/>
                <w:szCs w:val="18"/>
              </w:rPr>
              <w:t>Senior secured convertible notes issuance costs</w:t>
            </w:r>
          </w:p>
        </w:tc>
        <w:tc>
          <w:tcPr>
            <w:tcW w:w="0" w:type="auto"/>
            <w:gridSpan w:val="2"/>
            <w:shd w:val="clear" w:color="auto" w:fill="CCEEFF"/>
            <w:tcMar>
              <w:top w:w="30" w:type="dxa"/>
              <w:left w:w="20" w:type="dxa"/>
              <w:bottom w:w="30" w:type="dxa"/>
              <w:right w:w="0" w:type="dxa"/>
            </w:tcMar>
            <w:vAlign w:val="bottom"/>
            <w:hideMark/>
          </w:tcPr>
          <w:p w14:paraId="4DD3932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C1549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66C9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10808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1F59D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659A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6B5A7A" w14:textId="77777777" w:rsidR="00000000" w:rsidRDefault="00E614A4">
            <w:pPr>
              <w:jc w:val="right"/>
              <w:rPr>
                <w:rFonts w:eastAsia="Times New Roman"/>
              </w:rPr>
            </w:pPr>
            <w:r>
              <w:rPr>
                <w:rFonts w:eastAsia="Times New Roman"/>
                <w:color w:val="000000"/>
                <w:sz w:val="18"/>
                <w:szCs w:val="18"/>
              </w:rPr>
              <w:t>(5,146)</w:t>
            </w:r>
          </w:p>
        </w:tc>
        <w:tc>
          <w:tcPr>
            <w:tcW w:w="0" w:type="auto"/>
            <w:shd w:val="clear" w:color="auto" w:fill="CCEEFF"/>
            <w:tcMar>
              <w:top w:w="30" w:type="dxa"/>
              <w:left w:w="0" w:type="dxa"/>
              <w:bottom w:w="30" w:type="dxa"/>
              <w:right w:w="20" w:type="dxa"/>
            </w:tcMar>
            <w:vAlign w:val="bottom"/>
            <w:hideMark/>
          </w:tcPr>
          <w:p w14:paraId="7A7AD43B" w14:textId="77777777" w:rsidR="00000000" w:rsidRDefault="00E614A4">
            <w:pPr>
              <w:jc w:val="right"/>
              <w:rPr>
                <w:rFonts w:eastAsia="Times New Roman"/>
              </w:rPr>
            </w:pPr>
          </w:p>
        </w:tc>
      </w:tr>
      <w:tr w:rsidR="00000000" w14:paraId="30B4C306" w14:textId="77777777">
        <w:trPr>
          <w:divId w:val="1037663851"/>
          <w:jc w:val="center"/>
        </w:trPr>
        <w:tc>
          <w:tcPr>
            <w:tcW w:w="0" w:type="auto"/>
            <w:gridSpan w:val="3"/>
            <w:shd w:val="clear" w:color="auto" w:fill="FFFFFF"/>
            <w:tcMar>
              <w:top w:w="30" w:type="dxa"/>
              <w:left w:w="20" w:type="dxa"/>
              <w:bottom w:w="30" w:type="dxa"/>
              <w:right w:w="20" w:type="dxa"/>
            </w:tcMar>
            <w:hideMark/>
          </w:tcPr>
          <w:p w14:paraId="34C4D008" w14:textId="77777777" w:rsidR="00000000" w:rsidRDefault="00E614A4">
            <w:pPr>
              <w:rPr>
                <w:rFonts w:eastAsia="Times New Roman"/>
              </w:rPr>
            </w:pPr>
            <w:r>
              <w:rPr>
                <w:rFonts w:eastAsia="Times New Roman"/>
                <w:color w:val="000000"/>
                <w:sz w:val="18"/>
                <w:szCs w:val="18"/>
              </w:rPr>
              <w:t>Financing proceeds received on subscription receivable (related party)</w:t>
            </w:r>
          </w:p>
        </w:tc>
        <w:tc>
          <w:tcPr>
            <w:tcW w:w="0" w:type="auto"/>
            <w:gridSpan w:val="2"/>
            <w:shd w:val="clear" w:color="auto" w:fill="FFFFFF"/>
            <w:tcMar>
              <w:top w:w="30" w:type="dxa"/>
              <w:left w:w="20" w:type="dxa"/>
              <w:bottom w:w="30" w:type="dxa"/>
              <w:right w:w="0" w:type="dxa"/>
            </w:tcMar>
            <w:vAlign w:val="bottom"/>
            <w:hideMark/>
          </w:tcPr>
          <w:p w14:paraId="7D6D987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7F446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10E2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3887B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BB755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22A4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BE5BE" w14:textId="77777777" w:rsidR="00000000" w:rsidRDefault="00E614A4">
            <w:pPr>
              <w:jc w:val="right"/>
              <w:rPr>
                <w:rFonts w:eastAsia="Times New Roman"/>
              </w:rPr>
            </w:pPr>
            <w:r>
              <w:rPr>
                <w:rFonts w:eastAsia="Times New Roman"/>
                <w:color w:val="000000"/>
                <w:sz w:val="18"/>
                <w:szCs w:val="18"/>
              </w:rPr>
              <w:t>9,679 </w:t>
            </w:r>
          </w:p>
        </w:tc>
        <w:tc>
          <w:tcPr>
            <w:tcW w:w="0" w:type="auto"/>
            <w:shd w:val="clear" w:color="auto" w:fill="FFFFFF"/>
            <w:tcMar>
              <w:top w:w="30" w:type="dxa"/>
              <w:left w:w="0" w:type="dxa"/>
              <w:bottom w:w="30" w:type="dxa"/>
              <w:right w:w="20" w:type="dxa"/>
            </w:tcMar>
            <w:vAlign w:val="bottom"/>
            <w:hideMark/>
          </w:tcPr>
          <w:p w14:paraId="0659739B" w14:textId="77777777" w:rsidR="00000000" w:rsidRDefault="00E614A4">
            <w:pPr>
              <w:jc w:val="right"/>
              <w:rPr>
                <w:rFonts w:eastAsia="Times New Roman"/>
              </w:rPr>
            </w:pPr>
          </w:p>
        </w:tc>
      </w:tr>
      <w:tr w:rsidR="00000000" w14:paraId="7CD04B71" w14:textId="77777777">
        <w:trPr>
          <w:divId w:val="1037663851"/>
          <w:jc w:val="center"/>
        </w:trPr>
        <w:tc>
          <w:tcPr>
            <w:tcW w:w="0" w:type="auto"/>
            <w:gridSpan w:val="3"/>
            <w:shd w:val="clear" w:color="auto" w:fill="CCEEFF"/>
            <w:tcMar>
              <w:top w:w="30" w:type="dxa"/>
              <w:left w:w="20" w:type="dxa"/>
              <w:bottom w:w="30" w:type="dxa"/>
              <w:right w:w="20" w:type="dxa"/>
            </w:tcMar>
            <w:hideMark/>
          </w:tcPr>
          <w:p w14:paraId="21AA7C1F" w14:textId="77777777" w:rsidR="00000000" w:rsidRDefault="00E614A4">
            <w:pPr>
              <w:rPr>
                <w:rFonts w:eastAsia="Times New Roman"/>
              </w:rPr>
            </w:pPr>
            <w:r>
              <w:rPr>
                <w:rFonts w:eastAsia="Times New Roman"/>
                <w:color w:val="000000"/>
                <w:sz w:val="18"/>
                <w:szCs w:val="18"/>
              </w:rPr>
              <w:t>Net 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687AEB" w14:textId="77777777" w:rsidR="00000000" w:rsidRDefault="00E614A4">
            <w:pPr>
              <w:jc w:val="right"/>
              <w:rPr>
                <w:rFonts w:eastAsia="Times New Roman"/>
              </w:rPr>
            </w:pPr>
            <w:r>
              <w:rPr>
                <w:rFonts w:eastAsia="Times New Roman"/>
                <w:color w:val="000000"/>
                <w:sz w:val="18"/>
                <w:szCs w:val="18"/>
              </w:rPr>
              <w:t>(2,096)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0520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89DE7"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EE974F" w14:textId="77777777" w:rsidR="00000000" w:rsidRDefault="00E614A4">
            <w:pPr>
              <w:jc w:val="right"/>
              <w:rPr>
                <w:rFonts w:eastAsia="Times New Roman"/>
              </w:rPr>
            </w:pPr>
            <w:r>
              <w:rPr>
                <w:rFonts w:eastAsia="Times New Roman"/>
                <w:color w:val="000000"/>
                <w:sz w:val="18"/>
                <w:szCs w:val="18"/>
              </w:rPr>
              <w:t>31,973 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2F9D3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F604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0D9C6C" w14:textId="77777777" w:rsidR="00000000" w:rsidRDefault="00E614A4">
            <w:pPr>
              <w:jc w:val="right"/>
              <w:rPr>
                <w:rFonts w:eastAsia="Times New Roman"/>
              </w:rPr>
            </w:pPr>
            <w:r>
              <w:rPr>
                <w:rFonts w:eastAsia="Times New Roman"/>
                <w:color w:val="000000"/>
                <w:sz w:val="18"/>
                <w:szCs w:val="18"/>
              </w:rPr>
              <w:t>93,119 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36B525" w14:textId="77777777" w:rsidR="00000000" w:rsidRDefault="00E614A4">
            <w:pPr>
              <w:jc w:val="right"/>
              <w:rPr>
                <w:rFonts w:eastAsia="Times New Roman"/>
              </w:rPr>
            </w:pPr>
          </w:p>
        </w:tc>
      </w:tr>
      <w:tr w:rsidR="00000000" w14:paraId="04CE7BB1" w14:textId="77777777">
        <w:trPr>
          <w:divId w:val="1037663851"/>
          <w:jc w:val="center"/>
        </w:trPr>
        <w:tc>
          <w:tcPr>
            <w:tcW w:w="0" w:type="auto"/>
            <w:gridSpan w:val="3"/>
            <w:shd w:val="clear" w:color="auto" w:fill="FFFFFF"/>
            <w:tcMar>
              <w:top w:w="30" w:type="dxa"/>
              <w:left w:w="20" w:type="dxa"/>
              <w:bottom w:w="30" w:type="dxa"/>
              <w:right w:w="20" w:type="dxa"/>
            </w:tcMar>
            <w:hideMark/>
          </w:tcPr>
          <w:p w14:paraId="5DEB29C2" w14:textId="77777777" w:rsidR="00000000" w:rsidRDefault="00E614A4">
            <w:pPr>
              <w:rPr>
                <w:rFonts w:eastAsia="Times New Roman"/>
              </w:rPr>
            </w:pPr>
            <w:r>
              <w:rPr>
                <w:rFonts w:eastAsia="Times New Roman"/>
                <w:color w:val="000000"/>
                <w:sz w:val="18"/>
                <w:szCs w:val="18"/>
              </w:rPr>
              <w:t>Effect of exchange rate changes on cash, cash equivalents and restricted cash</w:t>
            </w:r>
          </w:p>
        </w:tc>
        <w:tc>
          <w:tcPr>
            <w:tcW w:w="0" w:type="auto"/>
            <w:gridSpan w:val="2"/>
            <w:shd w:val="clear" w:color="auto" w:fill="FFFFFF"/>
            <w:tcMar>
              <w:top w:w="30" w:type="dxa"/>
              <w:left w:w="20" w:type="dxa"/>
              <w:bottom w:w="30" w:type="dxa"/>
              <w:right w:w="0" w:type="dxa"/>
            </w:tcMar>
            <w:vAlign w:val="bottom"/>
            <w:hideMark/>
          </w:tcPr>
          <w:p w14:paraId="21ADCD1F" w14:textId="77777777" w:rsidR="00000000" w:rsidRDefault="00E614A4">
            <w:pPr>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bottom"/>
            <w:hideMark/>
          </w:tcPr>
          <w:p w14:paraId="23A2E95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E88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2B0ED3" w14:textId="77777777" w:rsidR="00000000" w:rsidRDefault="00E614A4">
            <w:pPr>
              <w:jc w:val="right"/>
              <w:rPr>
                <w:rFonts w:eastAsia="Times New Roman"/>
              </w:rPr>
            </w:pPr>
            <w:r>
              <w:rPr>
                <w:rFonts w:eastAsia="Times New Roman"/>
                <w:color w:val="000000"/>
                <w:sz w:val="18"/>
                <w:szCs w:val="18"/>
              </w:rPr>
              <w:t>(302)</w:t>
            </w:r>
          </w:p>
        </w:tc>
        <w:tc>
          <w:tcPr>
            <w:tcW w:w="0" w:type="auto"/>
            <w:shd w:val="clear" w:color="auto" w:fill="FFFFFF"/>
            <w:tcMar>
              <w:top w:w="30" w:type="dxa"/>
              <w:left w:w="0" w:type="dxa"/>
              <w:bottom w:w="30" w:type="dxa"/>
              <w:right w:w="20" w:type="dxa"/>
            </w:tcMar>
            <w:vAlign w:val="bottom"/>
            <w:hideMark/>
          </w:tcPr>
          <w:p w14:paraId="05E4AC2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D963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694082" w14:textId="77777777" w:rsidR="00000000" w:rsidRDefault="00E614A4">
            <w:pPr>
              <w:jc w:val="right"/>
              <w:rPr>
                <w:rFonts w:eastAsia="Times New Roman"/>
              </w:rPr>
            </w:pPr>
            <w:r>
              <w:rPr>
                <w:rFonts w:eastAsia="Times New Roman"/>
                <w:color w:val="000000"/>
                <w:sz w:val="18"/>
                <w:szCs w:val="18"/>
              </w:rPr>
              <w:t>(1,657)</w:t>
            </w:r>
          </w:p>
        </w:tc>
        <w:tc>
          <w:tcPr>
            <w:tcW w:w="0" w:type="auto"/>
            <w:shd w:val="clear" w:color="auto" w:fill="FFFFFF"/>
            <w:tcMar>
              <w:top w:w="30" w:type="dxa"/>
              <w:left w:w="0" w:type="dxa"/>
              <w:bottom w:w="30" w:type="dxa"/>
              <w:right w:w="20" w:type="dxa"/>
            </w:tcMar>
            <w:vAlign w:val="bottom"/>
            <w:hideMark/>
          </w:tcPr>
          <w:p w14:paraId="76DC845B" w14:textId="77777777" w:rsidR="00000000" w:rsidRDefault="00E614A4">
            <w:pPr>
              <w:jc w:val="right"/>
              <w:rPr>
                <w:rFonts w:eastAsia="Times New Roman"/>
              </w:rPr>
            </w:pPr>
          </w:p>
        </w:tc>
      </w:tr>
      <w:tr w:rsidR="00000000" w14:paraId="7D2EA029" w14:textId="77777777">
        <w:trPr>
          <w:divId w:val="1037663851"/>
          <w:jc w:val="center"/>
        </w:trPr>
        <w:tc>
          <w:tcPr>
            <w:tcW w:w="0" w:type="auto"/>
            <w:gridSpan w:val="3"/>
            <w:shd w:val="clear" w:color="auto" w:fill="CCEEFF"/>
            <w:tcMar>
              <w:top w:w="30" w:type="dxa"/>
              <w:left w:w="20" w:type="dxa"/>
              <w:bottom w:w="30" w:type="dxa"/>
              <w:right w:w="20" w:type="dxa"/>
            </w:tcMar>
            <w:hideMark/>
          </w:tcPr>
          <w:p w14:paraId="006BE6AF" w14:textId="77777777" w:rsidR="00000000" w:rsidRDefault="00E614A4">
            <w:pPr>
              <w:rPr>
                <w:rFonts w:eastAsia="Times New Roman"/>
              </w:rPr>
            </w:pPr>
            <w:r>
              <w:rPr>
                <w:rFonts w:eastAsia="Times New Roman"/>
                <w:color w:val="000000"/>
                <w:sz w:val="18"/>
                <w:szCs w:val="18"/>
              </w:rPr>
              <w:t>Net (decrease) increase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7D6F96" w14:textId="77777777" w:rsidR="00000000" w:rsidRDefault="00E614A4">
            <w:pPr>
              <w:jc w:val="right"/>
              <w:rPr>
                <w:rFonts w:eastAsia="Times New Roman"/>
              </w:rPr>
            </w:pPr>
            <w:r>
              <w:rPr>
                <w:rFonts w:eastAsia="Times New Roman"/>
                <w:color w:val="000000"/>
                <w:sz w:val="18"/>
                <w:szCs w:val="18"/>
              </w:rPr>
              <w:t>(16,032)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2EA72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08545"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95A80B" w14:textId="77777777" w:rsidR="00000000" w:rsidRDefault="00E614A4">
            <w:pPr>
              <w:jc w:val="right"/>
              <w:rPr>
                <w:rFonts w:eastAsia="Times New Roman"/>
              </w:rPr>
            </w:pPr>
            <w:r>
              <w:rPr>
                <w:rFonts w:eastAsia="Times New Roman"/>
                <w:color w:val="000000"/>
                <w:sz w:val="18"/>
                <w:szCs w:val="18"/>
              </w:rPr>
              <w:t>16,575 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5C912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85E6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897C57" w14:textId="77777777" w:rsidR="00000000" w:rsidRDefault="00E614A4">
            <w:pPr>
              <w:jc w:val="right"/>
              <w:rPr>
                <w:rFonts w:eastAsia="Times New Roman"/>
              </w:rPr>
            </w:pPr>
            <w:r>
              <w:rPr>
                <w:rFonts w:eastAsia="Times New Roman"/>
                <w:color w:val="000000"/>
                <w:sz w:val="18"/>
                <w:szCs w:val="18"/>
              </w:rPr>
              <w:t>5,073 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73EBEC" w14:textId="77777777" w:rsidR="00000000" w:rsidRDefault="00E614A4">
            <w:pPr>
              <w:jc w:val="right"/>
              <w:rPr>
                <w:rFonts w:eastAsia="Times New Roman"/>
              </w:rPr>
            </w:pPr>
          </w:p>
        </w:tc>
      </w:tr>
      <w:tr w:rsidR="00000000" w14:paraId="43C1BA25" w14:textId="77777777">
        <w:trPr>
          <w:divId w:val="1037663851"/>
          <w:jc w:val="center"/>
        </w:trPr>
        <w:tc>
          <w:tcPr>
            <w:tcW w:w="0" w:type="auto"/>
            <w:gridSpan w:val="3"/>
            <w:shd w:val="clear" w:color="auto" w:fill="FFFFFF"/>
            <w:tcMar>
              <w:top w:w="30" w:type="dxa"/>
              <w:left w:w="20" w:type="dxa"/>
              <w:bottom w:w="30" w:type="dxa"/>
              <w:right w:w="20" w:type="dxa"/>
            </w:tcMar>
            <w:hideMark/>
          </w:tcPr>
          <w:p w14:paraId="00C34686" w14:textId="77777777" w:rsidR="00000000" w:rsidRDefault="00E614A4">
            <w:pPr>
              <w:rPr>
                <w:rFonts w:eastAsia="Times New Roman"/>
              </w:rPr>
            </w:pPr>
            <w:r>
              <w:rPr>
                <w:rFonts w:eastAsia="Times New Roman"/>
                <w:color w:val="000000"/>
                <w:sz w:val="18"/>
                <w:szCs w:val="18"/>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14:paraId="5E753F72" w14:textId="77777777" w:rsidR="00000000" w:rsidRDefault="00E614A4">
            <w:pPr>
              <w:jc w:val="right"/>
              <w:rPr>
                <w:rFonts w:eastAsia="Times New Roman"/>
              </w:rPr>
            </w:pPr>
            <w:r>
              <w:rPr>
                <w:rFonts w:eastAsia="Times New Roman"/>
                <w:color w:val="000000"/>
                <w:sz w:val="18"/>
                <w:szCs w:val="18"/>
              </w:rPr>
              <w:t>66,773 </w:t>
            </w:r>
          </w:p>
        </w:tc>
        <w:tc>
          <w:tcPr>
            <w:tcW w:w="0" w:type="auto"/>
            <w:shd w:val="clear" w:color="auto" w:fill="FFFFFF"/>
            <w:tcMar>
              <w:top w:w="30" w:type="dxa"/>
              <w:left w:w="0" w:type="dxa"/>
              <w:bottom w:w="30" w:type="dxa"/>
              <w:right w:w="20" w:type="dxa"/>
            </w:tcMar>
            <w:vAlign w:val="bottom"/>
            <w:hideMark/>
          </w:tcPr>
          <w:p w14:paraId="530FDE2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AF03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6D2FBC" w14:textId="77777777" w:rsidR="00000000" w:rsidRDefault="00E614A4">
            <w:pPr>
              <w:jc w:val="right"/>
              <w:rPr>
                <w:rFonts w:eastAsia="Times New Roman"/>
              </w:rPr>
            </w:pPr>
            <w:r>
              <w:rPr>
                <w:rFonts w:eastAsia="Times New Roman"/>
                <w:color w:val="000000"/>
                <w:sz w:val="18"/>
                <w:szCs w:val="18"/>
              </w:rPr>
              <w:t>50,198 </w:t>
            </w:r>
          </w:p>
        </w:tc>
        <w:tc>
          <w:tcPr>
            <w:tcW w:w="0" w:type="auto"/>
            <w:shd w:val="clear" w:color="auto" w:fill="FFFFFF"/>
            <w:tcMar>
              <w:top w:w="30" w:type="dxa"/>
              <w:left w:w="0" w:type="dxa"/>
              <w:bottom w:w="30" w:type="dxa"/>
              <w:right w:w="20" w:type="dxa"/>
            </w:tcMar>
            <w:vAlign w:val="bottom"/>
            <w:hideMark/>
          </w:tcPr>
          <w:p w14:paraId="1DCD386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8CF7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B9CC3" w14:textId="77777777" w:rsidR="00000000" w:rsidRDefault="00E614A4">
            <w:pPr>
              <w:jc w:val="right"/>
              <w:rPr>
                <w:rFonts w:eastAsia="Times New Roman"/>
              </w:rPr>
            </w:pPr>
            <w:r>
              <w:rPr>
                <w:rFonts w:eastAsia="Times New Roman"/>
                <w:color w:val="000000"/>
                <w:sz w:val="18"/>
                <w:szCs w:val="18"/>
              </w:rPr>
              <w:t>45,125 </w:t>
            </w:r>
          </w:p>
        </w:tc>
        <w:tc>
          <w:tcPr>
            <w:tcW w:w="0" w:type="auto"/>
            <w:shd w:val="clear" w:color="auto" w:fill="FFFFFF"/>
            <w:tcMar>
              <w:top w:w="30" w:type="dxa"/>
              <w:left w:w="0" w:type="dxa"/>
              <w:bottom w:w="30" w:type="dxa"/>
              <w:right w:w="20" w:type="dxa"/>
            </w:tcMar>
            <w:vAlign w:val="bottom"/>
            <w:hideMark/>
          </w:tcPr>
          <w:p w14:paraId="61F9B5D6" w14:textId="77777777" w:rsidR="00000000" w:rsidRDefault="00E614A4">
            <w:pPr>
              <w:jc w:val="right"/>
              <w:rPr>
                <w:rFonts w:eastAsia="Times New Roman"/>
              </w:rPr>
            </w:pPr>
          </w:p>
        </w:tc>
      </w:tr>
      <w:tr w:rsidR="00000000" w14:paraId="1F142DEC" w14:textId="77777777">
        <w:trPr>
          <w:divId w:val="1037663851"/>
          <w:jc w:val="center"/>
        </w:trPr>
        <w:tc>
          <w:tcPr>
            <w:tcW w:w="0" w:type="auto"/>
            <w:gridSpan w:val="3"/>
            <w:shd w:val="clear" w:color="auto" w:fill="CCEEFF"/>
            <w:tcMar>
              <w:top w:w="30" w:type="dxa"/>
              <w:left w:w="20" w:type="dxa"/>
              <w:bottom w:w="30" w:type="dxa"/>
              <w:right w:w="20" w:type="dxa"/>
            </w:tcMar>
            <w:hideMark/>
          </w:tcPr>
          <w:p w14:paraId="7A0EEA64" w14:textId="77777777" w:rsidR="00000000" w:rsidRDefault="00E614A4">
            <w:pPr>
              <w:rPr>
                <w:rFonts w:eastAsia="Times New Roman"/>
              </w:rPr>
            </w:pPr>
            <w:r>
              <w:rPr>
                <w:rFonts w:eastAsia="Times New Roman"/>
                <w:color w:val="000000"/>
                <w:sz w:val="18"/>
                <w:szCs w:val="18"/>
              </w:rPr>
              <w:t>Cash, cash equivalents and restricted cash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42ED1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8DB75D" w14:textId="77777777" w:rsidR="00000000" w:rsidRDefault="00E614A4">
            <w:pPr>
              <w:jc w:val="right"/>
              <w:rPr>
                <w:rFonts w:eastAsia="Times New Roman"/>
              </w:rPr>
            </w:pPr>
            <w:r>
              <w:rPr>
                <w:rFonts w:eastAsia="Times New Roman"/>
                <w:color w:val="000000"/>
                <w:sz w:val="18"/>
                <w:szCs w:val="18"/>
              </w:rPr>
              <w:t>50,741 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C02CD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648CC"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A36F2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EC4272" w14:textId="77777777" w:rsidR="00000000" w:rsidRDefault="00E614A4">
            <w:pPr>
              <w:jc w:val="right"/>
              <w:rPr>
                <w:rFonts w:eastAsia="Times New Roman"/>
              </w:rPr>
            </w:pPr>
            <w:r>
              <w:rPr>
                <w:rFonts w:eastAsia="Times New Roman"/>
                <w:color w:val="000000"/>
                <w:sz w:val="18"/>
                <w:szCs w:val="18"/>
              </w:rPr>
              <w:t>66,773 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BE10D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995FFA"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03B90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DF59FA" w14:textId="77777777" w:rsidR="00000000" w:rsidRDefault="00E614A4">
            <w:pPr>
              <w:jc w:val="right"/>
              <w:rPr>
                <w:rFonts w:eastAsia="Times New Roman"/>
              </w:rPr>
            </w:pPr>
            <w:r>
              <w:rPr>
                <w:rFonts w:eastAsia="Times New Roman"/>
                <w:color w:val="000000"/>
                <w:sz w:val="18"/>
                <w:szCs w:val="18"/>
              </w:rPr>
              <w:t>50,198 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8BAA62" w14:textId="77777777" w:rsidR="00000000" w:rsidRDefault="00E614A4">
            <w:pPr>
              <w:jc w:val="right"/>
              <w:rPr>
                <w:rFonts w:eastAsia="Times New Roman"/>
              </w:rPr>
            </w:pPr>
          </w:p>
        </w:tc>
      </w:tr>
    </w:tbl>
    <w:p w14:paraId="643272AD" w14:textId="77777777" w:rsidR="00000000" w:rsidRDefault="00E614A4">
      <w:pPr>
        <w:jc w:val="center"/>
        <w:divId w:val="1953702176"/>
        <w:rPr>
          <w:rFonts w:eastAsia="Times New Roman"/>
        </w:rPr>
      </w:pPr>
      <w:r>
        <w:rPr>
          <w:rFonts w:eastAsia="Times New Roman"/>
          <w:color w:val="000000"/>
          <w:sz w:val="20"/>
          <w:szCs w:val="20"/>
        </w:rPr>
        <w:t>62</w:t>
      </w:r>
    </w:p>
    <w:p w14:paraId="7E663CAC" w14:textId="77777777" w:rsidR="00000000" w:rsidRDefault="00E614A4">
      <w:pPr>
        <w:rPr>
          <w:rFonts w:eastAsia="Times New Roman"/>
        </w:rPr>
      </w:pPr>
      <w:r>
        <w:rPr>
          <w:rFonts w:eastAsia="Times New Roman"/>
        </w:rPr>
        <w:pict w14:anchorId="3BBFF16D">
          <v:rect id="_x0000_i1090" style="width:0;height:1.5pt" o:hralign="center" o:hrstd="t" o:hr="t" fillcolor="#a0a0a0" stroked="f"/>
        </w:pict>
      </w:r>
    </w:p>
    <w:p w14:paraId="33328CEB" w14:textId="77777777" w:rsidR="00000000" w:rsidRDefault="00E614A4">
      <w:pPr>
        <w:divId w:val="54895309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554E5B8" w14:textId="77777777" w:rsidR="00000000" w:rsidRDefault="00E614A4">
      <w:pPr>
        <w:divId w:val="188482814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687"/>
        <w:gridCol w:w="36"/>
        <w:gridCol w:w="110"/>
        <w:gridCol w:w="964"/>
        <w:gridCol w:w="36"/>
        <w:gridCol w:w="36"/>
        <w:gridCol w:w="36"/>
        <w:gridCol w:w="36"/>
        <w:gridCol w:w="110"/>
        <w:gridCol w:w="964"/>
        <w:gridCol w:w="36"/>
        <w:gridCol w:w="36"/>
        <w:gridCol w:w="36"/>
        <w:gridCol w:w="36"/>
        <w:gridCol w:w="110"/>
        <w:gridCol w:w="964"/>
        <w:gridCol w:w="36"/>
      </w:tblGrid>
      <w:tr w:rsidR="00000000" w14:paraId="4E2DC402" w14:textId="77777777">
        <w:trPr>
          <w:divId w:val="1079790101"/>
        </w:trPr>
        <w:tc>
          <w:tcPr>
            <w:tcW w:w="50" w:type="pct"/>
            <w:vAlign w:val="center"/>
            <w:hideMark/>
          </w:tcPr>
          <w:p w14:paraId="14FD8F39" w14:textId="77777777" w:rsidR="00000000" w:rsidRDefault="00E614A4">
            <w:pPr>
              <w:rPr>
                <w:rFonts w:eastAsia="Times New Roman"/>
              </w:rPr>
            </w:pPr>
          </w:p>
        </w:tc>
        <w:tc>
          <w:tcPr>
            <w:tcW w:w="2868" w:type="pct"/>
            <w:vAlign w:val="center"/>
            <w:hideMark/>
          </w:tcPr>
          <w:p w14:paraId="5E6C4D34" w14:textId="77777777" w:rsidR="00000000" w:rsidRDefault="00E614A4">
            <w:pPr>
              <w:rPr>
                <w:rFonts w:eastAsia="Times New Roman"/>
                <w:sz w:val="20"/>
                <w:szCs w:val="20"/>
              </w:rPr>
            </w:pPr>
          </w:p>
        </w:tc>
        <w:tc>
          <w:tcPr>
            <w:tcW w:w="5" w:type="pct"/>
            <w:vAlign w:val="center"/>
            <w:hideMark/>
          </w:tcPr>
          <w:p w14:paraId="7BDAB960" w14:textId="77777777" w:rsidR="00000000" w:rsidRDefault="00E614A4">
            <w:pPr>
              <w:rPr>
                <w:rFonts w:eastAsia="Times New Roman"/>
                <w:sz w:val="20"/>
                <w:szCs w:val="20"/>
              </w:rPr>
            </w:pPr>
          </w:p>
        </w:tc>
        <w:tc>
          <w:tcPr>
            <w:tcW w:w="50" w:type="pct"/>
            <w:vAlign w:val="center"/>
            <w:hideMark/>
          </w:tcPr>
          <w:p w14:paraId="110690E3" w14:textId="77777777" w:rsidR="00000000" w:rsidRDefault="00E614A4">
            <w:pPr>
              <w:rPr>
                <w:rFonts w:eastAsia="Times New Roman"/>
                <w:sz w:val="20"/>
                <w:szCs w:val="20"/>
              </w:rPr>
            </w:pPr>
          </w:p>
        </w:tc>
        <w:tc>
          <w:tcPr>
            <w:tcW w:w="618" w:type="pct"/>
            <w:vAlign w:val="center"/>
            <w:hideMark/>
          </w:tcPr>
          <w:p w14:paraId="43F1156E" w14:textId="77777777" w:rsidR="00000000" w:rsidRDefault="00E614A4">
            <w:pPr>
              <w:rPr>
                <w:rFonts w:eastAsia="Times New Roman"/>
                <w:sz w:val="20"/>
                <w:szCs w:val="20"/>
              </w:rPr>
            </w:pPr>
          </w:p>
        </w:tc>
        <w:tc>
          <w:tcPr>
            <w:tcW w:w="5" w:type="pct"/>
            <w:vAlign w:val="center"/>
            <w:hideMark/>
          </w:tcPr>
          <w:p w14:paraId="12CFE2F2" w14:textId="77777777" w:rsidR="00000000" w:rsidRDefault="00E614A4">
            <w:pPr>
              <w:rPr>
                <w:rFonts w:eastAsia="Times New Roman"/>
                <w:sz w:val="20"/>
                <w:szCs w:val="20"/>
              </w:rPr>
            </w:pPr>
          </w:p>
        </w:tc>
        <w:tc>
          <w:tcPr>
            <w:tcW w:w="5" w:type="pct"/>
            <w:vAlign w:val="center"/>
            <w:hideMark/>
          </w:tcPr>
          <w:p w14:paraId="4C422A6A" w14:textId="77777777" w:rsidR="00000000" w:rsidRDefault="00E614A4">
            <w:pPr>
              <w:rPr>
                <w:rFonts w:eastAsia="Times New Roman"/>
                <w:sz w:val="20"/>
                <w:szCs w:val="20"/>
              </w:rPr>
            </w:pPr>
          </w:p>
        </w:tc>
        <w:tc>
          <w:tcPr>
            <w:tcW w:w="17" w:type="pct"/>
            <w:vAlign w:val="center"/>
            <w:hideMark/>
          </w:tcPr>
          <w:p w14:paraId="21620FCF" w14:textId="77777777" w:rsidR="00000000" w:rsidRDefault="00E614A4">
            <w:pPr>
              <w:rPr>
                <w:rFonts w:eastAsia="Times New Roman"/>
                <w:sz w:val="20"/>
                <w:szCs w:val="20"/>
              </w:rPr>
            </w:pPr>
          </w:p>
        </w:tc>
        <w:tc>
          <w:tcPr>
            <w:tcW w:w="5" w:type="pct"/>
            <w:vAlign w:val="center"/>
            <w:hideMark/>
          </w:tcPr>
          <w:p w14:paraId="4A052FDF" w14:textId="77777777" w:rsidR="00000000" w:rsidRDefault="00E614A4">
            <w:pPr>
              <w:rPr>
                <w:rFonts w:eastAsia="Times New Roman"/>
                <w:sz w:val="20"/>
                <w:szCs w:val="20"/>
              </w:rPr>
            </w:pPr>
          </w:p>
        </w:tc>
        <w:tc>
          <w:tcPr>
            <w:tcW w:w="50" w:type="pct"/>
            <w:vAlign w:val="center"/>
            <w:hideMark/>
          </w:tcPr>
          <w:p w14:paraId="440A5647" w14:textId="77777777" w:rsidR="00000000" w:rsidRDefault="00E614A4">
            <w:pPr>
              <w:rPr>
                <w:rFonts w:eastAsia="Times New Roman"/>
                <w:sz w:val="20"/>
                <w:szCs w:val="20"/>
              </w:rPr>
            </w:pPr>
          </w:p>
        </w:tc>
        <w:tc>
          <w:tcPr>
            <w:tcW w:w="618" w:type="pct"/>
            <w:vAlign w:val="center"/>
            <w:hideMark/>
          </w:tcPr>
          <w:p w14:paraId="5B9CBA95" w14:textId="77777777" w:rsidR="00000000" w:rsidRDefault="00E614A4">
            <w:pPr>
              <w:rPr>
                <w:rFonts w:eastAsia="Times New Roman"/>
                <w:sz w:val="20"/>
                <w:szCs w:val="20"/>
              </w:rPr>
            </w:pPr>
          </w:p>
        </w:tc>
        <w:tc>
          <w:tcPr>
            <w:tcW w:w="5" w:type="pct"/>
            <w:vAlign w:val="center"/>
            <w:hideMark/>
          </w:tcPr>
          <w:p w14:paraId="26AEC956" w14:textId="77777777" w:rsidR="00000000" w:rsidRDefault="00E614A4">
            <w:pPr>
              <w:rPr>
                <w:rFonts w:eastAsia="Times New Roman"/>
                <w:sz w:val="20"/>
                <w:szCs w:val="20"/>
              </w:rPr>
            </w:pPr>
          </w:p>
        </w:tc>
        <w:tc>
          <w:tcPr>
            <w:tcW w:w="5" w:type="pct"/>
            <w:vAlign w:val="center"/>
            <w:hideMark/>
          </w:tcPr>
          <w:p w14:paraId="1A6EAE9A" w14:textId="77777777" w:rsidR="00000000" w:rsidRDefault="00E614A4">
            <w:pPr>
              <w:rPr>
                <w:rFonts w:eastAsia="Times New Roman"/>
                <w:sz w:val="20"/>
                <w:szCs w:val="20"/>
              </w:rPr>
            </w:pPr>
          </w:p>
        </w:tc>
        <w:tc>
          <w:tcPr>
            <w:tcW w:w="17" w:type="pct"/>
            <w:vAlign w:val="center"/>
            <w:hideMark/>
          </w:tcPr>
          <w:p w14:paraId="232D12ED" w14:textId="77777777" w:rsidR="00000000" w:rsidRDefault="00E614A4">
            <w:pPr>
              <w:rPr>
                <w:rFonts w:eastAsia="Times New Roman"/>
                <w:sz w:val="20"/>
                <w:szCs w:val="20"/>
              </w:rPr>
            </w:pPr>
          </w:p>
        </w:tc>
        <w:tc>
          <w:tcPr>
            <w:tcW w:w="5" w:type="pct"/>
            <w:vAlign w:val="center"/>
            <w:hideMark/>
          </w:tcPr>
          <w:p w14:paraId="133BE4CB" w14:textId="77777777" w:rsidR="00000000" w:rsidRDefault="00E614A4">
            <w:pPr>
              <w:rPr>
                <w:rFonts w:eastAsia="Times New Roman"/>
                <w:sz w:val="20"/>
                <w:szCs w:val="20"/>
              </w:rPr>
            </w:pPr>
          </w:p>
        </w:tc>
        <w:tc>
          <w:tcPr>
            <w:tcW w:w="50" w:type="pct"/>
            <w:vAlign w:val="center"/>
            <w:hideMark/>
          </w:tcPr>
          <w:p w14:paraId="7BC4F94A" w14:textId="77777777" w:rsidR="00000000" w:rsidRDefault="00E614A4">
            <w:pPr>
              <w:rPr>
                <w:rFonts w:eastAsia="Times New Roman"/>
                <w:sz w:val="20"/>
                <w:szCs w:val="20"/>
              </w:rPr>
            </w:pPr>
          </w:p>
        </w:tc>
        <w:tc>
          <w:tcPr>
            <w:tcW w:w="618" w:type="pct"/>
            <w:vAlign w:val="center"/>
            <w:hideMark/>
          </w:tcPr>
          <w:p w14:paraId="4E9C78E7" w14:textId="77777777" w:rsidR="00000000" w:rsidRDefault="00E614A4">
            <w:pPr>
              <w:rPr>
                <w:rFonts w:eastAsia="Times New Roman"/>
                <w:sz w:val="20"/>
                <w:szCs w:val="20"/>
              </w:rPr>
            </w:pPr>
          </w:p>
        </w:tc>
        <w:tc>
          <w:tcPr>
            <w:tcW w:w="5" w:type="pct"/>
            <w:vAlign w:val="center"/>
            <w:hideMark/>
          </w:tcPr>
          <w:p w14:paraId="63D71AD8" w14:textId="77777777" w:rsidR="00000000" w:rsidRDefault="00E614A4">
            <w:pPr>
              <w:rPr>
                <w:rFonts w:eastAsia="Times New Roman"/>
                <w:sz w:val="20"/>
                <w:szCs w:val="20"/>
              </w:rPr>
            </w:pPr>
          </w:p>
        </w:tc>
      </w:tr>
      <w:tr w:rsidR="00000000" w14:paraId="087BBCB2" w14:textId="77777777">
        <w:trPr>
          <w:divId w:val="1079790101"/>
        </w:trPr>
        <w:tc>
          <w:tcPr>
            <w:tcW w:w="0" w:type="auto"/>
            <w:gridSpan w:val="3"/>
            <w:tcMar>
              <w:top w:w="0" w:type="dxa"/>
              <w:left w:w="20" w:type="dxa"/>
              <w:bottom w:w="0" w:type="dxa"/>
              <w:right w:w="20" w:type="dxa"/>
            </w:tcMar>
            <w:vAlign w:val="center"/>
            <w:hideMark/>
          </w:tcPr>
          <w:p w14:paraId="4CC55E03"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4AB47866"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63BB6358" w14:textId="77777777">
        <w:trPr>
          <w:divId w:val="1079790101"/>
        </w:trPr>
        <w:tc>
          <w:tcPr>
            <w:tcW w:w="0" w:type="auto"/>
            <w:gridSpan w:val="3"/>
            <w:tcMar>
              <w:top w:w="0" w:type="dxa"/>
              <w:left w:w="20" w:type="dxa"/>
              <w:bottom w:w="0" w:type="dxa"/>
              <w:right w:w="20" w:type="dxa"/>
            </w:tcMar>
            <w:vAlign w:val="center"/>
            <w:hideMark/>
          </w:tcPr>
          <w:p w14:paraId="0E02B1C3"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6A490E"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0814EF1"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BE3783"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0B646CC4"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AD5C51" w14:textId="77777777" w:rsidR="00000000" w:rsidRDefault="00E614A4">
            <w:pPr>
              <w:jc w:val="center"/>
              <w:rPr>
                <w:rFonts w:eastAsia="Times New Roman"/>
              </w:rPr>
            </w:pPr>
            <w:r>
              <w:rPr>
                <w:rFonts w:eastAsia="Times New Roman"/>
                <w:b/>
                <w:bCs/>
                <w:color w:val="000000"/>
                <w:sz w:val="16"/>
                <w:szCs w:val="16"/>
              </w:rPr>
              <w:t>2018</w:t>
            </w:r>
          </w:p>
        </w:tc>
      </w:tr>
      <w:tr w:rsidR="00000000" w14:paraId="4B59162C" w14:textId="77777777">
        <w:trPr>
          <w:divId w:val="1079790101"/>
        </w:trPr>
        <w:tc>
          <w:tcPr>
            <w:tcW w:w="0" w:type="auto"/>
            <w:gridSpan w:val="3"/>
            <w:shd w:val="clear" w:color="auto" w:fill="CCEEFF"/>
            <w:tcMar>
              <w:top w:w="30" w:type="dxa"/>
              <w:left w:w="20" w:type="dxa"/>
              <w:bottom w:w="30" w:type="dxa"/>
              <w:right w:w="20" w:type="dxa"/>
            </w:tcMar>
            <w:hideMark/>
          </w:tcPr>
          <w:p w14:paraId="26DF1198" w14:textId="77777777" w:rsidR="00000000" w:rsidRDefault="00E614A4">
            <w:pPr>
              <w:rPr>
                <w:rFonts w:eastAsia="Times New Roman"/>
              </w:rPr>
            </w:pPr>
            <w:r>
              <w:rPr>
                <w:rFonts w:eastAsia="Times New Roman"/>
                <w:color w:val="000000"/>
                <w:sz w:val="18"/>
                <w:szCs w:val="18"/>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B2B9E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92A9E9" w14:textId="77777777" w:rsidR="00000000" w:rsidRDefault="00E614A4">
            <w:pPr>
              <w:jc w:val="right"/>
              <w:rPr>
                <w:rFonts w:eastAsia="Times New Roman"/>
              </w:rPr>
            </w:pPr>
            <w:r>
              <w:rPr>
                <w:rFonts w:eastAsia="Times New Roman"/>
                <w:color w:val="000000"/>
                <w:sz w:val="18"/>
                <w:szCs w:val="18"/>
              </w:rPr>
              <w:t>31,126 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8D251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3B359"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9443B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F56F0F" w14:textId="77777777" w:rsidR="00000000" w:rsidRDefault="00E614A4">
            <w:pPr>
              <w:jc w:val="right"/>
              <w:rPr>
                <w:rFonts w:eastAsia="Times New Roman"/>
              </w:rPr>
            </w:pPr>
            <w:r>
              <w:rPr>
                <w:rFonts w:eastAsia="Times New Roman"/>
                <w:color w:val="000000"/>
                <w:sz w:val="18"/>
                <w:szCs w:val="18"/>
              </w:rPr>
              <w:t>46,590 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B26E2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90153"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F48C3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B4FE1D" w14:textId="77777777" w:rsidR="00000000" w:rsidRDefault="00E614A4">
            <w:pPr>
              <w:jc w:val="right"/>
              <w:rPr>
                <w:rFonts w:eastAsia="Times New Roman"/>
              </w:rPr>
            </w:pPr>
            <w:r>
              <w:rPr>
                <w:rFonts w:eastAsia="Times New Roman"/>
                <w:color w:val="000000"/>
                <w:sz w:val="18"/>
                <w:szCs w:val="18"/>
              </w:rPr>
              <w:t>44,096 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858557" w14:textId="77777777" w:rsidR="00000000" w:rsidRDefault="00E614A4">
            <w:pPr>
              <w:jc w:val="right"/>
              <w:rPr>
                <w:rFonts w:eastAsia="Times New Roman"/>
              </w:rPr>
            </w:pPr>
          </w:p>
        </w:tc>
      </w:tr>
      <w:tr w:rsidR="00000000" w14:paraId="38F5DD51" w14:textId="77777777">
        <w:trPr>
          <w:divId w:val="1079790101"/>
        </w:trPr>
        <w:tc>
          <w:tcPr>
            <w:tcW w:w="0" w:type="auto"/>
            <w:gridSpan w:val="3"/>
            <w:shd w:val="clear" w:color="auto" w:fill="FFFFFF"/>
            <w:tcMar>
              <w:top w:w="30" w:type="dxa"/>
              <w:left w:w="20" w:type="dxa"/>
              <w:bottom w:w="30" w:type="dxa"/>
              <w:right w:w="20" w:type="dxa"/>
            </w:tcMar>
            <w:hideMark/>
          </w:tcPr>
          <w:p w14:paraId="33B47F56" w14:textId="77777777" w:rsidR="00000000" w:rsidRDefault="00E614A4">
            <w:pPr>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2E85C88E" w14:textId="77777777" w:rsidR="00000000" w:rsidRDefault="00E614A4">
            <w:pPr>
              <w:jc w:val="right"/>
              <w:rPr>
                <w:rFonts w:eastAsia="Times New Roman"/>
              </w:rPr>
            </w:pPr>
            <w:r>
              <w:rPr>
                <w:rFonts w:eastAsia="Times New Roman"/>
                <w:color w:val="000000"/>
                <w:sz w:val="18"/>
                <w:szCs w:val="18"/>
              </w:rPr>
              <w:t>19,615 </w:t>
            </w:r>
          </w:p>
        </w:tc>
        <w:tc>
          <w:tcPr>
            <w:tcW w:w="0" w:type="auto"/>
            <w:shd w:val="clear" w:color="auto" w:fill="FFFFFF"/>
            <w:tcMar>
              <w:top w:w="30" w:type="dxa"/>
              <w:left w:w="0" w:type="dxa"/>
              <w:bottom w:w="30" w:type="dxa"/>
              <w:right w:w="20" w:type="dxa"/>
            </w:tcMar>
            <w:vAlign w:val="bottom"/>
            <w:hideMark/>
          </w:tcPr>
          <w:p w14:paraId="5D6BBFE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E1CB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8FA457" w14:textId="77777777" w:rsidR="00000000" w:rsidRDefault="00E614A4">
            <w:pPr>
              <w:jc w:val="right"/>
              <w:rPr>
                <w:rFonts w:eastAsia="Times New Roman"/>
              </w:rPr>
            </w:pPr>
            <w:r>
              <w:rPr>
                <w:rFonts w:eastAsia="Times New Roman"/>
                <w:color w:val="000000"/>
                <w:sz w:val="18"/>
                <w:szCs w:val="18"/>
              </w:rPr>
              <w:t>20,183 </w:t>
            </w:r>
          </w:p>
        </w:tc>
        <w:tc>
          <w:tcPr>
            <w:tcW w:w="0" w:type="auto"/>
            <w:shd w:val="clear" w:color="auto" w:fill="FFFFFF"/>
            <w:tcMar>
              <w:top w:w="30" w:type="dxa"/>
              <w:left w:w="0" w:type="dxa"/>
              <w:bottom w:w="30" w:type="dxa"/>
              <w:right w:w="20" w:type="dxa"/>
            </w:tcMar>
            <w:vAlign w:val="bottom"/>
            <w:hideMark/>
          </w:tcPr>
          <w:p w14:paraId="5CA088F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3C3E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6F29AB" w14:textId="77777777" w:rsidR="00000000" w:rsidRDefault="00E614A4">
            <w:pPr>
              <w:jc w:val="right"/>
              <w:rPr>
                <w:rFonts w:eastAsia="Times New Roman"/>
              </w:rPr>
            </w:pPr>
            <w:r>
              <w:rPr>
                <w:rFonts w:eastAsia="Times New Roman"/>
                <w:color w:val="000000"/>
                <w:sz w:val="18"/>
                <w:szCs w:val="18"/>
              </w:rPr>
              <w:t>6,102 </w:t>
            </w:r>
          </w:p>
        </w:tc>
        <w:tc>
          <w:tcPr>
            <w:tcW w:w="0" w:type="auto"/>
            <w:shd w:val="clear" w:color="auto" w:fill="FFFFFF"/>
            <w:tcMar>
              <w:top w:w="30" w:type="dxa"/>
              <w:left w:w="0" w:type="dxa"/>
              <w:bottom w:w="30" w:type="dxa"/>
              <w:right w:w="20" w:type="dxa"/>
            </w:tcMar>
            <w:vAlign w:val="bottom"/>
            <w:hideMark/>
          </w:tcPr>
          <w:p w14:paraId="3F9E5A2A" w14:textId="77777777" w:rsidR="00000000" w:rsidRDefault="00E614A4">
            <w:pPr>
              <w:jc w:val="right"/>
              <w:rPr>
                <w:rFonts w:eastAsia="Times New Roman"/>
              </w:rPr>
            </w:pPr>
          </w:p>
        </w:tc>
      </w:tr>
      <w:tr w:rsidR="00000000" w14:paraId="7E1B5F4A" w14:textId="77777777">
        <w:trPr>
          <w:divId w:val="1079790101"/>
        </w:trPr>
        <w:tc>
          <w:tcPr>
            <w:tcW w:w="0" w:type="auto"/>
            <w:gridSpan w:val="3"/>
            <w:shd w:val="clear" w:color="auto" w:fill="CCEEFF"/>
            <w:tcMar>
              <w:top w:w="30" w:type="dxa"/>
              <w:left w:w="20" w:type="dxa"/>
              <w:bottom w:w="30" w:type="dxa"/>
              <w:right w:w="20" w:type="dxa"/>
            </w:tcMar>
            <w:hideMark/>
          </w:tcPr>
          <w:p w14:paraId="4B384105" w14:textId="77777777" w:rsidR="00000000" w:rsidRDefault="00E614A4">
            <w:pPr>
              <w:rPr>
                <w:rFonts w:eastAsia="Times New Roman"/>
              </w:rPr>
            </w:pPr>
            <w:r>
              <w:rPr>
                <w:rFonts w:eastAsia="Times New Roman"/>
                <w:color w:val="000000"/>
                <w:sz w:val="18"/>
                <w:szCs w:val="18"/>
              </w:rPr>
              <w:t xml:space="preserve">Total cash, cash equivalents and restricted cash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23396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5EF7EC" w14:textId="77777777" w:rsidR="00000000" w:rsidRDefault="00E614A4">
            <w:pPr>
              <w:jc w:val="right"/>
              <w:rPr>
                <w:rFonts w:eastAsia="Times New Roman"/>
              </w:rPr>
            </w:pPr>
            <w:r>
              <w:rPr>
                <w:rFonts w:eastAsia="Times New Roman"/>
                <w:color w:val="000000"/>
                <w:sz w:val="18"/>
                <w:szCs w:val="18"/>
              </w:rPr>
              <w:t>50,741 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59CCB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02463"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50A69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1379F2" w14:textId="77777777" w:rsidR="00000000" w:rsidRDefault="00E614A4">
            <w:pPr>
              <w:jc w:val="right"/>
              <w:rPr>
                <w:rFonts w:eastAsia="Times New Roman"/>
              </w:rPr>
            </w:pPr>
            <w:r>
              <w:rPr>
                <w:rFonts w:eastAsia="Times New Roman"/>
                <w:color w:val="000000"/>
                <w:sz w:val="18"/>
                <w:szCs w:val="18"/>
              </w:rPr>
              <w:t>66,773 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3A0E4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1CF8C"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C3F1F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269535" w14:textId="77777777" w:rsidR="00000000" w:rsidRDefault="00E614A4">
            <w:pPr>
              <w:jc w:val="right"/>
              <w:rPr>
                <w:rFonts w:eastAsia="Times New Roman"/>
              </w:rPr>
            </w:pPr>
            <w:r>
              <w:rPr>
                <w:rFonts w:eastAsia="Times New Roman"/>
                <w:color w:val="000000"/>
                <w:sz w:val="18"/>
                <w:szCs w:val="18"/>
              </w:rPr>
              <w:t>50,198 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36CB21" w14:textId="77777777" w:rsidR="00000000" w:rsidRDefault="00E614A4">
            <w:pPr>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4764"/>
        <w:gridCol w:w="144"/>
        <w:gridCol w:w="144"/>
        <w:gridCol w:w="1026"/>
        <w:gridCol w:w="144"/>
        <w:gridCol w:w="144"/>
        <w:gridCol w:w="144"/>
        <w:gridCol w:w="144"/>
        <w:gridCol w:w="144"/>
        <w:gridCol w:w="1026"/>
        <w:gridCol w:w="144"/>
        <w:gridCol w:w="144"/>
        <w:gridCol w:w="144"/>
        <w:gridCol w:w="144"/>
        <w:gridCol w:w="144"/>
        <w:gridCol w:w="1026"/>
        <w:gridCol w:w="144"/>
      </w:tblGrid>
      <w:tr w:rsidR="00000000" w14:paraId="46EFC48C" w14:textId="77777777">
        <w:trPr>
          <w:jc w:val="center"/>
        </w:trPr>
        <w:tc>
          <w:tcPr>
            <w:tcW w:w="50" w:type="pct"/>
            <w:vAlign w:val="center"/>
            <w:hideMark/>
          </w:tcPr>
          <w:p w14:paraId="7B23A3D3" w14:textId="77777777" w:rsidR="00000000" w:rsidRDefault="00E614A4">
            <w:pPr>
              <w:rPr>
                <w:rFonts w:eastAsia="Times New Roman"/>
              </w:rPr>
            </w:pPr>
          </w:p>
        </w:tc>
        <w:tc>
          <w:tcPr>
            <w:tcW w:w="2868" w:type="pct"/>
            <w:vAlign w:val="center"/>
            <w:hideMark/>
          </w:tcPr>
          <w:p w14:paraId="2150BEEE" w14:textId="77777777" w:rsidR="00000000" w:rsidRDefault="00E614A4">
            <w:pPr>
              <w:rPr>
                <w:rFonts w:eastAsia="Times New Roman"/>
                <w:sz w:val="20"/>
                <w:szCs w:val="20"/>
              </w:rPr>
            </w:pPr>
          </w:p>
        </w:tc>
        <w:tc>
          <w:tcPr>
            <w:tcW w:w="5" w:type="pct"/>
            <w:vAlign w:val="center"/>
            <w:hideMark/>
          </w:tcPr>
          <w:p w14:paraId="31B96BE1" w14:textId="77777777" w:rsidR="00000000" w:rsidRDefault="00E614A4">
            <w:pPr>
              <w:rPr>
                <w:rFonts w:eastAsia="Times New Roman"/>
                <w:sz w:val="20"/>
                <w:szCs w:val="20"/>
              </w:rPr>
            </w:pPr>
          </w:p>
        </w:tc>
        <w:tc>
          <w:tcPr>
            <w:tcW w:w="50" w:type="pct"/>
            <w:vAlign w:val="center"/>
            <w:hideMark/>
          </w:tcPr>
          <w:p w14:paraId="316C7227" w14:textId="77777777" w:rsidR="00000000" w:rsidRDefault="00E614A4">
            <w:pPr>
              <w:rPr>
                <w:rFonts w:eastAsia="Times New Roman"/>
                <w:sz w:val="20"/>
                <w:szCs w:val="20"/>
              </w:rPr>
            </w:pPr>
          </w:p>
        </w:tc>
        <w:tc>
          <w:tcPr>
            <w:tcW w:w="618" w:type="pct"/>
            <w:vAlign w:val="center"/>
            <w:hideMark/>
          </w:tcPr>
          <w:p w14:paraId="28640CB9" w14:textId="77777777" w:rsidR="00000000" w:rsidRDefault="00E614A4">
            <w:pPr>
              <w:rPr>
                <w:rFonts w:eastAsia="Times New Roman"/>
                <w:sz w:val="20"/>
                <w:szCs w:val="20"/>
              </w:rPr>
            </w:pPr>
          </w:p>
        </w:tc>
        <w:tc>
          <w:tcPr>
            <w:tcW w:w="5" w:type="pct"/>
            <w:vAlign w:val="center"/>
            <w:hideMark/>
          </w:tcPr>
          <w:p w14:paraId="2148E4C8" w14:textId="77777777" w:rsidR="00000000" w:rsidRDefault="00E614A4">
            <w:pPr>
              <w:rPr>
                <w:rFonts w:eastAsia="Times New Roman"/>
                <w:sz w:val="20"/>
                <w:szCs w:val="20"/>
              </w:rPr>
            </w:pPr>
          </w:p>
        </w:tc>
        <w:tc>
          <w:tcPr>
            <w:tcW w:w="5" w:type="pct"/>
            <w:vAlign w:val="center"/>
            <w:hideMark/>
          </w:tcPr>
          <w:p w14:paraId="047DA2C1" w14:textId="77777777" w:rsidR="00000000" w:rsidRDefault="00E614A4">
            <w:pPr>
              <w:rPr>
                <w:rFonts w:eastAsia="Times New Roman"/>
                <w:sz w:val="20"/>
                <w:szCs w:val="20"/>
              </w:rPr>
            </w:pPr>
          </w:p>
        </w:tc>
        <w:tc>
          <w:tcPr>
            <w:tcW w:w="17" w:type="pct"/>
            <w:vAlign w:val="center"/>
            <w:hideMark/>
          </w:tcPr>
          <w:p w14:paraId="62D96E46" w14:textId="77777777" w:rsidR="00000000" w:rsidRDefault="00E614A4">
            <w:pPr>
              <w:rPr>
                <w:rFonts w:eastAsia="Times New Roman"/>
                <w:sz w:val="20"/>
                <w:szCs w:val="20"/>
              </w:rPr>
            </w:pPr>
          </w:p>
        </w:tc>
        <w:tc>
          <w:tcPr>
            <w:tcW w:w="5" w:type="pct"/>
            <w:vAlign w:val="center"/>
            <w:hideMark/>
          </w:tcPr>
          <w:p w14:paraId="4A685B0E" w14:textId="77777777" w:rsidR="00000000" w:rsidRDefault="00E614A4">
            <w:pPr>
              <w:rPr>
                <w:rFonts w:eastAsia="Times New Roman"/>
                <w:sz w:val="20"/>
                <w:szCs w:val="20"/>
              </w:rPr>
            </w:pPr>
          </w:p>
        </w:tc>
        <w:tc>
          <w:tcPr>
            <w:tcW w:w="50" w:type="pct"/>
            <w:vAlign w:val="center"/>
            <w:hideMark/>
          </w:tcPr>
          <w:p w14:paraId="207A09F2" w14:textId="77777777" w:rsidR="00000000" w:rsidRDefault="00E614A4">
            <w:pPr>
              <w:rPr>
                <w:rFonts w:eastAsia="Times New Roman"/>
                <w:sz w:val="20"/>
                <w:szCs w:val="20"/>
              </w:rPr>
            </w:pPr>
          </w:p>
        </w:tc>
        <w:tc>
          <w:tcPr>
            <w:tcW w:w="618" w:type="pct"/>
            <w:vAlign w:val="center"/>
            <w:hideMark/>
          </w:tcPr>
          <w:p w14:paraId="04DC44F0" w14:textId="77777777" w:rsidR="00000000" w:rsidRDefault="00E614A4">
            <w:pPr>
              <w:rPr>
                <w:rFonts w:eastAsia="Times New Roman"/>
                <w:sz w:val="20"/>
                <w:szCs w:val="20"/>
              </w:rPr>
            </w:pPr>
          </w:p>
        </w:tc>
        <w:tc>
          <w:tcPr>
            <w:tcW w:w="5" w:type="pct"/>
            <w:vAlign w:val="center"/>
            <w:hideMark/>
          </w:tcPr>
          <w:p w14:paraId="114D4B43" w14:textId="77777777" w:rsidR="00000000" w:rsidRDefault="00E614A4">
            <w:pPr>
              <w:rPr>
                <w:rFonts w:eastAsia="Times New Roman"/>
                <w:sz w:val="20"/>
                <w:szCs w:val="20"/>
              </w:rPr>
            </w:pPr>
          </w:p>
        </w:tc>
        <w:tc>
          <w:tcPr>
            <w:tcW w:w="5" w:type="pct"/>
            <w:vAlign w:val="center"/>
            <w:hideMark/>
          </w:tcPr>
          <w:p w14:paraId="5D4CF2EC" w14:textId="77777777" w:rsidR="00000000" w:rsidRDefault="00E614A4">
            <w:pPr>
              <w:rPr>
                <w:rFonts w:eastAsia="Times New Roman"/>
                <w:sz w:val="20"/>
                <w:szCs w:val="20"/>
              </w:rPr>
            </w:pPr>
          </w:p>
        </w:tc>
        <w:tc>
          <w:tcPr>
            <w:tcW w:w="17" w:type="pct"/>
            <w:vAlign w:val="center"/>
            <w:hideMark/>
          </w:tcPr>
          <w:p w14:paraId="6C1040AB" w14:textId="77777777" w:rsidR="00000000" w:rsidRDefault="00E614A4">
            <w:pPr>
              <w:rPr>
                <w:rFonts w:eastAsia="Times New Roman"/>
                <w:sz w:val="20"/>
                <w:szCs w:val="20"/>
              </w:rPr>
            </w:pPr>
          </w:p>
        </w:tc>
        <w:tc>
          <w:tcPr>
            <w:tcW w:w="5" w:type="pct"/>
            <w:vAlign w:val="center"/>
            <w:hideMark/>
          </w:tcPr>
          <w:p w14:paraId="468DC067" w14:textId="77777777" w:rsidR="00000000" w:rsidRDefault="00E614A4">
            <w:pPr>
              <w:rPr>
                <w:rFonts w:eastAsia="Times New Roman"/>
                <w:sz w:val="20"/>
                <w:szCs w:val="20"/>
              </w:rPr>
            </w:pPr>
          </w:p>
        </w:tc>
        <w:tc>
          <w:tcPr>
            <w:tcW w:w="50" w:type="pct"/>
            <w:vAlign w:val="center"/>
            <w:hideMark/>
          </w:tcPr>
          <w:p w14:paraId="471B18FE" w14:textId="77777777" w:rsidR="00000000" w:rsidRDefault="00E614A4">
            <w:pPr>
              <w:rPr>
                <w:rFonts w:eastAsia="Times New Roman"/>
                <w:sz w:val="20"/>
                <w:szCs w:val="20"/>
              </w:rPr>
            </w:pPr>
          </w:p>
        </w:tc>
        <w:tc>
          <w:tcPr>
            <w:tcW w:w="618" w:type="pct"/>
            <w:vAlign w:val="center"/>
            <w:hideMark/>
          </w:tcPr>
          <w:p w14:paraId="759A9F7D" w14:textId="77777777" w:rsidR="00000000" w:rsidRDefault="00E614A4">
            <w:pPr>
              <w:rPr>
                <w:rFonts w:eastAsia="Times New Roman"/>
                <w:sz w:val="20"/>
                <w:szCs w:val="20"/>
              </w:rPr>
            </w:pPr>
          </w:p>
        </w:tc>
        <w:tc>
          <w:tcPr>
            <w:tcW w:w="5" w:type="pct"/>
            <w:vAlign w:val="center"/>
            <w:hideMark/>
          </w:tcPr>
          <w:p w14:paraId="47E568BC" w14:textId="77777777" w:rsidR="00000000" w:rsidRDefault="00E614A4">
            <w:pPr>
              <w:rPr>
                <w:rFonts w:eastAsia="Times New Roman"/>
                <w:sz w:val="20"/>
                <w:szCs w:val="20"/>
              </w:rPr>
            </w:pPr>
          </w:p>
        </w:tc>
      </w:tr>
      <w:tr w:rsidR="00000000" w14:paraId="76988067" w14:textId="77777777">
        <w:trPr>
          <w:jc w:val="center"/>
        </w:trPr>
        <w:tc>
          <w:tcPr>
            <w:tcW w:w="0" w:type="auto"/>
            <w:gridSpan w:val="3"/>
            <w:tcMar>
              <w:top w:w="0" w:type="dxa"/>
              <w:left w:w="20" w:type="dxa"/>
              <w:bottom w:w="0" w:type="dxa"/>
              <w:right w:w="20" w:type="dxa"/>
            </w:tcMar>
            <w:vAlign w:val="center"/>
            <w:hideMark/>
          </w:tcPr>
          <w:p w14:paraId="7753F6F0"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6B354B59"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74503F76" w14:textId="77777777">
        <w:trPr>
          <w:jc w:val="center"/>
        </w:trPr>
        <w:tc>
          <w:tcPr>
            <w:tcW w:w="0" w:type="auto"/>
            <w:gridSpan w:val="3"/>
            <w:tcMar>
              <w:top w:w="0" w:type="dxa"/>
              <w:left w:w="20" w:type="dxa"/>
              <w:bottom w:w="0" w:type="dxa"/>
              <w:right w:w="20" w:type="dxa"/>
            </w:tcMar>
            <w:vAlign w:val="center"/>
            <w:hideMark/>
          </w:tcPr>
          <w:p w14:paraId="5382DEFC"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B15538"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41F1FDB"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15FE95"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6BD474C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916158" w14:textId="77777777" w:rsidR="00000000" w:rsidRDefault="00E614A4">
            <w:pPr>
              <w:jc w:val="center"/>
              <w:rPr>
                <w:rFonts w:eastAsia="Times New Roman"/>
              </w:rPr>
            </w:pPr>
            <w:r>
              <w:rPr>
                <w:rFonts w:eastAsia="Times New Roman"/>
                <w:b/>
                <w:bCs/>
                <w:color w:val="000000"/>
                <w:sz w:val="16"/>
                <w:szCs w:val="16"/>
              </w:rPr>
              <w:t>2018</w:t>
            </w:r>
          </w:p>
        </w:tc>
      </w:tr>
      <w:tr w:rsidR="00000000" w14:paraId="7CDFC1EC" w14:textId="77777777">
        <w:trPr>
          <w:jc w:val="center"/>
        </w:trPr>
        <w:tc>
          <w:tcPr>
            <w:tcW w:w="0" w:type="auto"/>
            <w:gridSpan w:val="3"/>
            <w:shd w:val="clear" w:color="auto" w:fill="CCEEFF"/>
            <w:tcMar>
              <w:top w:w="30" w:type="dxa"/>
              <w:left w:w="20" w:type="dxa"/>
              <w:bottom w:w="30" w:type="dxa"/>
              <w:right w:w="20" w:type="dxa"/>
            </w:tcMar>
            <w:hideMark/>
          </w:tcPr>
          <w:p w14:paraId="459F918C" w14:textId="77777777" w:rsidR="00000000" w:rsidRDefault="00E614A4">
            <w:pPr>
              <w:divId w:val="683020988"/>
              <w:rPr>
                <w:rFonts w:eastAsia="Times New Roman"/>
              </w:rPr>
            </w:pPr>
            <w:r>
              <w:rPr>
                <w:rFonts w:eastAsia="Times New Roman"/>
                <w:b/>
                <w:bCs/>
                <w:color w:val="000000"/>
                <w:sz w:val="18"/>
                <w:szCs w:val="18"/>
              </w:rPr>
              <w:t>Supplemental cash flow disclosures</w:t>
            </w: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9F6F1E"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6A1C6"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28F489"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39E9CF"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CB9353" w14:textId="77777777" w:rsidR="00000000" w:rsidRDefault="00E614A4">
            <w:pPr>
              <w:rPr>
                <w:rFonts w:eastAsia="Times New Roman"/>
                <w:sz w:val="20"/>
                <w:szCs w:val="20"/>
              </w:rPr>
            </w:pPr>
          </w:p>
        </w:tc>
      </w:tr>
      <w:tr w:rsidR="00000000" w14:paraId="4D5CF200" w14:textId="77777777">
        <w:trPr>
          <w:jc w:val="center"/>
        </w:trPr>
        <w:tc>
          <w:tcPr>
            <w:tcW w:w="0" w:type="auto"/>
            <w:gridSpan w:val="3"/>
            <w:shd w:val="clear" w:color="auto" w:fill="FFFFFF"/>
            <w:tcMar>
              <w:top w:w="30" w:type="dxa"/>
              <w:left w:w="20" w:type="dxa"/>
              <w:bottom w:w="30" w:type="dxa"/>
              <w:right w:w="20" w:type="dxa"/>
            </w:tcMar>
            <w:hideMark/>
          </w:tcPr>
          <w:p w14:paraId="2F1F74B8" w14:textId="77777777" w:rsidR="00000000" w:rsidRDefault="00E614A4">
            <w:pPr>
              <w:divId w:val="1078988615"/>
              <w:rPr>
                <w:rFonts w:eastAsia="Times New Roman"/>
              </w:rPr>
            </w:pPr>
            <w:r>
              <w:rPr>
                <w:rFonts w:eastAsia="Times New Roman"/>
                <w:color w:val="000000"/>
                <w:sz w:val="18"/>
                <w:szCs w:val="18"/>
              </w:rPr>
              <w:t xml:space="preserve">Interest paid ($21,420, $3,046 </w:t>
            </w:r>
            <w:r>
              <w:rPr>
                <w:rFonts w:eastAsia="Times New Roman"/>
                <w:color w:val="000000"/>
                <w:sz w:val="18"/>
                <w:szCs w:val="18"/>
              </w:rPr>
              <w:t>and $7,484 of interest paid in 2020, 2019, and 2018 attributable to related party, respectively)</w:t>
            </w:r>
          </w:p>
        </w:tc>
        <w:tc>
          <w:tcPr>
            <w:tcW w:w="0" w:type="auto"/>
            <w:shd w:val="clear" w:color="auto" w:fill="FFFFFF"/>
            <w:tcMar>
              <w:top w:w="30" w:type="dxa"/>
              <w:left w:w="20" w:type="dxa"/>
              <w:bottom w:w="30" w:type="dxa"/>
              <w:right w:w="0" w:type="dxa"/>
            </w:tcMar>
            <w:vAlign w:val="bottom"/>
            <w:hideMark/>
          </w:tcPr>
          <w:p w14:paraId="64CD8597"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B8AEE63" w14:textId="77777777" w:rsidR="00000000" w:rsidRDefault="00E614A4">
            <w:pPr>
              <w:jc w:val="right"/>
              <w:rPr>
                <w:rFonts w:eastAsia="Times New Roman"/>
              </w:rPr>
            </w:pPr>
            <w:r>
              <w:rPr>
                <w:rFonts w:eastAsia="Times New Roman"/>
                <w:color w:val="000000"/>
                <w:sz w:val="18"/>
                <w:szCs w:val="18"/>
              </w:rPr>
              <w:t>23,792 </w:t>
            </w:r>
          </w:p>
        </w:tc>
        <w:tc>
          <w:tcPr>
            <w:tcW w:w="0" w:type="auto"/>
            <w:shd w:val="clear" w:color="auto" w:fill="FFFFFF"/>
            <w:tcMar>
              <w:top w:w="30" w:type="dxa"/>
              <w:left w:w="0" w:type="dxa"/>
              <w:bottom w:w="30" w:type="dxa"/>
              <w:right w:w="20" w:type="dxa"/>
            </w:tcMar>
            <w:vAlign w:val="bottom"/>
            <w:hideMark/>
          </w:tcPr>
          <w:p w14:paraId="5BE8217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86902"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C153F6"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0BEBCF1" w14:textId="77777777" w:rsidR="00000000" w:rsidRDefault="00E614A4">
            <w:pPr>
              <w:jc w:val="right"/>
              <w:rPr>
                <w:rFonts w:eastAsia="Times New Roman"/>
              </w:rPr>
            </w:pPr>
            <w:r>
              <w:rPr>
                <w:rFonts w:eastAsia="Times New Roman"/>
                <w:color w:val="000000"/>
                <w:sz w:val="18"/>
                <w:szCs w:val="18"/>
              </w:rPr>
              <w:t>4,081 </w:t>
            </w:r>
          </w:p>
        </w:tc>
        <w:tc>
          <w:tcPr>
            <w:tcW w:w="0" w:type="auto"/>
            <w:shd w:val="clear" w:color="auto" w:fill="FFFFFF"/>
            <w:tcMar>
              <w:top w:w="30" w:type="dxa"/>
              <w:left w:w="0" w:type="dxa"/>
              <w:bottom w:w="30" w:type="dxa"/>
              <w:right w:w="20" w:type="dxa"/>
            </w:tcMar>
            <w:vAlign w:val="bottom"/>
            <w:hideMark/>
          </w:tcPr>
          <w:p w14:paraId="0063225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97E08"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D4E09C"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1B99184" w14:textId="77777777" w:rsidR="00000000" w:rsidRDefault="00E614A4">
            <w:pPr>
              <w:jc w:val="right"/>
              <w:rPr>
                <w:rFonts w:eastAsia="Times New Roman"/>
              </w:rPr>
            </w:pPr>
            <w:r>
              <w:rPr>
                <w:rFonts w:eastAsia="Times New Roman"/>
                <w:color w:val="000000"/>
                <w:sz w:val="18"/>
                <w:szCs w:val="18"/>
              </w:rPr>
              <w:t>8,136 </w:t>
            </w:r>
          </w:p>
        </w:tc>
        <w:tc>
          <w:tcPr>
            <w:tcW w:w="0" w:type="auto"/>
            <w:shd w:val="clear" w:color="auto" w:fill="FFFFFF"/>
            <w:tcMar>
              <w:top w:w="30" w:type="dxa"/>
              <w:left w:w="0" w:type="dxa"/>
              <w:bottom w:w="30" w:type="dxa"/>
              <w:right w:w="20" w:type="dxa"/>
            </w:tcMar>
            <w:vAlign w:val="bottom"/>
            <w:hideMark/>
          </w:tcPr>
          <w:p w14:paraId="771074C7" w14:textId="77777777" w:rsidR="00000000" w:rsidRDefault="00E614A4">
            <w:pPr>
              <w:jc w:val="right"/>
              <w:rPr>
                <w:rFonts w:eastAsia="Times New Roman"/>
              </w:rPr>
            </w:pPr>
          </w:p>
        </w:tc>
      </w:tr>
      <w:tr w:rsidR="00000000" w14:paraId="07DC5175" w14:textId="77777777">
        <w:trPr>
          <w:jc w:val="center"/>
        </w:trPr>
        <w:tc>
          <w:tcPr>
            <w:tcW w:w="0" w:type="auto"/>
            <w:gridSpan w:val="3"/>
            <w:shd w:val="clear" w:color="auto" w:fill="CCEEFF"/>
            <w:tcMar>
              <w:top w:w="30" w:type="dxa"/>
              <w:left w:w="155" w:type="dxa"/>
              <w:bottom w:w="30" w:type="dxa"/>
              <w:right w:w="20" w:type="dxa"/>
            </w:tcMar>
            <w:hideMark/>
          </w:tcPr>
          <w:p w14:paraId="01BCBFA6" w14:textId="77777777" w:rsidR="00000000" w:rsidRDefault="00E614A4">
            <w:pPr>
              <w:rPr>
                <w:rFonts w:eastAsia="Times New Roman"/>
              </w:rPr>
            </w:pPr>
            <w:r>
              <w:rPr>
                <w:rFonts w:eastAsia="Times New Roman"/>
                <w:color w:val="000000"/>
                <w:sz w:val="18"/>
                <w:szCs w:val="18"/>
              </w:rPr>
              <w:t>Income taxes paid, net of refunds</w:t>
            </w:r>
          </w:p>
        </w:tc>
        <w:tc>
          <w:tcPr>
            <w:tcW w:w="0" w:type="auto"/>
            <w:gridSpan w:val="2"/>
            <w:shd w:val="clear" w:color="auto" w:fill="CCEEFF"/>
            <w:tcMar>
              <w:top w:w="30" w:type="dxa"/>
              <w:left w:w="20" w:type="dxa"/>
              <w:bottom w:w="30" w:type="dxa"/>
              <w:right w:w="0" w:type="dxa"/>
            </w:tcMar>
            <w:vAlign w:val="bottom"/>
            <w:hideMark/>
          </w:tcPr>
          <w:p w14:paraId="4110E805" w14:textId="77777777" w:rsidR="00000000" w:rsidRDefault="00E614A4">
            <w:pPr>
              <w:jc w:val="right"/>
              <w:rPr>
                <w:rFonts w:eastAsia="Times New Roman"/>
              </w:rPr>
            </w:pPr>
            <w:r>
              <w:rPr>
                <w:rFonts w:eastAsia="Times New Roman"/>
                <w:color w:val="000000"/>
                <w:sz w:val="18"/>
                <w:szCs w:val="18"/>
              </w:rPr>
              <w:t>1,182 </w:t>
            </w:r>
          </w:p>
        </w:tc>
        <w:tc>
          <w:tcPr>
            <w:tcW w:w="0" w:type="auto"/>
            <w:shd w:val="clear" w:color="auto" w:fill="CCEEFF"/>
            <w:tcMar>
              <w:top w:w="30" w:type="dxa"/>
              <w:left w:w="0" w:type="dxa"/>
              <w:bottom w:w="30" w:type="dxa"/>
              <w:right w:w="20" w:type="dxa"/>
            </w:tcMar>
            <w:vAlign w:val="bottom"/>
            <w:hideMark/>
          </w:tcPr>
          <w:p w14:paraId="40A1E1C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0927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F0DDC" w14:textId="77777777" w:rsidR="00000000" w:rsidRDefault="00E614A4">
            <w:pPr>
              <w:jc w:val="right"/>
              <w:rPr>
                <w:rFonts w:eastAsia="Times New Roman"/>
              </w:rPr>
            </w:pPr>
            <w:r>
              <w:rPr>
                <w:rFonts w:eastAsia="Times New Roman"/>
                <w:color w:val="000000"/>
                <w:sz w:val="18"/>
                <w:szCs w:val="18"/>
              </w:rPr>
              <w:t>1,191 </w:t>
            </w:r>
          </w:p>
        </w:tc>
        <w:tc>
          <w:tcPr>
            <w:tcW w:w="0" w:type="auto"/>
            <w:shd w:val="clear" w:color="auto" w:fill="CCEEFF"/>
            <w:tcMar>
              <w:top w:w="30" w:type="dxa"/>
              <w:left w:w="0" w:type="dxa"/>
              <w:bottom w:w="30" w:type="dxa"/>
              <w:right w:w="20" w:type="dxa"/>
            </w:tcMar>
            <w:vAlign w:val="bottom"/>
            <w:hideMark/>
          </w:tcPr>
          <w:p w14:paraId="342380B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DFDD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D009A2" w14:textId="77777777" w:rsidR="00000000" w:rsidRDefault="00E614A4">
            <w:pPr>
              <w:jc w:val="right"/>
              <w:rPr>
                <w:rFonts w:eastAsia="Times New Roman"/>
              </w:rPr>
            </w:pPr>
            <w:r>
              <w:rPr>
                <w:rFonts w:eastAsia="Times New Roman"/>
                <w:color w:val="000000"/>
                <w:sz w:val="18"/>
                <w:szCs w:val="18"/>
              </w:rPr>
              <w:t>1,260 </w:t>
            </w:r>
          </w:p>
        </w:tc>
        <w:tc>
          <w:tcPr>
            <w:tcW w:w="0" w:type="auto"/>
            <w:shd w:val="clear" w:color="auto" w:fill="CCEEFF"/>
            <w:tcMar>
              <w:top w:w="30" w:type="dxa"/>
              <w:left w:w="0" w:type="dxa"/>
              <w:bottom w:w="30" w:type="dxa"/>
              <w:right w:w="20" w:type="dxa"/>
            </w:tcMar>
            <w:vAlign w:val="bottom"/>
            <w:hideMark/>
          </w:tcPr>
          <w:p w14:paraId="680E4E3C" w14:textId="77777777" w:rsidR="00000000" w:rsidRDefault="00E614A4">
            <w:pPr>
              <w:jc w:val="right"/>
              <w:rPr>
                <w:rFonts w:eastAsia="Times New Roman"/>
              </w:rPr>
            </w:pPr>
          </w:p>
        </w:tc>
      </w:tr>
      <w:tr w:rsidR="00000000" w14:paraId="732083E8"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2A2D9A12" w14:textId="77777777" w:rsidR="00000000" w:rsidRDefault="00E614A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7C7098"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838B4"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A44827"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70D642"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D896DD" w14:textId="77777777" w:rsidR="00000000" w:rsidRDefault="00E614A4">
            <w:pPr>
              <w:rPr>
                <w:rFonts w:eastAsia="Times New Roman"/>
                <w:sz w:val="20"/>
                <w:szCs w:val="20"/>
              </w:rPr>
            </w:pPr>
          </w:p>
        </w:tc>
      </w:tr>
      <w:tr w:rsidR="00000000" w14:paraId="041E8DB3" w14:textId="77777777">
        <w:trPr>
          <w:jc w:val="center"/>
        </w:trPr>
        <w:tc>
          <w:tcPr>
            <w:tcW w:w="0" w:type="auto"/>
            <w:gridSpan w:val="3"/>
            <w:shd w:val="clear" w:color="auto" w:fill="CCEEFF"/>
            <w:tcMar>
              <w:top w:w="30" w:type="dxa"/>
              <w:left w:w="20" w:type="dxa"/>
              <w:bottom w:w="30" w:type="dxa"/>
              <w:right w:w="20" w:type="dxa"/>
            </w:tcMar>
            <w:hideMark/>
          </w:tcPr>
          <w:p w14:paraId="41716380" w14:textId="77777777" w:rsidR="00000000" w:rsidRDefault="00E614A4">
            <w:pPr>
              <w:divId w:val="640962798"/>
              <w:rPr>
                <w:rFonts w:eastAsia="Times New Roman"/>
              </w:rPr>
            </w:pPr>
            <w:r>
              <w:rPr>
                <w:rFonts w:eastAsia="Times New Roman"/>
                <w:b/>
                <w:bCs/>
                <w:color w:val="000000"/>
                <w:sz w:val="18"/>
                <w:szCs w:val="18"/>
              </w:rPr>
              <w:t>Supplemental non-cash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6030808"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7EF47"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833E80"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0187D2"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C45C88" w14:textId="77777777" w:rsidR="00000000" w:rsidRDefault="00E614A4">
            <w:pPr>
              <w:rPr>
                <w:rFonts w:eastAsia="Times New Roman"/>
                <w:sz w:val="20"/>
                <w:szCs w:val="20"/>
              </w:rPr>
            </w:pPr>
          </w:p>
        </w:tc>
      </w:tr>
      <w:tr w:rsidR="00000000" w14:paraId="6E4F763B" w14:textId="77777777">
        <w:trPr>
          <w:jc w:val="center"/>
        </w:trPr>
        <w:tc>
          <w:tcPr>
            <w:tcW w:w="0" w:type="auto"/>
            <w:gridSpan w:val="3"/>
            <w:shd w:val="clear" w:color="auto" w:fill="FFFFFF"/>
            <w:tcMar>
              <w:top w:w="30" w:type="dxa"/>
              <w:left w:w="155" w:type="dxa"/>
              <w:bottom w:w="30" w:type="dxa"/>
              <w:right w:w="20" w:type="dxa"/>
            </w:tcMar>
            <w:hideMark/>
          </w:tcPr>
          <w:p w14:paraId="232EB9A9" w14:textId="77777777" w:rsidR="00000000" w:rsidRDefault="00E614A4">
            <w:pPr>
              <w:rPr>
                <w:rFonts w:eastAsia="Times New Roman"/>
              </w:rPr>
            </w:pPr>
            <w:r>
              <w:rPr>
                <w:rFonts w:eastAsia="Times New Roman"/>
                <w:color w:val="000000"/>
                <w:sz w:val="18"/>
                <w:szCs w:val="18"/>
              </w:rPr>
              <w:t>Settlement of restricted stock unit liability</w:t>
            </w:r>
          </w:p>
        </w:tc>
        <w:tc>
          <w:tcPr>
            <w:tcW w:w="0" w:type="auto"/>
            <w:shd w:val="clear" w:color="auto" w:fill="FFFFFF"/>
            <w:tcMar>
              <w:top w:w="30" w:type="dxa"/>
              <w:left w:w="20" w:type="dxa"/>
              <w:bottom w:w="30" w:type="dxa"/>
              <w:right w:w="0" w:type="dxa"/>
            </w:tcMar>
            <w:vAlign w:val="bottom"/>
            <w:hideMark/>
          </w:tcPr>
          <w:p w14:paraId="5295539F"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5B5E2B0" w14:textId="77777777" w:rsidR="00000000" w:rsidRDefault="00E614A4">
            <w:pPr>
              <w:jc w:val="right"/>
              <w:rPr>
                <w:rFonts w:eastAsia="Times New Roman"/>
              </w:rPr>
            </w:pPr>
            <w:r>
              <w:rPr>
                <w:rFonts w:eastAsia="Times New Roman"/>
                <w:color w:val="000000"/>
                <w:sz w:val="18"/>
                <w:szCs w:val="18"/>
              </w:rPr>
              <w:t>3,065 </w:t>
            </w:r>
          </w:p>
        </w:tc>
        <w:tc>
          <w:tcPr>
            <w:tcW w:w="0" w:type="auto"/>
            <w:shd w:val="clear" w:color="auto" w:fill="FFFFFF"/>
            <w:tcMar>
              <w:top w:w="30" w:type="dxa"/>
              <w:left w:w="0" w:type="dxa"/>
              <w:bottom w:w="30" w:type="dxa"/>
              <w:right w:w="20" w:type="dxa"/>
            </w:tcMar>
            <w:vAlign w:val="bottom"/>
            <w:hideMark/>
          </w:tcPr>
          <w:p w14:paraId="6DC6514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9EF3B"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CB98CE"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0B1DFBD" w14:textId="77777777" w:rsidR="00000000" w:rsidRDefault="00E614A4">
            <w:pPr>
              <w:jc w:val="right"/>
              <w:rPr>
                <w:rFonts w:eastAsia="Times New Roman"/>
              </w:rPr>
            </w:pPr>
            <w:r>
              <w:rPr>
                <w:rFonts w:eastAsia="Times New Roman"/>
                <w:color w:val="000000"/>
                <w:sz w:val="18"/>
                <w:szCs w:val="18"/>
              </w:rPr>
              <w:t>4,611 </w:t>
            </w:r>
          </w:p>
        </w:tc>
        <w:tc>
          <w:tcPr>
            <w:tcW w:w="0" w:type="auto"/>
            <w:shd w:val="clear" w:color="auto" w:fill="FFFFFF"/>
            <w:tcMar>
              <w:top w:w="30" w:type="dxa"/>
              <w:left w:w="0" w:type="dxa"/>
              <w:bottom w:w="30" w:type="dxa"/>
              <w:right w:w="20" w:type="dxa"/>
            </w:tcMar>
            <w:vAlign w:val="bottom"/>
            <w:hideMark/>
          </w:tcPr>
          <w:p w14:paraId="22E14BC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23C26B"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E64927"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391458A" w14:textId="77777777" w:rsidR="00000000" w:rsidRDefault="00E614A4">
            <w:pPr>
              <w:jc w:val="right"/>
              <w:rPr>
                <w:rFonts w:eastAsia="Times New Roman"/>
              </w:rPr>
            </w:pPr>
            <w:r>
              <w:rPr>
                <w:rFonts w:eastAsia="Times New Roman"/>
                <w:color w:val="000000"/>
                <w:sz w:val="18"/>
                <w:szCs w:val="18"/>
              </w:rPr>
              <w:t>15,818 </w:t>
            </w:r>
          </w:p>
        </w:tc>
        <w:tc>
          <w:tcPr>
            <w:tcW w:w="0" w:type="auto"/>
            <w:shd w:val="clear" w:color="auto" w:fill="FFFFFF"/>
            <w:tcMar>
              <w:top w:w="30" w:type="dxa"/>
              <w:left w:w="0" w:type="dxa"/>
              <w:bottom w:w="30" w:type="dxa"/>
              <w:right w:w="20" w:type="dxa"/>
            </w:tcMar>
            <w:vAlign w:val="bottom"/>
            <w:hideMark/>
          </w:tcPr>
          <w:p w14:paraId="2725C050" w14:textId="77777777" w:rsidR="00000000" w:rsidRDefault="00E614A4">
            <w:pPr>
              <w:jc w:val="right"/>
              <w:rPr>
                <w:rFonts w:eastAsia="Times New Roman"/>
              </w:rPr>
            </w:pPr>
          </w:p>
        </w:tc>
      </w:tr>
      <w:tr w:rsidR="00000000" w14:paraId="15181695" w14:textId="77777777">
        <w:trPr>
          <w:jc w:val="center"/>
        </w:trPr>
        <w:tc>
          <w:tcPr>
            <w:tcW w:w="0" w:type="auto"/>
            <w:gridSpan w:val="3"/>
            <w:shd w:val="clear" w:color="auto" w:fill="CCEEFF"/>
            <w:tcMar>
              <w:top w:w="30" w:type="dxa"/>
              <w:left w:w="155" w:type="dxa"/>
              <w:bottom w:w="30" w:type="dxa"/>
              <w:right w:w="20" w:type="dxa"/>
            </w:tcMar>
            <w:hideMark/>
          </w:tcPr>
          <w:p w14:paraId="7977A5F9" w14:textId="77777777" w:rsidR="00000000" w:rsidRDefault="00E614A4">
            <w:pPr>
              <w:rPr>
                <w:rFonts w:eastAsia="Times New Roman"/>
              </w:rPr>
            </w:pPr>
            <w:r>
              <w:rPr>
                <w:rFonts w:eastAsia="Times New Roman"/>
                <w:color w:val="000000"/>
                <w:sz w:val="18"/>
                <w:szCs w:val="18"/>
              </w:rPr>
              <w:t>Assets acquired through finance leases and software obligations</w:t>
            </w:r>
          </w:p>
        </w:tc>
        <w:tc>
          <w:tcPr>
            <w:tcW w:w="0" w:type="auto"/>
            <w:gridSpan w:val="2"/>
            <w:shd w:val="clear" w:color="auto" w:fill="CCEEFF"/>
            <w:tcMar>
              <w:top w:w="30" w:type="dxa"/>
              <w:left w:w="20" w:type="dxa"/>
              <w:bottom w:w="30" w:type="dxa"/>
              <w:right w:w="0" w:type="dxa"/>
            </w:tcMar>
            <w:vAlign w:val="bottom"/>
            <w:hideMark/>
          </w:tcPr>
          <w:p w14:paraId="7E273B10" w14:textId="77777777" w:rsidR="00000000" w:rsidRDefault="00E614A4">
            <w:pPr>
              <w:jc w:val="right"/>
              <w:rPr>
                <w:rFonts w:eastAsia="Times New Roman"/>
              </w:rPr>
            </w:pPr>
            <w:r>
              <w:rPr>
                <w:rFonts w:eastAsia="Times New Roman"/>
                <w:color w:val="000000"/>
                <w:sz w:val="18"/>
                <w:szCs w:val="18"/>
              </w:rPr>
              <w:t>1,109 </w:t>
            </w:r>
          </w:p>
        </w:tc>
        <w:tc>
          <w:tcPr>
            <w:tcW w:w="0" w:type="auto"/>
            <w:shd w:val="clear" w:color="auto" w:fill="CCEEFF"/>
            <w:tcMar>
              <w:top w:w="30" w:type="dxa"/>
              <w:left w:w="0" w:type="dxa"/>
              <w:bottom w:w="30" w:type="dxa"/>
              <w:right w:w="20" w:type="dxa"/>
            </w:tcMar>
            <w:vAlign w:val="bottom"/>
            <w:hideMark/>
          </w:tcPr>
          <w:p w14:paraId="4211CD8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06592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9643D1" w14:textId="77777777" w:rsidR="00000000" w:rsidRDefault="00E614A4">
            <w:pPr>
              <w:jc w:val="right"/>
              <w:rPr>
                <w:rFonts w:eastAsia="Times New Roman"/>
              </w:rPr>
            </w:pPr>
            <w:r>
              <w:rPr>
                <w:rFonts w:eastAsia="Times New Roman"/>
                <w:color w:val="000000"/>
                <w:sz w:val="18"/>
                <w:szCs w:val="18"/>
              </w:rPr>
              <w:t>4,277 </w:t>
            </w:r>
          </w:p>
        </w:tc>
        <w:tc>
          <w:tcPr>
            <w:tcW w:w="0" w:type="auto"/>
            <w:shd w:val="clear" w:color="auto" w:fill="CCEEFF"/>
            <w:tcMar>
              <w:top w:w="30" w:type="dxa"/>
              <w:left w:w="0" w:type="dxa"/>
              <w:bottom w:w="30" w:type="dxa"/>
              <w:right w:w="20" w:type="dxa"/>
            </w:tcMar>
            <w:vAlign w:val="bottom"/>
            <w:hideMark/>
          </w:tcPr>
          <w:p w14:paraId="75B49A4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0024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3CE6F" w14:textId="77777777" w:rsidR="00000000" w:rsidRDefault="00E614A4">
            <w:pPr>
              <w:jc w:val="right"/>
              <w:rPr>
                <w:rFonts w:eastAsia="Times New Roman"/>
              </w:rPr>
            </w:pPr>
            <w:r>
              <w:rPr>
                <w:rFonts w:eastAsia="Times New Roman"/>
                <w:color w:val="000000"/>
                <w:sz w:val="18"/>
                <w:szCs w:val="18"/>
              </w:rPr>
              <w:t>1,737 </w:t>
            </w:r>
          </w:p>
        </w:tc>
        <w:tc>
          <w:tcPr>
            <w:tcW w:w="0" w:type="auto"/>
            <w:shd w:val="clear" w:color="auto" w:fill="CCEEFF"/>
            <w:tcMar>
              <w:top w:w="30" w:type="dxa"/>
              <w:left w:w="0" w:type="dxa"/>
              <w:bottom w:w="30" w:type="dxa"/>
              <w:right w:w="20" w:type="dxa"/>
            </w:tcMar>
            <w:vAlign w:val="bottom"/>
            <w:hideMark/>
          </w:tcPr>
          <w:p w14:paraId="2C034919" w14:textId="77777777" w:rsidR="00000000" w:rsidRDefault="00E614A4">
            <w:pPr>
              <w:jc w:val="right"/>
              <w:rPr>
                <w:rFonts w:eastAsia="Times New Roman"/>
              </w:rPr>
            </w:pPr>
          </w:p>
        </w:tc>
      </w:tr>
      <w:tr w:rsidR="00000000" w14:paraId="54900257" w14:textId="77777777">
        <w:trPr>
          <w:jc w:val="center"/>
        </w:trPr>
        <w:tc>
          <w:tcPr>
            <w:tcW w:w="0" w:type="auto"/>
            <w:gridSpan w:val="3"/>
            <w:shd w:val="clear" w:color="auto" w:fill="FFFFFF"/>
            <w:tcMar>
              <w:top w:w="30" w:type="dxa"/>
              <w:left w:w="155" w:type="dxa"/>
              <w:bottom w:w="30" w:type="dxa"/>
              <w:right w:w="20" w:type="dxa"/>
            </w:tcMar>
            <w:hideMark/>
          </w:tcPr>
          <w:p w14:paraId="58270514" w14:textId="77777777" w:rsidR="00000000" w:rsidRDefault="00E614A4">
            <w:pPr>
              <w:rPr>
                <w:rFonts w:eastAsia="Times New Roman"/>
              </w:rPr>
            </w:pPr>
            <w:r>
              <w:rPr>
                <w:rFonts w:eastAsia="Times New Roman"/>
                <w:color w:val="000000"/>
                <w:sz w:val="18"/>
                <w:szCs w:val="18"/>
              </w:rPr>
              <w:t>Change in accounts payable and accrued expenses related to capital expenditures</w:t>
            </w:r>
          </w:p>
        </w:tc>
        <w:tc>
          <w:tcPr>
            <w:tcW w:w="0" w:type="auto"/>
            <w:gridSpan w:val="2"/>
            <w:shd w:val="clear" w:color="auto" w:fill="FFFFFF"/>
            <w:tcMar>
              <w:top w:w="30" w:type="dxa"/>
              <w:left w:w="20" w:type="dxa"/>
              <w:bottom w:w="30" w:type="dxa"/>
              <w:right w:w="0" w:type="dxa"/>
            </w:tcMar>
            <w:vAlign w:val="bottom"/>
            <w:hideMark/>
          </w:tcPr>
          <w:p w14:paraId="6BFABDE2" w14:textId="77777777" w:rsidR="00000000" w:rsidRDefault="00E614A4">
            <w:pPr>
              <w:jc w:val="right"/>
              <w:rPr>
                <w:rFonts w:eastAsia="Times New Roman"/>
              </w:rPr>
            </w:pPr>
            <w:r>
              <w:rPr>
                <w:rFonts w:eastAsia="Times New Roman"/>
                <w:color w:val="000000"/>
                <w:sz w:val="18"/>
                <w:szCs w:val="18"/>
              </w:rPr>
              <w:t>395 </w:t>
            </w:r>
          </w:p>
        </w:tc>
        <w:tc>
          <w:tcPr>
            <w:tcW w:w="0" w:type="auto"/>
            <w:shd w:val="clear" w:color="auto" w:fill="FFFFFF"/>
            <w:tcMar>
              <w:top w:w="30" w:type="dxa"/>
              <w:left w:w="0" w:type="dxa"/>
              <w:bottom w:w="30" w:type="dxa"/>
              <w:right w:w="20" w:type="dxa"/>
            </w:tcMar>
            <w:vAlign w:val="bottom"/>
            <w:hideMark/>
          </w:tcPr>
          <w:p w14:paraId="0D537D5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C3E5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F11B67" w14:textId="77777777" w:rsidR="00000000" w:rsidRDefault="00E614A4">
            <w:pPr>
              <w:jc w:val="right"/>
              <w:rPr>
                <w:rFonts w:eastAsia="Times New Roman"/>
              </w:rPr>
            </w:pPr>
            <w:r>
              <w:rPr>
                <w:rFonts w:eastAsia="Times New Roman"/>
                <w:color w:val="000000"/>
                <w:sz w:val="18"/>
                <w:szCs w:val="18"/>
              </w:rPr>
              <w:t>456 </w:t>
            </w:r>
          </w:p>
        </w:tc>
        <w:tc>
          <w:tcPr>
            <w:tcW w:w="0" w:type="auto"/>
            <w:shd w:val="clear" w:color="auto" w:fill="FFFFFF"/>
            <w:tcMar>
              <w:top w:w="30" w:type="dxa"/>
              <w:left w:w="0" w:type="dxa"/>
              <w:bottom w:w="30" w:type="dxa"/>
              <w:right w:w="20" w:type="dxa"/>
            </w:tcMar>
            <w:vAlign w:val="bottom"/>
            <w:hideMark/>
          </w:tcPr>
          <w:p w14:paraId="2DB4F8F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EE3B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326C66" w14:textId="77777777" w:rsidR="00000000" w:rsidRDefault="00E614A4">
            <w:pPr>
              <w:jc w:val="right"/>
              <w:rPr>
                <w:rFonts w:eastAsia="Times New Roman"/>
              </w:rPr>
            </w:pPr>
            <w:r>
              <w:rPr>
                <w:rFonts w:eastAsia="Times New Roman"/>
                <w:color w:val="000000"/>
                <w:sz w:val="18"/>
                <w:szCs w:val="18"/>
              </w:rPr>
              <w:t>1,149 </w:t>
            </w:r>
          </w:p>
        </w:tc>
        <w:tc>
          <w:tcPr>
            <w:tcW w:w="0" w:type="auto"/>
            <w:shd w:val="clear" w:color="auto" w:fill="FFFFFF"/>
            <w:tcMar>
              <w:top w:w="30" w:type="dxa"/>
              <w:left w:w="0" w:type="dxa"/>
              <w:bottom w:w="30" w:type="dxa"/>
              <w:right w:w="20" w:type="dxa"/>
            </w:tcMar>
            <w:vAlign w:val="bottom"/>
            <w:hideMark/>
          </w:tcPr>
          <w:p w14:paraId="69755021" w14:textId="77777777" w:rsidR="00000000" w:rsidRDefault="00E614A4">
            <w:pPr>
              <w:jc w:val="right"/>
              <w:rPr>
                <w:rFonts w:eastAsia="Times New Roman"/>
              </w:rPr>
            </w:pPr>
          </w:p>
        </w:tc>
      </w:tr>
      <w:tr w:rsidR="00000000" w14:paraId="0B3EAC31" w14:textId="77777777">
        <w:trPr>
          <w:jc w:val="center"/>
        </w:trPr>
        <w:tc>
          <w:tcPr>
            <w:tcW w:w="0" w:type="auto"/>
            <w:gridSpan w:val="3"/>
            <w:shd w:val="clear" w:color="auto" w:fill="CCEEFF"/>
            <w:tcMar>
              <w:top w:w="30" w:type="dxa"/>
              <w:left w:w="155" w:type="dxa"/>
              <w:bottom w:w="30" w:type="dxa"/>
              <w:right w:w="20" w:type="dxa"/>
            </w:tcMar>
            <w:hideMark/>
          </w:tcPr>
          <w:p w14:paraId="33B6A337" w14:textId="77777777" w:rsidR="00000000" w:rsidRDefault="00E614A4">
            <w:pPr>
              <w:rPr>
                <w:rFonts w:eastAsia="Times New Roman"/>
              </w:rPr>
            </w:pPr>
            <w:r>
              <w:rPr>
                <w:rFonts w:eastAsia="Times New Roman"/>
                <w:color w:val="000000"/>
                <w:sz w:val="18"/>
                <w:szCs w:val="18"/>
              </w:rPr>
              <w:t>Leasehold improvements acquired through lease incentives</w:t>
            </w:r>
          </w:p>
        </w:tc>
        <w:tc>
          <w:tcPr>
            <w:tcW w:w="0" w:type="auto"/>
            <w:gridSpan w:val="2"/>
            <w:shd w:val="clear" w:color="auto" w:fill="CCEEFF"/>
            <w:tcMar>
              <w:top w:w="30" w:type="dxa"/>
              <w:left w:w="20" w:type="dxa"/>
              <w:bottom w:w="30" w:type="dxa"/>
              <w:right w:w="0" w:type="dxa"/>
            </w:tcMar>
            <w:vAlign w:val="bottom"/>
            <w:hideMark/>
          </w:tcPr>
          <w:p w14:paraId="00A04622" w14:textId="77777777" w:rsidR="00000000" w:rsidRDefault="00E614A4">
            <w:pPr>
              <w:jc w:val="right"/>
              <w:rPr>
                <w:rFonts w:eastAsia="Times New Roman"/>
              </w:rPr>
            </w:pPr>
            <w:r>
              <w:rPr>
                <w:rFonts w:eastAsia="Times New Roman"/>
                <w:color w:val="000000"/>
                <w:sz w:val="18"/>
                <w:szCs w:val="18"/>
              </w:rPr>
              <w:t>394 </w:t>
            </w:r>
          </w:p>
        </w:tc>
        <w:tc>
          <w:tcPr>
            <w:tcW w:w="0" w:type="auto"/>
            <w:shd w:val="clear" w:color="auto" w:fill="CCEEFF"/>
            <w:tcMar>
              <w:top w:w="30" w:type="dxa"/>
              <w:left w:w="0" w:type="dxa"/>
              <w:bottom w:w="30" w:type="dxa"/>
              <w:right w:w="20" w:type="dxa"/>
            </w:tcMar>
            <w:vAlign w:val="bottom"/>
            <w:hideMark/>
          </w:tcPr>
          <w:p w14:paraId="1FAF2EF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97E7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489AE" w14:textId="77777777" w:rsidR="00000000" w:rsidRDefault="00E614A4">
            <w:pPr>
              <w:jc w:val="right"/>
              <w:rPr>
                <w:rFonts w:eastAsia="Times New Roman"/>
              </w:rPr>
            </w:pPr>
            <w:r>
              <w:rPr>
                <w:rFonts w:eastAsia="Times New Roman"/>
                <w:color w:val="000000"/>
                <w:sz w:val="18"/>
                <w:szCs w:val="18"/>
              </w:rPr>
              <w:t>2,050 </w:t>
            </w:r>
          </w:p>
        </w:tc>
        <w:tc>
          <w:tcPr>
            <w:tcW w:w="0" w:type="auto"/>
            <w:shd w:val="clear" w:color="auto" w:fill="CCEEFF"/>
            <w:tcMar>
              <w:top w:w="30" w:type="dxa"/>
              <w:left w:w="0" w:type="dxa"/>
              <w:bottom w:w="30" w:type="dxa"/>
              <w:right w:w="20" w:type="dxa"/>
            </w:tcMar>
            <w:vAlign w:val="bottom"/>
            <w:hideMark/>
          </w:tcPr>
          <w:p w14:paraId="1702CB7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5528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7BCFE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E36FA4" w14:textId="77777777" w:rsidR="00000000" w:rsidRDefault="00E614A4">
            <w:pPr>
              <w:jc w:val="right"/>
              <w:rPr>
                <w:rFonts w:eastAsia="Times New Roman"/>
              </w:rPr>
            </w:pPr>
          </w:p>
        </w:tc>
      </w:tr>
      <w:tr w:rsidR="00000000" w14:paraId="397594FD" w14:textId="77777777">
        <w:trPr>
          <w:jc w:val="center"/>
        </w:trPr>
        <w:tc>
          <w:tcPr>
            <w:tcW w:w="0" w:type="auto"/>
            <w:gridSpan w:val="3"/>
            <w:shd w:val="clear" w:color="auto" w:fill="FFFFFF"/>
            <w:tcMar>
              <w:top w:w="30" w:type="dxa"/>
              <w:left w:w="155" w:type="dxa"/>
              <w:bottom w:w="30" w:type="dxa"/>
              <w:right w:w="20" w:type="dxa"/>
            </w:tcMar>
            <w:hideMark/>
          </w:tcPr>
          <w:p w14:paraId="7E607D75" w14:textId="77777777" w:rsidR="00000000" w:rsidRDefault="00E614A4">
            <w:pPr>
              <w:rPr>
                <w:rFonts w:eastAsia="Times New Roman"/>
              </w:rPr>
            </w:pPr>
            <w:r>
              <w:rPr>
                <w:rFonts w:eastAsia="Times New Roman"/>
                <w:color w:val="000000"/>
                <w:sz w:val="18"/>
                <w:szCs w:val="18"/>
              </w:rPr>
              <w:t>Fair value of warrants issued in private placement</w:t>
            </w:r>
          </w:p>
        </w:tc>
        <w:tc>
          <w:tcPr>
            <w:tcW w:w="0" w:type="auto"/>
            <w:gridSpan w:val="2"/>
            <w:shd w:val="clear" w:color="auto" w:fill="FFFFFF"/>
            <w:tcMar>
              <w:top w:w="30" w:type="dxa"/>
              <w:left w:w="20" w:type="dxa"/>
              <w:bottom w:w="30" w:type="dxa"/>
              <w:right w:w="0" w:type="dxa"/>
            </w:tcMar>
            <w:vAlign w:val="bottom"/>
            <w:hideMark/>
          </w:tcPr>
          <w:p w14:paraId="56B9F16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6EFF0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A2D4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88537" w14:textId="77777777" w:rsidR="00000000" w:rsidRDefault="00E614A4">
            <w:pPr>
              <w:jc w:val="right"/>
              <w:rPr>
                <w:rFonts w:eastAsia="Times New Roman"/>
              </w:rPr>
            </w:pPr>
            <w:r>
              <w:rPr>
                <w:rFonts w:eastAsia="Times New Roman"/>
                <w:color w:val="000000"/>
                <w:sz w:val="18"/>
                <w:szCs w:val="18"/>
              </w:rPr>
              <w:t>10,798 </w:t>
            </w:r>
          </w:p>
        </w:tc>
        <w:tc>
          <w:tcPr>
            <w:tcW w:w="0" w:type="auto"/>
            <w:shd w:val="clear" w:color="auto" w:fill="FFFFFF"/>
            <w:tcMar>
              <w:top w:w="30" w:type="dxa"/>
              <w:left w:w="0" w:type="dxa"/>
              <w:bottom w:w="30" w:type="dxa"/>
              <w:right w:w="20" w:type="dxa"/>
            </w:tcMar>
            <w:vAlign w:val="bottom"/>
            <w:hideMark/>
          </w:tcPr>
          <w:p w14:paraId="304B693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F715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7AF53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1DE8B6" w14:textId="77777777" w:rsidR="00000000" w:rsidRDefault="00E614A4">
            <w:pPr>
              <w:jc w:val="right"/>
              <w:rPr>
                <w:rFonts w:eastAsia="Times New Roman"/>
              </w:rPr>
            </w:pPr>
          </w:p>
        </w:tc>
      </w:tr>
      <w:tr w:rsidR="00000000" w14:paraId="599BCBDC" w14:textId="77777777">
        <w:trPr>
          <w:jc w:val="center"/>
        </w:trPr>
        <w:tc>
          <w:tcPr>
            <w:tcW w:w="0" w:type="auto"/>
            <w:gridSpan w:val="3"/>
            <w:shd w:val="clear" w:color="auto" w:fill="CCEEFF"/>
            <w:tcMar>
              <w:top w:w="30" w:type="dxa"/>
              <w:left w:w="155" w:type="dxa"/>
              <w:bottom w:w="30" w:type="dxa"/>
              <w:right w:w="20" w:type="dxa"/>
            </w:tcMar>
            <w:hideMark/>
          </w:tcPr>
          <w:p w14:paraId="6EE185F3" w14:textId="77777777" w:rsidR="00000000" w:rsidRDefault="00E614A4">
            <w:pPr>
              <w:rPr>
                <w:rFonts w:eastAsia="Times New Roman"/>
              </w:rPr>
            </w:pPr>
            <w:r>
              <w:rPr>
                <w:rFonts w:eastAsia="Times New Roman"/>
                <w:color w:val="000000"/>
                <w:sz w:val="18"/>
                <w:szCs w:val="18"/>
              </w:rPr>
              <w:t>Repurchase of Common Stock in exchange for senior secured convertible notes</w:t>
            </w:r>
          </w:p>
        </w:tc>
        <w:tc>
          <w:tcPr>
            <w:tcW w:w="0" w:type="auto"/>
            <w:gridSpan w:val="2"/>
            <w:shd w:val="clear" w:color="auto" w:fill="CCEEFF"/>
            <w:tcMar>
              <w:top w:w="30" w:type="dxa"/>
              <w:left w:w="20" w:type="dxa"/>
              <w:bottom w:w="30" w:type="dxa"/>
              <w:right w:w="0" w:type="dxa"/>
            </w:tcMar>
            <w:vAlign w:val="bottom"/>
            <w:hideMark/>
          </w:tcPr>
          <w:p w14:paraId="5CDCA58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C6F56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11D3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8B055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59FC6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4F50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A8DFD1" w14:textId="77777777" w:rsidR="00000000" w:rsidRDefault="00E614A4">
            <w:pPr>
              <w:jc w:val="right"/>
              <w:rPr>
                <w:rFonts w:eastAsia="Times New Roman"/>
              </w:rPr>
            </w:pPr>
            <w:r>
              <w:rPr>
                <w:rFonts w:eastAsia="Times New Roman"/>
                <w:color w:val="000000"/>
                <w:sz w:val="18"/>
                <w:szCs w:val="18"/>
              </w:rPr>
              <w:t>94,021 </w:t>
            </w:r>
          </w:p>
        </w:tc>
        <w:tc>
          <w:tcPr>
            <w:tcW w:w="0" w:type="auto"/>
            <w:shd w:val="clear" w:color="auto" w:fill="CCEEFF"/>
            <w:tcMar>
              <w:top w:w="30" w:type="dxa"/>
              <w:left w:w="0" w:type="dxa"/>
              <w:bottom w:w="30" w:type="dxa"/>
              <w:right w:w="20" w:type="dxa"/>
            </w:tcMar>
            <w:vAlign w:val="bottom"/>
            <w:hideMark/>
          </w:tcPr>
          <w:p w14:paraId="139F1957" w14:textId="77777777" w:rsidR="00000000" w:rsidRDefault="00E614A4">
            <w:pPr>
              <w:jc w:val="right"/>
              <w:rPr>
                <w:rFonts w:eastAsia="Times New Roman"/>
              </w:rPr>
            </w:pPr>
          </w:p>
        </w:tc>
      </w:tr>
      <w:tr w:rsidR="00000000" w14:paraId="7E0EF2D4" w14:textId="77777777">
        <w:trPr>
          <w:jc w:val="center"/>
        </w:trPr>
        <w:tc>
          <w:tcPr>
            <w:tcW w:w="0" w:type="auto"/>
            <w:gridSpan w:val="3"/>
            <w:shd w:val="clear" w:color="auto" w:fill="FFFFFF"/>
            <w:tcMar>
              <w:top w:w="30" w:type="dxa"/>
              <w:left w:w="155" w:type="dxa"/>
              <w:bottom w:w="30" w:type="dxa"/>
              <w:right w:w="20" w:type="dxa"/>
            </w:tcMar>
            <w:hideMark/>
          </w:tcPr>
          <w:p w14:paraId="48E8AC09" w14:textId="77777777" w:rsidR="00000000" w:rsidRDefault="00E614A4">
            <w:pPr>
              <w:rPr>
                <w:rFonts w:eastAsia="Times New Roman"/>
              </w:rPr>
            </w:pPr>
            <w:r>
              <w:rPr>
                <w:rFonts w:eastAsia="Times New Roman"/>
                <w:color w:val="000000"/>
                <w:sz w:val="18"/>
                <w:szCs w:val="18"/>
              </w:rPr>
              <w:t>Shares issued in connection with settlement of litigation</w:t>
            </w:r>
          </w:p>
        </w:tc>
        <w:tc>
          <w:tcPr>
            <w:tcW w:w="0" w:type="auto"/>
            <w:gridSpan w:val="2"/>
            <w:shd w:val="clear" w:color="auto" w:fill="FFFFFF"/>
            <w:tcMar>
              <w:top w:w="30" w:type="dxa"/>
              <w:left w:w="20" w:type="dxa"/>
              <w:bottom w:w="30" w:type="dxa"/>
              <w:right w:w="0" w:type="dxa"/>
            </w:tcMar>
            <w:vAlign w:val="bottom"/>
            <w:hideMark/>
          </w:tcPr>
          <w:p w14:paraId="211CAB7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E9BD2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B713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032D3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EA4F7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7D38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7A1A7C" w14:textId="77777777" w:rsidR="00000000" w:rsidRDefault="00E614A4">
            <w:pPr>
              <w:jc w:val="right"/>
              <w:rPr>
                <w:rFonts w:eastAsia="Times New Roman"/>
              </w:rPr>
            </w:pPr>
            <w:r>
              <w:rPr>
                <w:rFonts w:eastAsia="Times New Roman"/>
                <w:color w:val="000000"/>
                <w:sz w:val="18"/>
                <w:szCs w:val="18"/>
              </w:rPr>
              <w:t>90,768 </w:t>
            </w:r>
          </w:p>
        </w:tc>
        <w:tc>
          <w:tcPr>
            <w:tcW w:w="0" w:type="auto"/>
            <w:shd w:val="clear" w:color="auto" w:fill="FFFFFF"/>
            <w:tcMar>
              <w:top w:w="30" w:type="dxa"/>
              <w:left w:w="0" w:type="dxa"/>
              <w:bottom w:w="30" w:type="dxa"/>
              <w:right w:w="20" w:type="dxa"/>
            </w:tcMar>
            <w:vAlign w:val="bottom"/>
            <w:hideMark/>
          </w:tcPr>
          <w:p w14:paraId="1756F558" w14:textId="77777777" w:rsidR="00000000" w:rsidRDefault="00E614A4">
            <w:pPr>
              <w:jc w:val="right"/>
              <w:rPr>
                <w:rFonts w:eastAsia="Times New Roman"/>
              </w:rPr>
            </w:pPr>
          </w:p>
        </w:tc>
      </w:tr>
      <w:tr w:rsidR="00000000" w14:paraId="49109426" w14:textId="77777777">
        <w:trPr>
          <w:jc w:val="center"/>
        </w:trPr>
        <w:tc>
          <w:tcPr>
            <w:tcW w:w="0" w:type="auto"/>
            <w:gridSpan w:val="3"/>
            <w:shd w:val="clear" w:color="auto" w:fill="CCEEFF"/>
            <w:tcMar>
              <w:top w:w="30" w:type="dxa"/>
              <w:left w:w="155" w:type="dxa"/>
              <w:bottom w:w="30" w:type="dxa"/>
              <w:right w:w="20" w:type="dxa"/>
            </w:tcMar>
            <w:hideMark/>
          </w:tcPr>
          <w:p w14:paraId="1E86A242" w14:textId="77777777" w:rsidR="00000000" w:rsidRDefault="00E614A4">
            <w:pPr>
              <w:rPr>
                <w:rFonts w:eastAsia="Times New Roman"/>
              </w:rPr>
            </w:pPr>
            <w:r>
              <w:rPr>
                <w:rFonts w:eastAsia="Times New Roman"/>
                <w:color w:val="000000"/>
                <w:sz w:val="18"/>
                <w:szCs w:val="18"/>
              </w:rPr>
              <w:t>Insurance recovery on litigation settlement</w:t>
            </w:r>
          </w:p>
        </w:tc>
        <w:tc>
          <w:tcPr>
            <w:tcW w:w="0" w:type="auto"/>
            <w:gridSpan w:val="2"/>
            <w:shd w:val="clear" w:color="auto" w:fill="CCEEFF"/>
            <w:tcMar>
              <w:top w:w="30" w:type="dxa"/>
              <w:left w:w="20" w:type="dxa"/>
              <w:bottom w:w="30" w:type="dxa"/>
              <w:right w:w="0" w:type="dxa"/>
            </w:tcMar>
            <w:vAlign w:val="bottom"/>
            <w:hideMark/>
          </w:tcPr>
          <w:p w14:paraId="2E0B7F8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28A88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5086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FF8F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EFC3C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64FC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A079C3" w14:textId="77777777" w:rsidR="00000000" w:rsidRDefault="00E614A4">
            <w:pPr>
              <w:jc w:val="right"/>
              <w:rPr>
                <w:rFonts w:eastAsia="Times New Roman"/>
              </w:rPr>
            </w:pPr>
            <w:r>
              <w:rPr>
                <w:rFonts w:eastAsia="Times New Roman"/>
                <w:color w:val="000000"/>
                <w:sz w:val="18"/>
                <w:szCs w:val="18"/>
              </w:rPr>
              <w:t>27,232 </w:t>
            </w:r>
          </w:p>
        </w:tc>
        <w:tc>
          <w:tcPr>
            <w:tcW w:w="0" w:type="auto"/>
            <w:shd w:val="clear" w:color="auto" w:fill="CCEEFF"/>
            <w:tcMar>
              <w:top w:w="30" w:type="dxa"/>
              <w:left w:w="0" w:type="dxa"/>
              <w:bottom w:w="30" w:type="dxa"/>
              <w:right w:w="20" w:type="dxa"/>
            </w:tcMar>
            <w:vAlign w:val="bottom"/>
            <w:hideMark/>
          </w:tcPr>
          <w:p w14:paraId="166C0536" w14:textId="77777777" w:rsidR="00000000" w:rsidRDefault="00E614A4">
            <w:pPr>
              <w:jc w:val="right"/>
              <w:rPr>
                <w:rFonts w:eastAsia="Times New Roman"/>
              </w:rPr>
            </w:pPr>
          </w:p>
        </w:tc>
      </w:tr>
      <w:tr w:rsidR="00000000" w14:paraId="339B3E08" w14:textId="77777777">
        <w:trPr>
          <w:jc w:val="center"/>
        </w:trPr>
        <w:tc>
          <w:tcPr>
            <w:tcW w:w="0" w:type="auto"/>
            <w:gridSpan w:val="3"/>
            <w:shd w:val="clear" w:color="auto" w:fill="FFFFFF"/>
            <w:tcMar>
              <w:top w:w="30" w:type="dxa"/>
              <w:left w:w="155" w:type="dxa"/>
              <w:bottom w:w="30" w:type="dxa"/>
              <w:right w:w="20" w:type="dxa"/>
            </w:tcMar>
            <w:hideMark/>
          </w:tcPr>
          <w:p w14:paraId="1C10641A" w14:textId="77777777" w:rsidR="00000000" w:rsidRDefault="00E614A4">
            <w:pPr>
              <w:rPr>
                <w:rFonts w:eastAsia="Times New Roman"/>
              </w:rPr>
            </w:pPr>
            <w:r>
              <w:rPr>
                <w:rFonts w:eastAsia="Times New Roman"/>
                <w:color w:val="000000"/>
                <w:sz w:val="18"/>
                <w:szCs w:val="18"/>
              </w:rPr>
              <w:t>Fair value of financing derivatives issued with senior secured convertible notes</w:t>
            </w:r>
          </w:p>
        </w:tc>
        <w:tc>
          <w:tcPr>
            <w:tcW w:w="0" w:type="auto"/>
            <w:gridSpan w:val="2"/>
            <w:shd w:val="clear" w:color="auto" w:fill="FFFFFF"/>
            <w:tcMar>
              <w:top w:w="30" w:type="dxa"/>
              <w:left w:w="20" w:type="dxa"/>
              <w:bottom w:w="30" w:type="dxa"/>
              <w:right w:w="0" w:type="dxa"/>
            </w:tcMar>
            <w:vAlign w:val="bottom"/>
            <w:hideMark/>
          </w:tcPr>
          <w:p w14:paraId="3BDCFB4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A1D29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8392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6632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26363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FAC98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208F2" w14:textId="77777777" w:rsidR="00000000" w:rsidRDefault="00E614A4">
            <w:pPr>
              <w:jc w:val="right"/>
              <w:rPr>
                <w:rFonts w:eastAsia="Times New Roman"/>
              </w:rPr>
            </w:pPr>
            <w:r>
              <w:rPr>
                <w:rFonts w:eastAsia="Times New Roman"/>
                <w:color w:val="000000"/>
                <w:sz w:val="18"/>
                <w:szCs w:val="18"/>
              </w:rPr>
              <w:t>17,574 </w:t>
            </w:r>
          </w:p>
        </w:tc>
        <w:tc>
          <w:tcPr>
            <w:tcW w:w="0" w:type="auto"/>
            <w:shd w:val="clear" w:color="auto" w:fill="FFFFFF"/>
            <w:tcMar>
              <w:top w:w="30" w:type="dxa"/>
              <w:left w:w="0" w:type="dxa"/>
              <w:bottom w:w="30" w:type="dxa"/>
              <w:right w:w="20" w:type="dxa"/>
            </w:tcMar>
            <w:vAlign w:val="bottom"/>
            <w:hideMark/>
          </w:tcPr>
          <w:p w14:paraId="7DEE21FF" w14:textId="77777777" w:rsidR="00000000" w:rsidRDefault="00E614A4">
            <w:pPr>
              <w:jc w:val="right"/>
              <w:rPr>
                <w:rFonts w:eastAsia="Times New Roman"/>
              </w:rPr>
            </w:pPr>
          </w:p>
        </w:tc>
      </w:tr>
      <w:tr w:rsidR="00000000" w14:paraId="4FE458BC" w14:textId="77777777">
        <w:trPr>
          <w:jc w:val="center"/>
        </w:trPr>
        <w:tc>
          <w:tcPr>
            <w:tcW w:w="0" w:type="auto"/>
            <w:gridSpan w:val="3"/>
            <w:shd w:val="clear" w:color="auto" w:fill="CCEEFF"/>
            <w:tcMar>
              <w:top w:w="30" w:type="dxa"/>
              <w:left w:w="155" w:type="dxa"/>
              <w:bottom w:w="30" w:type="dxa"/>
              <w:right w:w="20" w:type="dxa"/>
            </w:tcMar>
            <w:hideMark/>
          </w:tcPr>
          <w:p w14:paraId="65A77F43" w14:textId="77777777" w:rsidR="00000000" w:rsidRDefault="00E614A4">
            <w:pPr>
              <w:rPr>
                <w:rFonts w:eastAsia="Times New Roman"/>
              </w:rPr>
            </w:pPr>
            <w:r>
              <w:rPr>
                <w:rFonts w:eastAsia="Times New Roman"/>
                <w:color w:val="000000"/>
                <w:sz w:val="18"/>
                <w:szCs w:val="18"/>
              </w:rPr>
              <w:t>Common Stock warrants issued with senior secured convertible notes</w:t>
            </w:r>
          </w:p>
        </w:tc>
        <w:tc>
          <w:tcPr>
            <w:tcW w:w="0" w:type="auto"/>
            <w:gridSpan w:val="2"/>
            <w:shd w:val="clear" w:color="auto" w:fill="CCEEFF"/>
            <w:tcMar>
              <w:top w:w="30" w:type="dxa"/>
              <w:left w:w="20" w:type="dxa"/>
              <w:bottom w:w="30" w:type="dxa"/>
              <w:right w:w="0" w:type="dxa"/>
            </w:tcMar>
            <w:vAlign w:val="bottom"/>
            <w:hideMark/>
          </w:tcPr>
          <w:p w14:paraId="65CA1CA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BB3C4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3DC9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3339B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39202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364E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247CF" w14:textId="77777777" w:rsidR="00000000" w:rsidRDefault="00E614A4">
            <w:pPr>
              <w:jc w:val="right"/>
              <w:rPr>
                <w:rFonts w:eastAsia="Times New Roman"/>
              </w:rPr>
            </w:pPr>
            <w:r>
              <w:rPr>
                <w:rFonts w:eastAsia="Times New Roman"/>
                <w:color w:val="000000"/>
                <w:sz w:val="18"/>
                <w:szCs w:val="18"/>
              </w:rPr>
              <w:t>5,733 </w:t>
            </w:r>
          </w:p>
        </w:tc>
        <w:tc>
          <w:tcPr>
            <w:tcW w:w="0" w:type="auto"/>
            <w:shd w:val="clear" w:color="auto" w:fill="CCEEFF"/>
            <w:tcMar>
              <w:top w:w="30" w:type="dxa"/>
              <w:left w:w="0" w:type="dxa"/>
              <w:bottom w:w="30" w:type="dxa"/>
              <w:right w:w="20" w:type="dxa"/>
            </w:tcMar>
            <w:vAlign w:val="bottom"/>
            <w:hideMark/>
          </w:tcPr>
          <w:p w14:paraId="03D9A6E5" w14:textId="77777777" w:rsidR="00000000" w:rsidRDefault="00E614A4">
            <w:pPr>
              <w:jc w:val="right"/>
              <w:rPr>
                <w:rFonts w:eastAsia="Times New Roman"/>
              </w:rPr>
            </w:pPr>
          </w:p>
        </w:tc>
      </w:tr>
      <w:tr w:rsidR="00000000" w14:paraId="476AAEFF" w14:textId="77777777">
        <w:trPr>
          <w:jc w:val="center"/>
        </w:trPr>
        <w:tc>
          <w:tcPr>
            <w:tcW w:w="0" w:type="auto"/>
            <w:gridSpan w:val="3"/>
            <w:shd w:val="clear" w:color="auto" w:fill="FFFFFF"/>
            <w:tcMar>
              <w:top w:w="30" w:type="dxa"/>
              <w:left w:w="155" w:type="dxa"/>
              <w:bottom w:w="30" w:type="dxa"/>
              <w:right w:w="20" w:type="dxa"/>
            </w:tcMar>
            <w:hideMark/>
          </w:tcPr>
          <w:p w14:paraId="062D1152" w14:textId="77777777" w:rsidR="00000000" w:rsidRDefault="00E614A4">
            <w:pPr>
              <w:rPr>
                <w:rFonts w:eastAsia="Times New Roman"/>
              </w:rPr>
            </w:pPr>
            <w:r>
              <w:rPr>
                <w:rFonts w:eastAsia="Times New Roman"/>
                <w:color w:val="000000"/>
                <w:sz w:val="18"/>
                <w:szCs w:val="18"/>
              </w:rPr>
              <w:t>Notes Option derivative liability settlement</w:t>
            </w:r>
          </w:p>
        </w:tc>
        <w:tc>
          <w:tcPr>
            <w:tcW w:w="0" w:type="auto"/>
            <w:gridSpan w:val="2"/>
            <w:shd w:val="clear" w:color="auto" w:fill="FFFFFF"/>
            <w:tcMar>
              <w:top w:w="30" w:type="dxa"/>
              <w:left w:w="20" w:type="dxa"/>
              <w:bottom w:w="30" w:type="dxa"/>
              <w:right w:w="0" w:type="dxa"/>
            </w:tcMar>
            <w:vAlign w:val="bottom"/>
            <w:hideMark/>
          </w:tcPr>
          <w:p w14:paraId="09FE354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4ED15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2BE3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73CB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4B1D77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3883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ACDBE9" w14:textId="77777777" w:rsidR="00000000" w:rsidRDefault="00E614A4">
            <w:pPr>
              <w:jc w:val="right"/>
              <w:rPr>
                <w:rFonts w:eastAsia="Times New Roman"/>
              </w:rPr>
            </w:pPr>
            <w:r>
              <w:rPr>
                <w:rFonts w:eastAsia="Times New Roman"/>
                <w:color w:val="000000"/>
                <w:sz w:val="18"/>
                <w:szCs w:val="18"/>
              </w:rPr>
              <w:t>5,700 </w:t>
            </w:r>
          </w:p>
        </w:tc>
        <w:tc>
          <w:tcPr>
            <w:tcW w:w="0" w:type="auto"/>
            <w:shd w:val="clear" w:color="auto" w:fill="FFFFFF"/>
            <w:tcMar>
              <w:top w:w="30" w:type="dxa"/>
              <w:left w:w="0" w:type="dxa"/>
              <w:bottom w:w="30" w:type="dxa"/>
              <w:right w:w="20" w:type="dxa"/>
            </w:tcMar>
            <w:vAlign w:val="bottom"/>
            <w:hideMark/>
          </w:tcPr>
          <w:p w14:paraId="6B7D77D2" w14:textId="77777777" w:rsidR="00000000" w:rsidRDefault="00E614A4">
            <w:pPr>
              <w:jc w:val="right"/>
              <w:rPr>
                <w:rFonts w:eastAsia="Times New Roman"/>
              </w:rPr>
            </w:pPr>
          </w:p>
        </w:tc>
      </w:tr>
      <w:tr w:rsidR="00000000" w14:paraId="76B3BD62" w14:textId="77777777">
        <w:trPr>
          <w:jc w:val="center"/>
        </w:trPr>
        <w:tc>
          <w:tcPr>
            <w:tcW w:w="0" w:type="auto"/>
            <w:gridSpan w:val="3"/>
            <w:shd w:val="clear" w:color="auto" w:fill="CCEEFF"/>
            <w:tcMar>
              <w:top w:w="30" w:type="dxa"/>
              <w:left w:w="155" w:type="dxa"/>
              <w:bottom w:w="30" w:type="dxa"/>
              <w:right w:w="20" w:type="dxa"/>
            </w:tcMar>
            <w:hideMark/>
          </w:tcPr>
          <w:p w14:paraId="62C84247" w14:textId="77777777" w:rsidR="00000000" w:rsidRDefault="00E614A4">
            <w:pPr>
              <w:rPr>
                <w:rFonts w:eastAsia="Times New Roman"/>
              </w:rPr>
            </w:pPr>
            <w:r>
              <w:rPr>
                <w:rFonts w:eastAsia="Times New Roman"/>
                <w:color w:val="000000"/>
                <w:sz w:val="18"/>
                <w:szCs w:val="18"/>
              </w:rPr>
              <w:t>Modification of debt in consideration for the reduction of the senior secured convertible note minimum cash balance requirement</w:t>
            </w:r>
          </w:p>
        </w:tc>
        <w:tc>
          <w:tcPr>
            <w:tcW w:w="0" w:type="auto"/>
            <w:gridSpan w:val="2"/>
            <w:shd w:val="clear" w:color="auto" w:fill="CCEEFF"/>
            <w:tcMar>
              <w:top w:w="30" w:type="dxa"/>
              <w:left w:w="20" w:type="dxa"/>
              <w:bottom w:w="30" w:type="dxa"/>
              <w:right w:w="0" w:type="dxa"/>
            </w:tcMar>
            <w:vAlign w:val="bottom"/>
            <w:hideMark/>
          </w:tcPr>
          <w:p w14:paraId="37A38F3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BACAC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260A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41D1A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14293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D018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AFC7CC" w14:textId="77777777" w:rsidR="00000000" w:rsidRDefault="00E614A4">
            <w:pPr>
              <w:jc w:val="right"/>
              <w:rPr>
                <w:rFonts w:eastAsia="Times New Roman"/>
              </w:rPr>
            </w:pPr>
            <w:r>
              <w:rPr>
                <w:rFonts w:eastAsia="Times New Roman"/>
                <w:color w:val="000000"/>
                <w:sz w:val="18"/>
                <w:szCs w:val="18"/>
              </w:rPr>
              <w:t>4,000 </w:t>
            </w:r>
          </w:p>
        </w:tc>
        <w:tc>
          <w:tcPr>
            <w:tcW w:w="0" w:type="auto"/>
            <w:shd w:val="clear" w:color="auto" w:fill="CCEEFF"/>
            <w:tcMar>
              <w:top w:w="30" w:type="dxa"/>
              <w:left w:w="0" w:type="dxa"/>
              <w:bottom w:w="30" w:type="dxa"/>
              <w:right w:w="20" w:type="dxa"/>
            </w:tcMar>
            <w:vAlign w:val="bottom"/>
            <w:hideMark/>
          </w:tcPr>
          <w:p w14:paraId="7B90A26A" w14:textId="77777777" w:rsidR="00000000" w:rsidRDefault="00E614A4">
            <w:pPr>
              <w:jc w:val="right"/>
              <w:rPr>
                <w:rFonts w:eastAsia="Times New Roman"/>
              </w:rPr>
            </w:pPr>
          </w:p>
        </w:tc>
      </w:tr>
    </w:tbl>
    <w:p w14:paraId="6875429F" w14:textId="77777777" w:rsidR="00000000" w:rsidRDefault="00E614A4">
      <w:pPr>
        <w:jc w:val="center"/>
        <w:divId w:val="530262908"/>
        <w:rPr>
          <w:rFonts w:eastAsia="Times New Roman"/>
        </w:rPr>
      </w:pPr>
      <w:r>
        <w:rPr>
          <w:rFonts w:eastAsia="Times New Roman"/>
          <w:color w:val="000000"/>
          <w:sz w:val="18"/>
          <w:szCs w:val="18"/>
        </w:rPr>
        <w:t>See accompanying Notes to Consolidated Financial Statements.</w:t>
      </w:r>
    </w:p>
    <w:p w14:paraId="7589CEDC" w14:textId="77777777" w:rsidR="00000000" w:rsidRDefault="00E614A4">
      <w:pPr>
        <w:jc w:val="center"/>
        <w:divId w:val="1160121437"/>
        <w:rPr>
          <w:rFonts w:eastAsia="Times New Roman"/>
        </w:rPr>
      </w:pPr>
      <w:r>
        <w:rPr>
          <w:rFonts w:eastAsia="Times New Roman"/>
          <w:color w:val="000000"/>
          <w:sz w:val="20"/>
          <w:szCs w:val="20"/>
        </w:rPr>
        <w:t>63</w:t>
      </w:r>
    </w:p>
    <w:p w14:paraId="42D1CCDA" w14:textId="77777777" w:rsidR="00000000" w:rsidRDefault="00E614A4">
      <w:pPr>
        <w:rPr>
          <w:rFonts w:eastAsia="Times New Roman"/>
        </w:rPr>
      </w:pPr>
      <w:r>
        <w:rPr>
          <w:rFonts w:eastAsia="Times New Roman"/>
        </w:rPr>
        <w:pict w14:anchorId="4D9DC07B">
          <v:rect id="_x0000_i1091" style="width:0;height:1.5pt" o:hralign="center" o:hrstd="t" o:hr="t" fillcolor="#a0a0a0" stroked="f"/>
        </w:pict>
      </w:r>
    </w:p>
    <w:p w14:paraId="05AC95A6" w14:textId="77777777" w:rsidR="00000000" w:rsidRDefault="00E614A4">
      <w:pPr>
        <w:divId w:val="164052810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8F5BB99" w14:textId="77777777" w:rsidR="00000000" w:rsidRDefault="00E614A4">
      <w:pPr>
        <w:divId w:val="1761171110"/>
        <w:rPr>
          <w:rFonts w:eastAsia="Times New Roman"/>
        </w:rPr>
      </w:pPr>
    </w:p>
    <w:p w14:paraId="162AC290" w14:textId="77777777" w:rsidR="00000000" w:rsidRDefault="00E614A4">
      <w:pPr>
        <w:jc w:val="center"/>
        <w:rPr>
          <w:rFonts w:eastAsia="Times New Roman"/>
        </w:rPr>
      </w:pPr>
      <w:r>
        <w:rPr>
          <w:rFonts w:eastAsia="Times New Roman"/>
          <w:b/>
          <w:bCs/>
          <w:color w:val="000000"/>
          <w:sz w:val="20"/>
          <w:szCs w:val="20"/>
        </w:rPr>
        <w:t>COMSCORE, INC.</w:t>
      </w:r>
    </w:p>
    <w:p w14:paraId="0176C9F6" w14:textId="77777777" w:rsidR="00000000" w:rsidRDefault="00E614A4">
      <w:pPr>
        <w:jc w:val="center"/>
        <w:rPr>
          <w:rFonts w:eastAsia="Times New Roman"/>
        </w:rPr>
      </w:pPr>
      <w:r>
        <w:rPr>
          <w:rFonts w:eastAsia="Times New Roman"/>
          <w:b/>
          <w:bCs/>
          <w:color w:val="000000"/>
          <w:sz w:val="20"/>
          <w:szCs w:val="20"/>
        </w:rPr>
        <w:t>NOTES </w:t>
      </w:r>
      <w:r>
        <w:rPr>
          <w:rFonts w:eastAsia="Times New Roman"/>
          <w:b/>
          <w:bCs/>
          <w:color w:val="000000"/>
          <w:sz w:val="20"/>
          <w:szCs w:val="20"/>
        </w:rPr>
        <w:t>TO CONSOLIDATED FINANCIAL STATEMENTS</w:t>
      </w:r>
    </w:p>
    <w:p w14:paraId="452E85F5" w14:textId="77777777" w:rsidR="00000000" w:rsidRDefault="00E614A4">
      <w:pPr>
        <w:ind w:hanging="360"/>
        <w:divId w:val="1597520671"/>
        <w:rPr>
          <w:rFonts w:eastAsia="Times New Roman"/>
        </w:rPr>
      </w:pPr>
      <w:r>
        <w:rPr>
          <w:rFonts w:eastAsia="Times New Roman"/>
          <w:b/>
          <w:bCs/>
          <w:color w:val="000000"/>
          <w:sz w:val="20"/>
          <w:szCs w:val="20"/>
        </w:rPr>
        <w:t>1.Organization</w:t>
      </w:r>
    </w:p>
    <w:p w14:paraId="24D5EC90" w14:textId="77777777" w:rsidR="00000000" w:rsidRDefault="00E614A4">
      <w:pPr>
        <w:jc w:val="both"/>
        <w:divId w:val="779492500"/>
        <w:rPr>
          <w:rFonts w:eastAsia="Times New Roman"/>
        </w:rPr>
      </w:pPr>
      <w:r>
        <w:rPr>
          <w:rFonts w:eastAsia="Times New Roman"/>
          <w:color w:val="000000"/>
          <w:sz w:val="20"/>
          <w:szCs w:val="20"/>
        </w:rPr>
        <w:t>comScore, Inc., together with its consolidated subsidiaries (collectively, "Comscore" or the "Company"), headquartered in Reston, Virginia, is a global information and analytics company that measures audi</w:t>
      </w:r>
      <w:r>
        <w:rPr>
          <w:rFonts w:eastAsia="Times New Roman"/>
          <w:color w:val="000000"/>
          <w:sz w:val="20"/>
          <w:szCs w:val="20"/>
        </w:rPr>
        <w:t xml:space="preserve">ences, consumer behavior and advertising across media platforms. </w:t>
      </w:r>
    </w:p>
    <w:p w14:paraId="3DE1061D" w14:textId="77777777" w:rsidR="00000000" w:rsidRDefault="00E614A4">
      <w:pPr>
        <w:jc w:val="both"/>
        <w:divId w:val="2098401603"/>
        <w:rPr>
          <w:rFonts w:eastAsia="Times New Roman"/>
        </w:rPr>
      </w:pPr>
      <w:r>
        <w:rPr>
          <w:rFonts w:eastAsia="Times New Roman"/>
          <w:color w:val="000000"/>
          <w:sz w:val="20"/>
          <w:szCs w:val="20"/>
        </w:rPr>
        <w:t>Operating segments are defined as components of a business that can earn revenues and incur expenses for which discrete financial information is available that is evaluated on a regular basi</w:t>
      </w:r>
      <w:r>
        <w:rPr>
          <w:rFonts w:eastAsia="Times New Roman"/>
          <w:color w:val="000000"/>
          <w:sz w:val="20"/>
          <w:szCs w:val="20"/>
        </w:rPr>
        <w:t>s by the chief operating decision maker ("CODM"). The Company's CODM is its Chief Executive Officer, who decides how to allocate resources and assess performance. The Company has one operating segment. A single management team reports to the CODM, who mana</w:t>
      </w:r>
      <w:r>
        <w:rPr>
          <w:rFonts w:eastAsia="Times New Roman"/>
          <w:color w:val="000000"/>
          <w:sz w:val="20"/>
          <w:szCs w:val="20"/>
        </w:rPr>
        <w:t>ges the entire business. The Company's CODM reviews consolidated results of operations to make decisions, allocate resources and assess performance and does not evaluate the profit or loss from any separate geography or product line.</w:t>
      </w:r>
    </w:p>
    <w:p w14:paraId="7CB44A0B" w14:textId="77777777" w:rsidR="00000000" w:rsidRDefault="00E614A4">
      <w:pPr>
        <w:jc w:val="both"/>
        <w:divId w:val="1305239637"/>
        <w:rPr>
          <w:rFonts w:eastAsia="Times New Roman"/>
        </w:rPr>
      </w:pPr>
      <w:r>
        <w:rPr>
          <w:rFonts w:eastAsia="Times New Roman"/>
          <w:b/>
          <w:bCs/>
          <w:i/>
          <w:iCs/>
          <w:color w:val="000000"/>
          <w:sz w:val="20"/>
          <w:szCs w:val="20"/>
        </w:rPr>
        <w:t>Uses and Sources of Li</w:t>
      </w:r>
      <w:r>
        <w:rPr>
          <w:rFonts w:eastAsia="Times New Roman"/>
          <w:b/>
          <w:bCs/>
          <w:i/>
          <w:iCs/>
          <w:color w:val="000000"/>
          <w:sz w:val="20"/>
          <w:szCs w:val="20"/>
        </w:rPr>
        <w:t>quidity and Management's Plans</w:t>
      </w:r>
    </w:p>
    <w:p w14:paraId="2B897B16" w14:textId="77777777" w:rsidR="00000000" w:rsidRDefault="00E614A4">
      <w:pPr>
        <w:jc w:val="both"/>
        <w:divId w:val="787821309"/>
        <w:rPr>
          <w:rFonts w:eastAsia="Times New Roman"/>
        </w:rPr>
      </w:pPr>
      <w:r>
        <w:rPr>
          <w:rFonts w:eastAsia="Times New Roman"/>
          <w:color w:val="000000"/>
          <w:sz w:val="20"/>
          <w:szCs w:val="20"/>
        </w:rPr>
        <w:t xml:space="preserve">The Company's primary need for liquidity is to fund working capital requirements and capital expenditures of its business. Since 2017, the Company has implemented certain organizational restructuring plans to reduce staffing </w:t>
      </w:r>
      <w:r>
        <w:rPr>
          <w:rFonts w:eastAsia="Times New Roman"/>
          <w:color w:val="000000"/>
          <w:sz w:val="20"/>
          <w:szCs w:val="20"/>
        </w:rPr>
        <w:t xml:space="preserve">levels, exit certain geographic regions, and rationalize its leased properties, to enable the Company to decrease its global costs, more effectively align resources to business priorities, and maintain compliance with its financial covenants, as described </w:t>
      </w:r>
      <w:r>
        <w:rPr>
          <w:rFonts w:eastAsia="Times New Roman"/>
          <w:color w:val="000000"/>
          <w:sz w:val="20"/>
          <w:szCs w:val="20"/>
        </w:rPr>
        <w:t xml:space="preserve">in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5443D4D5" w14:textId="77777777" w:rsidR="00000000" w:rsidRDefault="00E614A4">
      <w:pPr>
        <w:jc w:val="both"/>
        <w:divId w:val="815218455"/>
        <w:rPr>
          <w:rFonts w:eastAsia="Times New Roman"/>
        </w:rPr>
      </w:pPr>
      <w:r>
        <w:rPr>
          <w:rFonts w:eastAsia="Times New Roman"/>
          <w:color w:val="000000"/>
          <w:sz w:val="20"/>
          <w:szCs w:val="20"/>
        </w:rPr>
        <w:t>The Company has secured the following long-term financing in order to increase its available working capital and fund ongoing operations:</w:t>
      </w:r>
    </w:p>
    <w:p w14:paraId="4948C10D" w14:textId="77777777" w:rsidR="00000000" w:rsidRDefault="00E614A4">
      <w:pPr>
        <w:ind w:hanging="360"/>
        <w:jc w:val="both"/>
        <w:divId w:val="1570308217"/>
        <w:rPr>
          <w:rFonts w:eastAsia="Times New Roman"/>
        </w:rPr>
      </w:pPr>
      <w:r>
        <w:rPr>
          <w:rFonts w:eastAsia="Times New Roman"/>
          <w:color w:val="000000"/>
          <w:sz w:val="20"/>
          <w:szCs w:val="20"/>
        </w:rPr>
        <w:t>•During 2018, the Company entered int</w:t>
      </w:r>
      <w:r>
        <w:rPr>
          <w:rFonts w:eastAsia="Times New Roman"/>
          <w:color w:val="000000"/>
          <w:sz w:val="20"/>
          <w:szCs w:val="20"/>
        </w:rPr>
        <w:t xml:space="preserve">o certain agreements with funds affiliated with or managed by Starboard Value LP (collectively, "Starboard"), pursuant to which the Company issued and sold to Starboard a total of $204.0 million in senior secured convertible notes (the "Notes") as well as </w:t>
      </w:r>
      <w:r>
        <w:rPr>
          <w:rFonts w:eastAsia="Times New Roman"/>
          <w:color w:val="000000"/>
          <w:sz w:val="20"/>
          <w:szCs w:val="20"/>
        </w:rPr>
        <w:t xml:space="preserve">warrants to purchase shares of the Company's common stock, par value $0.001 per share (the "Common Stock") in exchange for $100.0 million in cash and 4,000,000 shares of Common Stock. For additional information, 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w:t>
      </w:r>
    </w:p>
    <w:p w14:paraId="0722E91E" w14:textId="77777777" w:rsidR="00000000" w:rsidRDefault="00E614A4">
      <w:pPr>
        <w:ind w:hanging="360"/>
        <w:jc w:val="both"/>
        <w:divId w:val="652180801"/>
        <w:rPr>
          <w:rFonts w:eastAsia="Times New Roman"/>
        </w:rPr>
      </w:pPr>
      <w:r>
        <w:rPr>
          <w:rFonts w:eastAsia="Times New Roman"/>
          <w:color w:val="000000"/>
          <w:sz w:val="20"/>
          <w:szCs w:val="20"/>
        </w:rPr>
        <w:t xml:space="preserve">•On June 26, 2019, the Company issued 2,728,513 shares of Common Stock and four series of warrants in a private placement to CVI Investments, Inc. ("CVI") in exchange for gross cash proceeds of $20.0 million. On </w:t>
      </w:r>
      <w:r>
        <w:rPr>
          <w:rFonts w:eastAsia="Times New Roman"/>
          <w:color w:val="000000"/>
          <w:sz w:val="20"/>
          <w:szCs w:val="20"/>
        </w:rPr>
        <w:t xml:space="preserve">October 14, 2019, the Company issued 2,728,513 shares of Common Stock to CVI upon exercise by CVI of the Series C warrant. For additional information, refer to </w:t>
      </w:r>
      <w:hyperlink w:anchor="ided6989bcc374020961c421c465250ee_133"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Stockholders' Equity.</w:t>
      </w:r>
    </w:p>
    <w:p w14:paraId="6155CBC2" w14:textId="77777777" w:rsidR="00000000" w:rsidRDefault="00E614A4">
      <w:pPr>
        <w:ind w:hanging="360"/>
        <w:jc w:val="both"/>
        <w:divId w:val="1729106289"/>
        <w:rPr>
          <w:rFonts w:eastAsia="Times New Roman"/>
        </w:rPr>
      </w:pPr>
      <w:r>
        <w:rPr>
          <w:rFonts w:eastAsia="Times New Roman"/>
          <w:color w:val="000000"/>
          <w:sz w:val="20"/>
          <w:szCs w:val="20"/>
        </w:rPr>
        <w:t>•On December 31, 2019, the Company's wholly owned subsidiary, Rentrak B.V., entered into an agreement with several third parties (collectively the "Noteholder") for a secured promissory note (the "Secured Term Note") in exchange for g</w:t>
      </w:r>
      <w:r>
        <w:rPr>
          <w:rFonts w:eastAsia="Times New Roman"/>
          <w:color w:val="000000"/>
          <w:sz w:val="20"/>
          <w:szCs w:val="20"/>
        </w:rPr>
        <w:t xml:space="preserve">ross proceeds of $13.0 million. The Secured Term Note matures on December 31, 2021, is cash collateralized, and has an annual interest rate of 9.75% that is payable monthly in arrears. For additional information, 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3376C398" w14:textId="77777777" w:rsidR="00000000" w:rsidRDefault="00E614A4">
      <w:pPr>
        <w:jc w:val="both"/>
        <w:divId w:val="477841501"/>
        <w:rPr>
          <w:rFonts w:eastAsia="Times New Roman"/>
        </w:rPr>
      </w:pPr>
      <w:r>
        <w:rPr>
          <w:rFonts w:eastAsia="Times New Roman"/>
          <w:color w:val="000000"/>
          <w:sz w:val="20"/>
          <w:szCs w:val="20"/>
        </w:rPr>
        <w:t xml:space="preserve">As of December 31, 2020, the Company was in compliance with its covenants under the Notes and the Secured Term Note. </w:t>
      </w:r>
    </w:p>
    <w:p w14:paraId="6E3A6A32" w14:textId="77777777" w:rsidR="00000000" w:rsidRDefault="00E614A4">
      <w:pPr>
        <w:jc w:val="both"/>
        <w:divId w:val="729159146"/>
        <w:rPr>
          <w:rFonts w:eastAsia="Times New Roman"/>
        </w:rPr>
      </w:pPr>
      <w:r>
        <w:rPr>
          <w:rFonts w:eastAsia="Times New Roman"/>
          <w:color w:val="000000"/>
          <w:sz w:val="20"/>
          <w:szCs w:val="20"/>
        </w:rPr>
        <w:t>On January 7, 2021, the Company entered into separate Securities Purchase Agreements with each</w:t>
      </w:r>
      <w:r>
        <w:rPr>
          <w:rFonts w:eastAsia="Times New Roman"/>
          <w:color w:val="000000"/>
          <w:sz w:val="20"/>
          <w:szCs w:val="20"/>
        </w:rPr>
        <w:t xml:space="preserve"> of Charter Communications Holding Company, LLC ("Charter"), Qurate Retail, Inc. ("Qurate") and Pine Investor, LLC ("Pine"), pursuant to which, at the closing of the transactions contemplated thereby (the "Transactions"), the Company will issue and sell (a</w:t>
      </w:r>
      <w:r>
        <w:rPr>
          <w:rFonts w:eastAsia="Times New Roman"/>
          <w:color w:val="000000"/>
          <w:sz w:val="20"/>
          <w:szCs w:val="20"/>
        </w:rPr>
        <w:t>) to Charter, 27,509,203 shares of Series B Convertible Preferred Stock in exchange for $68.0 million, (b) to Qurate, 27,509,203 shares of Series B Convertible Preferred Stock in exchange for $68.0 million and (c) to Pine, 27,509,203 shares of Series B Con</w:t>
      </w:r>
      <w:r>
        <w:rPr>
          <w:rFonts w:eastAsia="Times New Roman"/>
          <w:color w:val="000000"/>
          <w:sz w:val="20"/>
          <w:szCs w:val="20"/>
        </w:rPr>
        <w:t>vertible Preferred Stock in exchange for $68.0 million. The proceeds of the Transactions will be used to repay the Notes issued to Starboard. Additionally, in connection with the closing, the Company expects to repay the Secured Term Note and certain trans</w:t>
      </w:r>
      <w:r>
        <w:rPr>
          <w:rFonts w:eastAsia="Times New Roman"/>
          <w:color w:val="000000"/>
          <w:sz w:val="20"/>
          <w:szCs w:val="20"/>
        </w:rPr>
        <w:t>action-related expenses with cash from its balance sheet.</w:t>
      </w:r>
    </w:p>
    <w:p w14:paraId="5208E10C" w14:textId="77777777" w:rsidR="00000000" w:rsidRDefault="00E614A4">
      <w:pPr>
        <w:jc w:val="both"/>
        <w:divId w:val="901913459"/>
        <w:rPr>
          <w:rFonts w:eastAsia="Times New Roman"/>
        </w:rPr>
      </w:pPr>
      <w:r>
        <w:rPr>
          <w:rFonts w:eastAsia="Times New Roman"/>
          <w:color w:val="000000"/>
          <w:sz w:val="20"/>
          <w:szCs w:val="20"/>
        </w:rPr>
        <w:t>The Transactions and related matters were approved by the Company's stockholders on March 9, 2021 and are expected to be completed on or around March 10, 2021. Repayment of the Notes and the Secured</w:t>
      </w:r>
      <w:r>
        <w:rPr>
          <w:rFonts w:eastAsia="Times New Roman"/>
          <w:color w:val="000000"/>
          <w:sz w:val="20"/>
          <w:szCs w:val="20"/>
        </w:rPr>
        <w:t xml:space="preserve"> Term Note will result in the termination of the affirmative and negative covenants set forth in these instruments, including the Notes covenant requiring maintenance of certain minimum cash balances (currently $40.0 million), and is expected to improve th</w:t>
      </w:r>
      <w:r>
        <w:rPr>
          <w:rFonts w:eastAsia="Times New Roman"/>
          <w:color w:val="000000"/>
          <w:sz w:val="20"/>
          <w:szCs w:val="20"/>
        </w:rPr>
        <w:t>e Company's financial position and liquidity. As a result, the Company believes the approved Transactions will provide it with adequate sources of funding to satisfy its estimated liquidity needs for at least one year after the date that these financial st</w:t>
      </w:r>
      <w:r>
        <w:rPr>
          <w:rFonts w:eastAsia="Times New Roman"/>
          <w:color w:val="000000"/>
          <w:sz w:val="20"/>
          <w:szCs w:val="20"/>
        </w:rPr>
        <w:t xml:space="preserve">atements are issued. However, the Company cannot predict with certainty the outcome of its actions to generate liquidity or whether such actions would generate the expected liquidity as currently planned. </w:t>
      </w:r>
    </w:p>
    <w:p w14:paraId="39AE5DF4" w14:textId="77777777" w:rsidR="00000000" w:rsidRDefault="00E614A4">
      <w:pPr>
        <w:jc w:val="center"/>
        <w:divId w:val="653218187"/>
        <w:rPr>
          <w:rFonts w:eastAsia="Times New Roman"/>
        </w:rPr>
      </w:pPr>
      <w:r>
        <w:rPr>
          <w:rFonts w:eastAsia="Times New Roman"/>
          <w:color w:val="000000"/>
          <w:sz w:val="20"/>
          <w:szCs w:val="20"/>
        </w:rPr>
        <w:t>64</w:t>
      </w:r>
    </w:p>
    <w:p w14:paraId="71573640" w14:textId="77777777" w:rsidR="00000000" w:rsidRDefault="00E614A4">
      <w:pPr>
        <w:rPr>
          <w:rFonts w:eastAsia="Times New Roman"/>
        </w:rPr>
      </w:pPr>
      <w:r>
        <w:rPr>
          <w:rFonts w:eastAsia="Times New Roman"/>
        </w:rPr>
        <w:pict w14:anchorId="37EE1F60">
          <v:rect id="_x0000_i1092" style="width:0;height:1.5pt" o:hralign="center" o:hrstd="t" o:hr="t" fillcolor="#a0a0a0" stroked="f"/>
        </w:pict>
      </w:r>
    </w:p>
    <w:p w14:paraId="39C92292" w14:textId="77777777" w:rsidR="00000000" w:rsidRDefault="00E614A4">
      <w:pPr>
        <w:divId w:val="208483290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440157A" w14:textId="77777777" w:rsidR="00000000" w:rsidRDefault="00E614A4">
      <w:pPr>
        <w:divId w:val="574172603"/>
        <w:rPr>
          <w:rFonts w:eastAsia="Times New Roman"/>
        </w:rPr>
      </w:pPr>
    </w:p>
    <w:p w14:paraId="5984CC60" w14:textId="77777777" w:rsidR="00000000" w:rsidRDefault="00E614A4">
      <w:pPr>
        <w:ind w:hanging="360"/>
        <w:divId w:val="853613173"/>
        <w:rPr>
          <w:rFonts w:eastAsia="Times New Roman"/>
        </w:rPr>
      </w:pPr>
      <w:r>
        <w:rPr>
          <w:rFonts w:eastAsia="Times New Roman"/>
          <w:b/>
          <w:bCs/>
          <w:color w:val="000000"/>
          <w:sz w:val="20"/>
          <w:szCs w:val="20"/>
        </w:rPr>
        <w:t>2.Summary of Significant Accounting Policies</w:t>
      </w:r>
    </w:p>
    <w:p w14:paraId="56A15DCF" w14:textId="77777777" w:rsidR="00000000" w:rsidRDefault="00E614A4">
      <w:pPr>
        <w:divId w:val="196938059"/>
        <w:rPr>
          <w:rFonts w:eastAsia="Times New Roman"/>
        </w:rPr>
      </w:pPr>
      <w:r>
        <w:rPr>
          <w:rFonts w:eastAsia="Times New Roman"/>
          <w:b/>
          <w:bCs/>
          <w:i/>
          <w:iCs/>
          <w:color w:val="000000"/>
          <w:sz w:val="20"/>
          <w:szCs w:val="20"/>
        </w:rPr>
        <w:t>Basis of Presentation and Consolidation</w:t>
      </w:r>
    </w:p>
    <w:p w14:paraId="0798AD5D" w14:textId="77777777" w:rsidR="00000000" w:rsidRDefault="00E614A4">
      <w:pPr>
        <w:jc w:val="both"/>
        <w:divId w:val="171801984"/>
        <w:rPr>
          <w:rFonts w:eastAsia="Times New Roman"/>
        </w:rPr>
      </w:pPr>
      <w:r>
        <w:rPr>
          <w:rFonts w:eastAsia="Times New Roman"/>
          <w:color w:val="000000"/>
          <w:sz w:val="20"/>
          <w:szCs w:val="20"/>
        </w:rPr>
        <w:t>The accompanying Consolidated Financial State</w:t>
      </w:r>
      <w:r>
        <w:rPr>
          <w:rFonts w:eastAsia="Times New Roman"/>
          <w:color w:val="000000"/>
          <w:sz w:val="20"/>
          <w:szCs w:val="20"/>
        </w:rPr>
        <w:t>ments include the accounts of the Company and its wholly-owned domestic and foreign subsidiaries. All intercompany transactions and balances are eliminated upon consolidation.</w:t>
      </w:r>
    </w:p>
    <w:p w14:paraId="073F7020" w14:textId="77777777" w:rsidR="00000000" w:rsidRDefault="00E614A4">
      <w:pPr>
        <w:jc w:val="both"/>
        <w:divId w:val="1473061984"/>
        <w:rPr>
          <w:rFonts w:eastAsia="Times New Roman"/>
        </w:rPr>
      </w:pPr>
      <w:r>
        <w:rPr>
          <w:rFonts w:eastAsia="Times New Roman"/>
          <w:b/>
          <w:bCs/>
          <w:i/>
          <w:iCs/>
          <w:color w:val="000000"/>
          <w:sz w:val="20"/>
          <w:szCs w:val="20"/>
        </w:rPr>
        <w:t>Reclassification</w:t>
      </w:r>
    </w:p>
    <w:p w14:paraId="27BD3CF7" w14:textId="77777777" w:rsidR="00000000" w:rsidRDefault="00E614A4">
      <w:pPr>
        <w:jc w:val="both"/>
        <w:divId w:val="2029217481"/>
        <w:rPr>
          <w:rFonts w:eastAsia="Times New Roman"/>
        </w:rPr>
      </w:pPr>
      <w:r>
        <w:rPr>
          <w:rFonts w:eastAsia="Times New Roman"/>
          <w:color w:val="000000"/>
          <w:sz w:val="20"/>
          <w:szCs w:val="20"/>
        </w:rPr>
        <w:t>Certain amounts in the prior year financial statements have been reclassified to conform to the current year presentation. Specifically, current accrued litigation settlements have been aggregated within other current liabilities on the Consolidated Balanc</w:t>
      </w:r>
      <w:r>
        <w:rPr>
          <w:rFonts w:eastAsia="Times New Roman"/>
          <w:color w:val="000000"/>
          <w:sz w:val="20"/>
          <w:szCs w:val="20"/>
        </w:rPr>
        <w:t>e Sheets. In addition, non-current contract liabilities are now separately reported from other non-current liabilities on the Consolidated Balance Sheets.</w:t>
      </w:r>
    </w:p>
    <w:p w14:paraId="21D89232" w14:textId="77777777" w:rsidR="00000000" w:rsidRDefault="00E614A4">
      <w:pPr>
        <w:jc w:val="both"/>
        <w:divId w:val="1657612721"/>
        <w:rPr>
          <w:rFonts w:eastAsia="Times New Roman"/>
        </w:rPr>
      </w:pPr>
      <w:r>
        <w:rPr>
          <w:rFonts w:eastAsia="Times New Roman"/>
          <w:b/>
          <w:bCs/>
          <w:i/>
          <w:iCs/>
          <w:color w:val="000000"/>
          <w:sz w:val="20"/>
          <w:szCs w:val="20"/>
        </w:rPr>
        <w:t>Use of Estimates and Judgments in the Preparation of the Consolidated Financial Statements</w:t>
      </w:r>
    </w:p>
    <w:p w14:paraId="0C6D4010" w14:textId="77777777" w:rsidR="00000000" w:rsidRDefault="00E614A4">
      <w:pPr>
        <w:jc w:val="both"/>
        <w:divId w:val="55015226"/>
        <w:rPr>
          <w:rFonts w:eastAsia="Times New Roman"/>
        </w:rPr>
      </w:pPr>
      <w:r>
        <w:rPr>
          <w:rFonts w:eastAsia="Times New Roman"/>
          <w:color w:val="000000"/>
          <w:sz w:val="20"/>
          <w:szCs w:val="20"/>
        </w:rPr>
        <w:t>The prepar</w:t>
      </w:r>
      <w:r>
        <w:rPr>
          <w:rFonts w:eastAsia="Times New Roman"/>
          <w:color w:val="000000"/>
          <w:sz w:val="20"/>
          <w:szCs w:val="20"/>
        </w:rPr>
        <w:t>ation of financial statements in conformity with generally accepted accounting principles ("GAAP") requires management to make estimates and assumptions that affect the reported amounts of assets and liabilities and the reported amounts of revenue and expe</w:t>
      </w:r>
      <w:r>
        <w:rPr>
          <w:rFonts w:eastAsia="Times New Roman"/>
          <w:color w:val="000000"/>
          <w:sz w:val="20"/>
          <w:szCs w:val="20"/>
        </w:rPr>
        <w:t xml:space="preserve">nse during the reporting periods. Significant estimates and judgments are inherent in the analysis and the measurement of: management's standalone selling price ("SSP"), principal versus agent revenue recognition, determination of performance obligations, </w:t>
      </w:r>
      <w:r>
        <w:rPr>
          <w:rFonts w:eastAsia="Times New Roman"/>
          <w:color w:val="000000"/>
          <w:sz w:val="20"/>
          <w:szCs w:val="20"/>
        </w:rPr>
        <w:t>determination of transaction price, including the determination of variable consideration and allocation of transaction price to performance obligations, deferred tax assets and liabilities, including the identification and quantification of income tax lia</w:t>
      </w:r>
      <w:r>
        <w:rPr>
          <w:rFonts w:eastAsia="Times New Roman"/>
          <w:color w:val="000000"/>
          <w:sz w:val="20"/>
          <w:szCs w:val="20"/>
        </w:rPr>
        <w:t>bilities due to uncertain tax positions, the valuation and recoverability of goodwill and intangible assets, the determination of appropriate discount rates for lease accounting, the probability of exercising either lease renewal or termination clauses, th</w:t>
      </w:r>
      <w:r>
        <w:rPr>
          <w:rFonts w:eastAsia="Times New Roman"/>
          <w:color w:val="000000"/>
          <w:sz w:val="20"/>
          <w:szCs w:val="20"/>
        </w:rPr>
        <w:t>e assessment of potential loss from contingencies, the fair value determination of financing-related liabilities and warrants, the allowance for doubtful accounts, and the valuation of options, performance-based and market-based stock awards. Management ba</w:t>
      </w:r>
      <w:r>
        <w:rPr>
          <w:rFonts w:eastAsia="Times New Roman"/>
          <w:color w:val="000000"/>
          <w:sz w:val="20"/>
          <w:szCs w:val="20"/>
        </w:rPr>
        <w:t xml:space="preserve">ses its estimates and assumptions on historical experience and on various other factors that are believed to be reasonable under the circumstances. Due to the inherent uncertainty involved in making estimates, actual results reported in future periods may </w:t>
      </w:r>
      <w:r>
        <w:rPr>
          <w:rFonts w:eastAsia="Times New Roman"/>
          <w:color w:val="000000"/>
          <w:sz w:val="20"/>
          <w:szCs w:val="20"/>
        </w:rPr>
        <w:t>be affected by changes in those estimates. The Company evaluates its estimates and assumptions on an ongoing basis.</w:t>
      </w:r>
    </w:p>
    <w:p w14:paraId="563F6C9E" w14:textId="77777777" w:rsidR="00000000" w:rsidRDefault="00E614A4">
      <w:pPr>
        <w:divId w:val="260602158"/>
        <w:rPr>
          <w:rFonts w:eastAsia="Times New Roman"/>
        </w:rPr>
      </w:pPr>
      <w:r>
        <w:rPr>
          <w:rFonts w:eastAsia="Times New Roman"/>
          <w:b/>
          <w:bCs/>
          <w:i/>
          <w:iCs/>
          <w:color w:val="000000"/>
          <w:sz w:val="20"/>
          <w:szCs w:val="20"/>
        </w:rPr>
        <w:t>Fair Value Measurements</w:t>
      </w:r>
    </w:p>
    <w:p w14:paraId="5A36DC30" w14:textId="77777777" w:rsidR="00000000" w:rsidRDefault="00E614A4">
      <w:pPr>
        <w:jc w:val="both"/>
        <w:divId w:val="260257194"/>
        <w:rPr>
          <w:rFonts w:eastAsia="Times New Roman"/>
        </w:rPr>
      </w:pPr>
      <w:r>
        <w:rPr>
          <w:rFonts w:eastAsia="Times New Roman"/>
          <w:color w:val="000000"/>
          <w:sz w:val="20"/>
          <w:szCs w:val="20"/>
        </w:rPr>
        <w:t>The Company evaluates the fair value of certain assets and liabilities using the fair value hierarchy. Fair value is</w:t>
      </w:r>
      <w:r>
        <w:rPr>
          <w:rFonts w:eastAsia="Times New Roman"/>
          <w:color w:val="000000"/>
          <w:sz w:val="20"/>
          <w:szCs w:val="20"/>
        </w:rPr>
        <w:t xml:space="preserve"> an exit price representing the amount that would be received to sell an asset or paid to transfer a liability in an orderly transaction between market participants. As such, fair value is a market-based measurement that should be determined based on assum</w:t>
      </w:r>
      <w:r>
        <w:rPr>
          <w:rFonts w:eastAsia="Times New Roman"/>
          <w:color w:val="000000"/>
          <w:sz w:val="20"/>
          <w:szCs w:val="20"/>
        </w:rPr>
        <w:t>ptions that market participants would use in pricing an asset or liability. As a basis for considering such assumptions, the Company applies the three-tier GAAP value hierarchy which prioritizes the inputs used in measuring fair value as follows:</w:t>
      </w:r>
    </w:p>
    <w:p w14:paraId="05AA01C5" w14:textId="77777777" w:rsidR="00000000" w:rsidRDefault="00E614A4">
      <w:pPr>
        <w:jc w:val="both"/>
        <w:divId w:val="1504515245"/>
        <w:rPr>
          <w:rFonts w:eastAsia="Times New Roman"/>
        </w:rPr>
      </w:pPr>
      <w:r>
        <w:rPr>
          <w:rFonts w:eastAsia="Times New Roman"/>
          <w:color w:val="000000"/>
          <w:sz w:val="20"/>
          <w:szCs w:val="20"/>
        </w:rPr>
        <w:t>Level 1 -</w:t>
      </w:r>
      <w:r>
        <w:rPr>
          <w:rFonts w:eastAsia="Times New Roman"/>
          <w:color w:val="000000"/>
          <w:sz w:val="20"/>
          <w:szCs w:val="20"/>
        </w:rPr>
        <w:t xml:space="preserve"> observable inputs such as quoted prices in active markets;</w:t>
      </w:r>
    </w:p>
    <w:p w14:paraId="66129E5B" w14:textId="77777777" w:rsidR="00000000" w:rsidRDefault="00E614A4">
      <w:pPr>
        <w:jc w:val="both"/>
        <w:rPr>
          <w:rFonts w:eastAsia="Times New Roman"/>
        </w:rPr>
      </w:pPr>
      <w:r>
        <w:rPr>
          <w:rFonts w:eastAsia="Times New Roman"/>
          <w:color w:val="000000"/>
          <w:sz w:val="20"/>
          <w:szCs w:val="20"/>
        </w:rPr>
        <w:t>Level 2 - inputs other than the quoted prices in active markets that are observable either directly or indirectly;</w:t>
      </w:r>
    </w:p>
    <w:p w14:paraId="7352074F" w14:textId="77777777" w:rsidR="00000000" w:rsidRDefault="00E614A4">
      <w:pPr>
        <w:jc w:val="both"/>
        <w:rPr>
          <w:rFonts w:eastAsia="Times New Roman"/>
        </w:rPr>
      </w:pPr>
      <w:r>
        <w:rPr>
          <w:rFonts w:eastAsia="Times New Roman"/>
          <w:color w:val="000000"/>
          <w:sz w:val="20"/>
          <w:szCs w:val="20"/>
        </w:rPr>
        <w:t>Level 3 - unobservable inputs of which there is little or no market data, which r</w:t>
      </w:r>
      <w:r>
        <w:rPr>
          <w:rFonts w:eastAsia="Times New Roman"/>
          <w:color w:val="000000"/>
          <w:sz w:val="20"/>
          <w:szCs w:val="20"/>
        </w:rPr>
        <w:t>equire the Company to develop its own assumptions.</w:t>
      </w:r>
    </w:p>
    <w:p w14:paraId="2CEF6460" w14:textId="77777777" w:rsidR="00000000" w:rsidRDefault="00E614A4">
      <w:pPr>
        <w:jc w:val="both"/>
        <w:divId w:val="947085006"/>
        <w:rPr>
          <w:rFonts w:eastAsia="Times New Roman"/>
        </w:rPr>
      </w:pPr>
      <w:r>
        <w:rPr>
          <w:rFonts w:eastAsia="Times New Roman"/>
          <w:color w:val="000000"/>
          <w:sz w:val="20"/>
          <w:szCs w:val="20"/>
        </w:rPr>
        <w:t>Financial assets and liabilities are classified in their entirety based on the lowest level of input that is significant to the fair value measure. The Company's assessment of the significance of a particu</w:t>
      </w:r>
      <w:r>
        <w:rPr>
          <w:rFonts w:eastAsia="Times New Roman"/>
          <w:color w:val="000000"/>
          <w:sz w:val="20"/>
          <w:szCs w:val="20"/>
        </w:rPr>
        <w:t>lar input to the fair value measurements requires judgment and may affect the valuation of the assets and liabilities being measured and their placement within the fair value hierarchy.</w:t>
      </w:r>
    </w:p>
    <w:p w14:paraId="76EA8852" w14:textId="77777777" w:rsidR="00000000" w:rsidRDefault="00E614A4">
      <w:pPr>
        <w:jc w:val="both"/>
        <w:divId w:val="573589123"/>
        <w:rPr>
          <w:rFonts w:eastAsia="Times New Roman"/>
        </w:rPr>
      </w:pPr>
      <w:r>
        <w:rPr>
          <w:rFonts w:eastAsia="Times New Roman"/>
          <w:color w:val="000000"/>
          <w:sz w:val="20"/>
          <w:szCs w:val="20"/>
        </w:rPr>
        <w:t>For assets that are measured using quoted prices in active markets, th</w:t>
      </w:r>
      <w:r>
        <w:rPr>
          <w:rFonts w:eastAsia="Times New Roman"/>
          <w:color w:val="000000"/>
          <w:sz w:val="20"/>
          <w:szCs w:val="20"/>
        </w:rPr>
        <w:t>e total fair value is the published market price per unit multiplied by the number of units held, without consideration of transaction costs. Assets and liabilities that are measured using significant other observable inputs are primarily valued by referen</w:t>
      </w:r>
      <w:r>
        <w:rPr>
          <w:rFonts w:eastAsia="Times New Roman"/>
          <w:color w:val="000000"/>
          <w:sz w:val="20"/>
          <w:szCs w:val="20"/>
        </w:rPr>
        <w:t>ce to quoted prices of similar assets or liabilities in active markets, adjusted for any terms specific to that asset or liability.</w:t>
      </w:r>
    </w:p>
    <w:p w14:paraId="1E7C9CA4" w14:textId="77777777" w:rsidR="00000000" w:rsidRDefault="00E614A4">
      <w:pPr>
        <w:jc w:val="both"/>
        <w:divId w:val="834959967"/>
        <w:rPr>
          <w:rFonts w:eastAsia="Times New Roman"/>
        </w:rPr>
      </w:pPr>
      <w:r>
        <w:rPr>
          <w:rFonts w:eastAsia="Times New Roman"/>
          <w:color w:val="000000"/>
          <w:sz w:val="20"/>
          <w:szCs w:val="20"/>
        </w:rPr>
        <w:t>Assets and liabilities that are measured at fair value on a non-recurring basis include property and equipment, operating ri</w:t>
      </w:r>
      <w:r>
        <w:rPr>
          <w:rFonts w:eastAsia="Times New Roman"/>
          <w:color w:val="000000"/>
          <w:sz w:val="20"/>
          <w:szCs w:val="20"/>
        </w:rPr>
        <w:t>ght-of-use assets, intangible assets and goodwill. The Company recognizes these items at fair value when they are considered to be impaired or upon initial recognition. The fair value of these assets and liabilities are determined with valuation techniques</w:t>
      </w:r>
      <w:r>
        <w:rPr>
          <w:rFonts w:eastAsia="Times New Roman"/>
          <w:color w:val="000000"/>
          <w:sz w:val="20"/>
          <w:szCs w:val="20"/>
        </w:rPr>
        <w:t xml:space="preserve"> using the best information available and may include quoted market prices, market comparables and discounted cash flow models. </w:t>
      </w:r>
    </w:p>
    <w:p w14:paraId="2D91F3F4" w14:textId="77777777" w:rsidR="00000000" w:rsidRDefault="00E614A4">
      <w:pPr>
        <w:divId w:val="1001393506"/>
        <w:rPr>
          <w:rFonts w:eastAsia="Times New Roman"/>
        </w:rPr>
      </w:pPr>
      <w:r>
        <w:rPr>
          <w:rFonts w:eastAsia="Times New Roman"/>
          <w:b/>
          <w:bCs/>
          <w:i/>
          <w:iCs/>
          <w:color w:val="000000"/>
          <w:sz w:val="20"/>
          <w:szCs w:val="20"/>
        </w:rPr>
        <w:t>Fair Value of Financial Instruments</w:t>
      </w:r>
    </w:p>
    <w:p w14:paraId="5348B034" w14:textId="77777777" w:rsidR="00000000" w:rsidRDefault="00E614A4">
      <w:pPr>
        <w:jc w:val="both"/>
        <w:divId w:val="1904827712"/>
        <w:rPr>
          <w:rFonts w:eastAsia="Times New Roman"/>
        </w:rPr>
      </w:pPr>
      <w:r>
        <w:rPr>
          <w:rFonts w:eastAsia="Times New Roman"/>
          <w:color w:val="000000"/>
          <w:sz w:val="20"/>
          <w:szCs w:val="20"/>
        </w:rPr>
        <w:t>Due to their short-term nature, the carrying amounts reported in the Company's Consolidated</w:t>
      </w:r>
      <w:r>
        <w:rPr>
          <w:rFonts w:eastAsia="Times New Roman"/>
          <w:color w:val="000000"/>
          <w:sz w:val="20"/>
          <w:szCs w:val="20"/>
        </w:rPr>
        <w:t xml:space="preserve"> Financial Statements approximate the fair value for cash and cash equivalents, restricted cash including certificates of deposit, accounts receivable, accounts payable and accrued expenses, the current portion of contract liability and customer advances. </w:t>
      </w:r>
      <w:r>
        <w:rPr>
          <w:rFonts w:eastAsia="Times New Roman"/>
          <w:color w:val="000000"/>
          <w:sz w:val="20"/>
          <w:szCs w:val="20"/>
        </w:rPr>
        <w:t xml:space="preserve">The carrying values of finance lease obligations approximate their fair value as the interest rates for the lease term approximate market rates (Level 2). </w:t>
      </w:r>
    </w:p>
    <w:p w14:paraId="269CAF8E" w14:textId="77777777" w:rsidR="00000000" w:rsidRDefault="00E614A4">
      <w:pPr>
        <w:jc w:val="center"/>
        <w:divId w:val="152989416"/>
        <w:rPr>
          <w:rFonts w:eastAsia="Times New Roman"/>
        </w:rPr>
      </w:pPr>
      <w:r>
        <w:rPr>
          <w:rFonts w:eastAsia="Times New Roman"/>
          <w:color w:val="000000"/>
          <w:sz w:val="20"/>
          <w:szCs w:val="20"/>
        </w:rPr>
        <w:t>65</w:t>
      </w:r>
    </w:p>
    <w:p w14:paraId="6407AD4E" w14:textId="77777777" w:rsidR="00000000" w:rsidRDefault="00E614A4">
      <w:pPr>
        <w:rPr>
          <w:rFonts w:eastAsia="Times New Roman"/>
        </w:rPr>
      </w:pPr>
      <w:r>
        <w:rPr>
          <w:rFonts w:eastAsia="Times New Roman"/>
        </w:rPr>
        <w:pict w14:anchorId="453686E8">
          <v:rect id="_x0000_i1093" style="width:0;height:1.5pt" o:hralign="center" o:hrstd="t" o:hr="t" fillcolor="#a0a0a0" stroked="f"/>
        </w:pict>
      </w:r>
    </w:p>
    <w:p w14:paraId="1590778F" w14:textId="77777777" w:rsidR="00000000" w:rsidRDefault="00E614A4">
      <w:pPr>
        <w:divId w:val="741177704"/>
        <w:rPr>
          <w:rFonts w:eastAsia="Times New Roman"/>
        </w:rPr>
      </w:pPr>
      <w:hyperlink w:anchor="ided6989bcc374020961c421c465250ee_7" w:history="1">
        <w:r>
          <w:rPr>
            <w:rStyle w:val="a3"/>
            <w:rFonts w:eastAsia="Times New Roman"/>
            <w:sz w:val="20"/>
            <w:szCs w:val="20"/>
          </w:rPr>
          <w:t>Ta</w:t>
        </w:r>
        <w:r>
          <w:rPr>
            <w:rStyle w:val="a3"/>
            <w:rFonts w:eastAsia="Times New Roman"/>
            <w:sz w:val="20"/>
            <w:szCs w:val="20"/>
          </w:rPr>
          <w:t>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24763D7" w14:textId="77777777" w:rsidR="00000000" w:rsidRDefault="00E614A4">
      <w:pPr>
        <w:divId w:val="820926362"/>
        <w:rPr>
          <w:rFonts w:eastAsia="Times New Roman"/>
        </w:rPr>
      </w:pPr>
    </w:p>
    <w:p w14:paraId="67CE2677" w14:textId="77777777" w:rsidR="00000000" w:rsidRDefault="00E614A4">
      <w:pPr>
        <w:jc w:val="both"/>
        <w:divId w:val="346062769"/>
        <w:rPr>
          <w:rFonts w:eastAsia="Times New Roman"/>
        </w:rPr>
      </w:pPr>
      <w:r>
        <w:rPr>
          <w:rFonts w:eastAsia="Times New Roman"/>
          <w:color w:val="000000"/>
          <w:sz w:val="20"/>
          <w:szCs w:val="20"/>
        </w:rPr>
        <w:t xml:space="preserve">The fair values of the Company's financing derivatives are estimated using forward projections and are discounted back at rates commensurate with the remaining term of the related </w:t>
      </w:r>
      <w:r>
        <w:rPr>
          <w:rFonts w:eastAsia="Times New Roman"/>
          <w:color w:val="000000"/>
          <w:sz w:val="20"/>
          <w:szCs w:val="20"/>
        </w:rPr>
        <w:t>derivatives. The fair value of the interest reset liability is determined based on an estimate for the Company's credit rating, the premium attributable to the payment-in-kind feature of the Notes, and premium estimates for company-specific risk factors (t</w:t>
      </w:r>
      <w:r>
        <w:rPr>
          <w:rFonts w:eastAsia="Times New Roman"/>
          <w:color w:val="000000"/>
          <w:sz w:val="20"/>
          <w:szCs w:val="20"/>
        </w:rPr>
        <w:t>ogether, the credit adjusted discount rate), the Company's Common Stock price at measurement date, the observable volatility of the Common Stock and risk-free rate. The fair value of the change in control redemption derivative liabilities is determined bas</w:t>
      </w:r>
      <w:r>
        <w:rPr>
          <w:rFonts w:eastAsia="Times New Roman"/>
          <w:color w:val="000000"/>
          <w:sz w:val="20"/>
          <w:szCs w:val="20"/>
        </w:rPr>
        <w:t>ed on the probability of change of control, credit adjusted discount rate, and risk-free rate. The fair value of the Notes is determined using the credit adjusted discount rate, the Company's Common Stock price at the valuation date, risk-free rate and vol</w:t>
      </w:r>
      <w:r>
        <w:rPr>
          <w:rFonts w:eastAsia="Times New Roman"/>
          <w:color w:val="000000"/>
          <w:sz w:val="20"/>
          <w:szCs w:val="20"/>
        </w:rPr>
        <w:t>atility commensurate with the remaining term of the Notes. The fair value of the Company's Secured Term Note is determined using future cash flows that are discounted back at a risk-free rate commensurate with the expected remaining term of the debt. The f</w:t>
      </w:r>
      <w:r>
        <w:rPr>
          <w:rFonts w:eastAsia="Times New Roman"/>
          <w:color w:val="000000"/>
          <w:sz w:val="20"/>
          <w:szCs w:val="20"/>
        </w:rPr>
        <w:t>air value of the Company's interest make-whole derivative is estimated using forward projections of estimated cash payments at the closing date discounted back to the valuation date at rates commensurate with the estimated remaining term of the related der</w:t>
      </w:r>
      <w:r>
        <w:rPr>
          <w:rFonts w:eastAsia="Times New Roman"/>
          <w:color w:val="000000"/>
          <w:sz w:val="20"/>
          <w:szCs w:val="20"/>
        </w:rPr>
        <w:t xml:space="preserve">ivative. </w:t>
      </w:r>
    </w:p>
    <w:p w14:paraId="6AA68AA1" w14:textId="77777777" w:rsidR="00000000" w:rsidRDefault="00E614A4">
      <w:pPr>
        <w:divId w:val="1504471533"/>
        <w:rPr>
          <w:rFonts w:eastAsia="Times New Roman"/>
        </w:rPr>
      </w:pPr>
      <w:r>
        <w:rPr>
          <w:rFonts w:eastAsia="Times New Roman"/>
          <w:b/>
          <w:bCs/>
          <w:i/>
          <w:iCs/>
          <w:color w:val="000000"/>
          <w:sz w:val="20"/>
          <w:szCs w:val="20"/>
        </w:rPr>
        <w:t>Cash and Cash Equivalents</w:t>
      </w:r>
    </w:p>
    <w:p w14:paraId="122135CE" w14:textId="77777777" w:rsidR="00000000" w:rsidRDefault="00E614A4">
      <w:pPr>
        <w:jc w:val="both"/>
        <w:divId w:val="1428963391"/>
        <w:rPr>
          <w:rFonts w:eastAsia="Times New Roman"/>
        </w:rPr>
      </w:pPr>
      <w:r>
        <w:rPr>
          <w:rFonts w:eastAsia="Times New Roman"/>
          <w:color w:val="000000"/>
          <w:sz w:val="20"/>
          <w:szCs w:val="20"/>
        </w:rPr>
        <w:t>The Company considers highly liquid investments with an original maturity of three months or less at the time of purchase and qualifying money-market funds as cash equivalents. Cash and cash equivalents are maintained wi</w:t>
      </w:r>
      <w:r>
        <w:rPr>
          <w:rFonts w:eastAsia="Times New Roman"/>
          <w:color w:val="000000"/>
          <w:sz w:val="20"/>
          <w:szCs w:val="20"/>
        </w:rPr>
        <w:t>th several financial institutions domestically and internationally. The combined account balances held on deposit at each institution typically exceed Federal Deposit Insurance Corporation ("FDIC") insurance coverage and, as a result, there is a concentrat</w:t>
      </w:r>
      <w:r>
        <w:rPr>
          <w:rFonts w:eastAsia="Times New Roman"/>
          <w:color w:val="000000"/>
          <w:sz w:val="20"/>
          <w:szCs w:val="20"/>
        </w:rPr>
        <w:t>ion of credit risk related to amounts on deposit in excess of FDIC insurance coverage. The Company monitors this credit risk and makes adjustments to the concentrations as necessary.</w:t>
      </w:r>
    </w:p>
    <w:p w14:paraId="1F19E838" w14:textId="77777777" w:rsidR="00000000" w:rsidRDefault="00E614A4">
      <w:pPr>
        <w:divId w:val="1184635677"/>
        <w:rPr>
          <w:rFonts w:eastAsia="Times New Roman"/>
        </w:rPr>
      </w:pPr>
      <w:r>
        <w:rPr>
          <w:rFonts w:eastAsia="Times New Roman"/>
          <w:b/>
          <w:bCs/>
          <w:i/>
          <w:iCs/>
          <w:color w:val="000000"/>
          <w:sz w:val="20"/>
          <w:szCs w:val="20"/>
        </w:rPr>
        <w:t>Restricted Cash</w:t>
      </w:r>
    </w:p>
    <w:p w14:paraId="3FEE71A7" w14:textId="77777777" w:rsidR="00000000" w:rsidRDefault="00E614A4">
      <w:pPr>
        <w:jc w:val="both"/>
        <w:divId w:val="810367358"/>
        <w:rPr>
          <w:rFonts w:eastAsia="Times New Roman"/>
        </w:rPr>
      </w:pPr>
      <w:r>
        <w:rPr>
          <w:rFonts w:eastAsia="Times New Roman"/>
          <w:color w:val="000000"/>
          <w:sz w:val="20"/>
          <w:szCs w:val="20"/>
        </w:rPr>
        <w:t xml:space="preserve">Restricted cash represents the Company's cash collateral </w:t>
      </w:r>
      <w:r>
        <w:rPr>
          <w:rFonts w:eastAsia="Times New Roman"/>
          <w:color w:val="000000"/>
          <w:sz w:val="20"/>
          <w:szCs w:val="20"/>
        </w:rPr>
        <w:t>requirements under the Secured Term Note, outstanding letters of credit, and corporate credit card obligations. As of December 31, 2020 and 2019, the Company had $19.6 million and $20.2 million of restricted cash, respectively, of which $0.5 million and $1</w:t>
      </w:r>
      <w:r>
        <w:rPr>
          <w:rFonts w:eastAsia="Times New Roman"/>
          <w:color w:val="000000"/>
          <w:sz w:val="20"/>
          <w:szCs w:val="20"/>
        </w:rPr>
        <w:t>.0 million was held in certificates of deposit as of December 31, 2020 and 2019, respectively. As of December 31, 2020, certificates of deposit in the amount of $0.1 million will mature within one year.</w:t>
      </w:r>
    </w:p>
    <w:p w14:paraId="398AEE2F" w14:textId="77777777" w:rsidR="00000000" w:rsidRDefault="00E614A4">
      <w:pPr>
        <w:divId w:val="823812299"/>
        <w:rPr>
          <w:rFonts w:eastAsia="Times New Roman"/>
        </w:rPr>
      </w:pPr>
      <w:r>
        <w:rPr>
          <w:rFonts w:eastAsia="Times New Roman"/>
          <w:b/>
          <w:bCs/>
          <w:i/>
          <w:iCs/>
          <w:color w:val="000000"/>
          <w:sz w:val="20"/>
          <w:szCs w:val="20"/>
        </w:rPr>
        <w:t>Allowance for Doubtful Accounts</w:t>
      </w:r>
    </w:p>
    <w:p w14:paraId="21E044BD" w14:textId="77777777" w:rsidR="00000000" w:rsidRDefault="00E614A4">
      <w:pPr>
        <w:jc w:val="both"/>
        <w:divId w:val="2000569664"/>
        <w:rPr>
          <w:rFonts w:eastAsia="Times New Roman"/>
        </w:rPr>
      </w:pPr>
      <w:r>
        <w:rPr>
          <w:rFonts w:eastAsia="Times New Roman"/>
          <w:color w:val="000000"/>
          <w:sz w:val="20"/>
          <w:szCs w:val="20"/>
        </w:rPr>
        <w:t>The Company generally grants uncollateralized credit terms to its customers and maintains an allowance for doubtful accounts to reserve for uncollectible receivables. Allowances are based on management's judgment, which cons</w:t>
      </w:r>
      <w:r>
        <w:rPr>
          <w:rFonts w:eastAsia="Times New Roman"/>
          <w:color w:val="000000"/>
          <w:sz w:val="20"/>
          <w:szCs w:val="20"/>
        </w:rPr>
        <w:t>iders historical collection experience adjusted for current conditions or expected future conditions based on reasonable and supportable forecasts, a specific review of all significant outstanding receivables, an assessment of company-specific credit condi</w:t>
      </w:r>
      <w:r>
        <w:rPr>
          <w:rFonts w:eastAsia="Times New Roman"/>
          <w:color w:val="000000"/>
          <w:sz w:val="20"/>
          <w:szCs w:val="20"/>
        </w:rPr>
        <w:t>tions and general economic conditions. For 2020, management considered the impact of the COVID-19 pandemic, including customer payment delays and requests from customers to revise contractual payment terms, in determining the Company's allowance for doubtf</w:t>
      </w:r>
      <w:r>
        <w:rPr>
          <w:rFonts w:eastAsia="Times New Roman"/>
          <w:color w:val="000000"/>
          <w:sz w:val="20"/>
          <w:szCs w:val="20"/>
        </w:rPr>
        <w:t>ul accounts which resulted in an increase of the allowance.</w:t>
      </w:r>
    </w:p>
    <w:p w14:paraId="33B9BAF6" w14:textId="77777777" w:rsidR="00000000" w:rsidRDefault="00E614A4">
      <w:pPr>
        <w:divId w:val="902256793"/>
        <w:rPr>
          <w:rFonts w:eastAsia="Times New Roman"/>
        </w:rPr>
      </w:pPr>
      <w:r>
        <w:rPr>
          <w:rFonts w:eastAsia="Times New Roman"/>
          <w:color w:val="000000"/>
          <w:sz w:val="20"/>
          <w:szCs w:val="20"/>
        </w:rPr>
        <w:t>The following is a summary of the allowance for doubtful accounts: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23"/>
        <w:gridCol w:w="38"/>
        <w:gridCol w:w="110"/>
        <w:gridCol w:w="967"/>
        <w:gridCol w:w="36"/>
        <w:gridCol w:w="36"/>
        <w:gridCol w:w="36"/>
        <w:gridCol w:w="36"/>
        <w:gridCol w:w="110"/>
        <w:gridCol w:w="967"/>
        <w:gridCol w:w="36"/>
        <w:gridCol w:w="36"/>
        <w:gridCol w:w="36"/>
      </w:tblGrid>
      <w:tr w:rsidR="00000000" w14:paraId="71D46C59" w14:textId="77777777">
        <w:trPr>
          <w:divId w:val="2102021945"/>
          <w:jc w:val="center"/>
        </w:trPr>
        <w:tc>
          <w:tcPr>
            <w:tcW w:w="50" w:type="pct"/>
            <w:vAlign w:val="center"/>
            <w:hideMark/>
          </w:tcPr>
          <w:p w14:paraId="774640F6" w14:textId="77777777" w:rsidR="00000000" w:rsidRDefault="00E614A4">
            <w:pPr>
              <w:rPr>
                <w:rFonts w:eastAsia="Times New Roman"/>
              </w:rPr>
            </w:pPr>
          </w:p>
        </w:tc>
        <w:tc>
          <w:tcPr>
            <w:tcW w:w="3570" w:type="pct"/>
            <w:vAlign w:val="center"/>
            <w:hideMark/>
          </w:tcPr>
          <w:p w14:paraId="5D371626" w14:textId="77777777" w:rsidR="00000000" w:rsidRDefault="00E614A4">
            <w:pPr>
              <w:rPr>
                <w:rFonts w:eastAsia="Times New Roman"/>
                <w:sz w:val="20"/>
                <w:szCs w:val="20"/>
              </w:rPr>
            </w:pPr>
          </w:p>
        </w:tc>
        <w:tc>
          <w:tcPr>
            <w:tcW w:w="5" w:type="pct"/>
            <w:vAlign w:val="center"/>
            <w:hideMark/>
          </w:tcPr>
          <w:p w14:paraId="2559A884" w14:textId="77777777" w:rsidR="00000000" w:rsidRDefault="00E614A4">
            <w:pPr>
              <w:rPr>
                <w:rFonts w:eastAsia="Times New Roman"/>
                <w:sz w:val="20"/>
                <w:szCs w:val="20"/>
              </w:rPr>
            </w:pPr>
          </w:p>
        </w:tc>
        <w:tc>
          <w:tcPr>
            <w:tcW w:w="50" w:type="pct"/>
            <w:vAlign w:val="center"/>
            <w:hideMark/>
          </w:tcPr>
          <w:p w14:paraId="7BA29B54" w14:textId="77777777" w:rsidR="00000000" w:rsidRDefault="00E614A4">
            <w:pPr>
              <w:rPr>
                <w:rFonts w:eastAsia="Times New Roman"/>
                <w:sz w:val="20"/>
                <w:szCs w:val="20"/>
              </w:rPr>
            </w:pPr>
          </w:p>
        </w:tc>
        <w:tc>
          <w:tcPr>
            <w:tcW w:w="618" w:type="pct"/>
            <w:vAlign w:val="center"/>
            <w:hideMark/>
          </w:tcPr>
          <w:p w14:paraId="282DDB61" w14:textId="77777777" w:rsidR="00000000" w:rsidRDefault="00E614A4">
            <w:pPr>
              <w:rPr>
                <w:rFonts w:eastAsia="Times New Roman"/>
                <w:sz w:val="20"/>
                <w:szCs w:val="20"/>
              </w:rPr>
            </w:pPr>
          </w:p>
        </w:tc>
        <w:tc>
          <w:tcPr>
            <w:tcW w:w="5" w:type="pct"/>
            <w:vAlign w:val="center"/>
            <w:hideMark/>
          </w:tcPr>
          <w:p w14:paraId="0245E771" w14:textId="77777777" w:rsidR="00000000" w:rsidRDefault="00E614A4">
            <w:pPr>
              <w:rPr>
                <w:rFonts w:eastAsia="Times New Roman"/>
                <w:sz w:val="20"/>
                <w:szCs w:val="20"/>
              </w:rPr>
            </w:pPr>
          </w:p>
        </w:tc>
        <w:tc>
          <w:tcPr>
            <w:tcW w:w="5" w:type="pct"/>
            <w:vAlign w:val="center"/>
            <w:hideMark/>
          </w:tcPr>
          <w:p w14:paraId="4ECC8D4D" w14:textId="77777777" w:rsidR="00000000" w:rsidRDefault="00E614A4">
            <w:pPr>
              <w:rPr>
                <w:rFonts w:eastAsia="Times New Roman"/>
                <w:sz w:val="20"/>
                <w:szCs w:val="20"/>
              </w:rPr>
            </w:pPr>
          </w:p>
        </w:tc>
        <w:tc>
          <w:tcPr>
            <w:tcW w:w="17" w:type="pct"/>
            <w:vAlign w:val="center"/>
            <w:hideMark/>
          </w:tcPr>
          <w:p w14:paraId="1855A61C" w14:textId="77777777" w:rsidR="00000000" w:rsidRDefault="00E614A4">
            <w:pPr>
              <w:rPr>
                <w:rFonts w:eastAsia="Times New Roman"/>
                <w:sz w:val="20"/>
                <w:szCs w:val="20"/>
              </w:rPr>
            </w:pPr>
          </w:p>
        </w:tc>
        <w:tc>
          <w:tcPr>
            <w:tcW w:w="5" w:type="pct"/>
            <w:vAlign w:val="center"/>
            <w:hideMark/>
          </w:tcPr>
          <w:p w14:paraId="28D23034" w14:textId="77777777" w:rsidR="00000000" w:rsidRDefault="00E614A4">
            <w:pPr>
              <w:rPr>
                <w:rFonts w:eastAsia="Times New Roman"/>
                <w:sz w:val="20"/>
                <w:szCs w:val="20"/>
              </w:rPr>
            </w:pPr>
          </w:p>
        </w:tc>
        <w:tc>
          <w:tcPr>
            <w:tcW w:w="50" w:type="pct"/>
            <w:vAlign w:val="center"/>
            <w:hideMark/>
          </w:tcPr>
          <w:p w14:paraId="228FFEED" w14:textId="77777777" w:rsidR="00000000" w:rsidRDefault="00E614A4">
            <w:pPr>
              <w:rPr>
                <w:rFonts w:eastAsia="Times New Roman"/>
                <w:sz w:val="20"/>
                <w:szCs w:val="20"/>
              </w:rPr>
            </w:pPr>
          </w:p>
        </w:tc>
        <w:tc>
          <w:tcPr>
            <w:tcW w:w="618" w:type="pct"/>
            <w:vAlign w:val="center"/>
            <w:hideMark/>
          </w:tcPr>
          <w:p w14:paraId="0933A13E" w14:textId="77777777" w:rsidR="00000000" w:rsidRDefault="00E614A4">
            <w:pPr>
              <w:rPr>
                <w:rFonts w:eastAsia="Times New Roman"/>
                <w:sz w:val="20"/>
                <w:szCs w:val="20"/>
              </w:rPr>
            </w:pPr>
          </w:p>
        </w:tc>
        <w:tc>
          <w:tcPr>
            <w:tcW w:w="5" w:type="pct"/>
            <w:vAlign w:val="center"/>
            <w:hideMark/>
          </w:tcPr>
          <w:p w14:paraId="1CBD8484" w14:textId="77777777" w:rsidR="00000000" w:rsidRDefault="00E614A4">
            <w:pPr>
              <w:rPr>
                <w:rFonts w:eastAsia="Times New Roman"/>
                <w:sz w:val="20"/>
                <w:szCs w:val="20"/>
              </w:rPr>
            </w:pPr>
          </w:p>
        </w:tc>
        <w:tc>
          <w:tcPr>
            <w:tcW w:w="0" w:type="auto"/>
            <w:vAlign w:val="center"/>
            <w:hideMark/>
          </w:tcPr>
          <w:p w14:paraId="2D919040" w14:textId="77777777" w:rsidR="00000000" w:rsidRDefault="00E614A4">
            <w:pPr>
              <w:rPr>
                <w:rFonts w:eastAsia="Times New Roman"/>
                <w:sz w:val="20"/>
                <w:szCs w:val="20"/>
              </w:rPr>
            </w:pPr>
          </w:p>
        </w:tc>
        <w:tc>
          <w:tcPr>
            <w:tcW w:w="0" w:type="auto"/>
            <w:vAlign w:val="center"/>
            <w:hideMark/>
          </w:tcPr>
          <w:p w14:paraId="4457A7FD" w14:textId="77777777" w:rsidR="00000000" w:rsidRDefault="00E614A4">
            <w:pPr>
              <w:rPr>
                <w:rFonts w:eastAsia="Times New Roman"/>
                <w:sz w:val="20"/>
                <w:szCs w:val="20"/>
              </w:rPr>
            </w:pPr>
          </w:p>
        </w:tc>
      </w:tr>
      <w:tr w:rsidR="00000000" w14:paraId="2EF22A0C" w14:textId="77777777">
        <w:trPr>
          <w:divId w:val="2102021945"/>
          <w:jc w:val="center"/>
        </w:trPr>
        <w:tc>
          <w:tcPr>
            <w:tcW w:w="0" w:type="auto"/>
            <w:gridSpan w:val="3"/>
            <w:tcMar>
              <w:top w:w="0" w:type="dxa"/>
              <w:left w:w="20" w:type="dxa"/>
              <w:bottom w:w="0" w:type="dxa"/>
              <w:right w:w="20" w:type="dxa"/>
            </w:tcMar>
            <w:vAlign w:val="center"/>
            <w:hideMark/>
          </w:tcPr>
          <w:p w14:paraId="7D4D918F"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center"/>
            <w:hideMark/>
          </w:tcPr>
          <w:p w14:paraId="23D60546" w14:textId="77777777" w:rsidR="00000000" w:rsidRDefault="00E614A4">
            <w:pPr>
              <w:jc w:val="center"/>
              <w:rPr>
                <w:rFonts w:eastAsia="Times New Roman"/>
              </w:rPr>
            </w:pPr>
            <w:r>
              <w:rPr>
                <w:rFonts w:eastAsia="Times New Roman"/>
                <w:b/>
                <w:bCs/>
                <w:color w:val="000000"/>
                <w:sz w:val="16"/>
                <w:szCs w:val="16"/>
              </w:rPr>
              <w:t>Years Ended December 31,</w:t>
            </w:r>
          </w:p>
        </w:tc>
        <w:tc>
          <w:tcPr>
            <w:tcW w:w="0" w:type="auto"/>
            <w:vAlign w:val="center"/>
            <w:hideMark/>
          </w:tcPr>
          <w:p w14:paraId="64951EAD" w14:textId="77777777" w:rsidR="00000000" w:rsidRDefault="00E614A4">
            <w:pPr>
              <w:jc w:val="center"/>
              <w:rPr>
                <w:rFonts w:eastAsia="Times New Roman"/>
              </w:rPr>
            </w:pPr>
          </w:p>
        </w:tc>
        <w:tc>
          <w:tcPr>
            <w:tcW w:w="0" w:type="auto"/>
            <w:vAlign w:val="center"/>
            <w:hideMark/>
          </w:tcPr>
          <w:p w14:paraId="47C6C14B" w14:textId="77777777" w:rsidR="00000000" w:rsidRDefault="00E614A4">
            <w:pPr>
              <w:rPr>
                <w:rFonts w:eastAsia="Times New Roman"/>
                <w:sz w:val="20"/>
                <w:szCs w:val="20"/>
              </w:rPr>
            </w:pPr>
          </w:p>
        </w:tc>
      </w:tr>
      <w:tr w:rsidR="00000000" w14:paraId="38ACB984" w14:textId="77777777">
        <w:trPr>
          <w:divId w:val="2102021945"/>
          <w:jc w:val="center"/>
        </w:trPr>
        <w:tc>
          <w:tcPr>
            <w:tcW w:w="0" w:type="auto"/>
            <w:gridSpan w:val="3"/>
            <w:tcMar>
              <w:top w:w="30" w:type="dxa"/>
              <w:left w:w="20" w:type="dxa"/>
              <w:bottom w:w="30" w:type="dxa"/>
              <w:right w:w="20" w:type="dxa"/>
            </w:tcMar>
            <w:vAlign w:val="bottom"/>
            <w:hideMark/>
          </w:tcPr>
          <w:p w14:paraId="1B43D2FF" w14:textId="77777777" w:rsidR="00000000" w:rsidRDefault="00E614A4">
            <w:pPr>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center"/>
            <w:hideMark/>
          </w:tcPr>
          <w:p w14:paraId="140242CD"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5C974DC"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C94F338" w14:textId="77777777" w:rsidR="00000000" w:rsidRDefault="00E614A4">
            <w:pPr>
              <w:jc w:val="center"/>
              <w:rPr>
                <w:rFonts w:eastAsia="Times New Roman"/>
              </w:rPr>
            </w:pPr>
            <w:r>
              <w:rPr>
                <w:rFonts w:eastAsia="Times New Roman"/>
                <w:b/>
                <w:bCs/>
                <w:color w:val="000000"/>
                <w:sz w:val="16"/>
                <w:szCs w:val="16"/>
              </w:rPr>
              <w:t>2019</w:t>
            </w:r>
          </w:p>
        </w:tc>
        <w:tc>
          <w:tcPr>
            <w:tcW w:w="0" w:type="auto"/>
            <w:vAlign w:val="center"/>
            <w:hideMark/>
          </w:tcPr>
          <w:p w14:paraId="49434FE9" w14:textId="77777777" w:rsidR="00000000" w:rsidRDefault="00E614A4">
            <w:pPr>
              <w:jc w:val="center"/>
              <w:rPr>
                <w:rFonts w:eastAsia="Times New Roman"/>
              </w:rPr>
            </w:pPr>
          </w:p>
        </w:tc>
        <w:tc>
          <w:tcPr>
            <w:tcW w:w="0" w:type="auto"/>
            <w:vAlign w:val="center"/>
            <w:hideMark/>
          </w:tcPr>
          <w:p w14:paraId="365D69B3" w14:textId="77777777" w:rsidR="00000000" w:rsidRDefault="00E614A4">
            <w:pPr>
              <w:rPr>
                <w:rFonts w:eastAsia="Times New Roman"/>
                <w:sz w:val="20"/>
                <w:szCs w:val="20"/>
              </w:rPr>
            </w:pPr>
          </w:p>
        </w:tc>
      </w:tr>
      <w:tr w:rsidR="00000000" w14:paraId="7A63893A" w14:textId="77777777">
        <w:trPr>
          <w:divId w:val="2102021945"/>
          <w:jc w:val="center"/>
        </w:trPr>
        <w:tc>
          <w:tcPr>
            <w:tcW w:w="0" w:type="auto"/>
            <w:gridSpan w:val="3"/>
            <w:shd w:val="clear" w:color="auto" w:fill="CCEEFF"/>
            <w:tcMar>
              <w:top w:w="30" w:type="dxa"/>
              <w:left w:w="20" w:type="dxa"/>
              <w:bottom w:w="30" w:type="dxa"/>
              <w:right w:w="20" w:type="dxa"/>
            </w:tcMar>
            <w:hideMark/>
          </w:tcPr>
          <w:p w14:paraId="5555CD5A" w14:textId="77777777" w:rsidR="00000000" w:rsidRDefault="00E614A4">
            <w:pPr>
              <w:rPr>
                <w:rFonts w:eastAsia="Times New Roman"/>
              </w:rPr>
            </w:pPr>
            <w:r>
              <w:rPr>
                <w:rFonts w:eastAsia="Times New Roman"/>
                <w:b/>
                <w:bCs/>
                <w:color w:val="000000"/>
                <w:sz w:val="18"/>
                <w:szCs w:val="18"/>
              </w:rPr>
              <w:t>Beginning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B3CBB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9AF30A" w14:textId="77777777" w:rsidR="00000000" w:rsidRDefault="00E614A4">
            <w:pPr>
              <w:jc w:val="right"/>
              <w:rPr>
                <w:rFonts w:eastAsia="Times New Roman"/>
              </w:rPr>
            </w:pPr>
            <w:r>
              <w:rPr>
                <w:rFonts w:eastAsia="Times New Roman"/>
                <w:color w:val="000000"/>
                <w:sz w:val="18"/>
                <w:szCs w:val="18"/>
              </w:rPr>
              <w:t>(1,919)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6A8C0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A56EF"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35F4C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FD3E7C" w14:textId="77777777" w:rsidR="00000000" w:rsidRDefault="00E614A4">
            <w:pPr>
              <w:jc w:val="right"/>
              <w:rPr>
                <w:rFonts w:eastAsia="Times New Roman"/>
              </w:rPr>
            </w:pPr>
            <w:r>
              <w:rPr>
                <w:rFonts w:eastAsia="Times New Roman"/>
                <w:color w:val="000000"/>
                <w:sz w:val="18"/>
                <w:szCs w:val="18"/>
              </w:rPr>
              <w:t>(1,597)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52BEA3" w14:textId="77777777" w:rsidR="00000000" w:rsidRDefault="00E614A4">
            <w:pPr>
              <w:jc w:val="right"/>
              <w:rPr>
                <w:rFonts w:eastAsia="Times New Roman"/>
              </w:rPr>
            </w:pPr>
          </w:p>
        </w:tc>
        <w:tc>
          <w:tcPr>
            <w:tcW w:w="0" w:type="auto"/>
            <w:vAlign w:val="center"/>
            <w:hideMark/>
          </w:tcPr>
          <w:p w14:paraId="4D6857C5" w14:textId="77777777" w:rsidR="00000000" w:rsidRDefault="00E614A4">
            <w:pPr>
              <w:jc w:val="right"/>
              <w:rPr>
                <w:rFonts w:eastAsia="Times New Roman"/>
                <w:sz w:val="20"/>
                <w:szCs w:val="20"/>
              </w:rPr>
            </w:pPr>
          </w:p>
        </w:tc>
        <w:tc>
          <w:tcPr>
            <w:tcW w:w="0" w:type="auto"/>
            <w:vAlign w:val="center"/>
            <w:hideMark/>
          </w:tcPr>
          <w:p w14:paraId="36FBF144" w14:textId="77777777" w:rsidR="00000000" w:rsidRDefault="00E614A4">
            <w:pPr>
              <w:rPr>
                <w:rFonts w:eastAsia="Times New Roman"/>
                <w:sz w:val="20"/>
                <w:szCs w:val="20"/>
              </w:rPr>
            </w:pPr>
          </w:p>
        </w:tc>
      </w:tr>
      <w:tr w:rsidR="00000000" w14:paraId="527256D9" w14:textId="77777777">
        <w:trPr>
          <w:divId w:val="2102021945"/>
          <w:jc w:val="center"/>
        </w:trPr>
        <w:tc>
          <w:tcPr>
            <w:tcW w:w="0" w:type="auto"/>
            <w:gridSpan w:val="3"/>
            <w:tcMar>
              <w:top w:w="30" w:type="dxa"/>
              <w:left w:w="155" w:type="dxa"/>
              <w:bottom w:w="30" w:type="dxa"/>
              <w:right w:w="20" w:type="dxa"/>
            </w:tcMar>
            <w:hideMark/>
          </w:tcPr>
          <w:p w14:paraId="579479DE" w14:textId="77777777" w:rsidR="00000000" w:rsidRDefault="00E614A4">
            <w:pPr>
              <w:rPr>
                <w:rFonts w:eastAsia="Times New Roman"/>
              </w:rPr>
            </w:pPr>
            <w:r>
              <w:rPr>
                <w:rFonts w:eastAsia="Times New Roman"/>
                <w:color w:val="000000"/>
                <w:sz w:val="18"/>
                <w:szCs w:val="18"/>
              </w:rPr>
              <w:t>Bad debt expense</w:t>
            </w:r>
          </w:p>
        </w:tc>
        <w:tc>
          <w:tcPr>
            <w:tcW w:w="0" w:type="auto"/>
            <w:gridSpan w:val="2"/>
            <w:tcMar>
              <w:top w:w="30" w:type="dxa"/>
              <w:left w:w="20" w:type="dxa"/>
              <w:bottom w:w="30" w:type="dxa"/>
              <w:right w:w="0" w:type="dxa"/>
            </w:tcMar>
            <w:vAlign w:val="bottom"/>
            <w:hideMark/>
          </w:tcPr>
          <w:p w14:paraId="761426F7" w14:textId="77777777" w:rsidR="00000000" w:rsidRDefault="00E614A4">
            <w:pPr>
              <w:jc w:val="right"/>
              <w:rPr>
                <w:rFonts w:eastAsia="Times New Roman"/>
              </w:rPr>
            </w:pPr>
            <w:r>
              <w:rPr>
                <w:rFonts w:eastAsia="Times New Roman"/>
                <w:color w:val="000000"/>
                <w:sz w:val="18"/>
                <w:szCs w:val="18"/>
              </w:rPr>
              <w:t>(1,693)</w:t>
            </w:r>
          </w:p>
        </w:tc>
        <w:tc>
          <w:tcPr>
            <w:tcW w:w="0" w:type="auto"/>
            <w:tcMar>
              <w:top w:w="30" w:type="dxa"/>
              <w:left w:w="0" w:type="dxa"/>
              <w:bottom w:w="30" w:type="dxa"/>
              <w:right w:w="20" w:type="dxa"/>
            </w:tcMar>
            <w:vAlign w:val="bottom"/>
            <w:hideMark/>
          </w:tcPr>
          <w:p w14:paraId="7E27D274"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58C1AEBD"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9597994" w14:textId="77777777" w:rsidR="00000000" w:rsidRDefault="00E614A4">
            <w:pPr>
              <w:jc w:val="right"/>
              <w:rPr>
                <w:rFonts w:eastAsia="Times New Roman"/>
              </w:rPr>
            </w:pPr>
            <w:r>
              <w:rPr>
                <w:rFonts w:eastAsia="Times New Roman"/>
                <w:color w:val="000000"/>
                <w:sz w:val="18"/>
                <w:szCs w:val="18"/>
              </w:rPr>
              <w:t>(727)</w:t>
            </w:r>
          </w:p>
        </w:tc>
        <w:tc>
          <w:tcPr>
            <w:tcW w:w="0" w:type="auto"/>
            <w:tcMar>
              <w:top w:w="30" w:type="dxa"/>
              <w:left w:w="0" w:type="dxa"/>
              <w:bottom w:w="30" w:type="dxa"/>
              <w:right w:w="20" w:type="dxa"/>
            </w:tcMar>
            <w:vAlign w:val="bottom"/>
            <w:hideMark/>
          </w:tcPr>
          <w:p w14:paraId="1899F258" w14:textId="77777777" w:rsidR="00000000" w:rsidRDefault="00E614A4">
            <w:pPr>
              <w:jc w:val="right"/>
              <w:rPr>
                <w:rFonts w:eastAsia="Times New Roman"/>
              </w:rPr>
            </w:pPr>
          </w:p>
        </w:tc>
        <w:tc>
          <w:tcPr>
            <w:tcW w:w="0" w:type="auto"/>
            <w:vAlign w:val="center"/>
            <w:hideMark/>
          </w:tcPr>
          <w:p w14:paraId="64F2C9B2" w14:textId="77777777" w:rsidR="00000000" w:rsidRDefault="00E614A4">
            <w:pPr>
              <w:jc w:val="right"/>
              <w:rPr>
                <w:rFonts w:eastAsia="Times New Roman"/>
                <w:sz w:val="20"/>
                <w:szCs w:val="20"/>
              </w:rPr>
            </w:pPr>
          </w:p>
        </w:tc>
        <w:tc>
          <w:tcPr>
            <w:tcW w:w="0" w:type="auto"/>
            <w:vAlign w:val="center"/>
            <w:hideMark/>
          </w:tcPr>
          <w:p w14:paraId="5130A68D" w14:textId="77777777" w:rsidR="00000000" w:rsidRDefault="00E614A4">
            <w:pPr>
              <w:rPr>
                <w:rFonts w:eastAsia="Times New Roman"/>
                <w:sz w:val="20"/>
                <w:szCs w:val="20"/>
              </w:rPr>
            </w:pPr>
          </w:p>
        </w:tc>
      </w:tr>
      <w:tr w:rsidR="00000000" w14:paraId="10F8790B" w14:textId="77777777">
        <w:trPr>
          <w:divId w:val="2102021945"/>
          <w:jc w:val="center"/>
        </w:trPr>
        <w:tc>
          <w:tcPr>
            <w:tcW w:w="0" w:type="auto"/>
            <w:gridSpan w:val="3"/>
            <w:shd w:val="clear" w:color="auto" w:fill="CCEEFF"/>
            <w:tcMar>
              <w:top w:w="30" w:type="dxa"/>
              <w:left w:w="155" w:type="dxa"/>
              <w:bottom w:w="30" w:type="dxa"/>
              <w:right w:w="20" w:type="dxa"/>
            </w:tcMar>
            <w:hideMark/>
          </w:tcPr>
          <w:p w14:paraId="077AA4B1" w14:textId="77777777" w:rsidR="00000000" w:rsidRDefault="00E614A4">
            <w:pPr>
              <w:rPr>
                <w:rFonts w:eastAsia="Times New Roman"/>
              </w:rPr>
            </w:pPr>
            <w:r>
              <w:rPr>
                <w:rFonts w:eastAsia="Times New Roman"/>
                <w:color w:val="000000"/>
                <w:sz w:val="18"/>
                <w:szCs w:val="18"/>
              </w:rPr>
              <w:t>Recoveries</w:t>
            </w:r>
          </w:p>
        </w:tc>
        <w:tc>
          <w:tcPr>
            <w:tcW w:w="0" w:type="auto"/>
            <w:gridSpan w:val="2"/>
            <w:shd w:val="clear" w:color="auto" w:fill="CCEEFF"/>
            <w:tcMar>
              <w:top w:w="30" w:type="dxa"/>
              <w:left w:w="20" w:type="dxa"/>
              <w:bottom w:w="30" w:type="dxa"/>
              <w:right w:w="0" w:type="dxa"/>
            </w:tcMar>
            <w:vAlign w:val="bottom"/>
            <w:hideMark/>
          </w:tcPr>
          <w:p w14:paraId="070CD652" w14:textId="77777777" w:rsidR="00000000" w:rsidRDefault="00E614A4">
            <w:pPr>
              <w:jc w:val="right"/>
              <w:rPr>
                <w:rFonts w:eastAsia="Times New Roman"/>
              </w:rPr>
            </w:pPr>
            <w:r>
              <w:rPr>
                <w:rFonts w:eastAsia="Times New Roman"/>
                <w:color w:val="000000"/>
                <w:sz w:val="18"/>
                <w:szCs w:val="18"/>
              </w:rPr>
              <w:t>(300)</w:t>
            </w:r>
          </w:p>
        </w:tc>
        <w:tc>
          <w:tcPr>
            <w:tcW w:w="0" w:type="auto"/>
            <w:shd w:val="clear" w:color="auto" w:fill="CCEEFF"/>
            <w:tcMar>
              <w:top w:w="30" w:type="dxa"/>
              <w:left w:w="0" w:type="dxa"/>
              <w:bottom w:w="30" w:type="dxa"/>
              <w:right w:w="20" w:type="dxa"/>
            </w:tcMar>
            <w:vAlign w:val="bottom"/>
            <w:hideMark/>
          </w:tcPr>
          <w:p w14:paraId="1286CE3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230A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316F9A" w14:textId="77777777" w:rsidR="00000000" w:rsidRDefault="00E614A4">
            <w:pPr>
              <w:jc w:val="right"/>
              <w:rPr>
                <w:rFonts w:eastAsia="Times New Roman"/>
              </w:rPr>
            </w:pPr>
            <w:r>
              <w:rPr>
                <w:rFonts w:eastAsia="Times New Roman"/>
                <w:color w:val="000000"/>
                <w:sz w:val="18"/>
                <w:szCs w:val="18"/>
              </w:rPr>
              <w:t>(481)</w:t>
            </w:r>
          </w:p>
        </w:tc>
        <w:tc>
          <w:tcPr>
            <w:tcW w:w="0" w:type="auto"/>
            <w:shd w:val="clear" w:color="auto" w:fill="CCEEFF"/>
            <w:tcMar>
              <w:top w:w="30" w:type="dxa"/>
              <w:left w:w="0" w:type="dxa"/>
              <w:bottom w:w="30" w:type="dxa"/>
              <w:right w:w="20" w:type="dxa"/>
            </w:tcMar>
            <w:vAlign w:val="bottom"/>
            <w:hideMark/>
          </w:tcPr>
          <w:p w14:paraId="4093473A" w14:textId="77777777" w:rsidR="00000000" w:rsidRDefault="00E614A4">
            <w:pPr>
              <w:jc w:val="right"/>
              <w:rPr>
                <w:rFonts w:eastAsia="Times New Roman"/>
              </w:rPr>
            </w:pPr>
          </w:p>
        </w:tc>
        <w:tc>
          <w:tcPr>
            <w:tcW w:w="0" w:type="auto"/>
            <w:vAlign w:val="center"/>
            <w:hideMark/>
          </w:tcPr>
          <w:p w14:paraId="6D206591" w14:textId="77777777" w:rsidR="00000000" w:rsidRDefault="00E614A4">
            <w:pPr>
              <w:jc w:val="right"/>
              <w:rPr>
                <w:rFonts w:eastAsia="Times New Roman"/>
                <w:sz w:val="20"/>
                <w:szCs w:val="20"/>
              </w:rPr>
            </w:pPr>
          </w:p>
        </w:tc>
        <w:tc>
          <w:tcPr>
            <w:tcW w:w="0" w:type="auto"/>
            <w:vAlign w:val="center"/>
            <w:hideMark/>
          </w:tcPr>
          <w:p w14:paraId="0EE5624A" w14:textId="77777777" w:rsidR="00000000" w:rsidRDefault="00E614A4">
            <w:pPr>
              <w:rPr>
                <w:rFonts w:eastAsia="Times New Roman"/>
                <w:sz w:val="20"/>
                <w:szCs w:val="20"/>
              </w:rPr>
            </w:pPr>
          </w:p>
        </w:tc>
      </w:tr>
      <w:tr w:rsidR="00000000" w14:paraId="2CEA68D0" w14:textId="77777777">
        <w:trPr>
          <w:divId w:val="2102021945"/>
          <w:jc w:val="center"/>
        </w:trPr>
        <w:tc>
          <w:tcPr>
            <w:tcW w:w="0" w:type="auto"/>
            <w:gridSpan w:val="3"/>
            <w:tcMar>
              <w:top w:w="30" w:type="dxa"/>
              <w:left w:w="155" w:type="dxa"/>
              <w:bottom w:w="30" w:type="dxa"/>
              <w:right w:w="20" w:type="dxa"/>
            </w:tcMar>
            <w:hideMark/>
          </w:tcPr>
          <w:p w14:paraId="27484B67" w14:textId="77777777" w:rsidR="00000000" w:rsidRDefault="00E614A4">
            <w:pPr>
              <w:rPr>
                <w:rFonts w:eastAsia="Times New Roman"/>
              </w:rPr>
            </w:pPr>
            <w:r>
              <w:rPr>
                <w:rFonts w:eastAsia="Times New Roman"/>
                <w:color w:val="000000"/>
                <w:sz w:val="18"/>
                <w:szCs w:val="18"/>
              </w:rPr>
              <w:t>Write-offs</w:t>
            </w:r>
          </w:p>
        </w:tc>
        <w:tc>
          <w:tcPr>
            <w:tcW w:w="0" w:type="auto"/>
            <w:gridSpan w:val="2"/>
            <w:tcMar>
              <w:top w:w="30" w:type="dxa"/>
              <w:left w:w="20" w:type="dxa"/>
              <w:bottom w:w="30" w:type="dxa"/>
              <w:right w:w="0" w:type="dxa"/>
            </w:tcMar>
            <w:vAlign w:val="bottom"/>
            <w:hideMark/>
          </w:tcPr>
          <w:p w14:paraId="1B816EEF" w14:textId="77777777" w:rsidR="00000000" w:rsidRDefault="00E614A4">
            <w:pPr>
              <w:jc w:val="right"/>
              <w:rPr>
                <w:rFonts w:eastAsia="Times New Roman"/>
              </w:rPr>
            </w:pPr>
            <w:r>
              <w:rPr>
                <w:rFonts w:eastAsia="Times New Roman"/>
                <w:color w:val="000000"/>
                <w:sz w:val="18"/>
                <w:szCs w:val="18"/>
              </w:rPr>
              <w:t>1,155 </w:t>
            </w:r>
          </w:p>
        </w:tc>
        <w:tc>
          <w:tcPr>
            <w:tcW w:w="0" w:type="auto"/>
            <w:tcMar>
              <w:top w:w="30" w:type="dxa"/>
              <w:left w:w="0" w:type="dxa"/>
              <w:bottom w:w="30" w:type="dxa"/>
              <w:right w:w="20" w:type="dxa"/>
            </w:tcMar>
            <w:vAlign w:val="bottom"/>
            <w:hideMark/>
          </w:tcPr>
          <w:p w14:paraId="4F89895C"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6A6773A6"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DCC905B" w14:textId="77777777" w:rsidR="00000000" w:rsidRDefault="00E614A4">
            <w:pPr>
              <w:jc w:val="right"/>
              <w:rPr>
                <w:rFonts w:eastAsia="Times New Roman"/>
              </w:rPr>
            </w:pPr>
            <w:r>
              <w:rPr>
                <w:rFonts w:eastAsia="Times New Roman"/>
                <w:color w:val="000000"/>
                <w:sz w:val="18"/>
                <w:szCs w:val="18"/>
              </w:rPr>
              <w:t>886 </w:t>
            </w:r>
          </w:p>
        </w:tc>
        <w:tc>
          <w:tcPr>
            <w:tcW w:w="0" w:type="auto"/>
            <w:tcMar>
              <w:top w:w="30" w:type="dxa"/>
              <w:left w:w="0" w:type="dxa"/>
              <w:bottom w:w="30" w:type="dxa"/>
              <w:right w:w="20" w:type="dxa"/>
            </w:tcMar>
            <w:vAlign w:val="bottom"/>
            <w:hideMark/>
          </w:tcPr>
          <w:p w14:paraId="4BCABFDC" w14:textId="77777777" w:rsidR="00000000" w:rsidRDefault="00E614A4">
            <w:pPr>
              <w:jc w:val="right"/>
              <w:rPr>
                <w:rFonts w:eastAsia="Times New Roman"/>
              </w:rPr>
            </w:pPr>
          </w:p>
        </w:tc>
        <w:tc>
          <w:tcPr>
            <w:tcW w:w="0" w:type="auto"/>
            <w:vAlign w:val="center"/>
            <w:hideMark/>
          </w:tcPr>
          <w:p w14:paraId="3C2F3BBB" w14:textId="77777777" w:rsidR="00000000" w:rsidRDefault="00E614A4">
            <w:pPr>
              <w:jc w:val="right"/>
              <w:rPr>
                <w:rFonts w:eastAsia="Times New Roman"/>
                <w:sz w:val="20"/>
                <w:szCs w:val="20"/>
              </w:rPr>
            </w:pPr>
          </w:p>
        </w:tc>
        <w:tc>
          <w:tcPr>
            <w:tcW w:w="0" w:type="auto"/>
            <w:vAlign w:val="center"/>
            <w:hideMark/>
          </w:tcPr>
          <w:p w14:paraId="7B13427B" w14:textId="77777777" w:rsidR="00000000" w:rsidRDefault="00E614A4">
            <w:pPr>
              <w:rPr>
                <w:rFonts w:eastAsia="Times New Roman"/>
                <w:sz w:val="20"/>
                <w:szCs w:val="20"/>
              </w:rPr>
            </w:pPr>
          </w:p>
        </w:tc>
      </w:tr>
      <w:tr w:rsidR="00000000" w14:paraId="590572C7" w14:textId="77777777">
        <w:trPr>
          <w:divId w:val="2102021945"/>
          <w:jc w:val="center"/>
        </w:trPr>
        <w:tc>
          <w:tcPr>
            <w:tcW w:w="0" w:type="auto"/>
            <w:gridSpan w:val="3"/>
            <w:shd w:val="clear" w:color="auto" w:fill="CCEEFF"/>
            <w:tcMar>
              <w:top w:w="30" w:type="dxa"/>
              <w:left w:w="20" w:type="dxa"/>
              <w:bottom w:w="30" w:type="dxa"/>
              <w:right w:w="20" w:type="dxa"/>
            </w:tcMar>
            <w:hideMark/>
          </w:tcPr>
          <w:p w14:paraId="37C3BE6B" w14:textId="77777777" w:rsidR="00000000" w:rsidRDefault="00E614A4">
            <w:pPr>
              <w:rPr>
                <w:rFonts w:eastAsia="Times New Roman"/>
              </w:rPr>
            </w:pPr>
            <w:r>
              <w:rPr>
                <w:rFonts w:eastAsia="Times New Roman"/>
                <w:b/>
                <w:bCs/>
                <w:color w:val="000000"/>
                <w:sz w:val="18"/>
                <w:szCs w:val="18"/>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6CD3F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0C239D" w14:textId="77777777" w:rsidR="00000000" w:rsidRDefault="00E614A4">
            <w:pPr>
              <w:jc w:val="right"/>
              <w:rPr>
                <w:rFonts w:eastAsia="Times New Roman"/>
              </w:rPr>
            </w:pPr>
            <w:r>
              <w:rPr>
                <w:rFonts w:eastAsia="Times New Roman"/>
                <w:color w:val="000000"/>
                <w:sz w:val="18"/>
                <w:szCs w:val="18"/>
              </w:rPr>
              <w:t>(2,757)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BF0E2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E0EDC"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DCE5F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6EF89D" w14:textId="77777777" w:rsidR="00000000" w:rsidRDefault="00E614A4">
            <w:pPr>
              <w:jc w:val="right"/>
              <w:rPr>
                <w:rFonts w:eastAsia="Times New Roman"/>
              </w:rPr>
            </w:pPr>
            <w:r>
              <w:rPr>
                <w:rFonts w:eastAsia="Times New Roman"/>
                <w:color w:val="000000"/>
                <w:sz w:val="18"/>
                <w:szCs w:val="18"/>
              </w:rPr>
              <w:t>(1,919)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448E9A" w14:textId="77777777" w:rsidR="00000000" w:rsidRDefault="00E614A4">
            <w:pPr>
              <w:jc w:val="right"/>
              <w:rPr>
                <w:rFonts w:eastAsia="Times New Roman"/>
              </w:rPr>
            </w:pPr>
          </w:p>
        </w:tc>
        <w:tc>
          <w:tcPr>
            <w:tcW w:w="0" w:type="auto"/>
            <w:vAlign w:val="center"/>
            <w:hideMark/>
          </w:tcPr>
          <w:p w14:paraId="571F958B" w14:textId="77777777" w:rsidR="00000000" w:rsidRDefault="00E614A4">
            <w:pPr>
              <w:jc w:val="right"/>
              <w:rPr>
                <w:rFonts w:eastAsia="Times New Roman"/>
                <w:sz w:val="20"/>
                <w:szCs w:val="20"/>
              </w:rPr>
            </w:pPr>
          </w:p>
        </w:tc>
        <w:tc>
          <w:tcPr>
            <w:tcW w:w="0" w:type="auto"/>
            <w:vAlign w:val="center"/>
            <w:hideMark/>
          </w:tcPr>
          <w:p w14:paraId="71B8C90A" w14:textId="77777777" w:rsidR="00000000" w:rsidRDefault="00E614A4">
            <w:pPr>
              <w:rPr>
                <w:rFonts w:eastAsia="Times New Roman"/>
                <w:sz w:val="20"/>
                <w:szCs w:val="20"/>
              </w:rPr>
            </w:pPr>
          </w:p>
        </w:tc>
      </w:tr>
    </w:tbl>
    <w:p w14:paraId="411116BB" w14:textId="77777777" w:rsidR="00000000" w:rsidRDefault="00E614A4">
      <w:pPr>
        <w:divId w:val="1433166711"/>
        <w:rPr>
          <w:rFonts w:eastAsia="Times New Roman"/>
        </w:rPr>
      </w:pPr>
      <w:r>
        <w:rPr>
          <w:rFonts w:eastAsia="Times New Roman"/>
          <w:b/>
          <w:bCs/>
          <w:i/>
          <w:iCs/>
          <w:color w:val="000000"/>
          <w:sz w:val="20"/>
          <w:szCs w:val="20"/>
        </w:rPr>
        <w:t>Property and Equipment, net</w:t>
      </w:r>
    </w:p>
    <w:p w14:paraId="47A1E6FD" w14:textId="77777777" w:rsidR="00000000" w:rsidRDefault="00E614A4">
      <w:pPr>
        <w:jc w:val="both"/>
        <w:divId w:val="1787583990"/>
        <w:rPr>
          <w:rFonts w:eastAsia="Times New Roman"/>
        </w:rPr>
      </w:pPr>
      <w:r>
        <w:rPr>
          <w:rFonts w:eastAsia="Times New Roman"/>
          <w:color w:val="000000"/>
          <w:sz w:val="20"/>
          <w:szCs w:val="20"/>
        </w:rPr>
        <w:t>Property and equipment is recorded at cost, net of accumulated depreciation, and is depreciated on a straight-line basis over the estimated useful lives of the assets, ranging from 3 to 5 years. Assets under finance leases are recorded at their net present</w:t>
      </w:r>
      <w:r>
        <w:rPr>
          <w:rFonts w:eastAsia="Times New Roman"/>
          <w:color w:val="000000"/>
          <w:sz w:val="20"/>
          <w:szCs w:val="20"/>
        </w:rPr>
        <w:t xml:space="preserve"> value at the commencement of the lease. Assets under finance leases and leasehold improvements are amortized over the shorter of the related lease terms or their useful lives. Replacements and major improvements are capitalized; maintenance and repairs ar</w:t>
      </w:r>
      <w:r>
        <w:rPr>
          <w:rFonts w:eastAsia="Times New Roman"/>
          <w:color w:val="000000"/>
          <w:sz w:val="20"/>
          <w:szCs w:val="20"/>
        </w:rPr>
        <w:t>e expensed as incurred.</w:t>
      </w:r>
    </w:p>
    <w:p w14:paraId="292756B2" w14:textId="77777777" w:rsidR="00000000" w:rsidRDefault="00E614A4">
      <w:pPr>
        <w:divId w:val="1277102997"/>
        <w:rPr>
          <w:rFonts w:eastAsia="Times New Roman"/>
        </w:rPr>
      </w:pPr>
      <w:r>
        <w:rPr>
          <w:rFonts w:eastAsia="Times New Roman"/>
          <w:b/>
          <w:bCs/>
          <w:i/>
          <w:iCs/>
          <w:color w:val="000000"/>
          <w:sz w:val="20"/>
          <w:szCs w:val="20"/>
        </w:rPr>
        <w:t>Capitalized Software</w:t>
      </w:r>
    </w:p>
    <w:p w14:paraId="6535BBE2" w14:textId="77777777" w:rsidR="00000000" w:rsidRDefault="00E614A4">
      <w:pPr>
        <w:jc w:val="both"/>
        <w:divId w:val="1693409742"/>
        <w:rPr>
          <w:rFonts w:eastAsia="Times New Roman"/>
        </w:rPr>
      </w:pPr>
      <w:r>
        <w:rPr>
          <w:rFonts w:eastAsia="Times New Roman"/>
          <w:color w:val="000000"/>
          <w:sz w:val="20"/>
          <w:szCs w:val="20"/>
        </w:rPr>
        <w:t>Capitalized software, which is included in property and equipment, net, consists of costs to purchase and develop internal-use software, which the Company uses to provide services to its clients. The costs to pu</w:t>
      </w:r>
      <w:r>
        <w:rPr>
          <w:rFonts w:eastAsia="Times New Roman"/>
          <w:color w:val="000000"/>
          <w:sz w:val="20"/>
          <w:szCs w:val="20"/>
        </w:rPr>
        <w:t xml:space="preserve">rchase and develop internal-use software are capitalized from the time that the preliminary project stage is completed, and it is considered probable that the software will be used to perform the function intended, until the time the software is placed in </w:t>
      </w:r>
      <w:r>
        <w:rPr>
          <w:rFonts w:eastAsia="Times New Roman"/>
          <w:color w:val="000000"/>
          <w:sz w:val="20"/>
          <w:szCs w:val="20"/>
        </w:rPr>
        <w:t xml:space="preserve">service for its intended use. Any costs incurred during subsequent efforts to upgrade and enhance the functionality of the software are also capitalized. Once this software is ready for use in </w:t>
      </w:r>
    </w:p>
    <w:p w14:paraId="5975C968" w14:textId="77777777" w:rsidR="00000000" w:rsidRDefault="00E614A4">
      <w:pPr>
        <w:jc w:val="center"/>
        <w:divId w:val="771050844"/>
        <w:rPr>
          <w:rFonts w:eastAsia="Times New Roman"/>
        </w:rPr>
      </w:pPr>
      <w:r>
        <w:rPr>
          <w:rFonts w:eastAsia="Times New Roman"/>
          <w:color w:val="000000"/>
          <w:sz w:val="20"/>
          <w:szCs w:val="20"/>
        </w:rPr>
        <w:t>66</w:t>
      </w:r>
    </w:p>
    <w:p w14:paraId="16BC81BC" w14:textId="77777777" w:rsidR="00000000" w:rsidRDefault="00E614A4">
      <w:pPr>
        <w:rPr>
          <w:rFonts w:eastAsia="Times New Roman"/>
        </w:rPr>
      </w:pPr>
      <w:r>
        <w:rPr>
          <w:rFonts w:eastAsia="Times New Roman"/>
        </w:rPr>
        <w:pict w14:anchorId="57E254BC">
          <v:rect id="_x0000_i1094" style="width:0;height:1.5pt" o:hralign="center" o:hrstd="t" o:hr="t" fillcolor="#a0a0a0" stroked="f"/>
        </w:pict>
      </w:r>
    </w:p>
    <w:p w14:paraId="58C9D2CD" w14:textId="77777777" w:rsidR="00000000" w:rsidRDefault="00E614A4">
      <w:pPr>
        <w:divId w:val="114670565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1A8E394" w14:textId="77777777" w:rsidR="00000000" w:rsidRDefault="00E614A4">
      <w:pPr>
        <w:divId w:val="1054157456"/>
        <w:rPr>
          <w:rFonts w:eastAsia="Times New Roman"/>
        </w:rPr>
      </w:pPr>
    </w:p>
    <w:p w14:paraId="572F8E30" w14:textId="77777777" w:rsidR="00000000" w:rsidRDefault="00E614A4">
      <w:pPr>
        <w:jc w:val="both"/>
        <w:divId w:val="1489248151"/>
        <w:rPr>
          <w:rFonts w:eastAsia="Times New Roman"/>
        </w:rPr>
      </w:pPr>
      <w:r>
        <w:rPr>
          <w:rFonts w:eastAsia="Times New Roman"/>
          <w:color w:val="000000"/>
          <w:sz w:val="20"/>
          <w:szCs w:val="20"/>
        </w:rPr>
        <w:t xml:space="preserve">the Company's products, these costs are amortized on a straight-line basis over the estimated useful life of the software, which is typically </w:t>
      </w:r>
      <w:r>
        <w:rPr>
          <w:rFonts w:eastAsia="Times New Roman"/>
          <w:color w:val="000000"/>
          <w:sz w:val="20"/>
          <w:szCs w:val="20"/>
        </w:rPr>
        <w:t>assessed to be 3 to 5 years. During the years ended December 31, 2020, 2019 and 2018 the Company capitalized $15.0 million, $11.9 million, and $9.6 million in internal-use software costs, respectively. The Company depreciated $9.1 million, $4.8 million and</w:t>
      </w:r>
      <w:r>
        <w:rPr>
          <w:rFonts w:eastAsia="Times New Roman"/>
          <w:color w:val="000000"/>
          <w:sz w:val="20"/>
          <w:szCs w:val="20"/>
        </w:rPr>
        <w:t xml:space="preserve"> $1.3 million in capitalized internal-use software costs during the years ended December 31, 2020 2019, and 2018 respectively.</w:t>
      </w:r>
    </w:p>
    <w:p w14:paraId="566EB714" w14:textId="77777777" w:rsidR="00000000" w:rsidRDefault="00E614A4">
      <w:pPr>
        <w:jc w:val="both"/>
        <w:divId w:val="78451205"/>
        <w:rPr>
          <w:rFonts w:eastAsia="Times New Roman"/>
        </w:rPr>
      </w:pPr>
      <w:r>
        <w:rPr>
          <w:rFonts w:eastAsia="Times New Roman"/>
          <w:color w:val="000000"/>
          <w:sz w:val="20"/>
          <w:szCs w:val="20"/>
        </w:rPr>
        <w:t>Certain costs incurred for implementation, setup, and other upfront activities in a hosting arrangement that is a service contrac</w:t>
      </w:r>
      <w:r>
        <w:rPr>
          <w:rFonts w:eastAsia="Times New Roman"/>
          <w:color w:val="000000"/>
          <w:sz w:val="20"/>
          <w:szCs w:val="20"/>
        </w:rPr>
        <w:t>t are capitalized within other non-current assets in the Consolidated Balance Sheets. Once the implementation has been completed, the capitalized amounts are amortized on a straight-line basis over the remaining noncancelable term of the hosting arrangemen</w:t>
      </w:r>
      <w:r>
        <w:rPr>
          <w:rFonts w:eastAsia="Times New Roman"/>
          <w:color w:val="000000"/>
          <w:sz w:val="20"/>
          <w:szCs w:val="20"/>
        </w:rPr>
        <w:t>t, including options to extend the hosting arrangement when it is reasonably certain the options will be exercised. The Company capitalized $3.2 million and $1.0 million of implementation costs during the years ended December 31, 2020 and 2019. Amortizatio</w:t>
      </w:r>
      <w:r>
        <w:rPr>
          <w:rFonts w:eastAsia="Times New Roman"/>
          <w:color w:val="000000"/>
          <w:sz w:val="20"/>
          <w:szCs w:val="20"/>
        </w:rPr>
        <w:t>n of these costs has not commenced as the implementation activities are not complete.</w:t>
      </w:r>
    </w:p>
    <w:p w14:paraId="70726CD4" w14:textId="77777777" w:rsidR="00000000" w:rsidRDefault="00E614A4">
      <w:pPr>
        <w:divId w:val="1417166262"/>
        <w:rPr>
          <w:rFonts w:eastAsia="Times New Roman"/>
        </w:rPr>
      </w:pPr>
      <w:r>
        <w:rPr>
          <w:rFonts w:eastAsia="Times New Roman"/>
          <w:b/>
          <w:bCs/>
          <w:i/>
          <w:iCs/>
          <w:color w:val="000000"/>
          <w:sz w:val="20"/>
          <w:szCs w:val="20"/>
        </w:rPr>
        <w:t xml:space="preserve">Goodwill and Intangible Assets </w:t>
      </w:r>
    </w:p>
    <w:p w14:paraId="70C5F6CD" w14:textId="77777777" w:rsidR="00000000" w:rsidRDefault="00E614A4">
      <w:pPr>
        <w:jc w:val="both"/>
        <w:divId w:val="18433520"/>
        <w:rPr>
          <w:rFonts w:eastAsia="Times New Roman"/>
        </w:rPr>
      </w:pPr>
      <w:r>
        <w:rPr>
          <w:rFonts w:eastAsia="Times New Roman"/>
          <w:color w:val="000000"/>
          <w:sz w:val="20"/>
          <w:szCs w:val="20"/>
        </w:rPr>
        <w:t>Goodwill represents the excess of the purchase price over the fair value of identifiable assets acquired and liabilities assumed when a bu</w:t>
      </w:r>
      <w:r>
        <w:rPr>
          <w:rFonts w:eastAsia="Times New Roman"/>
          <w:color w:val="000000"/>
          <w:sz w:val="20"/>
          <w:szCs w:val="20"/>
        </w:rPr>
        <w:t>siness is acquired. The valuation of intangible assets and goodwill involves the use of management's estimates and assumptions and can have a significant impact on future operating results. The Company initially records its intangible assets at fair value.</w:t>
      </w:r>
      <w:r>
        <w:rPr>
          <w:rFonts w:eastAsia="Times New Roman"/>
          <w:color w:val="000000"/>
          <w:sz w:val="20"/>
          <w:szCs w:val="20"/>
        </w:rPr>
        <w:t xml:space="preserve"> Intangible assets with finite lives are amortized over their estimated useful lives while goodwill is not amortized but is evaluated for impairment at least annually, as of October 1, by comparing the fair value of a reporting unit to its carrying value i</w:t>
      </w:r>
      <w:r>
        <w:rPr>
          <w:rFonts w:eastAsia="Times New Roman"/>
          <w:color w:val="000000"/>
          <w:sz w:val="20"/>
          <w:szCs w:val="20"/>
        </w:rPr>
        <w:t>ncluding goodwill recorded by the reporting unit.</w:t>
      </w:r>
    </w:p>
    <w:p w14:paraId="759A04FD" w14:textId="77777777" w:rsidR="00000000" w:rsidRDefault="00E614A4">
      <w:pPr>
        <w:jc w:val="both"/>
        <w:divId w:val="885870959"/>
        <w:rPr>
          <w:rFonts w:eastAsia="Times New Roman"/>
        </w:rPr>
      </w:pPr>
      <w:r>
        <w:rPr>
          <w:rFonts w:eastAsia="Times New Roman"/>
          <w:color w:val="000000"/>
          <w:sz w:val="20"/>
          <w:szCs w:val="20"/>
        </w:rPr>
        <w:t>The Company has a single reporting unit. Accordingly, the impairment assessment for goodwill is performed at the enterprise level. Goodwill is reviewed for possible impairment between annual tests if an eve</w:t>
      </w:r>
      <w:r>
        <w:rPr>
          <w:rFonts w:eastAsia="Times New Roman"/>
          <w:color w:val="000000"/>
          <w:sz w:val="20"/>
          <w:szCs w:val="20"/>
        </w:rPr>
        <w:t>nt occurs or circumstances change that would more likely than not reduce the fair value of the reporting unit below its carrying value. The Company initially assesses qualitative factors to determine if it is necessary to perform the goodwill impairment re</w:t>
      </w:r>
      <w:r>
        <w:rPr>
          <w:rFonts w:eastAsia="Times New Roman"/>
          <w:color w:val="000000"/>
          <w:sz w:val="20"/>
          <w:szCs w:val="20"/>
        </w:rPr>
        <w:t>view. Goodwill is reviewed for impairment if, based on an assessment of the qualitative factors, it is determined that it is more likely than not that the fair value of the reporting unit is less than its carrying value, or the Company decides to bypass th</w:t>
      </w:r>
      <w:r>
        <w:rPr>
          <w:rFonts w:eastAsia="Times New Roman"/>
          <w:color w:val="000000"/>
          <w:sz w:val="20"/>
          <w:szCs w:val="20"/>
        </w:rPr>
        <w:t xml:space="preserve">e qualitative assessment. The carrying value of the reporting unit is reviewed utilizing a combination of the discounted cash flow model and a market value approach. The estimated fair value of a reporting unit is determined based on assumptions regarding </w:t>
      </w:r>
      <w:r>
        <w:rPr>
          <w:rFonts w:eastAsia="Times New Roman"/>
          <w:color w:val="000000"/>
          <w:sz w:val="20"/>
          <w:szCs w:val="20"/>
        </w:rPr>
        <w:t>estimated future cash flows, discount rates, long-term growth rates and market values. Additionally, the Company considers income tax effects from any tax-deductible goodwill on the carrying amount of the reporting unit when measuring the goodwill impairme</w:t>
      </w:r>
      <w:r>
        <w:rPr>
          <w:rFonts w:eastAsia="Times New Roman"/>
          <w:color w:val="000000"/>
          <w:sz w:val="20"/>
          <w:szCs w:val="20"/>
        </w:rPr>
        <w:t>nt loss.</w:t>
      </w:r>
    </w:p>
    <w:p w14:paraId="30BE5B1E" w14:textId="77777777" w:rsidR="00000000" w:rsidRDefault="00E614A4">
      <w:pPr>
        <w:jc w:val="both"/>
        <w:divId w:val="657467045"/>
        <w:rPr>
          <w:rFonts w:eastAsia="Times New Roman"/>
        </w:rPr>
      </w:pPr>
      <w:r>
        <w:rPr>
          <w:rFonts w:eastAsia="Times New Roman"/>
          <w:color w:val="000000"/>
          <w:sz w:val="20"/>
          <w:szCs w:val="20"/>
        </w:rPr>
        <w:t>The Company monitors for events and circumstances that could negatively impact the key assumptions in determining fair value, including long-term growth projections, profitability, discount rates, volatility in the Company's market capitalization,</w:t>
      </w:r>
      <w:r>
        <w:rPr>
          <w:rFonts w:eastAsia="Times New Roman"/>
          <w:color w:val="000000"/>
          <w:sz w:val="20"/>
          <w:szCs w:val="20"/>
        </w:rPr>
        <w:t xml:space="preserve"> general industry, and market and macro-economic conditions. It is possible that future changes in such circumstances, or in the variables associated with the judgments, assumptions and estimates used in assessing the fair value of the reporting unit, woul</w:t>
      </w:r>
      <w:r>
        <w:rPr>
          <w:rFonts w:eastAsia="Times New Roman"/>
          <w:color w:val="000000"/>
          <w:sz w:val="20"/>
          <w:szCs w:val="20"/>
        </w:rPr>
        <w:t>d require the Company to record a non-cash impairment charge.</w:t>
      </w:r>
    </w:p>
    <w:p w14:paraId="11BA5575" w14:textId="77777777" w:rsidR="00000000" w:rsidRDefault="00E614A4">
      <w:pPr>
        <w:jc w:val="both"/>
        <w:divId w:val="283586008"/>
        <w:rPr>
          <w:rFonts w:eastAsia="Times New Roman"/>
        </w:rPr>
      </w:pPr>
      <w:r>
        <w:rPr>
          <w:rFonts w:eastAsia="Times New Roman"/>
          <w:color w:val="000000"/>
          <w:sz w:val="20"/>
          <w:szCs w:val="20"/>
        </w:rPr>
        <w:t>The Company completed its annual assessment on October 1, 2020, and there was no impairment of goodwill at the assessment date.</w:t>
      </w:r>
    </w:p>
    <w:p w14:paraId="346D2EE3" w14:textId="77777777" w:rsidR="00000000" w:rsidRDefault="00E614A4">
      <w:pPr>
        <w:jc w:val="both"/>
        <w:divId w:val="1006784454"/>
        <w:rPr>
          <w:rFonts w:eastAsia="Times New Roman"/>
        </w:rPr>
      </w:pPr>
      <w:r>
        <w:rPr>
          <w:rFonts w:eastAsia="Times New Roman"/>
          <w:color w:val="000000"/>
          <w:sz w:val="20"/>
          <w:szCs w:val="20"/>
        </w:rPr>
        <w:t xml:space="preserve">The Company performed an interim analysis as of June 30, 2019 and determined that goodwill was then impaired. Refer to </w:t>
      </w:r>
      <w:hyperlink w:anchor="ided6989bcc374020961c421c465250ee_154"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Goodwill and Intangible Assets</w:t>
      </w:r>
      <w:r>
        <w:rPr>
          <w:rFonts w:eastAsia="Times New Roman"/>
          <w:color w:val="000000"/>
          <w:sz w:val="20"/>
          <w:szCs w:val="20"/>
        </w:rPr>
        <w:t xml:space="preserve"> for further information. The Compa</w:t>
      </w:r>
      <w:r>
        <w:rPr>
          <w:rFonts w:eastAsia="Times New Roman"/>
          <w:color w:val="000000"/>
          <w:sz w:val="20"/>
          <w:szCs w:val="20"/>
        </w:rPr>
        <w:t>ny completed its annual assessment on October 1, 2019, and there was no additional impairment of goodwill at the assessment date.</w:t>
      </w:r>
    </w:p>
    <w:p w14:paraId="5BAC9BF2" w14:textId="77777777" w:rsidR="00000000" w:rsidRDefault="00E614A4">
      <w:pPr>
        <w:jc w:val="both"/>
        <w:divId w:val="149492580"/>
        <w:rPr>
          <w:rFonts w:eastAsia="Times New Roman"/>
        </w:rPr>
      </w:pPr>
      <w:r>
        <w:rPr>
          <w:rFonts w:eastAsia="Times New Roman"/>
          <w:color w:val="000000"/>
          <w:sz w:val="20"/>
          <w:szCs w:val="20"/>
        </w:rPr>
        <w:t>No goodwill impairment charges were recognized during the year ended December 31, 2018.</w:t>
      </w:r>
    </w:p>
    <w:p w14:paraId="07E778D2" w14:textId="77777777" w:rsidR="00000000" w:rsidRDefault="00E614A4">
      <w:pPr>
        <w:jc w:val="both"/>
        <w:divId w:val="2144542117"/>
        <w:rPr>
          <w:rFonts w:eastAsia="Times New Roman"/>
        </w:rPr>
      </w:pPr>
      <w:r>
        <w:rPr>
          <w:rFonts w:eastAsia="Times New Roman"/>
          <w:color w:val="000000"/>
          <w:sz w:val="20"/>
          <w:szCs w:val="20"/>
        </w:rPr>
        <w:t>Intangible assets with finite lives ar</w:t>
      </w:r>
      <w:r>
        <w:rPr>
          <w:rFonts w:eastAsia="Times New Roman"/>
          <w:color w:val="000000"/>
          <w:sz w:val="20"/>
          <w:szCs w:val="20"/>
        </w:rPr>
        <w:t>e generally amortized using the straight-line method over the following useful lives: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083"/>
        <w:gridCol w:w="36"/>
        <w:gridCol w:w="69"/>
        <w:gridCol w:w="1013"/>
        <w:gridCol w:w="36"/>
      </w:tblGrid>
      <w:tr w:rsidR="00000000" w14:paraId="68DA48BA" w14:textId="77777777">
        <w:trPr>
          <w:divId w:val="1752778552"/>
          <w:jc w:val="center"/>
        </w:trPr>
        <w:tc>
          <w:tcPr>
            <w:tcW w:w="50" w:type="pct"/>
            <w:vAlign w:val="center"/>
            <w:hideMark/>
          </w:tcPr>
          <w:p w14:paraId="5612C4F6" w14:textId="77777777" w:rsidR="00000000" w:rsidRDefault="00E614A4">
            <w:pPr>
              <w:jc w:val="both"/>
              <w:rPr>
                <w:rFonts w:eastAsia="Times New Roman"/>
              </w:rPr>
            </w:pPr>
          </w:p>
        </w:tc>
        <w:tc>
          <w:tcPr>
            <w:tcW w:w="4271" w:type="pct"/>
            <w:vAlign w:val="center"/>
            <w:hideMark/>
          </w:tcPr>
          <w:p w14:paraId="291B05CF" w14:textId="77777777" w:rsidR="00000000" w:rsidRDefault="00E614A4">
            <w:pPr>
              <w:rPr>
                <w:rFonts w:eastAsia="Times New Roman"/>
                <w:sz w:val="20"/>
                <w:szCs w:val="20"/>
              </w:rPr>
            </w:pPr>
          </w:p>
        </w:tc>
        <w:tc>
          <w:tcPr>
            <w:tcW w:w="5" w:type="pct"/>
            <w:vAlign w:val="center"/>
            <w:hideMark/>
          </w:tcPr>
          <w:p w14:paraId="0CBA9405" w14:textId="77777777" w:rsidR="00000000" w:rsidRDefault="00E614A4">
            <w:pPr>
              <w:rPr>
                <w:rFonts w:eastAsia="Times New Roman"/>
                <w:sz w:val="20"/>
                <w:szCs w:val="20"/>
              </w:rPr>
            </w:pPr>
          </w:p>
        </w:tc>
        <w:tc>
          <w:tcPr>
            <w:tcW w:w="50" w:type="pct"/>
            <w:vAlign w:val="center"/>
            <w:hideMark/>
          </w:tcPr>
          <w:p w14:paraId="6CCD31AC" w14:textId="77777777" w:rsidR="00000000" w:rsidRDefault="00E614A4">
            <w:pPr>
              <w:rPr>
                <w:rFonts w:eastAsia="Times New Roman"/>
                <w:sz w:val="20"/>
                <w:szCs w:val="20"/>
              </w:rPr>
            </w:pPr>
          </w:p>
        </w:tc>
        <w:tc>
          <w:tcPr>
            <w:tcW w:w="618" w:type="pct"/>
            <w:vAlign w:val="center"/>
            <w:hideMark/>
          </w:tcPr>
          <w:p w14:paraId="16F7739F" w14:textId="77777777" w:rsidR="00000000" w:rsidRDefault="00E614A4">
            <w:pPr>
              <w:rPr>
                <w:rFonts w:eastAsia="Times New Roman"/>
                <w:sz w:val="20"/>
                <w:szCs w:val="20"/>
              </w:rPr>
            </w:pPr>
          </w:p>
        </w:tc>
        <w:tc>
          <w:tcPr>
            <w:tcW w:w="5" w:type="pct"/>
            <w:vAlign w:val="center"/>
            <w:hideMark/>
          </w:tcPr>
          <w:p w14:paraId="2E1B500A" w14:textId="77777777" w:rsidR="00000000" w:rsidRDefault="00E614A4">
            <w:pPr>
              <w:rPr>
                <w:rFonts w:eastAsia="Times New Roman"/>
                <w:sz w:val="20"/>
                <w:szCs w:val="20"/>
              </w:rPr>
            </w:pPr>
          </w:p>
        </w:tc>
      </w:tr>
      <w:tr w:rsidR="00000000" w14:paraId="7E4DEA5A" w14:textId="77777777">
        <w:trPr>
          <w:divId w:val="1752778552"/>
          <w:jc w:val="center"/>
        </w:trPr>
        <w:tc>
          <w:tcPr>
            <w:tcW w:w="0" w:type="auto"/>
            <w:gridSpan w:val="3"/>
            <w:tcMar>
              <w:top w:w="0" w:type="dxa"/>
              <w:left w:w="20" w:type="dxa"/>
              <w:bottom w:w="0" w:type="dxa"/>
              <w:right w:w="20" w:type="dxa"/>
            </w:tcMar>
            <w:vAlign w:val="center"/>
            <w:hideMark/>
          </w:tcPr>
          <w:p w14:paraId="1924F126" w14:textId="77777777" w:rsidR="00000000" w:rsidRDefault="00E614A4">
            <w:pPr>
              <w:rPr>
                <w:rFonts w:eastAsia="Times New Roman"/>
                <w:sz w:val="20"/>
                <w:szCs w:val="20"/>
              </w:rPr>
            </w:pPr>
          </w:p>
        </w:tc>
        <w:tc>
          <w:tcPr>
            <w:tcW w:w="0" w:type="auto"/>
            <w:gridSpan w:val="3"/>
            <w:tcMar>
              <w:top w:w="30" w:type="dxa"/>
              <w:left w:w="20" w:type="dxa"/>
              <w:bottom w:w="30" w:type="dxa"/>
              <w:right w:w="20" w:type="dxa"/>
            </w:tcMar>
            <w:vAlign w:val="bottom"/>
            <w:hideMark/>
          </w:tcPr>
          <w:p w14:paraId="3943EFA9" w14:textId="77777777" w:rsidR="00000000" w:rsidRDefault="00E614A4">
            <w:pPr>
              <w:jc w:val="center"/>
              <w:rPr>
                <w:rFonts w:eastAsia="Times New Roman"/>
              </w:rPr>
            </w:pPr>
            <w:r>
              <w:rPr>
                <w:rFonts w:eastAsia="Times New Roman"/>
                <w:b/>
                <w:bCs/>
                <w:color w:val="000000"/>
                <w:sz w:val="16"/>
                <w:szCs w:val="16"/>
              </w:rPr>
              <w:t>Useful Lives (Years)</w:t>
            </w:r>
          </w:p>
        </w:tc>
      </w:tr>
      <w:tr w:rsidR="00000000" w14:paraId="7C50614D" w14:textId="77777777">
        <w:trPr>
          <w:divId w:val="1752778552"/>
          <w:jc w:val="center"/>
        </w:trPr>
        <w:tc>
          <w:tcPr>
            <w:tcW w:w="0" w:type="auto"/>
            <w:gridSpan w:val="3"/>
            <w:shd w:val="clear" w:color="auto" w:fill="CCEEFF"/>
            <w:tcMar>
              <w:top w:w="30" w:type="dxa"/>
              <w:left w:w="20" w:type="dxa"/>
              <w:bottom w:w="30" w:type="dxa"/>
              <w:right w:w="20" w:type="dxa"/>
            </w:tcMar>
            <w:vAlign w:val="bottom"/>
            <w:hideMark/>
          </w:tcPr>
          <w:p w14:paraId="0E24753C" w14:textId="77777777" w:rsidR="00000000" w:rsidRDefault="00E614A4">
            <w:pPr>
              <w:rPr>
                <w:rFonts w:eastAsia="Times New Roman"/>
              </w:rPr>
            </w:pPr>
            <w:r>
              <w:rPr>
                <w:rFonts w:eastAsia="Times New Roman"/>
                <w:color w:val="000000"/>
                <w:sz w:val="18"/>
                <w:szCs w:val="18"/>
              </w:rPr>
              <w:t>Acquired methodologies and technology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B24010" w14:textId="77777777" w:rsidR="00000000" w:rsidRDefault="00E614A4">
            <w:pPr>
              <w:jc w:val="center"/>
              <w:rPr>
                <w:rFonts w:eastAsia="Times New Roman"/>
              </w:rPr>
            </w:pPr>
            <w:r>
              <w:rPr>
                <w:rFonts w:eastAsia="Times New Roman"/>
                <w:color w:val="000000"/>
                <w:sz w:val="18"/>
                <w:szCs w:val="18"/>
              </w:rPr>
              <w:t>2 to 7</w:t>
            </w:r>
          </w:p>
        </w:tc>
      </w:tr>
      <w:tr w:rsidR="00000000" w14:paraId="7A672F9C" w14:textId="77777777">
        <w:trPr>
          <w:divId w:val="1752778552"/>
          <w:jc w:val="center"/>
        </w:trPr>
        <w:tc>
          <w:tcPr>
            <w:tcW w:w="0" w:type="auto"/>
            <w:gridSpan w:val="3"/>
            <w:shd w:val="clear" w:color="auto" w:fill="FFFFFF"/>
            <w:tcMar>
              <w:top w:w="30" w:type="dxa"/>
              <w:left w:w="20" w:type="dxa"/>
              <w:bottom w:w="30" w:type="dxa"/>
              <w:right w:w="20" w:type="dxa"/>
            </w:tcMar>
            <w:vAlign w:val="bottom"/>
            <w:hideMark/>
          </w:tcPr>
          <w:p w14:paraId="32B1CFB8" w14:textId="77777777" w:rsidR="00000000" w:rsidRDefault="00E614A4">
            <w:pPr>
              <w:rPr>
                <w:rFonts w:eastAsia="Times New Roman"/>
              </w:rPr>
            </w:pPr>
            <w:r>
              <w:rPr>
                <w:rFonts w:eastAsia="Times New Roman"/>
                <w:color w:val="000000"/>
                <w:sz w:val="18"/>
                <w:szCs w:val="18"/>
              </w:rPr>
              <w:t>Acquired software</w:t>
            </w:r>
          </w:p>
        </w:tc>
        <w:tc>
          <w:tcPr>
            <w:tcW w:w="0" w:type="auto"/>
            <w:gridSpan w:val="3"/>
            <w:shd w:val="clear" w:color="auto" w:fill="FFFFFF"/>
            <w:tcMar>
              <w:top w:w="30" w:type="dxa"/>
              <w:left w:w="20" w:type="dxa"/>
              <w:bottom w:w="30" w:type="dxa"/>
              <w:right w:w="20" w:type="dxa"/>
            </w:tcMar>
            <w:vAlign w:val="bottom"/>
            <w:hideMark/>
          </w:tcPr>
          <w:p w14:paraId="6A7A8C59" w14:textId="77777777" w:rsidR="00000000" w:rsidRDefault="00E614A4">
            <w:pPr>
              <w:jc w:val="center"/>
              <w:rPr>
                <w:rFonts w:eastAsia="Times New Roman"/>
              </w:rPr>
            </w:pPr>
            <w:r>
              <w:rPr>
                <w:rFonts w:eastAsia="Times New Roman"/>
                <w:color w:val="000000"/>
                <w:sz w:val="18"/>
                <w:szCs w:val="18"/>
              </w:rPr>
              <w:t>3</w:t>
            </w:r>
          </w:p>
        </w:tc>
      </w:tr>
      <w:tr w:rsidR="00000000" w14:paraId="6BF9E83D" w14:textId="77777777">
        <w:trPr>
          <w:divId w:val="1752778552"/>
          <w:jc w:val="center"/>
        </w:trPr>
        <w:tc>
          <w:tcPr>
            <w:tcW w:w="0" w:type="auto"/>
            <w:gridSpan w:val="3"/>
            <w:shd w:val="clear" w:color="auto" w:fill="CCEEFF"/>
            <w:tcMar>
              <w:top w:w="30" w:type="dxa"/>
              <w:left w:w="20" w:type="dxa"/>
              <w:bottom w:w="30" w:type="dxa"/>
              <w:right w:w="20" w:type="dxa"/>
            </w:tcMar>
            <w:vAlign w:val="bottom"/>
            <w:hideMark/>
          </w:tcPr>
          <w:p w14:paraId="639A687C" w14:textId="77777777" w:rsidR="00000000" w:rsidRDefault="00E614A4">
            <w:pPr>
              <w:rPr>
                <w:rFonts w:eastAsia="Times New Roman"/>
              </w:rPr>
            </w:pPr>
            <w:r>
              <w:rPr>
                <w:rFonts w:eastAsia="Times New Roman"/>
                <w:color w:val="000000"/>
                <w:sz w:val="18"/>
                <w:szCs w:val="18"/>
              </w:rPr>
              <w:t>Customer relationships</w:t>
            </w:r>
          </w:p>
        </w:tc>
        <w:tc>
          <w:tcPr>
            <w:tcW w:w="0" w:type="auto"/>
            <w:gridSpan w:val="3"/>
            <w:shd w:val="clear" w:color="auto" w:fill="CCEEFF"/>
            <w:tcMar>
              <w:top w:w="30" w:type="dxa"/>
              <w:left w:w="20" w:type="dxa"/>
              <w:bottom w:w="30" w:type="dxa"/>
              <w:right w:w="20" w:type="dxa"/>
            </w:tcMar>
            <w:vAlign w:val="bottom"/>
            <w:hideMark/>
          </w:tcPr>
          <w:p w14:paraId="35A73DC8" w14:textId="77777777" w:rsidR="00000000" w:rsidRDefault="00E614A4">
            <w:pPr>
              <w:jc w:val="center"/>
              <w:rPr>
                <w:rFonts w:eastAsia="Times New Roman"/>
              </w:rPr>
            </w:pPr>
            <w:r>
              <w:rPr>
                <w:rFonts w:eastAsia="Times New Roman"/>
                <w:color w:val="000000"/>
                <w:sz w:val="18"/>
                <w:szCs w:val="18"/>
              </w:rPr>
              <w:t>3 to 7</w:t>
            </w:r>
          </w:p>
        </w:tc>
      </w:tr>
      <w:tr w:rsidR="00000000" w14:paraId="2C9DB8EB" w14:textId="77777777">
        <w:trPr>
          <w:divId w:val="1752778552"/>
          <w:jc w:val="center"/>
        </w:trPr>
        <w:tc>
          <w:tcPr>
            <w:tcW w:w="0" w:type="auto"/>
            <w:gridSpan w:val="3"/>
            <w:shd w:val="clear" w:color="auto" w:fill="FFFFFF"/>
            <w:tcMar>
              <w:top w:w="30" w:type="dxa"/>
              <w:left w:w="20" w:type="dxa"/>
              <w:bottom w:w="30" w:type="dxa"/>
              <w:right w:w="20" w:type="dxa"/>
            </w:tcMar>
            <w:vAlign w:val="bottom"/>
            <w:hideMark/>
          </w:tcPr>
          <w:p w14:paraId="6D4F4A0B" w14:textId="77777777" w:rsidR="00000000" w:rsidRDefault="00E614A4">
            <w:pPr>
              <w:rPr>
                <w:rFonts w:eastAsia="Times New Roman"/>
              </w:rPr>
            </w:pPr>
            <w:r>
              <w:rPr>
                <w:rFonts w:eastAsia="Times New Roman"/>
                <w:color w:val="000000"/>
                <w:sz w:val="18"/>
                <w:szCs w:val="18"/>
              </w:rPr>
              <w:t>Intellectual property</w:t>
            </w:r>
          </w:p>
        </w:tc>
        <w:tc>
          <w:tcPr>
            <w:tcW w:w="0" w:type="auto"/>
            <w:gridSpan w:val="3"/>
            <w:shd w:val="clear" w:color="auto" w:fill="FFFFFF"/>
            <w:tcMar>
              <w:top w:w="30" w:type="dxa"/>
              <w:left w:w="20" w:type="dxa"/>
              <w:bottom w:w="30" w:type="dxa"/>
              <w:right w:w="20" w:type="dxa"/>
            </w:tcMar>
            <w:vAlign w:val="bottom"/>
            <w:hideMark/>
          </w:tcPr>
          <w:p w14:paraId="15D878C4" w14:textId="77777777" w:rsidR="00000000" w:rsidRDefault="00E614A4">
            <w:pPr>
              <w:jc w:val="center"/>
              <w:rPr>
                <w:rFonts w:eastAsia="Times New Roman"/>
              </w:rPr>
            </w:pPr>
            <w:r>
              <w:rPr>
                <w:rFonts w:eastAsia="Times New Roman"/>
                <w:color w:val="000000"/>
                <w:sz w:val="18"/>
                <w:szCs w:val="18"/>
              </w:rPr>
              <w:t>2 to 13</w:t>
            </w:r>
          </w:p>
        </w:tc>
      </w:tr>
      <w:tr w:rsidR="00000000" w14:paraId="2AA70787" w14:textId="77777777">
        <w:trPr>
          <w:divId w:val="1752778552"/>
          <w:jc w:val="center"/>
        </w:trPr>
        <w:tc>
          <w:tcPr>
            <w:tcW w:w="0" w:type="auto"/>
            <w:gridSpan w:val="3"/>
            <w:shd w:val="clear" w:color="auto" w:fill="CCEEFF"/>
            <w:tcMar>
              <w:top w:w="30" w:type="dxa"/>
              <w:left w:w="20" w:type="dxa"/>
              <w:bottom w:w="30" w:type="dxa"/>
              <w:right w:w="20" w:type="dxa"/>
            </w:tcMar>
            <w:vAlign w:val="bottom"/>
            <w:hideMark/>
          </w:tcPr>
          <w:p w14:paraId="39CBCE50" w14:textId="77777777" w:rsidR="00000000" w:rsidRDefault="00E614A4">
            <w:pPr>
              <w:rPr>
                <w:rFonts w:eastAsia="Times New Roman"/>
              </w:rPr>
            </w:pPr>
            <w:r>
              <w:rPr>
                <w:rFonts w:eastAsia="Times New Roman"/>
                <w:color w:val="000000"/>
                <w:sz w:val="18"/>
                <w:szCs w:val="18"/>
              </w:rPr>
              <w:t>Panel</w:t>
            </w:r>
          </w:p>
        </w:tc>
        <w:tc>
          <w:tcPr>
            <w:tcW w:w="0" w:type="auto"/>
            <w:gridSpan w:val="3"/>
            <w:shd w:val="clear" w:color="auto" w:fill="CCEEFF"/>
            <w:tcMar>
              <w:top w:w="30" w:type="dxa"/>
              <w:left w:w="20" w:type="dxa"/>
              <w:bottom w:w="30" w:type="dxa"/>
              <w:right w:w="20" w:type="dxa"/>
            </w:tcMar>
            <w:vAlign w:val="bottom"/>
            <w:hideMark/>
          </w:tcPr>
          <w:p w14:paraId="5AB69CB7" w14:textId="77777777" w:rsidR="00000000" w:rsidRDefault="00E614A4">
            <w:pPr>
              <w:jc w:val="center"/>
              <w:rPr>
                <w:rFonts w:eastAsia="Times New Roman"/>
              </w:rPr>
            </w:pPr>
            <w:r>
              <w:rPr>
                <w:rFonts w:eastAsia="Times New Roman"/>
                <w:color w:val="000000"/>
                <w:sz w:val="18"/>
                <w:szCs w:val="18"/>
              </w:rPr>
              <w:t>1 to 7</w:t>
            </w:r>
          </w:p>
        </w:tc>
      </w:tr>
      <w:tr w:rsidR="00000000" w14:paraId="4FB2B095" w14:textId="77777777">
        <w:trPr>
          <w:divId w:val="1752778552"/>
          <w:jc w:val="center"/>
        </w:trPr>
        <w:tc>
          <w:tcPr>
            <w:tcW w:w="0" w:type="auto"/>
            <w:gridSpan w:val="3"/>
            <w:shd w:val="clear" w:color="auto" w:fill="FFFFFF"/>
            <w:tcMar>
              <w:top w:w="30" w:type="dxa"/>
              <w:left w:w="20" w:type="dxa"/>
              <w:bottom w:w="30" w:type="dxa"/>
              <w:right w:w="20" w:type="dxa"/>
            </w:tcMar>
            <w:vAlign w:val="bottom"/>
            <w:hideMark/>
          </w:tcPr>
          <w:p w14:paraId="64D880DC" w14:textId="77777777" w:rsidR="00000000" w:rsidRDefault="00E614A4">
            <w:pPr>
              <w:rPr>
                <w:rFonts w:eastAsia="Times New Roman"/>
              </w:rPr>
            </w:pPr>
            <w:r>
              <w:rPr>
                <w:rFonts w:eastAsia="Times New Roman"/>
                <w:color w:val="000000"/>
                <w:sz w:val="18"/>
                <w:szCs w:val="18"/>
              </w:rPr>
              <w:t>Trade Names</w:t>
            </w:r>
          </w:p>
        </w:tc>
        <w:tc>
          <w:tcPr>
            <w:tcW w:w="0" w:type="auto"/>
            <w:gridSpan w:val="3"/>
            <w:shd w:val="clear" w:color="auto" w:fill="FFFFFF"/>
            <w:tcMar>
              <w:top w:w="30" w:type="dxa"/>
              <w:left w:w="20" w:type="dxa"/>
              <w:bottom w:w="30" w:type="dxa"/>
              <w:right w:w="20" w:type="dxa"/>
            </w:tcMar>
            <w:vAlign w:val="bottom"/>
            <w:hideMark/>
          </w:tcPr>
          <w:p w14:paraId="60D46850" w14:textId="77777777" w:rsidR="00000000" w:rsidRDefault="00E614A4">
            <w:pPr>
              <w:jc w:val="center"/>
              <w:rPr>
                <w:rFonts w:eastAsia="Times New Roman"/>
              </w:rPr>
            </w:pPr>
            <w:r>
              <w:rPr>
                <w:rFonts w:eastAsia="Times New Roman"/>
                <w:color w:val="000000"/>
                <w:sz w:val="18"/>
                <w:szCs w:val="18"/>
              </w:rPr>
              <w:t>2 to 6</w:t>
            </w:r>
          </w:p>
        </w:tc>
      </w:tr>
      <w:tr w:rsidR="00000000" w14:paraId="478DBDF7" w14:textId="77777777">
        <w:trPr>
          <w:divId w:val="1752778552"/>
          <w:jc w:val="center"/>
        </w:trPr>
        <w:tc>
          <w:tcPr>
            <w:tcW w:w="0" w:type="auto"/>
            <w:gridSpan w:val="3"/>
            <w:shd w:val="clear" w:color="auto" w:fill="CCEEFF"/>
            <w:tcMar>
              <w:top w:w="30" w:type="dxa"/>
              <w:left w:w="20" w:type="dxa"/>
              <w:bottom w:w="30" w:type="dxa"/>
              <w:right w:w="20" w:type="dxa"/>
            </w:tcMar>
            <w:vAlign w:val="bottom"/>
            <w:hideMark/>
          </w:tcPr>
          <w:p w14:paraId="152D3712" w14:textId="77777777" w:rsidR="00000000" w:rsidRDefault="00E614A4">
            <w:pPr>
              <w:rPr>
                <w:rFonts w:eastAsia="Times New Roman"/>
              </w:rPr>
            </w:pPr>
            <w:r>
              <w:rPr>
                <w:rFonts w:eastAsia="Times New Roman"/>
                <w:color w:val="000000"/>
                <w:sz w:val="18"/>
                <w:szCs w:val="18"/>
              </w:rPr>
              <w:t>Other</w:t>
            </w:r>
          </w:p>
        </w:tc>
        <w:tc>
          <w:tcPr>
            <w:tcW w:w="0" w:type="auto"/>
            <w:gridSpan w:val="3"/>
            <w:shd w:val="clear" w:color="auto" w:fill="CCEEFF"/>
            <w:tcMar>
              <w:top w:w="30" w:type="dxa"/>
              <w:left w:w="20" w:type="dxa"/>
              <w:bottom w:w="30" w:type="dxa"/>
              <w:right w:w="20" w:type="dxa"/>
            </w:tcMar>
            <w:vAlign w:val="bottom"/>
            <w:hideMark/>
          </w:tcPr>
          <w:p w14:paraId="02A67972" w14:textId="77777777" w:rsidR="00000000" w:rsidRDefault="00E614A4">
            <w:pPr>
              <w:jc w:val="center"/>
              <w:rPr>
                <w:rFonts w:eastAsia="Times New Roman"/>
              </w:rPr>
            </w:pPr>
            <w:r>
              <w:rPr>
                <w:rFonts w:eastAsia="Times New Roman"/>
                <w:color w:val="000000"/>
                <w:sz w:val="18"/>
                <w:szCs w:val="18"/>
              </w:rPr>
              <w:t>6 to 8</w:t>
            </w:r>
          </w:p>
        </w:tc>
      </w:tr>
    </w:tbl>
    <w:p w14:paraId="23BD8560" w14:textId="77777777" w:rsidR="00000000" w:rsidRDefault="00E614A4">
      <w:pPr>
        <w:jc w:val="both"/>
        <w:divId w:val="1542667688"/>
        <w:rPr>
          <w:rFonts w:eastAsia="Times New Roman"/>
        </w:rPr>
      </w:pPr>
      <w:r>
        <w:rPr>
          <w:rFonts w:eastAsia="Times New Roman"/>
          <w:b/>
          <w:bCs/>
          <w:i/>
          <w:iCs/>
          <w:color w:val="000000"/>
          <w:sz w:val="20"/>
          <w:szCs w:val="20"/>
        </w:rPr>
        <w:t>Impairment of Right-of-use and Long-Lived Assets</w:t>
      </w:r>
    </w:p>
    <w:p w14:paraId="38B279C9" w14:textId="77777777" w:rsidR="00000000" w:rsidRDefault="00E614A4">
      <w:pPr>
        <w:jc w:val="both"/>
        <w:divId w:val="1981180600"/>
        <w:rPr>
          <w:rFonts w:eastAsia="Times New Roman"/>
        </w:rPr>
      </w:pPr>
      <w:r>
        <w:rPr>
          <w:rFonts w:eastAsia="Times New Roman"/>
          <w:color w:val="000000"/>
          <w:sz w:val="20"/>
          <w:szCs w:val="20"/>
        </w:rPr>
        <w:t xml:space="preserve">The Company's long-lived assets consist of property and equipment and finite-lived intangible assets. The Company evaluates its long-lived assets for impairment whenever events or changes in circumstances indicate the carrying value of such assets may not </w:t>
      </w:r>
      <w:r>
        <w:rPr>
          <w:rFonts w:eastAsia="Times New Roman"/>
          <w:color w:val="000000"/>
          <w:sz w:val="20"/>
          <w:szCs w:val="20"/>
        </w:rPr>
        <w:t>be recoverable. If an indication of impairment is present, the Company compares the estimated undiscounted future cash flows to be generated by the asset group to its carrying amount. Recoverability measurement and estimation of undiscounted cash flows are</w:t>
      </w:r>
      <w:r>
        <w:rPr>
          <w:rFonts w:eastAsia="Times New Roman"/>
          <w:color w:val="000000"/>
          <w:sz w:val="20"/>
          <w:szCs w:val="20"/>
        </w:rPr>
        <w:t xml:space="preserve"> </w:t>
      </w:r>
    </w:p>
    <w:p w14:paraId="31F6D98E" w14:textId="77777777" w:rsidR="00000000" w:rsidRDefault="00E614A4">
      <w:pPr>
        <w:jc w:val="center"/>
        <w:divId w:val="1233269428"/>
        <w:rPr>
          <w:rFonts w:eastAsia="Times New Roman"/>
        </w:rPr>
      </w:pPr>
      <w:r>
        <w:rPr>
          <w:rFonts w:eastAsia="Times New Roman"/>
          <w:color w:val="000000"/>
          <w:sz w:val="20"/>
          <w:szCs w:val="20"/>
        </w:rPr>
        <w:t>67</w:t>
      </w:r>
    </w:p>
    <w:p w14:paraId="6604E5A4" w14:textId="77777777" w:rsidR="00000000" w:rsidRDefault="00E614A4">
      <w:pPr>
        <w:rPr>
          <w:rFonts w:eastAsia="Times New Roman"/>
        </w:rPr>
      </w:pPr>
      <w:r>
        <w:rPr>
          <w:rFonts w:eastAsia="Times New Roman"/>
        </w:rPr>
        <w:pict w14:anchorId="20D9A410">
          <v:rect id="_x0000_i1095" style="width:0;height:1.5pt" o:hralign="center" o:hrstd="t" o:hr="t" fillcolor="#a0a0a0" stroked="f"/>
        </w:pict>
      </w:r>
    </w:p>
    <w:p w14:paraId="64EAA23D" w14:textId="77777777" w:rsidR="00000000" w:rsidRDefault="00E614A4">
      <w:pPr>
        <w:divId w:val="1868371586"/>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85ED9F3" w14:textId="77777777" w:rsidR="00000000" w:rsidRDefault="00E614A4">
      <w:pPr>
        <w:divId w:val="96021283"/>
        <w:rPr>
          <w:rFonts w:eastAsia="Times New Roman"/>
        </w:rPr>
      </w:pPr>
    </w:p>
    <w:p w14:paraId="09DC0650" w14:textId="77777777" w:rsidR="00000000" w:rsidRDefault="00E614A4">
      <w:pPr>
        <w:jc w:val="both"/>
        <w:divId w:val="1275672592"/>
        <w:rPr>
          <w:rFonts w:eastAsia="Times New Roman"/>
        </w:rPr>
      </w:pPr>
      <w:r>
        <w:rPr>
          <w:rFonts w:eastAsia="Times New Roman"/>
          <w:color w:val="000000"/>
          <w:sz w:val="20"/>
          <w:szCs w:val="20"/>
        </w:rPr>
        <w:t>grouped at the lowest level for which identifiable cash flows are largely inde</w:t>
      </w:r>
      <w:r>
        <w:rPr>
          <w:rFonts w:eastAsia="Times New Roman"/>
          <w:color w:val="000000"/>
          <w:sz w:val="20"/>
          <w:szCs w:val="20"/>
        </w:rPr>
        <w:t xml:space="preserve">pendent of the cash flows of other assets and liabilities. If the undiscounted future cash flows are less than the carrying amount of the asset group, the Company records an impairment loss equal to the excess of the asset group's carrying amount over its </w:t>
      </w:r>
      <w:r>
        <w:rPr>
          <w:rFonts w:eastAsia="Times New Roman"/>
          <w:color w:val="000000"/>
          <w:sz w:val="20"/>
          <w:szCs w:val="20"/>
        </w:rPr>
        <w:t xml:space="preserve">fair value. The fair value is determined based on valuation techniques such as a comparison to fair values of similar assets or using a discounted cash flow analysis. </w:t>
      </w:r>
    </w:p>
    <w:p w14:paraId="58EAE608" w14:textId="77777777" w:rsidR="00000000" w:rsidRDefault="00E614A4">
      <w:pPr>
        <w:jc w:val="both"/>
        <w:divId w:val="1534877557"/>
        <w:rPr>
          <w:rFonts w:eastAsia="Times New Roman"/>
        </w:rPr>
      </w:pPr>
      <w:r>
        <w:rPr>
          <w:rFonts w:eastAsia="Times New Roman"/>
          <w:color w:val="000000"/>
          <w:sz w:val="20"/>
          <w:szCs w:val="20"/>
        </w:rPr>
        <w:t>Although the Company believes that the carrying values of its long-lived assets are appr</w:t>
      </w:r>
      <w:r>
        <w:rPr>
          <w:rFonts w:eastAsia="Times New Roman"/>
          <w:color w:val="000000"/>
          <w:sz w:val="20"/>
          <w:szCs w:val="20"/>
        </w:rPr>
        <w:t>opriately stated, changes in strategy or market conditions, significant technological developments or significant changes in legal or regulatory factors could significantly impact these judgments and require adjustments to recorded asset balances. The Comp</w:t>
      </w:r>
      <w:r>
        <w:rPr>
          <w:rFonts w:eastAsia="Times New Roman"/>
          <w:color w:val="000000"/>
          <w:sz w:val="20"/>
          <w:szCs w:val="20"/>
        </w:rPr>
        <w:t>any performed an interim analysis as of June 30, 2019, as events or changes in circumstances indicated the carrying value of certain assets may not be recoverable, and determined that the Company's strategic alliance (the "strategic alliance") with WPP plc</w:t>
      </w:r>
      <w:r>
        <w:rPr>
          <w:rFonts w:eastAsia="Times New Roman"/>
          <w:color w:val="000000"/>
          <w:sz w:val="20"/>
          <w:szCs w:val="20"/>
        </w:rPr>
        <w:t xml:space="preserve"> and its affiliates ("WPP") was impaired. Refer to </w:t>
      </w:r>
      <w:hyperlink w:anchor="ided6989bcc374020961c421c465250ee_154"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Goodwill and Intangible Assets</w:t>
      </w:r>
      <w:r>
        <w:rPr>
          <w:rFonts w:eastAsia="Times New Roman"/>
          <w:color w:val="000000"/>
          <w:sz w:val="20"/>
          <w:szCs w:val="20"/>
        </w:rPr>
        <w:t xml:space="preserve"> for further information. </w:t>
      </w:r>
    </w:p>
    <w:p w14:paraId="468798DF" w14:textId="77777777" w:rsidR="00000000" w:rsidRDefault="00E614A4">
      <w:pPr>
        <w:jc w:val="both"/>
        <w:divId w:val="495069403"/>
        <w:rPr>
          <w:rFonts w:eastAsia="Times New Roman"/>
        </w:rPr>
      </w:pPr>
      <w:r>
        <w:rPr>
          <w:rFonts w:eastAsia="Times New Roman"/>
          <w:color w:val="000000"/>
          <w:sz w:val="20"/>
          <w:szCs w:val="20"/>
        </w:rPr>
        <w:t>The Company applies the provisions of Accounting Standards Codification ("AS</w:t>
      </w:r>
      <w:r>
        <w:rPr>
          <w:rFonts w:eastAsia="Times New Roman"/>
          <w:color w:val="000000"/>
          <w:sz w:val="20"/>
          <w:szCs w:val="20"/>
        </w:rPr>
        <w:t>C") 360, </w:t>
      </w:r>
      <w:r>
        <w:rPr>
          <w:rFonts w:eastAsia="Times New Roman"/>
          <w:i/>
          <w:iCs/>
          <w:color w:val="000000"/>
          <w:sz w:val="20"/>
          <w:szCs w:val="20"/>
        </w:rPr>
        <w:t>Property, Plant and Equipment</w:t>
      </w:r>
      <w:r>
        <w:rPr>
          <w:rFonts w:eastAsia="Times New Roman"/>
          <w:color w:val="000000"/>
          <w:sz w:val="20"/>
          <w:szCs w:val="20"/>
        </w:rPr>
        <w:t xml:space="preserve">, to determine whether right-of-use ("ROU") assets and related long-lived assets may be impaired. The Company evaluates its ROU and long-lived assets for impairment whenever events or changes in circumstances indicate </w:t>
      </w:r>
      <w:r>
        <w:rPr>
          <w:rFonts w:eastAsia="Times New Roman"/>
          <w:color w:val="000000"/>
          <w:sz w:val="20"/>
          <w:szCs w:val="20"/>
        </w:rPr>
        <w:t>the carrying value of such assets may not be recoverable. For facility lease ROU and related long-lived assets, the Company compares the estimated undiscounted cash flows generated by a sublease to the current carrying value of the ROU and related long-liv</w:t>
      </w:r>
      <w:r>
        <w:rPr>
          <w:rFonts w:eastAsia="Times New Roman"/>
          <w:color w:val="000000"/>
          <w:sz w:val="20"/>
          <w:szCs w:val="20"/>
        </w:rPr>
        <w:t>ed assets. If the undiscounted cash flows are less than the carrying value of the ROU and related long-lived assets, the Company records an impairment loss equal to the excess of the ROU and long-lived assets' carrying value over their fair value consisten</w:t>
      </w:r>
      <w:r>
        <w:rPr>
          <w:rFonts w:eastAsia="Times New Roman"/>
          <w:color w:val="000000"/>
          <w:sz w:val="20"/>
          <w:szCs w:val="20"/>
        </w:rPr>
        <w:t>t with other long-lived assets.</w:t>
      </w:r>
    </w:p>
    <w:p w14:paraId="5B00864A" w14:textId="77777777" w:rsidR="00000000" w:rsidRDefault="00E614A4">
      <w:pPr>
        <w:jc w:val="both"/>
        <w:divId w:val="2012369274"/>
        <w:rPr>
          <w:rFonts w:eastAsia="Times New Roman"/>
        </w:rPr>
      </w:pPr>
      <w:r>
        <w:rPr>
          <w:rFonts w:eastAsia="Times New Roman"/>
          <w:color w:val="000000"/>
          <w:sz w:val="20"/>
          <w:szCs w:val="20"/>
        </w:rPr>
        <w:t>The Company performed an interim analysis as of March 31, 2020, as changes in market conditions indicated the carrying value of certain facility lease ROU and other long-lived assets may not be recoverable, and determined th</w:t>
      </w:r>
      <w:r>
        <w:rPr>
          <w:rFonts w:eastAsia="Times New Roman"/>
          <w:color w:val="000000"/>
          <w:sz w:val="20"/>
          <w:szCs w:val="20"/>
        </w:rPr>
        <w:t>at certain ROU assets, and related leasehold improvements, were impaired.</w:t>
      </w:r>
    </w:p>
    <w:p w14:paraId="3E2CB893" w14:textId="77777777" w:rsidR="00000000" w:rsidRDefault="00E614A4">
      <w:pPr>
        <w:jc w:val="both"/>
        <w:divId w:val="1583484151"/>
        <w:rPr>
          <w:rFonts w:eastAsia="Times New Roman"/>
        </w:rPr>
      </w:pPr>
      <w:r>
        <w:rPr>
          <w:rFonts w:eastAsia="Times New Roman"/>
          <w:color w:val="000000"/>
          <w:sz w:val="20"/>
          <w:szCs w:val="20"/>
        </w:rPr>
        <w:t xml:space="preserve">The Company recorded a $4.7 </w:t>
      </w:r>
      <w:r>
        <w:rPr>
          <w:rFonts w:eastAsia="Times New Roman"/>
          <w:color w:val="000000"/>
          <w:sz w:val="20"/>
          <w:szCs w:val="20"/>
        </w:rPr>
        <w:t xml:space="preserve">million non-cash impairment charge related to its ROU assets, and related leasehold improvements, with corresponding reductions of $2.8 million and $1.9 million to the operating right-of-use assets and property and equipment, net line items, respectively, </w:t>
      </w:r>
      <w:r>
        <w:rPr>
          <w:rFonts w:eastAsia="Times New Roman"/>
          <w:color w:val="000000"/>
          <w:sz w:val="20"/>
          <w:szCs w:val="20"/>
        </w:rPr>
        <w:t xml:space="preserve">in the Consolidated Balance Sheet. The impairment charge was driven by changes in the Company's projected undiscounted cash flows for certain properties, primarily as a result of changes in the real estate market related to the COVID-19 pandemic, that led </w:t>
      </w:r>
      <w:r>
        <w:rPr>
          <w:rFonts w:eastAsia="Times New Roman"/>
          <w:color w:val="000000"/>
          <w:sz w:val="20"/>
          <w:szCs w:val="20"/>
        </w:rPr>
        <w:t>to an increase in the estimated marketing time, and a reduction of expected receipts, for properties on the market for sublease. The fair value of these ROU assets, and related leasehold improvements, was estimated using an income approach and a discount r</w:t>
      </w:r>
      <w:r>
        <w:rPr>
          <w:rFonts w:eastAsia="Times New Roman"/>
          <w:color w:val="000000"/>
          <w:sz w:val="20"/>
          <w:szCs w:val="20"/>
        </w:rPr>
        <w:t>ate of 12%.</w:t>
      </w:r>
    </w:p>
    <w:p w14:paraId="54B1A443" w14:textId="77777777" w:rsidR="00000000" w:rsidRDefault="00E614A4">
      <w:pPr>
        <w:jc w:val="both"/>
        <w:divId w:val="1541093776"/>
        <w:rPr>
          <w:rFonts w:eastAsia="Times New Roman"/>
        </w:rPr>
      </w:pPr>
      <w:r>
        <w:rPr>
          <w:rFonts w:eastAsia="Times New Roman"/>
          <w:color w:val="000000"/>
          <w:sz w:val="20"/>
          <w:szCs w:val="20"/>
        </w:rPr>
        <w:t xml:space="preserve">Although the Company believes that the carrying values of its long-lived assets are appropriately stated as of December 31, 2020, future changes in strategy or market conditions, significant technological developments or significant changes in </w:t>
      </w:r>
      <w:r>
        <w:rPr>
          <w:rFonts w:eastAsia="Times New Roman"/>
          <w:color w:val="000000"/>
          <w:sz w:val="20"/>
          <w:szCs w:val="20"/>
        </w:rPr>
        <w:t>legal or regulatory factors could significantly impact these judgments and require adjustments to recorded asset balances.</w:t>
      </w:r>
    </w:p>
    <w:p w14:paraId="3DF77568" w14:textId="77777777" w:rsidR="00000000" w:rsidRDefault="00E614A4">
      <w:pPr>
        <w:jc w:val="both"/>
        <w:divId w:val="1864244143"/>
        <w:rPr>
          <w:rFonts w:eastAsia="Times New Roman"/>
        </w:rPr>
      </w:pPr>
      <w:r>
        <w:rPr>
          <w:rFonts w:eastAsia="Times New Roman"/>
          <w:b/>
          <w:bCs/>
          <w:i/>
          <w:iCs/>
          <w:color w:val="000000"/>
          <w:sz w:val="20"/>
          <w:szCs w:val="20"/>
        </w:rPr>
        <w:t>Accounting for Warrants</w:t>
      </w:r>
    </w:p>
    <w:p w14:paraId="595FF32B" w14:textId="77777777" w:rsidR="00000000" w:rsidRDefault="00E614A4">
      <w:pPr>
        <w:jc w:val="both"/>
        <w:divId w:val="176241306"/>
        <w:rPr>
          <w:rFonts w:eastAsia="Times New Roman"/>
        </w:rPr>
      </w:pPr>
      <w:r>
        <w:rPr>
          <w:rFonts w:eastAsia="Times New Roman"/>
          <w:color w:val="000000"/>
          <w:sz w:val="20"/>
          <w:szCs w:val="20"/>
        </w:rPr>
        <w:t xml:space="preserve">In 2019, the Company issued warrants to CVI in connection with the private placement described in </w:t>
      </w:r>
      <w:hyperlink w:anchor="ided6989bcc374020961c421c465250ee_103"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Organization</w:t>
      </w:r>
      <w:r>
        <w:rPr>
          <w:rFonts w:eastAsia="Times New Roman"/>
          <w:color w:val="000000"/>
          <w:sz w:val="20"/>
          <w:szCs w:val="20"/>
        </w:rPr>
        <w:t xml:space="preserve">. The warrants were determined to be freestanding financial instruments that qualify for liability treatment as a result of a net cash settlement feature associated with a </w:t>
      </w:r>
      <w:r>
        <w:rPr>
          <w:rFonts w:eastAsia="Times New Roman"/>
          <w:color w:val="000000"/>
          <w:sz w:val="20"/>
          <w:szCs w:val="20"/>
        </w:rPr>
        <w:t xml:space="preserve">cap on the issuance of shares under certain circumstances. Changes in the fair value of these instruments are immediately recorded in other income (expense), net in the Consolidated Statements of Operations and Comprehensive Loss. </w:t>
      </w:r>
    </w:p>
    <w:p w14:paraId="51009109" w14:textId="77777777" w:rsidR="00000000" w:rsidRDefault="00E614A4">
      <w:pPr>
        <w:jc w:val="both"/>
        <w:divId w:val="870457642"/>
        <w:rPr>
          <w:rFonts w:eastAsia="Times New Roman"/>
        </w:rPr>
      </w:pPr>
      <w:r>
        <w:rPr>
          <w:rFonts w:eastAsia="Times New Roman"/>
          <w:color w:val="000000"/>
          <w:sz w:val="20"/>
          <w:szCs w:val="20"/>
        </w:rPr>
        <w:t>The fair value of the wa</w:t>
      </w:r>
      <w:r>
        <w:rPr>
          <w:rFonts w:eastAsia="Times New Roman"/>
          <w:color w:val="000000"/>
          <w:sz w:val="20"/>
          <w:szCs w:val="20"/>
        </w:rPr>
        <w:t>rrants is determined using a Monte Carlo simulation analysis within an option pricing model. The fair value estimate is determined using an estimate for the Company's cost of debt, probability of change of control, dividend yield, risk-free rate, remaining</w:t>
      </w:r>
      <w:r>
        <w:rPr>
          <w:rFonts w:eastAsia="Times New Roman"/>
          <w:color w:val="000000"/>
          <w:sz w:val="20"/>
          <w:szCs w:val="20"/>
        </w:rPr>
        <w:t xml:space="preserve"> term of the warrants and volatility. The fair values of the warrants are estimated using forward projections of stock issuances with relative certainty and estimated payments at each exercise date discounted back to the valuation date with the remaining t</w:t>
      </w:r>
      <w:r>
        <w:rPr>
          <w:rFonts w:eastAsia="Times New Roman"/>
          <w:color w:val="000000"/>
          <w:sz w:val="20"/>
          <w:szCs w:val="20"/>
        </w:rPr>
        <w:t>erm of the related warrants. The primary sensitivity in the valuation of each warrant liability is driven by the Common Stock price at the measurement date and the observable volatility of the Common Stock.</w:t>
      </w:r>
    </w:p>
    <w:p w14:paraId="1DC8ED00" w14:textId="77777777" w:rsidR="00000000" w:rsidRDefault="00E614A4">
      <w:pPr>
        <w:jc w:val="both"/>
        <w:divId w:val="1694307198"/>
        <w:rPr>
          <w:rFonts w:eastAsia="Times New Roman"/>
        </w:rPr>
      </w:pPr>
      <w:r>
        <w:rPr>
          <w:rFonts w:eastAsia="Times New Roman"/>
          <w:b/>
          <w:bCs/>
          <w:i/>
          <w:iCs/>
          <w:color w:val="000000"/>
          <w:sz w:val="20"/>
          <w:szCs w:val="20"/>
        </w:rPr>
        <w:t>Equity Securities</w:t>
      </w:r>
    </w:p>
    <w:p w14:paraId="4038CD9A" w14:textId="77777777" w:rsidR="00000000" w:rsidRDefault="00E614A4">
      <w:pPr>
        <w:jc w:val="both"/>
        <w:divId w:val="1225288474"/>
        <w:rPr>
          <w:rFonts w:eastAsia="Times New Roman"/>
        </w:rPr>
      </w:pPr>
      <w:r>
        <w:rPr>
          <w:rFonts w:eastAsia="Times New Roman"/>
          <w:color w:val="000000"/>
          <w:sz w:val="20"/>
          <w:szCs w:val="20"/>
        </w:rPr>
        <w:t xml:space="preserve">The Company sold its remaining </w:t>
      </w:r>
      <w:r>
        <w:rPr>
          <w:rFonts w:eastAsia="Times New Roman"/>
          <w:color w:val="000000"/>
          <w:sz w:val="20"/>
          <w:szCs w:val="20"/>
        </w:rPr>
        <w:t>investment in equity securities during 2019 for gross cash proceeds of $3.8 million. Changes in the investment's fair value were reported in other income (expense), net as they occurred; therefore, the sale of this investment did not result in a gain or lo</w:t>
      </w:r>
      <w:r>
        <w:rPr>
          <w:rFonts w:eastAsia="Times New Roman"/>
          <w:color w:val="000000"/>
          <w:sz w:val="20"/>
          <w:szCs w:val="20"/>
        </w:rPr>
        <w:t xml:space="preserve">ss in the Consolidated Statements of Operations and Comprehensive Loss. </w:t>
      </w:r>
    </w:p>
    <w:p w14:paraId="5E34540D" w14:textId="77777777" w:rsidR="00000000" w:rsidRDefault="00E614A4">
      <w:pPr>
        <w:jc w:val="both"/>
        <w:divId w:val="1845630387"/>
        <w:rPr>
          <w:rFonts w:eastAsia="Times New Roman"/>
        </w:rPr>
      </w:pPr>
      <w:r>
        <w:rPr>
          <w:rFonts w:eastAsia="Times New Roman"/>
          <w:b/>
          <w:bCs/>
          <w:i/>
          <w:iCs/>
          <w:color w:val="000000"/>
          <w:sz w:val="20"/>
          <w:szCs w:val="20"/>
        </w:rPr>
        <w:t>Leases</w:t>
      </w:r>
    </w:p>
    <w:p w14:paraId="18895F07" w14:textId="77777777" w:rsidR="00000000" w:rsidRDefault="00E614A4">
      <w:pPr>
        <w:jc w:val="both"/>
        <w:divId w:val="268781198"/>
        <w:rPr>
          <w:rFonts w:eastAsia="Times New Roman"/>
        </w:rPr>
      </w:pPr>
      <w:r>
        <w:rPr>
          <w:rFonts w:eastAsia="Times New Roman"/>
          <w:color w:val="000000"/>
          <w:sz w:val="20"/>
          <w:szCs w:val="20"/>
        </w:rPr>
        <w:t xml:space="preserve">The Company adopted ASC 842, </w:t>
      </w:r>
      <w:r>
        <w:rPr>
          <w:rFonts w:eastAsia="Times New Roman"/>
          <w:i/>
          <w:iCs/>
          <w:color w:val="000000"/>
          <w:sz w:val="20"/>
          <w:szCs w:val="20"/>
        </w:rPr>
        <w:t>Leases</w:t>
      </w:r>
      <w:r>
        <w:rPr>
          <w:rFonts w:eastAsia="Times New Roman"/>
          <w:color w:val="000000"/>
          <w:sz w:val="20"/>
          <w:szCs w:val="20"/>
        </w:rPr>
        <w:t xml:space="preserve">, with an initial application date of January 1, 2019, using the modified retrospective method with optional transaction relief, under which </w:t>
      </w:r>
      <w:r>
        <w:rPr>
          <w:rFonts w:eastAsia="Times New Roman"/>
          <w:color w:val="000000"/>
          <w:sz w:val="20"/>
          <w:szCs w:val="20"/>
        </w:rPr>
        <w:t>the Company did not restate prior comparative periods and instead recorded an adjustment to stockholders' equity as of the date of initial implementation for the cumulative impact of adoption. The adoption of ASC 842 did not have a material impact on the C</w:t>
      </w:r>
      <w:r>
        <w:rPr>
          <w:rFonts w:eastAsia="Times New Roman"/>
          <w:color w:val="000000"/>
          <w:sz w:val="20"/>
          <w:szCs w:val="20"/>
        </w:rPr>
        <w:t>onsolidated Statements of Operations and Comprehensive Loss.</w:t>
      </w:r>
    </w:p>
    <w:p w14:paraId="690F3D06" w14:textId="77777777" w:rsidR="00000000" w:rsidRDefault="00E614A4">
      <w:pPr>
        <w:jc w:val="both"/>
        <w:divId w:val="1611669927"/>
        <w:rPr>
          <w:rFonts w:eastAsia="Times New Roman"/>
        </w:rPr>
      </w:pPr>
      <w:r>
        <w:rPr>
          <w:rFonts w:eastAsia="Times New Roman"/>
          <w:color w:val="000000"/>
          <w:sz w:val="20"/>
          <w:szCs w:val="20"/>
        </w:rPr>
        <w:t>The Company's lease portfolio is comprised of two major classes. Real estate leases, which are the majority of the Company's leased assets, are accounted for as operating leases. Computer equipme</w:t>
      </w:r>
      <w:r>
        <w:rPr>
          <w:rFonts w:eastAsia="Times New Roman"/>
          <w:color w:val="000000"/>
          <w:sz w:val="20"/>
          <w:szCs w:val="20"/>
        </w:rPr>
        <w:t xml:space="preserve">nt leases are generally accounted for as finance leases. </w:t>
      </w:r>
    </w:p>
    <w:p w14:paraId="08A4F2D7" w14:textId="77777777" w:rsidR="00000000" w:rsidRDefault="00E614A4">
      <w:pPr>
        <w:jc w:val="center"/>
        <w:divId w:val="188761265"/>
        <w:rPr>
          <w:rFonts w:eastAsia="Times New Roman"/>
        </w:rPr>
      </w:pPr>
      <w:r>
        <w:rPr>
          <w:rFonts w:eastAsia="Times New Roman"/>
          <w:color w:val="000000"/>
          <w:sz w:val="20"/>
          <w:szCs w:val="20"/>
        </w:rPr>
        <w:t>68</w:t>
      </w:r>
    </w:p>
    <w:p w14:paraId="3B04C58C" w14:textId="77777777" w:rsidR="00000000" w:rsidRDefault="00E614A4">
      <w:pPr>
        <w:rPr>
          <w:rFonts w:eastAsia="Times New Roman"/>
        </w:rPr>
      </w:pPr>
      <w:r>
        <w:rPr>
          <w:rFonts w:eastAsia="Times New Roman"/>
        </w:rPr>
        <w:pict w14:anchorId="5877C5A4">
          <v:rect id="_x0000_i1096" style="width:0;height:1.5pt" o:hralign="center" o:hrstd="t" o:hr="t" fillcolor="#a0a0a0" stroked="f"/>
        </w:pict>
      </w:r>
    </w:p>
    <w:p w14:paraId="411B627A" w14:textId="77777777" w:rsidR="00000000" w:rsidRDefault="00E614A4">
      <w:pPr>
        <w:divId w:val="311760338"/>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29DBB42" w14:textId="77777777" w:rsidR="00000000" w:rsidRDefault="00E614A4">
      <w:pPr>
        <w:divId w:val="471942573"/>
        <w:rPr>
          <w:rFonts w:eastAsia="Times New Roman"/>
        </w:rPr>
      </w:pPr>
    </w:p>
    <w:p w14:paraId="0825C41F" w14:textId="77777777" w:rsidR="00000000" w:rsidRDefault="00E614A4">
      <w:pPr>
        <w:jc w:val="both"/>
        <w:divId w:val="344475422"/>
        <w:rPr>
          <w:rFonts w:eastAsia="Times New Roman"/>
        </w:rPr>
      </w:pPr>
      <w:r>
        <w:rPr>
          <w:rFonts w:eastAsia="Times New Roman"/>
          <w:color w:val="000000"/>
          <w:sz w:val="20"/>
          <w:szCs w:val="20"/>
        </w:rPr>
        <w:t>The Company determines</w:t>
      </w:r>
      <w:r>
        <w:rPr>
          <w:rFonts w:eastAsia="Times New Roman"/>
          <w:color w:val="000000"/>
          <w:sz w:val="20"/>
          <w:szCs w:val="20"/>
        </w:rPr>
        <w:t xml:space="preserve"> if an arrangement is a lease at inception by evaluating whether the arrangement conveys the right to use an identified asset and whether the Company obtains substantially all of the economic benefits from and has the ability to direct the use of the asset</w:t>
      </w:r>
      <w:r>
        <w:rPr>
          <w:rFonts w:eastAsia="Times New Roman"/>
          <w:color w:val="000000"/>
          <w:sz w:val="20"/>
          <w:szCs w:val="20"/>
        </w:rPr>
        <w:t>. ROU assets and lease liabilities are recognized at the lease commencement date based on the present value of the future minimum lease payments over the lease term. Operating ROU assets also include the impact of any lease incentives.</w:t>
      </w:r>
    </w:p>
    <w:p w14:paraId="2BE19761" w14:textId="77777777" w:rsidR="00000000" w:rsidRDefault="00E614A4">
      <w:pPr>
        <w:jc w:val="both"/>
        <w:divId w:val="1968654661"/>
        <w:rPr>
          <w:rFonts w:eastAsia="Times New Roman"/>
        </w:rPr>
      </w:pPr>
      <w:r>
        <w:rPr>
          <w:rFonts w:eastAsia="Times New Roman"/>
          <w:color w:val="000000"/>
          <w:sz w:val="20"/>
          <w:szCs w:val="20"/>
        </w:rPr>
        <w:t>For any leases in wh</w:t>
      </w:r>
      <w:r>
        <w:rPr>
          <w:rFonts w:eastAsia="Times New Roman"/>
          <w:color w:val="000000"/>
          <w:sz w:val="20"/>
          <w:szCs w:val="20"/>
        </w:rPr>
        <w:t xml:space="preserve">ich an asset is not specifically identified, the Company performs a discrete analysis to identify whether there is an implicitly identified asset based on the contractual or other known requirements, such as the presence of substantive substitution rights </w:t>
      </w:r>
      <w:r>
        <w:rPr>
          <w:rFonts w:eastAsia="Times New Roman"/>
          <w:color w:val="000000"/>
          <w:sz w:val="20"/>
          <w:szCs w:val="20"/>
        </w:rPr>
        <w:t xml:space="preserve">on the part of the supplier or the right of the Company to sublease the asset. As part of this analysis, the Company also determines whether there are any restrictions on the use of the asset placed on the Company that are not considered protective rights </w:t>
      </w:r>
      <w:r>
        <w:rPr>
          <w:rFonts w:eastAsia="Times New Roman"/>
          <w:color w:val="000000"/>
          <w:sz w:val="20"/>
          <w:szCs w:val="20"/>
        </w:rPr>
        <w:t xml:space="preserve">on the part of the supplier and thus would allow the Company to assume which specific assets have been identified. </w:t>
      </w:r>
    </w:p>
    <w:p w14:paraId="08792DF9" w14:textId="77777777" w:rsidR="00000000" w:rsidRDefault="00E614A4">
      <w:pPr>
        <w:jc w:val="both"/>
        <w:divId w:val="1827361635"/>
        <w:rPr>
          <w:rFonts w:eastAsia="Times New Roman"/>
        </w:rPr>
      </w:pPr>
      <w:r>
        <w:rPr>
          <w:rFonts w:eastAsia="Times New Roman"/>
          <w:color w:val="000000"/>
          <w:sz w:val="20"/>
          <w:szCs w:val="20"/>
        </w:rPr>
        <w:t>The Company identifies separate lease and non-lease components within the contract. Non-lease components primarily include payments for comm</w:t>
      </w:r>
      <w:r>
        <w:rPr>
          <w:rFonts w:eastAsia="Times New Roman"/>
          <w:color w:val="000000"/>
          <w:sz w:val="20"/>
          <w:szCs w:val="20"/>
        </w:rPr>
        <w:t xml:space="preserve">on-area maintenance and management charges. The Company has elected to combine lease and non-lease payments and account for them together as a single lease component, which increases the amount of the Company's ROU assets and lease liabilities. </w:t>
      </w:r>
    </w:p>
    <w:p w14:paraId="2BE552BE" w14:textId="77777777" w:rsidR="00000000" w:rsidRDefault="00E614A4">
      <w:pPr>
        <w:jc w:val="both"/>
        <w:divId w:val="778573843"/>
        <w:rPr>
          <w:rFonts w:eastAsia="Times New Roman"/>
        </w:rPr>
      </w:pPr>
      <w:r>
        <w:rPr>
          <w:rFonts w:eastAsia="Times New Roman"/>
          <w:color w:val="000000"/>
          <w:sz w:val="20"/>
          <w:szCs w:val="20"/>
        </w:rPr>
        <w:t>The intere</w:t>
      </w:r>
      <w:r>
        <w:rPr>
          <w:rFonts w:eastAsia="Times New Roman"/>
          <w:color w:val="000000"/>
          <w:sz w:val="20"/>
          <w:szCs w:val="20"/>
        </w:rPr>
        <w:t>st rate used to determine the present value of the future lease payments is the Company's incremental borrowing rate, because the interest rate implicit in the Company's leases is not readily determinable. The incremental borrowing rate is estimated to app</w:t>
      </w:r>
      <w:r>
        <w:rPr>
          <w:rFonts w:eastAsia="Times New Roman"/>
          <w:color w:val="000000"/>
          <w:sz w:val="20"/>
          <w:szCs w:val="20"/>
        </w:rPr>
        <w:t>roximate the interest rate on a collateralized basis with similar terms and payments, and in economic environments where the leased asset is located. The Company's current discount rates range from 10.6% to 15.0% depending on the term of the lease.</w:t>
      </w:r>
    </w:p>
    <w:p w14:paraId="17A42016" w14:textId="77777777" w:rsidR="00000000" w:rsidRDefault="00E614A4">
      <w:pPr>
        <w:jc w:val="both"/>
        <w:divId w:val="732460204"/>
        <w:rPr>
          <w:rFonts w:eastAsia="Times New Roman"/>
        </w:rPr>
      </w:pPr>
      <w:r>
        <w:rPr>
          <w:rFonts w:eastAsia="Times New Roman"/>
          <w:color w:val="000000"/>
          <w:sz w:val="20"/>
          <w:szCs w:val="20"/>
        </w:rPr>
        <w:t>The Company's lease terms include periods under options to extend or terminate the lease when it is reasonably certain that the Company will exercise that option. The Company considers contractual-based factors such as the nature and terms of the renewal o</w:t>
      </w:r>
      <w:r>
        <w:rPr>
          <w:rFonts w:eastAsia="Times New Roman"/>
          <w:color w:val="000000"/>
          <w:sz w:val="20"/>
          <w:szCs w:val="20"/>
        </w:rPr>
        <w:t>r termination, asset-based factors such as physical location of the asset and entity-based factors such as the importance of the leased asset to the Company's operations to determine the lease term. The Company generally uses the base, non-cancelable, leas</w:t>
      </w:r>
      <w:r>
        <w:rPr>
          <w:rFonts w:eastAsia="Times New Roman"/>
          <w:color w:val="000000"/>
          <w:sz w:val="20"/>
          <w:szCs w:val="20"/>
        </w:rPr>
        <w:t>e term when determining the ROU assets and lease liabilities.</w:t>
      </w:r>
    </w:p>
    <w:p w14:paraId="0E6FB666" w14:textId="77777777" w:rsidR="00000000" w:rsidRDefault="00E614A4">
      <w:pPr>
        <w:jc w:val="both"/>
        <w:divId w:val="45954594"/>
        <w:rPr>
          <w:rFonts w:eastAsia="Times New Roman"/>
        </w:rPr>
      </w:pPr>
      <w:r>
        <w:rPr>
          <w:rFonts w:eastAsia="Times New Roman"/>
          <w:color w:val="000000"/>
          <w:sz w:val="20"/>
          <w:szCs w:val="20"/>
        </w:rPr>
        <w:t>Payments under the Company's lease arrangements are primarily fixed; however, certain lease agreements contain variable payments, which are expensed as incurred and not included in the measureme</w:t>
      </w:r>
      <w:r>
        <w:rPr>
          <w:rFonts w:eastAsia="Times New Roman"/>
          <w:color w:val="000000"/>
          <w:sz w:val="20"/>
          <w:szCs w:val="20"/>
        </w:rPr>
        <w:t>nt of ROU assets and lease liabilities. These amounts include payments affected by changes in the Consumer Price Index and payments for common-area maintenance, real estate taxes and utilities, which are based on usage or performance.</w:t>
      </w:r>
    </w:p>
    <w:p w14:paraId="6EB528B0" w14:textId="77777777" w:rsidR="00000000" w:rsidRDefault="00E614A4">
      <w:pPr>
        <w:jc w:val="both"/>
        <w:divId w:val="1543899749"/>
        <w:rPr>
          <w:rFonts w:eastAsia="Times New Roman"/>
        </w:rPr>
      </w:pPr>
      <w:r>
        <w:rPr>
          <w:rFonts w:eastAsia="Times New Roman"/>
          <w:color w:val="000000"/>
          <w:sz w:val="20"/>
          <w:szCs w:val="20"/>
        </w:rPr>
        <w:t xml:space="preserve">Operating leases are </w:t>
      </w:r>
      <w:r>
        <w:rPr>
          <w:rFonts w:eastAsia="Times New Roman"/>
          <w:color w:val="000000"/>
          <w:sz w:val="20"/>
          <w:szCs w:val="20"/>
        </w:rPr>
        <w:t>included in operating ROU assets, current operating lease liability, and non-current operating lease liability in the Consolidated Balance Sheets. The Company recognizes lease expense for its operating leases on a straight-line basis over the term of the l</w:t>
      </w:r>
      <w:r>
        <w:rPr>
          <w:rFonts w:eastAsia="Times New Roman"/>
          <w:color w:val="000000"/>
          <w:sz w:val="20"/>
          <w:szCs w:val="20"/>
        </w:rPr>
        <w:t>ease. Finance lease activity is included in property and equipment, net; current finance lease liabilities are aggregated into other current liabilities; and non-current finance lease obligations are aggregated in other non-current liabilities in the Compa</w:t>
      </w:r>
      <w:r>
        <w:rPr>
          <w:rFonts w:eastAsia="Times New Roman"/>
          <w:color w:val="000000"/>
          <w:sz w:val="20"/>
          <w:szCs w:val="20"/>
        </w:rPr>
        <w:t>ny's Consolidated Balance Sheets. Finance ROU assets are amortized on a straight-line basis over their estimated useful lives.</w:t>
      </w:r>
    </w:p>
    <w:p w14:paraId="36E6ECA3" w14:textId="77777777" w:rsidR="00000000" w:rsidRDefault="00E614A4">
      <w:pPr>
        <w:jc w:val="both"/>
        <w:divId w:val="1628319831"/>
        <w:rPr>
          <w:rFonts w:eastAsia="Times New Roman"/>
        </w:rPr>
      </w:pPr>
      <w:r>
        <w:rPr>
          <w:rFonts w:eastAsia="Times New Roman"/>
          <w:color w:val="000000"/>
          <w:sz w:val="20"/>
          <w:szCs w:val="20"/>
        </w:rPr>
        <w:t>The execution of a sublease where remaining lease payments on the head lease exceed the anticipated sublease receipts reflects an</w:t>
      </w:r>
      <w:r>
        <w:rPr>
          <w:rFonts w:eastAsia="Times New Roman"/>
          <w:color w:val="000000"/>
          <w:sz w:val="20"/>
          <w:szCs w:val="20"/>
        </w:rPr>
        <w:t xml:space="preserve"> indication of impairment which suggests the carrying value of the ROU asset may not be recoverable. The Company treats operating lease ROU assets as financing transactions, thereby excluding the operating lease liability and related lease payments from th</w:t>
      </w:r>
      <w:r>
        <w:rPr>
          <w:rFonts w:eastAsia="Times New Roman"/>
          <w:color w:val="000000"/>
          <w:sz w:val="20"/>
          <w:szCs w:val="20"/>
        </w:rPr>
        <w:t>e head lease, for purposes of testing recoverability. The Company compares the estimated undiscounted cash flows generated by the sublease to the current carrying value of the ROU asset. If the undiscounted cash flows are less than the carrying value of th</w:t>
      </w:r>
      <w:r>
        <w:rPr>
          <w:rFonts w:eastAsia="Times New Roman"/>
          <w:color w:val="000000"/>
          <w:sz w:val="20"/>
          <w:szCs w:val="20"/>
        </w:rPr>
        <w:t>e ROU asset, the Company records an impairment loss equal to the excess of the ROU asset's carrying value over its fair value consistent with other long-lived assets.</w:t>
      </w:r>
    </w:p>
    <w:p w14:paraId="5410F710" w14:textId="77777777" w:rsidR="00000000" w:rsidRDefault="00E614A4">
      <w:pPr>
        <w:jc w:val="both"/>
        <w:divId w:val="562060255"/>
        <w:rPr>
          <w:rFonts w:eastAsia="Times New Roman"/>
        </w:rPr>
      </w:pPr>
      <w:r>
        <w:rPr>
          <w:rFonts w:eastAsia="Times New Roman"/>
          <w:color w:val="000000"/>
          <w:sz w:val="20"/>
          <w:szCs w:val="20"/>
        </w:rPr>
        <w:t xml:space="preserve">Income from subleased properties is recognized on a straight-line basis and presented as </w:t>
      </w:r>
      <w:r>
        <w:rPr>
          <w:rFonts w:eastAsia="Times New Roman"/>
          <w:color w:val="000000"/>
          <w:sz w:val="20"/>
          <w:szCs w:val="20"/>
        </w:rPr>
        <w:t>a reduction of costs, allocated among operating expense line items, in the Company's Consolidated Statements of Operations and Comprehensive Loss. In addition to sublease rent, variable non-lease costs such as common-area maintenance and utilities are char</w:t>
      </w:r>
      <w:r>
        <w:rPr>
          <w:rFonts w:eastAsia="Times New Roman"/>
          <w:color w:val="000000"/>
          <w:sz w:val="20"/>
          <w:szCs w:val="20"/>
        </w:rPr>
        <w:t>ged to subtenants over the duration of the lease for their proportionate share of these costs. These variable non-lease income receipts are recognized in operating expenses as a reduction to costs incurred by the Company in relation to the head lease.</w:t>
      </w:r>
    </w:p>
    <w:p w14:paraId="29E31674" w14:textId="77777777" w:rsidR="00000000" w:rsidRDefault="00E614A4">
      <w:pPr>
        <w:jc w:val="both"/>
        <w:divId w:val="244650131"/>
        <w:rPr>
          <w:rFonts w:eastAsia="Times New Roman"/>
        </w:rPr>
      </w:pPr>
      <w:r>
        <w:rPr>
          <w:rFonts w:eastAsia="Times New Roman"/>
          <w:color w:val="000000"/>
          <w:sz w:val="20"/>
          <w:szCs w:val="20"/>
        </w:rPr>
        <w:t xml:space="preserve">The </w:t>
      </w:r>
      <w:r>
        <w:rPr>
          <w:rFonts w:eastAsia="Times New Roman"/>
          <w:color w:val="000000"/>
          <w:sz w:val="20"/>
          <w:szCs w:val="20"/>
        </w:rPr>
        <w:t>Company determines the nature of a sale-leaseback transaction based on the determination of whether the transaction qualifies as a sale and whether there is a transfer in the control of assets. If the transaction does not qualify as a sale, the Company rec</w:t>
      </w:r>
      <w:r>
        <w:rPr>
          <w:rFonts w:eastAsia="Times New Roman"/>
          <w:color w:val="000000"/>
          <w:sz w:val="20"/>
          <w:szCs w:val="20"/>
        </w:rPr>
        <w:t>ognizes the transaction as a failed sale-leaseback transaction (financing arrangement). The Company records a financing obligation, and the assets that are included in the failed sale-leaseback transaction remain on the Consolidated Balance Sheets until th</w:t>
      </w:r>
      <w:r>
        <w:rPr>
          <w:rFonts w:eastAsia="Times New Roman"/>
          <w:color w:val="000000"/>
          <w:sz w:val="20"/>
          <w:szCs w:val="20"/>
        </w:rPr>
        <w:t xml:space="preserve">e end of the lease term. </w:t>
      </w:r>
    </w:p>
    <w:p w14:paraId="07E11A5D" w14:textId="77777777" w:rsidR="00000000" w:rsidRDefault="00E614A4">
      <w:pPr>
        <w:jc w:val="both"/>
        <w:divId w:val="1615404664"/>
        <w:rPr>
          <w:rFonts w:eastAsia="Times New Roman"/>
        </w:rPr>
      </w:pPr>
      <w:r>
        <w:rPr>
          <w:rFonts w:eastAsia="Times New Roman"/>
          <w:b/>
          <w:bCs/>
          <w:i/>
          <w:iCs/>
          <w:color w:val="000000"/>
          <w:sz w:val="20"/>
          <w:szCs w:val="20"/>
        </w:rPr>
        <w:t>Foreign Currency</w:t>
      </w:r>
    </w:p>
    <w:p w14:paraId="61BD1A6E" w14:textId="77777777" w:rsidR="00000000" w:rsidRDefault="00E614A4">
      <w:pPr>
        <w:jc w:val="both"/>
        <w:divId w:val="1883328184"/>
        <w:rPr>
          <w:rFonts w:eastAsia="Times New Roman"/>
        </w:rPr>
      </w:pPr>
      <w:r>
        <w:rPr>
          <w:rFonts w:eastAsia="Times New Roman"/>
          <w:color w:val="000000"/>
          <w:sz w:val="20"/>
          <w:szCs w:val="20"/>
        </w:rPr>
        <w:t>Generally, the functional currency of the Company's foreign subsidiaries is the local currency. In those cases where the transaction is not denominated in the functional currency, the Company revalues the transact</w:t>
      </w:r>
      <w:r>
        <w:rPr>
          <w:rFonts w:eastAsia="Times New Roman"/>
          <w:color w:val="000000"/>
          <w:sz w:val="20"/>
          <w:szCs w:val="20"/>
        </w:rPr>
        <w:t>ion to the functional currency and records the translation gain or loss in the Company's Statements of Operations and Comprehensive Loss. Assets and liabilities are translated at the current exchange rate as of the end of the year, and revenues and expense</w:t>
      </w:r>
      <w:r>
        <w:rPr>
          <w:rFonts w:eastAsia="Times New Roman"/>
          <w:color w:val="000000"/>
          <w:sz w:val="20"/>
          <w:szCs w:val="20"/>
        </w:rPr>
        <w:t>s are translated at average exchange rates in effect during the year. The gain or loss resulting from the process of translating a foreign subsidiary's functional currency financial statements into U.S. Dollars ("USD") is reflected as foreign currency cumu</w:t>
      </w:r>
      <w:r>
        <w:rPr>
          <w:rFonts w:eastAsia="Times New Roman"/>
          <w:color w:val="000000"/>
          <w:sz w:val="20"/>
          <w:szCs w:val="20"/>
        </w:rPr>
        <w:t xml:space="preserve">lative translation adjustment and reported as a component of accumulated other </w:t>
      </w:r>
    </w:p>
    <w:p w14:paraId="2EABD417" w14:textId="77777777" w:rsidR="00000000" w:rsidRDefault="00E614A4">
      <w:pPr>
        <w:jc w:val="center"/>
        <w:divId w:val="2095777482"/>
        <w:rPr>
          <w:rFonts w:eastAsia="Times New Roman"/>
        </w:rPr>
      </w:pPr>
      <w:r>
        <w:rPr>
          <w:rFonts w:eastAsia="Times New Roman"/>
          <w:color w:val="000000"/>
          <w:sz w:val="20"/>
          <w:szCs w:val="20"/>
        </w:rPr>
        <w:t>69</w:t>
      </w:r>
    </w:p>
    <w:p w14:paraId="10F43FF0" w14:textId="77777777" w:rsidR="00000000" w:rsidRDefault="00E614A4">
      <w:pPr>
        <w:rPr>
          <w:rFonts w:eastAsia="Times New Roman"/>
        </w:rPr>
      </w:pPr>
      <w:r>
        <w:rPr>
          <w:rFonts w:eastAsia="Times New Roman"/>
        </w:rPr>
        <w:pict w14:anchorId="05E5F787">
          <v:rect id="_x0000_i1097" style="width:0;height:1.5pt" o:hralign="center" o:hrstd="t" o:hr="t" fillcolor="#a0a0a0" stroked="f"/>
        </w:pict>
      </w:r>
    </w:p>
    <w:p w14:paraId="05459BE7" w14:textId="77777777" w:rsidR="00000000" w:rsidRDefault="00E614A4">
      <w:pPr>
        <w:divId w:val="64161867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A7AABDB" w14:textId="77777777" w:rsidR="00000000" w:rsidRDefault="00E614A4">
      <w:pPr>
        <w:divId w:val="391849320"/>
        <w:rPr>
          <w:rFonts w:eastAsia="Times New Roman"/>
        </w:rPr>
      </w:pPr>
    </w:p>
    <w:p w14:paraId="2F1FE094" w14:textId="77777777" w:rsidR="00000000" w:rsidRDefault="00E614A4">
      <w:pPr>
        <w:jc w:val="both"/>
        <w:divId w:val="1967348570"/>
        <w:rPr>
          <w:rFonts w:eastAsia="Times New Roman"/>
        </w:rPr>
      </w:pPr>
      <w:r>
        <w:rPr>
          <w:rFonts w:eastAsia="Times New Roman"/>
          <w:color w:val="000000"/>
          <w:sz w:val="20"/>
          <w:szCs w:val="20"/>
        </w:rPr>
        <w:t>comprehensive loss. The translation adjustment for intercompany foreign currency loans that are permanent in nature are also recorded as accumulated other comprehensive loss. Translation adjus</w:t>
      </w:r>
      <w:r>
        <w:rPr>
          <w:rFonts w:eastAsia="Times New Roman"/>
          <w:color w:val="000000"/>
          <w:sz w:val="20"/>
          <w:szCs w:val="20"/>
        </w:rPr>
        <w:t>tments on intercompany accounts that are short term in nature are recorded as gain (loss) from foreign currency transactions. For foreign entities where USD is the functional currency, re-measurement of gains and losses related to deferred tax assets and l</w:t>
      </w:r>
      <w:r>
        <w:rPr>
          <w:rFonts w:eastAsia="Times New Roman"/>
          <w:color w:val="000000"/>
          <w:sz w:val="20"/>
          <w:szCs w:val="20"/>
        </w:rPr>
        <w:t xml:space="preserve">iabilities are reflected in income tax provision in the Company's Statements of Operations and Comprehensive Loss. </w:t>
      </w:r>
    </w:p>
    <w:p w14:paraId="74F75671" w14:textId="77777777" w:rsidR="00000000" w:rsidRDefault="00E614A4">
      <w:pPr>
        <w:jc w:val="both"/>
        <w:divId w:val="535507510"/>
        <w:rPr>
          <w:rFonts w:eastAsia="Times New Roman"/>
        </w:rPr>
      </w:pPr>
      <w:r>
        <w:rPr>
          <w:rFonts w:eastAsia="Times New Roman"/>
          <w:b/>
          <w:bCs/>
          <w:i/>
          <w:iCs/>
          <w:color w:val="000000"/>
          <w:sz w:val="20"/>
          <w:szCs w:val="20"/>
        </w:rPr>
        <w:t>Revenue Recognition</w:t>
      </w:r>
    </w:p>
    <w:p w14:paraId="4FBC3498" w14:textId="77777777" w:rsidR="00000000" w:rsidRDefault="00E614A4">
      <w:pPr>
        <w:jc w:val="both"/>
        <w:divId w:val="1784686503"/>
        <w:rPr>
          <w:rFonts w:eastAsia="Times New Roman"/>
        </w:rPr>
      </w:pPr>
      <w:r>
        <w:rPr>
          <w:rFonts w:eastAsia="Times New Roman"/>
          <w:color w:val="000000"/>
          <w:sz w:val="20"/>
          <w:szCs w:val="20"/>
        </w:rPr>
        <w:t xml:space="preserve">The Company applies the provisions of ASC 606, </w:t>
      </w:r>
      <w:r>
        <w:rPr>
          <w:rFonts w:eastAsia="Times New Roman"/>
          <w:i/>
          <w:iCs/>
          <w:color w:val="000000"/>
          <w:sz w:val="20"/>
          <w:szCs w:val="20"/>
        </w:rPr>
        <w:t>Revenue from Contracts with Customers</w:t>
      </w:r>
      <w:r>
        <w:rPr>
          <w:rFonts w:eastAsia="Times New Roman"/>
          <w:color w:val="000000"/>
          <w:sz w:val="20"/>
          <w:szCs w:val="20"/>
        </w:rPr>
        <w:t>, and all related applicable guidanc</w:t>
      </w:r>
      <w:r>
        <w:rPr>
          <w:rFonts w:eastAsia="Times New Roman"/>
          <w:color w:val="000000"/>
          <w:sz w:val="20"/>
          <w:szCs w:val="20"/>
        </w:rPr>
        <w:t>e. The Company recognizes revenue under the core principle to depict the transfer of control to its customers in an amount reflecting the consideration to which it expects to be entitled. In order to achieve that core principle, the Company applies the fol</w:t>
      </w:r>
      <w:r>
        <w:rPr>
          <w:rFonts w:eastAsia="Times New Roman"/>
          <w:color w:val="000000"/>
          <w:sz w:val="20"/>
          <w:szCs w:val="20"/>
        </w:rPr>
        <w:t xml:space="preserve">lowing five-step approach: (1) identify the contract with a customer, (2) identify the performance obligations in the contract, (3) determine the transaction price, (4) allocate the transaction price to the performance obligations in the contract, and (5) </w:t>
      </w:r>
      <w:r>
        <w:rPr>
          <w:rFonts w:eastAsia="Times New Roman"/>
          <w:color w:val="000000"/>
          <w:sz w:val="20"/>
          <w:szCs w:val="20"/>
        </w:rPr>
        <w:t xml:space="preserve">recognize revenue when a performance obligation is satisfied. </w:t>
      </w:r>
    </w:p>
    <w:p w14:paraId="023A9BB1" w14:textId="77777777" w:rsidR="00000000" w:rsidRDefault="00E614A4">
      <w:pPr>
        <w:jc w:val="both"/>
        <w:divId w:val="1324360288"/>
        <w:rPr>
          <w:rFonts w:eastAsia="Times New Roman"/>
        </w:rPr>
      </w:pPr>
      <w:r>
        <w:rPr>
          <w:rFonts w:eastAsia="Times New Roman"/>
          <w:color w:val="000000"/>
          <w:sz w:val="20"/>
          <w:szCs w:val="20"/>
        </w:rPr>
        <w:t>The Company's contracts with customers may include multiple promised goods and services. Contracts with multiple performance obligations typically consist of a mix of subscriptions to the Compa</w:t>
      </w:r>
      <w:r>
        <w:rPr>
          <w:rFonts w:eastAsia="Times New Roman"/>
          <w:color w:val="000000"/>
          <w:sz w:val="20"/>
          <w:szCs w:val="20"/>
        </w:rPr>
        <w:t>ny's online database, customized data services, and delivery of periodic custom reports based on information obtained from the database. In such cases, the Company identifies performance obligations by evaluating whether the promised goods and services are</w:t>
      </w:r>
      <w:r>
        <w:rPr>
          <w:rFonts w:eastAsia="Times New Roman"/>
          <w:color w:val="000000"/>
          <w:sz w:val="20"/>
          <w:szCs w:val="20"/>
        </w:rPr>
        <w:t xml:space="preserve"> capable of being distinct and distinct within the context of the contract at contract inception. Promised goods and services that are not distinct at contract inception are combined as one performance obligation. Once the Company identifies the performanc</w:t>
      </w:r>
      <w:r>
        <w:rPr>
          <w:rFonts w:eastAsia="Times New Roman"/>
          <w:color w:val="000000"/>
          <w:sz w:val="20"/>
          <w:szCs w:val="20"/>
        </w:rPr>
        <w:t>e obligations, the Company will determine the transaction price based on contractually fixed amounts and an estimate of variable consideration. The Company allocates the transaction price to each performance obligation based on relative SSP. Judgment is ex</w:t>
      </w:r>
      <w:r>
        <w:rPr>
          <w:rFonts w:eastAsia="Times New Roman"/>
          <w:color w:val="000000"/>
          <w:sz w:val="20"/>
          <w:szCs w:val="20"/>
        </w:rPr>
        <w:t xml:space="preserve">ercised to determine the SSP of each distinct performance obligation. The Company will constrain estimates of variable consideration based on its expectation of recovery from the customer. Some sources of variable consideration such as refunds, penalties, </w:t>
      </w:r>
      <w:r>
        <w:rPr>
          <w:rFonts w:eastAsia="Times New Roman"/>
          <w:color w:val="000000"/>
          <w:sz w:val="20"/>
          <w:szCs w:val="20"/>
        </w:rPr>
        <w:t>or allowances will reduce transaction price. These sources of variable consideration are relatively infrequent and generally not significant. The Company recognizes revenue when (or as) it satisfies a performance obligation by transferring promised goods o</w:t>
      </w:r>
      <w:r>
        <w:rPr>
          <w:rFonts w:eastAsia="Times New Roman"/>
          <w:color w:val="000000"/>
          <w:sz w:val="20"/>
          <w:szCs w:val="20"/>
        </w:rPr>
        <w:t>r services to a customer. Customers may obtain the control of promised goods or services over time or at a point in time. The Company recognizes revenue net of sales taxes remitted to government authorities. In general, transaction price is determined by e</w:t>
      </w:r>
      <w:r>
        <w:rPr>
          <w:rFonts w:eastAsia="Times New Roman"/>
          <w:color w:val="000000"/>
          <w:sz w:val="20"/>
          <w:szCs w:val="20"/>
        </w:rPr>
        <w:t>stimating the fixed amount of consideration to which the Company is entitled for transfer of goods and services and all relevant sources and components of variable consideration. Variable consideration is estimated based on the most likely amount or expect</w:t>
      </w:r>
      <w:r>
        <w:rPr>
          <w:rFonts w:eastAsia="Times New Roman"/>
          <w:color w:val="000000"/>
          <w:sz w:val="20"/>
          <w:szCs w:val="20"/>
        </w:rPr>
        <w:t xml:space="preserve">ed value approach, depending on which method the Company expects to better predict the amount of consideration to which it will be entitled. Once the Company elects one of the methods to estimate variable consideration for a particular type of performance </w:t>
      </w:r>
      <w:r>
        <w:rPr>
          <w:rFonts w:eastAsia="Times New Roman"/>
          <w:color w:val="000000"/>
          <w:sz w:val="20"/>
          <w:szCs w:val="20"/>
        </w:rPr>
        <w:t>obligation, the Company will apply that method consistently.</w:t>
      </w:r>
    </w:p>
    <w:p w14:paraId="1D737B11" w14:textId="77777777" w:rsidR="00000000" w:rsidRDefault="00E614A4">
      <w:pPr>
        <w:jc w:val="both"/>
        <w:divId w:val="1559977631"/>
        <w:rPr>
          <w:rFonts w:eastAsia="Times New Roman"/>
        </w:rPr>
      </w:pPr>
      <w:r>
        <w:rPr>
          <w:rFonts w:eastAsia="Times New Roman"/>
          <w:color w:val="000000"/>
          <w:sz w:val="20"/>
          <w:szCs w:val="20"/>
        </w:rPr>
        <w:t>Subscription-based revenues are typically recognized on a straight-line basis over the access period, which ranges from three to thirty-six months. Revenue for validated Campaign Essentials ("vCE</w:t>
      </w:r>
      <w:r>
        <w:rPr>
          <w:rFonts w:eastAsia="Times New Roman"/>
          <w:color w:val="000000"/>
          <w:sz w:val="20"/>
          <w:szCs w:val="20"/>
        </w:rPr>
        <w:t>") and Comscore Campaign Ratings ("CCR") is recognized over time, either on a time-elapsed basis, as the Company is providing services that the customer is continuously consuming and receiving benefit from, or on an output method, such as volume of impress</w:t>
      </w:r>
      <w:r>
        <w:rPr>
          <w:rFonts w:eastAsia="Times New Roman"/>
          <w:color w:val="000000"/>
          <w:sz w:val="20"/>
          <w:szCs w:val="20"/>
        </w:rPr>
        <w:t>ions processed. Activation products vary in nature, and can be recognized over time, generally on an input method time-elapsed basis, as the Company provides continuous tracking of activity. Other activation products are delivered at a point in time, based</w:t>
      </w:r>
      <w:r>
        <w:rPr>
          <w:rFonts w:eastAsia="Times New Roman"/>
          <w:color w:val="000000"/>
          <w:sz w:val="20"/>
          <w:szCs w:val="20"/>
        </w:rPr>
        <w:t xml:space="preserve"> on custom attributes agreed upon by customers and the Company. </w:t>
      </w:r>
    </w:p>
    <w:p w14:paraId="724503A2" w14:textId="77777777" w:rsidR="00000000" w:rsidRDefault="00E614A4">
      <w:pPr>
        <w:jc w:val="both"/>
        <w:divId w:val="219246328"/>
        <w:rPr>
          <w:rFonts w:eastAsia="Times New Roman"/>
        </w:rPr>
      </w:pPr>
      <w:r>
        <w:rPr>
          <w:rFonts w:eastAsia="Times New Roman"/>
          <w:color w:val="000000"/>
          <w:sz w:val="20"/>
          <w:szCs w:val="20"/>
        </w:rPr>
        <w:t>The Company's customized data services are delivered in the form of custom recurring reports or ad hoc reports. Custom report performance obligations, in general, are transferred at a point i</w:t>
      </w:r>
      <w:r>
        <w:rPr>
          <w:rFonts w:eastAsia="Times New Roman"/>
          <w:color w:val="000000"/>
          <w:sz w:val="20"/>
          <w:szCs w:val="20"/>
        </w:rPr>
        <w:t xml:space="preserve">n time once the product has been delivered to the customer. </w:t>
      </w:r>
    </w:p>
    <w:p w14:paraId="5CA94121" w14:textId="77777777" w:rsidR="00000000" w:rsidRDefault="00E614A4">
      <w:pPr>
        <w:jc w:val="both"/>
        <w:divId w:val="1377241406"/>
        <w:rPr>
          <w:rFonts w:eastAsia="Times New Roman"/>
        </w:rPr>
      </w:pPr>
      <w:r>
        <w:rPr>
          <w:rFonts w:eastAsia="Times New Roman"/>
          <w:color w:val="000000"/>
          <w:sz w:val="20"/>
          <w:szCs w:val="20"/>
        </w:rPr>
        <w:t>Survey products vary in nature and can be recognized at a point in time, generally on an output method report delivery basis, once the final report has been delivered to the customer. Other surve</w:t>
      </w:r>
      <w:r>
        <w:rPr>
          <w:rFonts w:eastAsia="Times New Roman"/>
          <w:color w:val="000000"/>
          <w:sz w:val="20"/>
          <w:szCs w:val="20"/>
        </w:rPr>
        <w:t>y products are recognized over time, generally on a time-elapsed basis, as the Company provides access to continuous reporting on survey results through a user interface. Survey services consist of survey design with subsequent data collection, analysis an</w:t>
      </w:r>
      <w:r>
        <w:rPr>
          <w:rFonts w:eastAsia="Times New Roman"/>
          <w:color w:val="000000"/>
          <w:sz w:val="20"/>
          <w:szCs w:val="20"/>
        </w:rPr>
        <w:t>d reporting.</w:t>
      </w:r>
    </w:p>
    <w:p w14:paraId="643482C0" w14:textId="77777777" w:rsidR="00000000" w:rsidRDefault="00E614A4">
      <w:pPr>
        <w:jc w:val="both"/>
        <w:divId w:val="472672539"/>
        <w:rPr>
          <w:rFonts w:eastAsia="Times New Roman"/>
        </w:rPr>
      </w:pPr>
      <w:r>
        <w:rPr>
          <w:rFonts w:eastAsia="Times New Roman"/>
          <w:color w:val="000000"/>
          <w:sz w:val="20"/>
          <w:szCs w:val="20"/>
        </w:rPr>
        <w:t>For performance obligations satisfied at a point in time, the Company evaluates a number of factors to determine whether control of goods and services has been transferred. The Company considers whether there is a present right to payment and whether the c</w:t>
      </w:r>
      <w:r>
        <w:rPr>
          <w:rFonts w:eastAsia="Times New Roman"/>
          <w:color w:val="000000"/>
          <w:sz w:val="20"/>
          <w:szCs w:val="20"/>
        </w:rPr>
        <w:t>ustomer has accepted the asset. In many instances the Company has objective evidence of the acceptance criteria, while in other cases the acceptance provisions are substantive, and the customer must affirmatively signal acceptance. The preceding two factor</w:t>
      </w:r>
      <w:r>
        <w:rPr>
          <w:rFonts w:eastAsia="Times New Roman"/>
          <w:color w:val="000000"/>
          <w:sz w:val="20"/>
          <w:szCs w:val="20"/>
        </w:rPr>
        <w:t>s are not the only factors that may be considered. Other considerations include, but are not limited to, whether risks and rewards of ownership have been transferred for a particular product.</w:t>
      </w:r>
    </w:p>
    <w:p w14:paraId="4D88F1F1" w14:textId="77777777" w:rsidR="00000000" w:rsidRDefault="00E614A4">
      <w:pPr>
        <w:jc w:val="both"/>
        <w:divId w:val="1774283655"/>
        <w:rPr>
          <w:rFonts w:eastAsia="Times New Roman"/>
        </w:rPr>
      </w:pPr>
      <w:r>
        <w:rPr>
          <w:rFonts w:eastAsia="Times New Roman"/>
          <w:color w:val="000000"/>
          <w:sz w:val="20"/>
          <w:szCs w:val="20"/>
        </w:rPr>
        <w:t>For the majority of its products and services, the Company appli</w:t>
      </w:r>
      <w:r>
        <w:rPr>
          <w:rFonts w:eastAsia="Times New Roman"/>
          <w:color w:val="000000"/>
          <w:sz w:val="20"/>
          <w:szCs w:val="20"/>
        </w:rPr>
        <w:t>es an adjusted market assessment approach for the determination of SSP for identified performance obligations. In general, the Company bundles multiple products and very few are sold on a standalone basis. The Company uses rate cards and pricing calculator</w:t>
      </w:r>
      <w:r>
        <w:rPr>
          <w:rFonts w:eastAsia="Times New Roman"/>
          <w:color w:val="000000"/>
          <w:sz w:val="20"/>
          <w:szCs w:val="20"/>
        </w:rPr>
        <w:t>s that are periodically reviewed and updated to reflect the latest sales data and observable inputs by industry, channel, geography, customer size, and other relevant groupings. Certain products are sold on a standalone basis in a narrow band of prices. If</w:t>
      </w:r>
      <w:r>
        <w:rPr>
          <w:rFonts w:eastAsia="Times New Roman"/>
          <w:color w:val="000000"/>
          <w:sz w:val="20"/>
          <w:szCs w:val="20"/>
        </w:rPr>
        <w:t xml:space="preserve"> a product is sold outside of the narrow band of prices, it will be assigned the midpoint of the narrow band for purposes of allocating transaction price on a relative SSP basis. </w:t>
      </w:r>
    </w:p>
    <w:p w14:paraId="19B67D80" w14:textId="77777777" w:rsidR="00000000" w:rsidRDefault="00E614A4">
      <w:pPr>
        <w:jc w:val="center"/>
        <w:divId w:val="1112675445"/>
        <w:rPr>
          <w:rFonts w:eastAsia="Times New Roman"/>
        </w:rPr>
      </w:pPr>
      <w:r>
        <w:rPr>
          <w:rFonts w:eastAsia="Times New Roman"/>
          <w:color w:val="000000"/>
          <w:sz w:val="20"/>
          <w:szCs w:val="20"/>
        </w:rPr>
        <w:t>70</w:t>
      </w:r>
    </w:p>
    <w:p w14:paraId="08F94DE7" w14:textId="77777777" w:rsidR="00000000" w:rsidRDefault="00E614A4">
      <w:pPr>
        <w:rPr>
          <w:rFonts w:eastAsia="Times New Roman"/>
        </w:rPr>
      </w:pPr>
      <w:r>
        <w:rPr>
          <w:rFonts w:eastAsia="Times New Roman"/>
        </w:rPr>
        <w:pict w14:anchorId="6255AC70">
          <v:rect id="_x0000_i1098" style="width:0;height:1.5pt" o:hralign="center" o:hrstd="t" o:hr="t" fillcolor="#a0a0a0" stroked="f"/>
        </w:pict>
      </w:r>
    </w:p>
    <w:p w14:paraId="5F2E4572" w14:textId="77777777" w:rsidR="00000000" w:rsidRDefault="00E614A4">
      <w:pPr>
        <w:divId w:val="60203429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D2B1EE7" w14:textId="77777777" w:rsidR="00000000" w:rsidRDefault="00E614A4">
      <w:pPr>
        <w:divId w:val="1164393281"/>
        <w:rPr>
          <w:rFonts w:eastAsia="Times New Roman"/>
        </w:rPr>
      </w:pPr>
    </w:p>
    <w:p w14:paraId="4A4D3A64" w14:textId="77777777" w:rsidR="00000000" w:rsidRDefault="00E614A4">
      <w:pPr>
        <w:jc w:val="both"/>
        <w:divId w:val="1109853527"/>
        <w:rPr>
          <w:rFonts w:eastAsia="Times New Roman"/>
        </w:rPr>
      </w:pPr>
      <w:r>
        <w:rPr>
          <w:rFonts w:eastAsia="Times New Roman"/>
          <w:color w:val="000000"/>
          <w:sz w:val="20"/>
          <w:szCs w:val="20"/>
        </w:rPr>
        <w:t>Customers may have the right to cancel their contracts by providing a written notice of cancellation, although most subscription-based contracts are non-can</w:t>
      </w:r>
      <w:r>
        <w:rPr>
          <w:rFonts w:eastAsia="Times New Roman"/>
          <w:color w:val="000000"/>
          <w:sz w:val="20"/>
          <w:szCs w:val="20"/>
        </w:rPr>
        <w:t>celable. If a customer cancels its contract, the customer is generally not entitled to a refund for prior services. In the event a portion of a contract is refundable, revenue recognition is delayed until the refund provision lapses. For multi-year contrac</w:t>
      </w:r>
      <w:r>
        <w:rPr>
          <w:rFonts w:eastAsia="Times New Roman"/>
          <w:color w:val="000000"/>
          <w:sz w:val="20"/>
          <w:szCs w:val="20"/>
        </w:rPr>
        <w:t>ts with annual price increases and no opt out clauses, the total consideration for each of the years included in the contract term will be combined and recognized on a straight-line basis over the term of the contract.</w:t>
      </w:r>
    </w:p>
    <w:p w14:paraId="0FC5EA32" w14:textId="77777777" w:rsidR="00000000" w:rsidRDefault="00E614A4">
      <w:pPr>
        <w:jc w:val="both"/>
        <w:divId w:val="1992950560"/>
        <w:rPr>
          <w:rFonts w:eastAsia="Times New Roman"/>
        </w:rPr>
      </w:pPr>
      <w:r>
        <w:rPr>
          <w:rFonts w:eastAsia="Times New Roman"/>
          <w:color w:val="000000"/>
          <w:sz w:val="20"/>
          <w:szCs w:val="20"/>
        </w:rPr>
        <w:t>The Company may enter into multiple c</w:t>
      </w:r>
      <w:r>
        <w:rPr>
          <w:rFonts w:eastAsia="Times New Roman"/>
          <w:color w:val="000000"/>
          <w:sz w:val="20"/>
          <w:szCs w:val="20"/>
        </w:rPr>
        <w:t>ontracts with a single counterparty at or near the same time. The Company will combine contracts and account for them as a single contract when one or more of the following criteria are met: (i) the contracts are negotiated as a package with a single comme</w:t>
      </w:r>
      <w:r>
        <w:rPr>
          <w:rFonts w:eastAsia="Times New Roman"/>
          <w:color w:val="000000"/>
          <w:sz w:val="20"/>
          <w:szCs w:val="20"/>
        </w:rPr>
        <w:t xml:space="preserve">rcial objective, (ii) consideration to be paid in one contract depends on the price or performance of the other contract, and (iii) goods or services promised are a single performance obligation. </w:t>
      </w:r>
    </w:p>
    <w:p w14:paraId="36B627CD" w14:textId="77777777" w:rsidR="00000000" w:rsidRDefault="00E614A4">
      <w:pPr>
        <w:jc w:val="both"/>
        <w:divId w:val="2017533907"/>
        <w:rPr>
          <w:rFonts w:eastAsia="Times New Roman"/>
        </w:rPr>
      </w:pPr>
      <w:r>
        <w:rPr>
          <w:rFonts w:eastAsia="Times New Roman"/>
          <w:color w:val="000000"/>
          <w:sz w:val="20"/>
          <w:szCs w:val="20"/>
        </w:rPr>
        <w:t>For transactions that involve third parties, the Company ev</w:t>
      </w:r>
      <w:r>
        <w:rPr>
          <w:rFonts w:eastAsia="Times New Roman"/>
          <w:color w:val="000000"/>
          <w:sz w:val="20"/>
          <w:szCs w:val="20"/>
        </w:rPr>
        <w:t xml:space="preserve">aluates whether the Company is the principal, in which case the Company recognizes revenue on a gross basis. If the Company is an agent, the Company recognizes revenue on a net basis. In certain countries, the Company may use third-party resellers to sell </w:t>
      </w:r>
      <w:r>
        <w:rPr>
          <w:rFonts w:eastAsia="Times New Roman"/>
          <w:color w:val="000000"/>
          <w:sz w:val="20"/>
          <w:szCs w:val="20"/>
        </w:rPr>
        <w:t>its products and services. In these transactions, the Company is generally the principal as the Company controls the products and services and is primarily responsible for providing them to the end user. The Company also has certain revenue share arrangeme</w:t>
      </w:r>
      <w:r>
        <w:rPr>
          <w:rFonts w:eastAsia="Times New Roman"/>
          <w:color w:val="000000"/>
          <w:sz w:val="20"/>
          <w:szCs w:val="20"/>
        </w:rPr>
        <w:t>nts that involve the use of partner data in its sales to end users or the use of its data in partner sales to end users. In these arrangements, the Company assesses which party controls the specified goods or services before they are transferred to the cus</w:t>
      </w:r>
      <w:r>
        <w:rPr>
          <w:rFonts w:eastAsia="Times New Roman"/>
          <w:color w:val="000000"/>
          <w:sz w:val="20"/>
          <w:szCs w:val="20"/>
        </w:rPr>
        <w:t>tomer, as well as other indicators such as the party primarily responsible for fulfillment, inventory risk, and discretion in establishing price. </w:t>
      </w:r>
    </w:p>
    <w:p w14:paraId="0521C0B0" w14:textId="77777777" w:rsidR="00000000" w:rsidRDefault="00E614A4">
      <w:pPr>
        <w:jc w:val="both"/>
        <w:divId w:val="1881434064"/>
        <w:rPr>
          <w:rFonts w:eastAsia="Times New Roman"/>
        </w:rPr>
      </w:pPr>
      <w:r>
        <w:rPr>
          <w:rFonts w:eastAsia="Times New Roman"/>
          <w:color w:val="000000"/>
          <w:sz w:val="20"/>
          <w:szCs w:val="20"/>
        </w:rPr>
        <w:t>The Company enters into a limited number of monetary contracts with multichannel video programming distributo</w:t>
      </w:r>
      <w:r>
        <w:rPr>
          <w:rFonts w:eastAsia="Times New Roman"/>
          <w:color w:val="000000"/>
          <w:sz w:val="20"/>
          <w:szCs w:val="20"/>
        </w:rPr>
        <w:t>rs ("MVPDs") that involve both the purchase and sale of services with a single counterparty. The Company assesses each contract to determine if the revenue and expense should be presented gross or net. In some instances, the Company may provide free distin</w:t>
      </w:r>
      <w:r>
        <w:rPr>
          <w:rFonts w:eastAsia="Times New Roman"/>
          <w:color w:val="000000"/>
          <w:sz w:val="20"/>
          <w:szCs w:val="20"/>
        </w:rPr>
        <w:t>ct goods or services as a form of non-cash consideration to the counterparty. The Company recognizes revenue for these contracts to the extent that SSP is established for distinct services provided. Any excess consideration above the established SSP of ser</w:t>
      </w:r>
      <w:r>
        <w:rPr>
          <w:rFonts w:eastAsia="Times New Roman"/>
          <w:color w:val="000000"/>
          <w:sz w:val="20"/>
          <w:szCs w:val="20"/>
        </w:rPr>
        <w:t>vices is presented as an offset to cost of revenues in the Consolidated Statements of Operations and Comprehensive Loss.</w:t>
      </w:r>
    </w:p>
    <w:p w14:paraId="7AE9D1E9" w14:textId="77777777" w:rsidR="00000000" w:rsidRDefault="00E614A4">
      <w:pPr>
        <w:jc w:val="both"/>
        <w:divId w:val="1256130125"/>
        <w:rPr>
          <w:rFonts w:eastAsia="Times New Roman"/>
        </w:rPr>
      </w:pPr>
      <w:r>
        <w:rPr>
          <w:rFonts w:eastAsia="Times New Roman"/>
          <w:b/>
          <w:bCs/>
          <w:i/>
          <w:iCs/>
          <w:color w:val="000000"/>
          <w:sz w:val="20"/>
          <w:szCs w:val="20"/>
        </w:rPr>
        <w:t>Contract Balances</w:t>
      </w:r>
    </w:p>
    <w:p w14:paraId="7726DDC3" w14:textId="77777777" w:rsidR="00000000" w:rsidRDefault="00E614A4">
      <w:pPr>
        <w:jc w:val="both"/>
        <w:divId w:val="1049720747"/>
        <w:rPr>
          <w:rFonts w:eastAsia="Times New Roman"/>
        </w:rPr>
      </w:pPr>
      <w:r>
        <w:rPr>
          <w:rFonts w:eastAsia="Times New Roman"/>
          <w:color w:val="000000"/>
          <w:sz w:val="20"/>
          <w:szCs w:val="20"/>
        </w:rPr>
        <w:t>Accounts receivable are billed and unbilled amounts related to the Company's rights to consideration as performance o</w:t>
      </w:r>
      <w:r>
        <w:rPr>
          <w:rFonts w:eastAsia="Times New Roman"/>
          <w:color w:val="000000"/>
          <w:sz w:val="20"/>
          <w:szCs w:val="20"/>
        </w:rPr>
        <w:t>bligations are satisfied when the rights to payment become unconditional but for the passage of time.</w:t>
      </w:r>
    </w:p>
    <w:p w14:paraId="29168770" w14:textId="77777777" w:rsidR="00000000" w:rsidRDefault="00E614A4">
      <w:pPr>
        <w:jc w:val="both"/>
        <w:divId w:val="249044047"/>
        <w:rPr>
          <w:rFonts w:eastAsia="Times New Roman"/>
        </w:rPr>
      </w:pPr>
      <w:r>
        <w:rPr>
          <w:rFonts w:eastAsia="Times New Roman"/>
          <w:color w:val="000000"/>
          <w:sz w:val="20"/>
          <w:szCs w:val="20"/>
        </w:rPr>
        <w:t xml:space="preserve">Contract assets are included in prepaid expenses and other current assets within the Consolidated Balance Sheets. Contract assets represent the Company's </w:t>
      </w:r>
      <w:r>
        <w:rPr>
          <w:rFonts w:eastAsia="Times New Roman"/>
          <w:color w:val="000000"/>
          <w:sz w:val="20"/>
          <w:szCs w:val="20"/>
        </w:rPr>
        <w:t>right to consideration in exchange for goods or services transferred to the customer either prior to the receipt of consideration or before payment is due.</w:t>
      </w:r>
    </w:p>
    <w:p w14:paraId="6056A86E" w14:textId="77777777" w:rsidR="00000000" w:rsidRDefault="00E614A4">
      <w:pPr>
        <w:jc w:val="both"/>
        <w:divId w:val="274754775"/>
        <w:rPr>
          <w:rFonts w:eastAsia="Times New Roman"/>
        </w:rPr>
      </w:pPr>
      <w:r>
        <w:rPr>
          <w:rFonts w:eastAsia="Times New Roman"/>
          <w:color w:val="000000"/>
          <w:sz w:val="20"/>
          <w:szCs w:val="20"/>
        </w:rPr>
        <w:t xml:space="preserve">Contract payments are generally due in advance for subscription-based services or prior to delivery </w:t>
      </w:r>
      <w:r>
        <w:rPr>
          <w:rFonts w:eastAsia="Times New Roman"/>
          <w:color w:val="000000"/>
          <w:sz w:val="20"/>
          <w:szCs w:val="20"/>
        </w:rPr>
        <w:t>of custom reports. If a contract exists under ASC 606, advance payments are recorded as a contract liability or a customer advance until the performance obligations are satisfied and revenue is earned.</w:t>
      </w:r>
    </w:p>
    <w:p w14:paraId="77886E82" w14:textId="77777777" w:rsidR="00000000" w:rsidRDefault="00E614A4">
      <w:pPr>
        <w:jc w:val="both"/>
        <w:divId w:val="353969184"/>
        <w:rPr>
          <w:rFonts w:eastAsia="Times New Roman"/>
        </w:rPr>
      </w:pPr>
      <w:r>
        <w:rPr>
          <w:rFonts w:eastAsia="Times New Roman"/>
          <w:color w:val="000000"/>
          <w:sz w:val="20"/>
          <w:szCs w:val="20"/>
        </w:rPr>
        <w:t>Contract liabilities relate to amounts billed in advan</w:t>
      </w:r>
      <w:r>
        <w:rPr>
          <w:rFonts w:eastAsia="Times New Roman"/>
          <w:color w:val="000000"/>
          <w:sz w:val="20"/>
          <w:szCs w:val="20"/>
        </w:rPr>
        <w:t>ce, or advance consideration received from customers, for which transfer of control of the good or service occurs at a later point in time. Customer advances relate to amounts billed in advance, or advance considerations received from customers, for contra</w:t>
      </w:r>
      <w:r>
        <w:rPr>
          <w:rFonts w:eastAsia="Times New Roman"/>
          <w:color w:val="000000"/>
          <w:sz w:val="20"/>
          <w:szCs w:val="20"/>
        </w:rPr>
        <w:t xml:space="preserve">cts with termination rights for which transfer of control of the good or service occurs at a later point in time. Contract liabilities and customer advances to be recognized in the succeeding twelve-month period are classified as current and the remaining </w:t>
      </w:r>
      <w:r>
        <w:rPr>
          <w:rFonts w:eastAsia="Times New Roman"/>
          <w:color w:val="000000"/>
          <w:sz w:val="20"/>
          <w:szCs w:val="20"/>
        </w:rPr>
        <w:t>amounts are classified as non-current liabilities within the Consolidated Balance Sheets.</w:t>
      </w:r>
    </w:p>
    <w:p w14:paraId="4804564E" w14:textId="77777777" w:rsidR="00000000" w:rsidRDefault="00E614A4">
      <w:pPr>
        <w:jc w:val="both"/>
        <w:divId w:val="1675063873"/>
        <w:rPr>
          <w:rFonts w:eastAsia="Times New Roman"/>
        </w:rPr>
      </w:pPr>
      <w:r>
        <w:rPr>
          <w:rFonts w:eastAsia="Times New Roman"/>
          <w:b/>
          <w:bCs/>
          <w:i/>
          <w:iCs/>
          <w:color w:val="000000"/>
          <w:sz w:val="20"/>
          <w:szCs w:val="20"/>
        </w:rPr>
        <w:t>Transaction Price Allocated to the Remaining Performance Obligations</w:t>
      </w:r>
    </w:p>
    <w:p w14:paraId="696FC985" w14:textId="77777777" w:rsidR="00000000" w:rsidRDefault="00E614A4">
      <w:pPr>
        <w:jc w:val="both"/>
        <w:divId w:val="1506089795"/>
        <w:rPr>
          <w:rFonts w:eastAsia="Times New Roman"/>
        </w:rPr>
      </w:pPr>
      <w:r>
        <w:rPr>
          <w:rFonts w:eastAsia="Times New Roman"/>
          <w:color w:val="000000"/>
          <w:sz w:val="20"/>
          <w:szCs w:val="20"/>
        </w:rPr>
        <w:t>The Company elected an optional exemption to not disclose information about remaining performance</w:t>
      </w:r>
      <w:r>
        <w:rPr>
          <w:rFonts w:eastAsia="Times New Roman"/>
          <w:color w:val="000000"/>
          <w:sz w:val="20"/>
          <w:szCs w:val="20"/>
        </w:rPr>
        <w:t xml:space="preserve"> obligations that have an original expected duration of one year or less, or where the transaction price allocated to unsatisfied performance obligations for which variable consideration is allocated entirely to a wholly unsatisfied performance obligation,</w:t>
      </w:r>
      <w:r>
        <w:rPr>
          <w:rFonts w:eastAsia="Times New Roman"/>
          <w:color w:val="000000"/>
          <w:sz w:val="20"/>
          <w:szCs w:val="20"/>
        </w:rPr>
        <w:t xml:space="preserve"> or to a wholly unsatisfied promise to transfer a distinct good or service that forms part of a single performance obligation in accordance with the series guidance.</w:t>
      </w:r>
    </w:p>
    <w:p w14:paraId="0092F5B2" w14:textId="77777777" w:rsidR="00000000" w:rsidRDefault="00E614A4">
      <w:pPr>
        <w:jc w:val="both"/>
        <w:divId w:val="1973173164"/>
        <w:rPr>
          <w:rFonts w:eastAsia="Times New Roman"/>
        </w:rPr>
      </w:pPr>
      <w:r>
        <w:rPr>
          <w:rFonts w:eastAsia="Times New Roman"/>
          <w:b/>
          <w:bCs/>
          <w:i/>
          <w:iCs/>
          <w:color w:val="000000"/>
          <w:sz w:val="20"/>
          <w:szCs w:val="20"/>
        </w:rPr>
        <w:t>Costs to Obtain or Fulfill a Contract</w:t>
      </w:r>
    </w:p>
    <w:p w14:paraId="20E8633D" w14:textId="77777777" w:rsidR="00000000" w:rsidRDefault="00E614A4">
      <w:pPr>
        <w:jc w:val="both"/>
        <w:divId w:val="1605452227"/>
        <w:rPr>
          <w:rFonts w:eastAsia="Times New Roman"/>
        </w:rPr>
      </w:pPr>
      <w:r>
        <w:rPr>
          <w:rFonts w:eastAsia="Times New Roman"/>
          <w:color w:val="000000"/>
          <w:sz w:val="20"/>
          <w:szCs w:val="20"/>
        </w:rPr>
        <w:t>The Company elected the practical expedient to recog</w:t>
      </w:r>
      <w:r>
        <w:rPr>
          <w:rFonts w:eastAsia="Times New Roman"/>
          <w:color w:val="000000"/>
          <w:sz w:val="20"/>
          <w:szCs w:val="20"/>
        </w:rPr>
        <w:t>nize the incremental costs of obtaining contracts as an expense when incurred if the amortization period of the assets is one year or less. These costs include commission programs to compensate employees for obtaining new contracts and are included in sell</w:t>
      </w:r>
      <w:r>
        <w:rPr>
          <w:rFonts w:eastAsia="Times New Roman"/>
          <w:color w:val="000000"/>
          <w:sz w:val="20"/>
          <w:szCs w:val="20"/>
        </w:rPr>
        <w:t>ing and marketing expense.</w:t>
      </w:r>
    </w:p>
    <w:p w14:paraId="0E33F022" w14:textId="77777777" w:rsidR="00000000" w:rsidRDefault="00E614A4">
      <w:pPr>
        <w:jc w:val="both"/>
        <w:divId w:val="2008364434"/>
        <w:rPr>
          <w:rFonts w:eastAsia="Times New Roman"/>
        </w:rPr>
      </w:pPr>
      <w:r>
        <w:rPr>
          <w:rFonts w:eastAsia="Times New Roman"/>
          <w:color w:val="000000"/>
          <w:sz w:val="20"/>
          <w:szCs w:val="20"/>
        </w:rPr>
        <w:t>Certain costs to fulfill are capitalized in relation to long-term contracts wherein the transfer of goods and services will occur at a point in time. In addition, the Company capitalizes costs to fulfill for long-term contracts that are incurred during a s</w:t>
      </w:r>
      <w:r>
        <w:rPr>
          <w:rFonts w:eastAsia="Times New Roman"/>
          <w:color w:val="000000"/>
          <w:sz w:val="20"/>
          <w:szCs w:val="20"/>
        </w:rPr>
        <w:t>etup period prior to transferring control of the good or service over time. These costs include dedicated employees, subcontractors, and other third-party costs. The Company will assess capitalized costs to fulfill at each reporting period for recoverabili</w:t>
      </w:r>
      <w:r>
        <w:rPr>
          <w:rFonts w:eastAsia="Times New Roman"/>
          <w:color w:val="000000"/>
          <w:sz w:val="20"/>
          <w:szCs w:val="20"/>
        </w:rPr>
        <w:t>ty. These costs are included in cost of revenue and are recognized in the same manner as the corresponding performance obligation.</w:t>
      </w:r>
    </w:p>
    <w:p w14:paraId="79900694" w14:textId="77777777" w:rsidR="00000000" w:rsidRDefault="00E614A4">
      <w:pPr>
        <w:jc w:val="center"/>
        <w:divId w:val="1270816043"/>
        <w:rPr>
          <w:rFonts w:eastAsia="Times New Roman"/>
        </w:rPr>
      </w:pPr>
      <w:r>
        <w:rPr>
          <w:rFonts w:eastAsia="Times New Roman"/>
          <w:color w:val="000000"/>
          <w:sz w:val="20"/>
          <w:szCs w:val="20"/>
        </w:rPr>
        <w:t>71</w:t>
      </w:r>
    </w:p>
    <w:p w14:paraId="25594322" w14:textId="77777777" w:rsidR="00000000" w:rsidRDefault="00E614A4">
      <w:pPr>
        <w:rPr>
          <w:rFonts w:eastAsia="Times New Roman"/>
        </w:rPr>
      </w:pPr>
      <w:r>
        <w:rPr>
          <w:rFonts w:eastAsia="Times New Roman"/>
        </w:rPr>
        <w:pict w14:anchorId="0BC53FF3">
          <v:rect id="_x0000_i1099" style="width:0;height:1.5pt" o:hralign="center" o:hrstd="t" o:hr="t" fillcolor="#a0a0a0" stroked="f"/>
        </w:pict>
      </w:r>
    </w:p>
    <w:p w14:paraId="6C7125AC" w14:textId="77777777" w:rsidR="00000000" w:rsidRDefault="00E614A4">
      <w:pPr>
        <w:divId w:val="10250249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BBF2BC6" w14:textId="77777777" w:rsidR="00000000" w:rsidRDefault="00E614A4">
      <w:pPr>
        <w:divId w:val="1829862709"/>
        <w:rPr>
          <w:rFonts w:eastAsia="Times New Roman"/>
        </w:rPr>
      </w:pPr>
    </w:p>
    <w:p w14:paraId="7FFF212B" w14:textId="77777777" w:rsidR="00000000" w:rsidRDefault="00E614A4">
      <w:pPr>
        <w:divId w:val="483276538"/>
        <w:rPr>
          <w:rFonts w:eastAsia="Times New Roman"/>
        </w:rPr>
      </w:pPr>
      <w:r>
        <w:rPr>
          <w:rFonts w:eastAsia="Times New Roman"/>
          <w:b/>
          <w:bCs/>
          <w:i/>
          <w:iCs/>
          <w:color w:val="000000"/>
          <w:sz w:val="20"/>
          <w:szCs w:val="20"/>
        </w:rPr>
        <w:t>Cost of Revenues</w:t>
      </w:r>
    </w:p>
    <w:p w14:paraId="79A87171" w14:textId="77777777" w:rsidR="00000000" w:rsidRDefault="00E614A4">
      <w:pPr>
        <w:jc w:val="both"/>
        <w:divId w:val="1062363709"/>
        <w:rPr>
          <w:rFonts w:eastAsia="Times New Roman"/>
        </w:rPr>
      </w:pPr>
      <w:r>
        <w:rPr>
          <w:rFonts w:eastAsia="Times New Roman"/>
          <w:color w:val="000000"/>
          <w:sz w:val="20"/>
          <w:szCs w:val="20"/>
        </w:rPr>
        <w:t>Cost of revenues consists primarily of costs to produce the Company's products including viewing data f</w:t>
      </w:r>
      <w:r>
        <w:rPr>
          <w:rFonts w:eastAsia="Times New Roman"/>
          <w:color w:val="000000"/>
          <w:sz w:val="20"/>
          <w:szCs w:val="20"/>
        </w:rPr>
        <w:t>rom MVPDs, census-based, panel and other third-party data as well as costs to operate its network infrastructure including data center, data storage and compliance costs. Other costs include amortization of capitalized fulfillment costs, employee costs inc</w:t>
      </w:r>
      <w:r>
        <w:rPr>
          <w:rFonts w:eastAsia="Times New Roman"/>
          <w:color w:val="000000"/>
          <w:sz w:val="20"/>
          <w:szCs w:val="20"/>
        </w:rPr>
        <w:t xml:space="preserve">luding stock-based compensation, depreciation related to assets used to maintain the network and produce products and allocated overhead, including rent and depreciation expenses generated by general purpose equipment and software. </w:t>
      </w:r>
    </w:p>
    <w:p w14:paraId="4E1501F2" w14:textId="77777777" w:rsidR="00000000" w:rsidRDefault="00E614A4">
      <w:pPr>
        <w:jc w:val="both"/>
        <w:divId w:val="1971982256"/>
        <w:rPr>
          <w:rFonts w:eastAsia="Times New Roman"/>
        </w:rPr>
      </w:pPr>
      <w:r>
        <w:rPr>
          <w:rFonts w:eastAsia="Times New Roman"/>
          <w:b/>
          <w:bCs/>
          <w:i/>
          <w:iCs/>
          <w:color w:val="000000"/>
          <w:sz w:val="20"/>
          <w:szCs w:val="20"/>
        </w:rPr>
        <w:t>Selling and Marketing</w:t>
      </w:r>
    </w:p>
    <w:p w14:paraId="16F89189" w14:textId="77777777" w:rsidR="00000000" w:rsidRDefault="00E614A4">
      <w:pPr>
        <w:jc w:val="both"/>
        <w:divId w:val="1808432112"/>
        <w:rPr>
          <w:rFonts w:eastAsia="Times New Roman"/>
        </w:rPr>
      </w:pPr>
      <w:r>
        <w:rPr>
          <w:rFonts w:eastAsia="Times New Roman"/>
          <w:color w:val="000000"/>
          <w:sz w:val="20"/>
          <w:szCs w:val="20"/>
        </w:rPr>
        <w:t>S</w:t>
      </w:r>
      <w:r>
        <w:rPr>
          <w:rFonts w:eastAsia="Times New Roman"/>
          <w:color w:val="000000"/>
          <w:sz w:val="20"/>
          <w:szCs w:val="20"/>
        </w:rPr>
        <w:t>elling and marketing expenses consist primarily of salaries, commissions, stock-based compensation, benefits and bonuses for personnel associated with sales and marketing activities, as well as costs related to online and offline advertising, product manag</w:t>
      </w:r>
      <w:r>
        <w:rPr>
          <w:rFonts w:eastAsia="Times New Roman"/>
          <w:color w:val="000000"/>
          <w:sz w:val="20"/>
          <w:szCs w:val="20"/>
        </w:rPr>
        <w:t>ement, seminars, promotional materials, public relations, other sales and marketing programs, and allocated overhead, including rent and other facilities related costs, and depreciation.</w:t>
      </w:r>
    </w:p>
    <w:p w14:paraId="58F3E878" w14:textId="77777777" w:rsidR="00000000" w:rsidRDefault="00E614A4">
      <w:pPr>
        <w:jc w:val="both"/>
        <w:divId w:val="1497380344"/>
        <w:rPr>
          <w:rFonts w:eastAsia="Times New Roman"/>
        </w:rPr>
      </w:pPr>
      <w:r>
        <w:rPr>
          <w:rFonts w:eastAsia="Times New Roman"/>
          <w:b/>
          <w:bCs/>
          <w:i/>
          <w:iCs/>
          <w:color w:val="000000"/>
          <w:sz w:val="20"/>
          <w:szCs w:val="20"/>
        </w:rPr>
        <w:t>General and Administrative</w:t>
      </w:r>
    </w:p>
    <w:p w14:paraId="202A2A2C" w14:textId="77777777" w:rsidR="00000000" w:rsidRDefault="00E614A4">
      <w:pPr>
        <w:jc w:val="both"/>
        <w:divId w:val="309213133"/>
        <w:rPr>
          <w:rFonts w:eastAsia="Times New Roman"/>
        </w:rPr>
      </w:pPr>
      <w:r>
        <w:rPr>
          <w:rFonts w:eastAsia="Times New Roman"/>
          <w:color w:val="000000"/>
          <w:sz w:val="20"/>
          <w:szCs w:val="20"/>
        </w:rPr>
        <w:t>General and administrative expenses consis</w:t>
      </w:r>
      <w:r>
        <w:rPr>
          <w:rFonts w:eastAsia="Times New Roman"/>
          <w:color w:val="000000"/>
          <w:sz w:val="20"/>
          <w:szCs w:val="20"/>
        </w:rPr>
        <w:t>t primarily of salaries, stock-based compensation, benefits and related costs for executive management, finance, accounting, human capital, legal, information technology and other administrative functions, as well as professional fees and allocated overhea</w:t>
      </w:r>
      <w:r>
        <w:rPr>
          <w:rFonts w:eastAsia="Times New Roman"/>
          <w:color w:val="000000"/>
          <w:sz w:val="20"/>
          <w:szCs w:val="20"/>
        </w:rPr>
        <w:t>d, including rent and other facilities related costs, depreciation and expenses incurred for other general corporate purposes.</w:t>
      </w:r>
    </w:p>
    <w:p w14:paraId="0CA0A704" w14:textId="77777777" w:rsidR="00000000" w:rsidRDefault="00E614A4">
      <w:pPr>
        <w:jc w:val="both"/>
        <w:divId w:val="1289894590"/>
        <w:rPr>
          <w:rFonts w:eastAsia="Times New Roman"/>
        </w:rPr>
      </w:pPr>
      <w:r>
        <w:rPr>
          <w:rFonts w:eastAsia="Times New Roman"/>
          <w:b/>
          <w:bCs/>
          <w:i/>
          <w:iCs/>
          <w:color w:val="000000"/>
          <w:sz w:val="20"/>
          <w:szCs w:val="20"/>
        </w:rPr>
        <w:t>Research and Development</w:t>
      </w:r>
    </w:p>
    <w:p w14:paraId="0A33ED71" w14:textId="77777777" w:rsidR="00000000" w:rsidRDefault="00E614A4">
      <w:pPr>
        <w:jc w:val="both"/>
        <w:divId w:val="776944263"/>
        <w:rPr>
          <w:rFonts w:eastAsia="Times New Roman"/>
        </w:rPr>
      </w:pPr>
      <w:r>
        <w:rPr>
          <w:rFonts w:eastAsia="Times New Roman"/>
          <w:color w:val="000000"/>
          <w:sz w:val="20"/>
          <w:szCs w:val="20"/>
        </w:rPr>
        <w:t xml:space="preserve">Research and development expenses consist primarily of salaries, stock-based compensation, benefits and </w:t>
      </w:r>
      <w:r>
        <w:rPr>
          <w:rFonts w:eastAsia="Times New Roman"/>
          <w:color w:val="000000"/>
          <w:sz w:val="20"/>
          <w:szCs w:val="20"/>
        </w:rPr>
        <w:t>related costs for personnel associated with research and development activities, as well as allocated overhead, including rent and other facilities related costs, and depreciation.</w:t>
      </w:r>
    </w:p>
    <w:p w14:paraId="0528C93E" w14:textId="77777777" w:rsidR="00000000" w:rsidRDefault="00E614A4">
      <w:pPr>
        <w:jc w:val="both"/>
        <w:divId w:val="1421366134"/>
        <w:rPr>
          <w:rFonts w:eastAsia="Times New Roman"/>
        </w:rPr>
      </w:pPr>
      <w:r>
        <w:rPr>
          <w:rFonts w:eastAsia="Times New Roman"/>
          <w:b/>
          <w:bCs/>
          <w:i/>
          <w:iCs/>
          <w:color w:val="000000"/>
          <w:sz w:val="20"/>
          <w:szCs w:val="20"/>
        </w:rPr>
        <w:t>Investigation and Audit Related</w:t>
      </w:r>
    </w:p>
    <w:p w14:paraId="08BD040D" w14:textId="77777777" w:rsidR="00000000" w:rsidRDefault="00E614A4">
      <w:pPr>
        <w:jc w:val="both"/>
        <w:divId w:val="1839344669"/>
        <w:rPr>
          <w:rFonts w:eastAsia="Times New Roman"/>
        </w:rPr>
      </w:pPr>
      <w:r>
        <w:rPr>
          <w:rFonts w:eastAsia="Times New Roman"/>
          <w:color w:val="000000"/>
          <w:sz w:val="20"/>
          <w:szCs w:val="20"/>
        </w:rPr>
        <w:t>Investigation expenses are professional fee</w:t>
      </w:r>
      <w:r>
        <w:rPr>
          <w:rFonts w:eastAsia="Times New Roman"/>
          <w:color w:val="000000"/>
          <w:sz w:val="20"/>
          <w:szCs w:val="20"/>
        </w:rPr>
        <w:t>s associated with legal and forensic accounting services rendered as a result of an internal Audit Committee investigation into matters related to the Company's revenue recognition practices, disclosures, internal controls, corporate culture and employment</w:t>
      </w:r>
      <w:r>
        <w:rPr>
          <w:rFonts w:eastAsia="Times New Roman"/>
          <w:color w:val="000000"/>
          <w:sz w:val="20"/>
          <w:szCs w:val="20"/>
        </w:rPr>
        <w:t xml:space="preserve"> practices prior to 2017. Audit related expenses consist of professional fees associated with accounting related consulting services and external auditor fees associated with the audit of the Company's prior-year financial statements. Also included are lit</w:t>
      </w:r>
      <w:r>
        <w:rPr>
          <w:rFonts w:eastAsia="Times New Roman"/>
          <w:color w:val="000000"/>
          <w:sz w:val="20"/>
          <w:szCs w:val="20"/>
        </w:rPr>
        <w:t>igation related expenses, which include legal fees associated with various lawsuits or investigations that were initiated either directly or indirectly as a result of the Audit Committee's investigation.</w:t>
      </w:r>
    </w:p>
    <w:p w14:paraId="565126DC" w14:textId="77777777" w:rsidR="00000000" w:rsidRDefault="00E614A4">
      <w:pPr>
        <w:jc w:val="both"/>
        <w:divId w:val="1605572355"/>
        <w:rPr>
          <w:rFonts w:eastAsia="Times New Roman"/>
        </w:rPr>
      </w:pPr>
      <w:r>
        <w:rPr>
          <w:rFonts w:eastAsia="Times New Roman"/>
          <w:b/>
          <w:bCs/>
          <w:i/>
          <w:iCs/>
          <w:color w:val="000000"/>
          <w:sz w:val="20"/>
          <w:szCs w:val="20"/>
        </w:rPr>
        <w:t>Other Income (Expense), Net</w:t>
      </w:r>
    </w:p>
    <w:p w14:paraId="024CB259" w14:textId="77777777" w:rsidR="00000000" w:rsidRDefault="00E614A4">
      <w:pPr>
        <w:jc w:val="both"/>
        <w:divId w:val="1621767966"/>
        <w:rPr>
          <w:rFonts w:eastAsia="Times New Roman"/>
        </w:rPr>
      </w:pPr>
      <w:r>
        <w:rPr>
          <w:rFonts w:eastAsia="Times New Roman"/>
          <w:color w:val="000000"/>
          <w:sz w:val="20"/>
          <w:szCs w:val="20"/>
        </w:rPr>
        <w:t>The following is a summa</w:t>
      </w:r>
      <w:r>
        <w:rPr>
          <w:rFonts w:eastAsia="Times New Roman"/>
          <w:color w:val="000000"/>
          <w:sz w:val="20"/>
          <w:szCs w:val="20"/>
        </w:rPr>
        <w:t>ry of other income (expense), net: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685"/>
        <w:gridCol w:w="37"/>
        <w:gridCol w:w="110"/>
        <w:gridCol w:w="964"/>
        <w:gridCol w:w="36"/>
        <w:gridCol w:w="36"/>
        <w:gridCol w:w="36"/>
        <w:gridCol w:w="36"/>
        <w:gridCol w:w="110"/>
        <w:gridCol w:w="964"/>
        <w:gridCol w:w="36"/>
        <w:gridCol w:w="36"/>
        <w:gridCol w:w="36"/>
        <w:gridCol w:w="36"/>
        <w:gridCol w:w="110"/>
        <w:gridCol w:w="964"/>
        <w:gridCol w:w="36"/>
      </w:tblGrid>
      <w:tr w:rsidR="00000000" w14:paraId="623ECC8D" w14:textId="77777777">
        <w:trPr>
          <w:divId w:val="742414307"/>
          <w:jc w:val="center"/>
        </w:trPr>
        <w:tc>
          <w:tcPr>
            <w:tcW w:w="50" w:type="pct"/>
            <w:vAlign w:val="center"/>
            <w:hideMark/>
          </w:tcPr>
          <w:p w14:paraId="5362AD70" w14:textId="77777777" w:rsidR="00000000" w:rsidRDefault="00E614A4">
            <w:pPr>
              <w:jc w:val="both"/>
              <w:rPr>
                <w:rFonts w:eastAsia="Times New Roman"/>
              </w:rPr>
            </w:pPr>
          </w:p>
        </w:tc>
        <w:tc>
          <w:tcPr>
            <w:tcW w:w="2868" w:type="pct"/>
            <w:vAlign w:val="center"/>
            <w:hideMark/>
          </w:tcPr>
          <w:p w14:paraId="0BA488DF" w14:textId="77777777" w:rsidR="00000000" w:rsidRDefault="00E614A4">
            <w:pPr>
              <w:rPr>
                <w:rFonts w:eastAsia="Times New Roman"/>
                <w:sz w:val="20"/>
                <w:szCs w:val="20"/>
              </w:rPr>
            </w:pPr>
          </w:p>
        </w:tc>
        <w:tc>
          <w:tcPr>
            <w:tcW w:w="5" w:type="pct"/>
            <w:vAlign w:val="center"/>
            <w:hideMark/>
          </w:tcPr>
          <w:p w14:paraId="42237BB3" w14:textId="77777777" w:rsidR="00000000" w:rsidRDefault="00E614A4">
            <w:pPr>
              <w:rPr>
                <w:rFonts w:eastAsia="Times New Roman"/>
                <w:sz w:val="20"/>
                <w:szCs w:val="20"/>
              </w:rPr>
            </w:pPr>
          </w:p>
        </w:tc>
        <w:tc>
          <w:tcPr>
            <w:tcW w:w="50" w:type="pct"/>
            <w:vAlign w:val="center"/>
            <w:hideMark/>
          </w:tcPr>
          <w:p w14:paraId="664D4DB4" w14:textId="77777777" w:rsidR="00000000" w:rsidRDefault="00E614A4">
            <w:pPr>
              <w:rPr>
                <w:rFonts w:eastAsia="Times New Roman"/>
                <w:sz w:val="20"/>
                <w:szCs w:val="20"/>
              </w:rPr>
            </w:pPr>
          </w:p>
        </w:tc>
        <w:tc>
          <w:tcPr>
            <w:tcW w:w="618" w:type="pct"/>
            <w:vAlign w:val="center"/>
            <w:hideMark/>
          </w:tcPr>
          <w:p w14:paraId="3EAADDC3" w14:textId="77777777" w:rsidR="00000000" w:rsidRDefault="00E614A4">
            <w:pPr>
              <w:rPr>
                <w:rFonts w:eastAsia="Times New Roman"/>
                <w:sz w:val="20"/>
                <w:szCs w:val="20"/>
              </w:rPr>
            </w:pPr>
          </w:p>
        </w:tc>
        <w:tc>
          <w:tcPr>
            <w:tcW w:w="5" w:type="pct"/>
            <w:vAlign w:val="center"/>
            <w:hideMark/>
          </w:tcPr>
          <w:p w14:paraId="3C0A66D8" w14:textId="77777777" w:rsidR="00000000" w:rsidRDefault="00E614A4">
            <w:pPr>
              <w:rPr>
                <w:rFonts w:eastAsia="Times New Roman"/>
                <w:sz w:val="20"/>
                <w:szCs w:val="20"/>
              </w:rPr>
            </w:pPr>
          </w:p>
        </w:tc>
        <w:tc>
          <w:tcPr>
            <w:tcW w:w="5" w:type="pct"/>
            <w:vAlign w:val="center"/>
            <w:hideMark/>
          </w:tcPr>
          <w:p w14:paraId="7618409C" w14:textId="77777777" w:rsidR="00000000" w:rsidRDefault="00E614A4">
            <w:pPr>
              <w:rPr>
                <w:rFonts w:eastAsia="Times New Roman"/>
                <w:sz w:val="20"/>
                <w:szCs w:val="20"/>
              </w:rPr>
            </w:pPr>
          </w:p>
        </w:tc>
        <w:tc>
          <w:tcPr>
            <w:tcW w:w="17" w:type="pct"/>
            <w:vAlign w:val="center"/>
            <w:hideMark/>
          </w:tcPr>
          <w:p w14:paraId="1B73A034" w14:textId="77777777" w:rsidR="00000000" w:rsidRDefault="00E614A4">
            <w:pPr>
              <w:rPr>
                <w:rFonts w:eastAsia="Times New Roman"/>
                <w:sz w:val="20"/>
                <w:szCs w:val="20"/>
              </w:rPr>
            </w:pPr>
          </w:p>
        </w:tc>
        <w:tc>
          <w:tcPr>
            <w:tcW w:w="5" w:type="pct"/>
            <w:vAlign w:val="center"/>
            <w:hideMark/>
          </w:tcPr>
          <w:p w14:paraId="3DD5A45C" w14:textId="77777777" w:rsidR="00000000" w:rsidRDefault="00E614A4">
            <w:pPr>
              <w:rPr>
                <w:rFonts w:eastAsia="Times New Roman"/>
                <w:sz w:val="20"/>
                <w:szCs w:val="20"/>
              </w:rPr>
            </w:pPr>
          </w:p>
        </w:tc>
        <w:tc>
          <w:tcPr>
            <w:tcW w:w="50" w:type="pct"/>
            <w:vAlign w:val="center"/>
            <w:hideMark/>
          </w:tcPr>
          <w:p w14:paraId="480F4379" w14:textId="77777777" w:rsidR="00000000" w:rsidRDefault="00E614A4">
            <w:pPr>
              <w:rPr>
                <w:rFonts w:eastAsia="Times New Roman"/>
                <w:sz w:val="20"/>
                <w:szCs w:val="20"/>
              </w:rPr>
            </w:pPr>
          </w:p>
        </w:tc>
        <w:tc>
          <w:tcPr>
            <w:tcW w:w="618" w:type="pct"/>
            <w:vAlign w:val="center"/>
            <w:hideMark/>
          </w:tcPr>
          <w:p w14:paraId="0C9C61EF" w14:textId="77777777" w:rsidR="00000000" w:rsidRDefault="00E614A4">
            <w:pPr>
              <w:rPr>
                <w:rFonts w:eastAsia="Times New Roman"/>
                <w:sz w:val="20"/>
                <w:szCs w:val="20"/>
              </w:rPr>
            </w:pPr>
          </w:p>
        </w:tc>
        <w:tc>
          <w:tcPr>
            <w:tcW w:w="5" w:type="pct"/>
            <w:vAlign w:val="center"/>
            <w:hideMark/>
          </w:tcPr>
          <w:p w14:paraId="6665D3A8" w14:textId="77777777" w:rsidR="00000000" w:rsidRDefault="00E614A4">
            <w:pPr>
              <w:rPr>
                <w:rFonts w:eastAsia="Times New Roman"/>
                <w:sz w:val="20"/>
                <w:szCs w:val="20"/>
              </w:rPr>
            </w:pPr>
          </w:p>
        </w:tc>
        <w:tc>
          <w:tcPr>
            <w:tcW w:w="5" w:type="pct"/>
            <w:vAlign w:val="center"/>
            <w:hideMark/>
          </w:tcPr>
          <w:p w14:paraId="6B75B8F5" w14:textId="77777777" w:rsidR="00000000" w:rsidRDefault="00E614A4">
            <w:pPr>
              <w:rPr>
                <w:rFonts w:eastAsia="Times New Roman"/>
                <w:sz w:val="20"/>
                <w:szCs w:val="20"/>
              </w:rPr>
            </w:pPr>
          </w:p>
        </w:tc>
        <w:tc>
          <w:tcPr>
            <w:tcW w:w="17" w:type="pct"/>
            <w:vAlign w:val="center"/>
            <w:hideMark/>
          </w:tcPr>
          <w:p w14:paraId="1E45828C" w14:textId="77777777" w:rsidR="00000000" w:rsidRDefault="00E614A4">
            <w:pPr>
              <w:rPr>
                <w:rFonts w:eastAsia="Times New Roman"/>
                <w:sz w:val="20"/>
                <w:szCs w:val="20"/>
              </w:rPr>
            </w:pPr>
          </w:p>
        </w:tc>
        <w:tc>
          <w:tcPr>
            <w:tcW w:w="5" w:type="pct"/>
            <w:vAlign w:val="center"/>
            <w:hideMark/>
          </w:tcPr>
          <w:p w14:paraId="6BADEBEE" w14:textId="77777777" w:rsidR="00000000" w:rsidRDefault="00E614A4">
            <w:pPr>
              <w:rPr>
                <w:rFonts w:eastAsia="Times New Roman"/>
                <w:sz w:val="20"/>
                <w:szCs w:val="20"/>
              </w:rPr>
            </w:pPr>
          </w:p>
        </w:tc>
        <w:tc>
          <w:tcPr>
            <w:tcW w:w="50" w:type="pct"/>
            <w:vAlign w:val="center"/>
            <w:hideMark/>
          </w:tcPr>
          <w:p w14:paraId="0A40F6B6" w14:textId="77777777" w:rsidR="00000000" w:rsidRDefault="00E614A4">
            <w:pPr>
              <w:rPr>
                <w:rFonts w:eastAsia="Times New Roman"/>
                <w:sz w:val="20"/>
                <w:szCs w:val="20"/>
              </w:rPr>
            </w:pPr>
          </w:p>
        </w:tc>
        <w:tc>
          <w:tcPr>
            <w:tcW w:w="618" w:type="pct"/>
            <w:vAlign w:val="center"/>
            <w:hideMark/>
          </w:tcPr>
          <w:p w14:paraId="7945514C" w14:textId="77777777" w:rsidR="00000000" w:rsidRDefault="00E614A4">
            <w:pPr>
              <w:rPr>
                <w:rFonts w:eastAsia="Times New Roman"/>
                <w:sz w:val="20"/>
                <w:szCs w:val="20"/>
              </w:rPr>
            </w:pPr>
          </w:p>
        </w:tc>
        <w:tc>
          <w:tcPr>
            <w:tcW w:w="5" w:type="pct"/>
            <w:vAlign w:val="center"/>
            <w:hideMark/>
          </w:tcPr>
          <w:p w14:paraId="734CBEC0" w14:textId="77777777" w:rsidR="00000000" w:rsidRDefault="00E614A4">
            <w:pPr>
              <w:rPr>
                <w:rFonts w:eastAsia="Times New Roman"/>
                <w:sz w:val="20"/>
                <w:szCs w:val="20"/>
              </w:rPr>
            </w:pPr>
          </w:p>
        </w:tc>
      </w:tr>
      <w:tr w:rsidR="00000000" w14:paraId="6382C2E0" w14:textId="77777777">
        <w:trPr>
          <w:divId w:val="742414307"/>
          <w:jc w:val="center"/>
        </w:trPr>
        <w:tc>
          <w:tcPr>
            <w:tcW w:w="0" w:type="auto"/>
            <w:gridSpan w:val="3"/>
            <w:tcMar>
              <w:top w:w="30" w:type="dxa"/>
              <w:left w:w="20" w:type="dxa"/>
              <w:bottom w:w="30" w:type="dxa"/>
              <w:right w:w="20" w:type="dxa"/>
            </w:tcMar>
            <w:vAlign w:val="bottom"/>
            <w:hideMark/>
          </w:tcPr>
          <w:p w14:paraId="1E3A205B" w14:textId="77777777" w:rsidR="00000000" w:rsidRDefault="00E614A4">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36F80273"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26542271" w14:textId="77777777">
        <w:trPr>
          <w:divId w:val="742414307"/>
          <w:jc w:val="center"/>
        </w:trPr>
        <w:tc>
          <w:tcPr>
            <w:tcW w:w="0" w:type="auto"/>
            <w:gridSpan w:val="3"/>
            <w:tcMar>
              <w:top w:w="30" w:type="dxa"/>
              <w:left w:w="20" w:type="dxa"/>
              <w:bottom w:w="30" w:type="dxa"/>
              <w:right w:w="20" w:type="dxa"/>
            </w:tcMar>
            <w:vAlign w:val="bottom"/>
            <w:hideMark/>
          </w:tcPr>
          <w:p w14:paraId="2A7B080F"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CF0E484"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07B7737"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995BF6"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3569C42F"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98146B" w14:textId="77777777" w:rsidR="00000000" w:rsidRDefault="00E614A4">
            <w:pPr>
              <w:jc w:val="center"/>
              <w:rPr>
                <w:rFonts w:eastAsia="Times New Roman"/>
              </w:rPr>
            </w:pPr>
            <w:r>
              <w:rPr>
                <w:rFonts w:eastAsia="Times New Roman"/>
                <w:b/>
                <w:bCs/>
                <w:color w:val="000000"/>
                <w:sz w:val="16"/>
                <w:szCs w:val="16"/>
              </w:rPr>
              <w:t>2018</w:t>
            </w:r>
          </w:p>
        </w:tc>
      </w:tr>
      <w:tr w:rsidR="00000000" w14:paraId="0678BD16" w14:textId="77777777">
        <w:trPr>
          <w:divId w:val="742414307"/>
          <w:jc w:val="center"/>
        </w:trPr>
        <w:tc>
          <w:tcPr>
            <w:tcW w:w="0" w:type="auto"/>
            <w:gridSpan w:val="3"/>
            <w:shd w:val="clear" w:color="auto" w:fill="CCEEFF"/>
            <w:tcMar>
              <w:top w:w="30" w:type="dxa"/>
              <w:left w:w="20" w:type="dxa"/>
              <w:bottom w:w="30" w:type="dxa"/>
              <w:right w:w="20" w:type="dxa"/>
            </w:tcMar>
            <w:hideMark/>
          </w:tcPr>
          <w:p w14:paraId="04BA0D2A" w14:textId="77777777" w:rsidR="00000000" w:rsidRDefault="00E614A4">
            <w:pPr>
              <w:rPr>
                <w:rFonts w:eastAsia="Times New Roman"/>
              </w:rPr>
            </w:pPr>
            <w:r>
              <w:rPr>
                <w:rFonts w:eastAsia="Times New Roman"/>
                <w:color w:val="000000"/>
                <w:sz w:val="18"/>
                <w:szCs w:val="18"/>
              </w:rPr>
              <w:t>Change in fair value of financing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97BC0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14519A" w14:textId="77777777" w:rsidR="00000000" w:rsidRDefault="00E614A4">
            <w:pPr>
              <w:jc w:val="right"/>
              <w:rPr>
                <w:rFonts w:eastAsia="Times New Roman"/>
              </w:rPr>
            </w:pPr>
            <w:r>
              <w:rPr>
                <w:rFonts w:eastAsia="Times New Roman"/>
                <w:color w:val="000000"/>
                <w:sz w:val="18"/>
                <w:szCs w:val="18"/>
              </w:rPr>
              <w:t>10,287 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8B2F5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36DB4"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B4511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9853EC" w14:textId="77777777" w:rsidR="00000000" w:rsidRDefault="00E614A4">
            <w:pPr>
              <w:jc w:val="right"/>
              <w:rPr>
                <w:rFonts w:eastAsia="Times New Roman"/>
              </w:rPr>
            </w:pPr>
            <w:r>
              <w:rPr>
                <w:rFonts w:eastAsia="Times New Roman"/>
                <w:color w:val="000000"/>
                <w:sz w:val="18"/>
                <w:szCs w:val="18"/>
              </w:rPr>
              <w:t>5,100 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D859C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90759"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9BDC4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5EDF7F" w14:textId="77777777" w:rsidR="00000000" w:rsidRDefault="00E614A4">
            <w:pPr>
              <w:jc w:val="right"/>
              <w:rPr>
                <w:rFonts w:eastAsia="Times New Roman"/>
              </w:rPr>
            </w:pPr>
            <w:r>
              <w:rPr>
                <w:rFonts w:eastAsia="Times New Roman"/>
                <w:color w:val="000000"/>
                <w:sz w:val="18"/>
                <w:szCs w:val="18"/>
              </w:rPr>
              <w:t>(14,226)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B0D218" w14:textId="77777777" w:rsidR="00000000" w:rsidRDefault="00E614A4">
            <w:pPr>
              <w:jc w:val="right"/>
              <w:rPr>
                <w:rFonts w:eastAsia="Times New Roman"/>
              </w:rPr>
            </w:pPr>
          </w:p>
        </w:tc>
      </w:tr>
      <w:tr w:rsidR="00000000" w14:paraId="7A2D7AEA" w14:textId="77777777">
        <w:trPr>
          <w:divId w:val="742414307"/>
          <w:jc w:val="center"/>
        </w:trPr>
        <w:tc>
          <w:tcPr>
            <w:tcW w:w="0" w:type="auto"/>
            <w:gridSpan w:val="3"/>
            <w:shd w:val="clear" w:color="auto" w:fill="FFFFFF"/>
            <w:tcMar>
              <w:top w:w="30" w:type="dxa"/>
              <w:left w:w="20" w:type="dxa"/>
              <w:bottom w:w="30" w:type="dxa"/>
              <w:right w:w="20" w:type="dxa"/>
            </w:tcMar>
            <w:hideMark/>
          </w:tcPr>
          <w:p w14:paraId="60FAAAB7" w14:textId="77777777" w:rsidR="00000000" w:rsidRDefault="00E614A4">
            <w:pPr>
              <w:rPr>
                <w:rFonts w:eastAsia="Times New Roman"/>
              </w:rPr>
            </w:pPr>
            <w:r>
              <w:rPr>
                <w:rFonts w:eastAsia="Times New Roman"/>
                <w:color w:val="000000"/>
                <w:sz w:val="18"/>
                <w:szCs w:val="18"/>
              </w:rPr>
              <w:t>Change in fair value of warrants liability</w:t>
            </w:r>
          </w:p>
        </w:tc>
        <w:tc>
          <w:tcPr>
            <w:tcW w:w="0" w:type="auto"/>
            <w:gridSpan w:val="2"/>
            <w:tcMar>
              <w:top w:w="30" w:type="dxa"/>
              <w:left w:w="20" w:type="dxa"/>
              <w:bottom w:w="30" w:type="dxa"/>
              <w:right w:w="0" w:type="dxa"/>
            </w:tcMar>
            <w:vAlign w:val="bottom"/>
            <w:hideMark/>
          </w:tcPr>
          <w:p w14:paraId="0B741164" w14:textId="77777777" w:rsidR="00000000" w:rsidRDefault="00E614A4">
            <w:pPr>
              <w:jc w:val="right"/>
              <w:rPr>
                <w:rFonts w:eastAsia="Times New Roman"/>
              </w:rPr>
            </w:pPr>
            <w:r>
              <w:rPr>
                <w:rFonts w:eastAsia="Times New Roman"/>
                <w:color w:val="000000"/>
                <w:sz w:val="18"/>
                <w:szCs w:val="18"/>
              </w:rPr>
              <w:t>4,894 </w:t>
            </w:r>
          </w:p>
        </w:tc>
        <w:tc>
          <w:tcPr>
            <w:tcW w:w="0" w:type="auto"/>
            <w:tcMar>
              <w:top w:w="30" w:type="dxa"/>
              <w:left w:w="0" w:type="dxa"/>
              <w:bottom w:w="30" w:type="dxa"/>
              <w:right w:w="20" w:type="dxa"/>
            </w:tcMar>
            <w:vAlign w:val="bottom"/>
            <w:hideMark/>
          </w:tcPr>
          <w:p w14:paraId="7ECBD3C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9AC0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95DE2" w14:textId="77777777" w:rsidR="00000000" w:rsidRDefault="00E614A4">
            <w:pPr>
              <w:jc w:val="right"/>
              <w:rPr>
                <w:rFonts w:eastAsia="Times New Roman"/>
              </w:rPr>
            </w:pPr>
            <w:r>
              <w:rPr>
                <w:rFonts w:eastAsia="Times New Roman"/>
                <w:color w:val="000000"/>
                <w:sz w:val="18"/>
                <w:szCs w:val="18"/>
              </w:rPr>
              <w:t>(2,411)</w:t>
            </w:r>
          </w:p>
        </w:tc>
        <w:tc>
          <w:tcPr>
            <w:tcW w:w="0" w:type="auto"/>
            <w:shd w:val="clear" w:color="auto" w:fill="FFFFFF"/>
            <w:tcMar>
              <w:top w:w="30" w:type="dxa"/>
              <w:left w:w="0" w:type="dxa"/>
              <w:bottom w:w="30" w:type="dxa"/>
              <w:right w:w="20" w:type="dxa"/>
            </w:tcMar>
            <w:vAlign w:val="bottom"/>
            <w:hideMark/>
          </w:tcPr>
          <w:p w14:paraId="2EB3A31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5345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35351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434EA8" w14:textId="77777777" w:rsidR="00000000" w:rsidRDefault="00E614A4">
            <w:pPr>
              <w:jc w:val="right"/>
              <w:rPr>
                <w:rFonts w:eastAsia="Times New Roman"/>
              </w:rPr>
            </w:pPr>
          </w:p>
        </w:tc>
      </w:tr>
      <w:tr w:rsidR="00000000" w14:paraId="18E5B0D8" w14:textId="77777777">
        <w:trPr>
          <w:divId w:val="742414307"/>
          <w:jc w:val="center"/>
        </w:trPr>
        <w:tc>
          <w:tcPr>
            <w:tcW w:w="0" w:type="auto"/>
            <w:gridSpan w:val="3"/>
            <w:shd w:val="clear" w:color="auto" w:fill="CCEEFF"/>
            <w:tcMar>
              <w:top w:w="30" w:type="dxa"/>
              <w:left w:w="20" w:type="dxa"/>
              <w:bottom w:w="30" w:type="dxa"/>
              <w:right w:w="20" w:type="dxa"/>
            </w:tcMar>
            <w:hideMark/>
          </w:tcPr>
          <w:p w14:paraId="3DD154D3" w14:textId="77777777" w:rsidR="00000000" w:rsidRDefault="00E614A4">
            <w:pPr>
              <w:rPr>
                <w:rFonts w:eastAsia="Times New Roman"/>
              </w:rPr>
            </w:pPr>
            <w:r>
              <w:rPr>
                <w:rFonts w:eastAsia="Times New Roman"/>
                <w:color w:val="000000"/>
                <w:sz w:val="18"/>
                <w:szCs w:val="18"/>
              </w:rPr>
              <w:t>Change in fair value of interest make-whole derivative</w:t>
            </w:r>
          </w:p>
        </w:tc>
        <w:tc>
          <w:tcPr>
            <w:tcW w:w="0" w:type="auto"/>
            <w:gridSpan w:val="2"/>
            <w:shd w:val="clear" w:color="auto" w:fill="CCEEFF"/>
            <w:tcMar>
              <w:top w:w="30" w:type="dxa"/>
              <w:left w:w="20" w:type="dxa"/>
              <w:bottom w:w="30" w:type="dxa"/>
              <w:right w:w="0" w:type="dxa"/>
            </w:tcMar>
            <w:vAlign w:val="bottom"/>
            <w:hideMark/>
          </w:tcPr>
          <w:p w14:paraId="22AFF932" w14:textId="77777777" w:rsidR="00000000" w:rsidRDefault="00E614A4">
            <w:pPr>
              <w:jc w:val="right"/>
              <w:rPr>
                <w:rFonts w:eastAsia="Times New Roman"/>
              </w:rPr>
            </w:pPr>
            <w:r>
              <w:rPr>
                <w:rFonts w:eastAsia="Times New Roman"/>
                <w:color w:val="000000"/>
                <w:sz w:val="18"/>
                <w:szCs w:val="18"/>
              </w:rPr>
              <w:t>(871)</w:t>
            </w:r>
          </w:p>
        </w:tc>
        <w:tc>
          <w:tcPr>
            <w:tcW w:w="0" w:type="auto"/>
            <w:shd w:val="clear" w:color="auto" w:fill="CCEEFF"/>
            <w:tcMar>
              <w:top w:w="30" w:type="dxa"/>
              <w:left w:w="0" w:type="dxa"/>
              <w:bottom w:w="30" w:type="dxa"/>
              <w:right w:w="20" w:type="dxa"/>
            </w:tcMar>
            <w:vAlign w:val="bottom"/>
            <w:hideMark/>
          </w:tcPr>
          <w:p w14:paraId="53F7C52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29E9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9BD12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BB31F5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5BDD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10E99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DF7703" w14:textId="77777777" w:rsidR="00000000" w:rsidRDefault="00E614A4">
            <w:pPr>
              <w:jc w:val="right"/>
              <w:rPr>
                <w:rFonts w:eastAsia="Times New Roman"/>
              </w:rPr>
            </w:pPr>
          </w:p>
        </w:tc>
      </w:tr>
      <w:tr w:rsidR="00000000" w14:paraId="097E9749" w14:textId="77777777">
        <w:trPr>
          <w:divId w:val="742414307"/>
          <w:jc w:val="center"/>
        </w:trPr>
        <w:tc>
          <w:tcPr>
            <w:tcW w:w="0" w:type="auto"/>
            <w:gridSpan w:val="3"/>
            <w:shd w:val="clear" w:color="auto" w:fill="FFFFFF"/>
            <w:tcMar>
              <w:top w:w="30" w:type="dxa"/>
              <w:left w:w="20" w:type="dxa"/>
              <w:bottom w:w="30" w:type="dxa"/>
              <w:right w:w="20" w:type="dxa"/>
            </w:tcMar>
            <w:hideMark/>
          </w:tcPr>
          <w:p w14:paraId="3EBE0099" w14:textId="77777777" w:rsidR="00000000" w:rsidRDefault="00E614A4">
            <w:pPr>
              <w:rPr>
                <w:rFonts w:eastAsia="Times New Roman"/>
              </w:rPr>
            </w:pPr>
            <w:r>
              <w:rPr>
                <w:rFonts w:eastAsia="Times New Roman"/>
                <w:color w:val="000000"/>
                <w:sz w:val="18"/>
                <w:szCs w:val="18"/>
              </w:rPr>
              <w:t>Change in fair value of investment in equity securities</w:t>
            </w:r>
          </w:p>
        </w:tc>
        <w:tc>
          <w:tcPr>
            <w:tcW w:w="0" w:type="auto"/>
            <w:gridSpan w:val="2"/>
            <w:shd w:val="clear" w:color="auto" w:fill="FFFFFF"/>
            <w:tcMar>
              <w:top w:w="30" w:type="dxa"/>
              <w:left w:w="20" w:type="dxa"/>
              <w:bottom w:w="30" w:type="dxa"/>
              <w:right w:w="0" w:type="dxa"/>
            </w:tcMar>
            <w:vAlign w:val="bottom"/>
            <w:hideMark/>
          </w:tcPr>
          <w:p w14:paraId="1A29B4E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0E4BD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0B1A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2D1EA0" w14:textId="77777777" w:rsidR="00000000" w:rsidRDefault="00E614A4">
            <w:pPr>
              <w:jc w:val="right"/>
              <w:rPr>
                <w:rFonts w:eastAsia="Times New Roman"/>
              </w:rPr>
            </w:pPr>
            <w:r>
              <w:rPr>
                <w:rFonts w:eastAsia="Times New Roman"/>
                <w:color w:val="000000"/>
                <w:sz w:val="18"/>
                <w:szCs w:val="18"/>
              </w:rPr>
              <w:t>(2,324)</w:t>
            </w:r>
          </w:p>
        </w:tc>
        <w:tc>
          <w:tcPr>
            <w:tcW w:w="0" w:type="auto"/>
            <w:shd w:val="clear" w:color="auto" w:fill="FFFFFF"/>
            <w:tcMar>
              <w:top w:w="30" w:type="dxa"/>
              <w:left w:w="0" w:type="dxa"/>
              <w:bottom w:w="30" w:type="dxa"/>
              <w:right w:w="20" w:type="dxa"/>
            </w:tcMar>
            <w:vAlign w:val="bottom"/>
            <w:hideMark/>
          </w:tcPr>
          <w:p w14:paraId="29FCC5B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A561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05DBA5" w14:textId="77777777" w:rsidR="00000000" w:rsidRDefault="00E614A4">
            <w:pPr>
              <w:jc w:val="right"/>
              <w:rPr>
                <w:rFonts w:eastAsia="Times New Roman"/>
              </w:rPr>
            </w:pPr>
            <w:r>
              <w:rPr>
                <w:rFonts w:eastAsia="Times New Roman"/>
                <w:color w:val="000000"/>
                <w:sz w:val="18"/>
                <w:szCs w:val="18"/>
              </w:rPr>
              <w:t>1,443 </w:t>
            </w:r>
          </w:p>
        </w:tc>
        <w:tc>
          <w:tcPr>
            <w:tcW w:w="0" w:type="auto"/>
            <w:shd w:val="clear" w:color="auto" w:fill="FFFFFF"/>
            <w:tcMar>
              <w:top w:w="30" w:type="dxa"/>
              <w:left w:w="0" w:type="dxa"/>
              <w:bottom w:w="30" w:type="dxa"/>
              <w:right w:w="20" w:type="dxa"/>
            </w:tcMar>
            <w:vAlign w:val="bottom"/>
            <w:hideMark/>
          </w:tcPr>
          <w:p w14:paraId="79C80541" w14:textId="77777777" w:rsidR="00000000" w:rsidRDefault="00E614A4">
            <w:pPr>
              <w:jc w:val="right"/>
              <w:rPr>
                <w:rFonts w:eastAsia="Times New Roman"/>
              </w:rPr>
            </w:pPr>
          </w:p>
        </w:tc>
      </w:tr>
      <w:tr w:rsidR="00000000" w14:paraId="5224F525" w14:textId="77777777">
        <w:trPr>
          <w:divId w:val="742414307"/>
          <w:jc w:val="center"/>
        </w:trPr>
        <w:tc>
          <w:tcPr>
            <w:tcW w:w="0" w:type="auto"/>
            <w:gridSpan w:val="3"/>
            <w:shd w:val="clear" w:color="auto" w:fill="CCEEFF"/>
            <w:tcMar>
              <w:top w:w="30" w:type="dxa"/>
              <w:left w:w="20" w:type="dxa"/>
              <w:bottom w:w="30" w:type="dxa"/>
              <w:right w:w="20" w:type="dxa"/>
            </w:tcMar>
            <w:hideMark/>
          </w:tcPr>
          <w:p w14:paraId="587E8AFC" w14:textId="77777777" w:rsidR="00000000" w:rsidRDefault="00E614A4">
            <w:pPr>
              <w:rPr>
                <w:rFonts w:eastAsia="Times New Roman"/>
              </w:rPr>
            </w:pPr>
            <w:r>
              <w:rPr>
                <w:rFonts w:eastAsia="Times New Roman"/>
                <w:color w:val="000000"/>
                <w:sz w:val="18"/>
                <w:szCs w:val="18"/>
              </w:rPr>
              <w:t>Transition services agreement income</w:t>
            </w:r>
          </w:p>
        </w:tc>
        <w:tc>
          <w:tcPr>
            <w:tcW w:w="0" w:type="auto"/>
            <w:gridSpan w:val="2"/>
            <w:shd w:val="clear" w:color="auto" w:fill="CCEEFF"/>
            <w:tcMar>
              <w:top w:w="30" w:type="dxa"/>
              <w:left w:w="20" w:type="dxa"/>
              <w:bottom w:w="30" w:type="dxa"/>
              <w:right w:w="0" w:type="dxa"/>
            </w:tcMar>
            <w:vAlign w:val="bottom"/>
            <w:hideMark/>
          </w:tcPr>
          <w:p w14:paraId="09A6B99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C2BB49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C0F0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930EC" w14:textId="77777777" w:rsidR="00000000" w:rsidRDefault="00E614A4">
            <w:pPr>
              <w:jc w:val="right"/>
              <w:rPr>
                <w:rFonts w:eastAsia="Times New Roman"/>
              </w:rPr>
            </w:pPr>
            <w:r>
              <w:rPr>
                <w:rFonts w:eastAsia="Times New Roman"/>
                <w:color w:val="000000"/>
                <w:sz w:val="18"/>
                <w:szCs w:val="18"/>
              </w:rPr>
              <w:t>534 </w:t>
            </w:r>
          </w:p>
        </w:tc>
        <w:tc>
          <w:tcPr>
            <w:tcW w:w="0" w:type="auto"/>
            <w:shd w:val="clear" w:color="auto" w:fill="CCEEFF"/>
            <w:tcMar>
              <w:top w:w="30" w:type="dxa"/>
              <w:left w:w="0" w:type="dxa"/>
              <w:bottom w:w="30" w:type="dxa"/>
              <w:right w:w="20" w:type="dxa"/>
            </w:tcMar>
            <w:vAlign w:val="bottom"/>
            <w:hideMark/>
          </w:tcPr>
          <w:p w14:paraId="7FF69C1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FB7D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CD5D18" w14:textId="77777777" w:rsidR="00000000" w:rsidRDefault="00E614A4">
            <w:pPr>
              <w:jc w:val="right"/>
              <w:rPr>
                <w:rFonts w:eastAsia="Times New Roman"/>
              </w:rPr>
            </w:pPr>
            <w:r>
              <w:rPr>
                <w:rFonts w:eastAsia="Times New Roman"/>
                <w:color w:val="000000"/>
                <w:sz w:val="18"/>
                <w:szCs w:val="18"/>
              </w:rPr>
              <w:t>9,029 </w:t>
            </w:r>
          </w:p>
        </w:tc>
        <w:tc>
          <w:tcPr>
            <w:tcW w:w="0" w:type="auto"/>
            <w:shd w:val="clear" w:color="auto" w:fill="CCEEFF"/>
            <w:tcMar>
              <w:top w:w="30" w:type="dxa"/>
              <w:left w:w="0" w:type="dxa"/>
              <w:bottom w:w="30" w:type="dxa"/>
              <w:right w:w="20" w:type="dxa"/>
            </w:tcMar>
            <w:vAlign w:val="bottom"/>
            <w:hideMark/>
          </w:tcPr>
          <w:p w14:paraId="12794A52" w14:textId="77777777" w:rsidR="00000000" w:rsidRDefault="00E614A4">
            <w:pPr>
              <w:jc w:val="right"/>
              <w:rPr>
                <w:rFonts w:eastAsia="Times New Roman"/>
              </w:rPr>
            </w:pPr>
          </w:p>
        </w:tc>
      </w:tr>
      <w:tr w:rsidR="00000000" w14:paraId="2C8E42AA" w14:textId="77777777">
        <w:trPr>
          <w:divId w:val="742414307"/>
          <w:jc w:val="center"/>
        </w:trPr>
        <w:tc>
          <w:tcPr>
            <w:tcW w:w="0" w:type="auto"/>
            <w:gridSpan w:val="3"/>
            <w:shd w:val="clear" w:color="auto" w:fill="FFFFFF"/>
            <w:tcMar>
              <w:top w:w="30" w:type="dxa"/>
              <w:left w:w="20" w:type="dxa"/>
              <w:bottom w:w="30" w:type="dxa"/>
              <w:right w:w="20" w:type="dxa"/>
            </w:tcMar>
            <w:hideMark/>
          </w:tcPr>
          <w:p w14:paraId="6EDD5F9C" w14:textId="77777777" w:rsidR="00000000" w:rsidRDefault="00E614A4">
            <w:pPr>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14:paraId="3DA9D557" w14:textId="77777777" w:rsidR="00000000" w:rsidRDefault="00E614A4">
            <w:pPr>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bottom"/>
            <w:hideMark/>
          </w:tcPr>
          <w:p w14:paraId="376A333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3B78D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75188" w14:textId="77777777" w:rsidR="00000000" w:rsidRDefault="00E614A4">
            <w:pPr>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bottom"/>
            <w:hideMark/>
          </w:tcPr>
          <w:p w14:paraId="3C1F933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E9D4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44B4A" w14:textId="77777777" w:rsidR="00000000" w:rsidRDefault="00E614A4">
            <w:pPr>
              <w:jc w:val="right"/>
              <w:rPr>
                <w:rFonts w:eastAsia="Times New Roman"/>
              </w:rPr>
            </w:pPr>
            <w:r>
              <w:rPr>
                <w:rFonts w:eastAsia="Times New Roman"/>
                <w:color w:val="000000"/>
                <w:sz w:val="18"/>
                <w:szCs w:val="18"/>
              </w:rPr>
              <w:t>2,290 </w:t>
            </w:r>
          </w:p>
        </w:tc>
        <w:tc>
          <w:tcPr>
            <w:tcW w:w="0" w:type="auto"/>
            <w:shd w:val="clear" w:color="auto" w:fill="FFFFFF"/>
            <w:tcMar>
              <w:top w:w="30" w:type="dxa"/>
              <w:left w:w="0" w:type="dxa"/>
              <w:bottom w:w="30" w:type="dxa"/>
              <w:right w:w="20" w:type="dxa"/>
            </w:tcMar>
            <w:vAlign w:val="bottom"/>
            <w:hideMark/>
          </w:tcPr>
          <w:p w14:paraId="5F892CF3" w14:textId="77777777" w:rsidR="00000000" w:rsidRDefault="00E614A4">
            <w:pPr>
              <w:jc w:val="right"/>
              <w:rPr>
                <w:rFonts w:eastAsia="Times New Roman"/>
              </w:rPr>
            </w:pPr>
          </w:p>
        </w:tc>
      </w:tr>
      <w:tr w:rsidR="00000000" w14:paraId="459D0C26" w14:textId="77777777">
        <w:trPr>
          <w:divId w:val="742414307"/>
          <w:jc w:val="center"/>
        </w:trPr>
        <w:tc>
          <w:tcPr>
            <w:tcW w:w="0" w:type="auto"/>
            <w:gridSpan w:val="3"/>
            <w:shd w:val="clear" w:color="auto" w:fill="CCEEFF"/>
            <w:tcMar>
              <w:top w:w="30" w:type="dxa"/>
              <w:left w:w="20" w:type="dxa"/>
              <w:bottom w:w="30" w:type="dxa"/>
              <w:right w:w="20" w:type="dxa"/>
            </w:tcMar>
            <w:hideMark/>
          </w:tcPr>
          <w:p w14:paraId="68A04C2C" w14:textId="77777777" w:rsidR="00000000" w:rsidRDefault="00E614A4">
            <w:pPr>
              <w:rPr>
                <w:rFonts w:eastAsia="Times New Roman"/>
              </w:rPr>
            </w:pPr>
            <w:r>
              <w:rPr>
                <w:rFonts w:eastAsia="Times New Roman"/>
                <w:color w:val="000000"/>
                <w:sz w:val="18"/>
                <w:szCs w:val="18"/>
              </w:rPr>
              <w:t>Total other income (expense),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971AB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E89315" w14:textId="77777777" w:rsidR="00000000" w:rsidRDefault="00E614A4">
            <w:pPr>
              <w:jc w:val="right"/>
              <w:rPr>
                <w:rFonts w:eastAsia="Times New Roman"/>
              </w:rPr>
            </w:pPr>
            <w:r>
              <w:rPr>
                <w:rFonts w:eastAsia="Times New Roman"/>
                <w:color w:val="000000"/>
                <w:sz w:val="18"/>
                <w:szCs w:val="18"/>
              </w:rPr>
              <w:t>14,554 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5F53B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C3B98"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27306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79B7A4" w14:textId="77777777" w:rsidR="00000000" w:rsidRDefault="00E614A4">
            <w:pPr>
              <w:jc w:val="right"/>
              <w:rPr>
                <w:rFonts w:eastAsia="Times New Roman"/>
              </w:rPr>
            </w:pPr>
            <w:r>
              <w:rPr>
                <w:rFonts w:eastAsia="Times New Roman"/>
                <w:color w:val="000000"/>
                <w:sz w:val="18"/>
                <w:szCs w:val="18"/>
              </w:rPr>
              <w:t>1,654 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86D39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0067E"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B60A4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B54551" w14:textId="77777777" w:rsidR="00000000" w:rsidRDefault="00E614A4">
            <w:pPr>
              <w:jc w:val="right"/>
              <w:rPr>
                <w:rFonts w:eastAsia="Times New Roman"/>
              </w:rPr>
            </w:pPr>
            <w:r>
              <w:rPr>
                <w:rFonts w:eastAsia="Times New Roman"/>
                <w:color w:val="000000"/>
                <w:sz w:val="18"/>
                <w:szCs w:val="18"/>
              </w:rPr>
              <w:t>(1,464)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313A79" w14:textId="77777777" w:rsidR="00000000" w:rsidRDefault="00E614A4">
            <w:pPr>
              <w:jc w:val="right"/>
              <w:rPr>
                <w:rFonts w:eastAsia="Times New Roman"/>
              </w:rPr>
            </w:pPr>
          </w:p>
        </w:tc>
      </w:tr>
    </w:tbl>
    <w:p w14:paraId="34E7DFA1" w14:textId="77777777" w:rsidR="00000000" w:rsidRDefault="00E614A4">
      <w:pPr>
        <w:jc w:val="both"/>
        <w:divId w:val="1334186391"/>
        <w:rPr>
          <w:rFonts w:eastAsia="Times New Roman"/>
        </w:rPr>
      </w:pPr>
      <w:r>
        <w:rPr>
          <w:rFonts w:eastAsia="Times New Roman"/>
          <w:b/>
          <w:bCs/>
          <w:i/>
          <w:iCs/>
          <w:color w:val="000000"/>
          <w:sz w:val="20"/>
          <w:szCs w:val="20"/>
        </w:rPr>
        <w:t>Concentration of Credit Risk</w:t>
      </w:r>
    </w:p>
    <w:p w14:paraId="3E7AE474" w14:textId="77777777" w:rsidR="00000000" w:rsidRDefault="00E614A4">
      <w:pPr>
        <w:jc w:val="both"/>
        <w:divId w:val="1262450518"/>
        <w:rPr>
          <w:rFonts w:eastAsia="Times New Roman"/>
        </w:rPr>
      </w:pPr>
      <w:r>
        <w:rPr>
          <w:rFonts w:eastAsia="Times New Roman"/>
          <w:color w:val="000000"/>
          <w:sz w:val="20"/>
          <w:szCs w:val="20"/>
        </w:rPr>
        <w:t>Financial instruments that potentially subject the Company to concentrations of credit risk consist primarily of cash, cash equivalents, restricted cash and accounts receivable. The Company maintains cash deposits with financial institutions that, from tim</w:t>
      </w:r>
      <w:r>
        <w:rPr>
          <w:rFonts w:eastAsia="Times New Roman"/>
          <w:color w:val="000000"/>
          <w:sz w:val="20"/>
          <w:szCs w:val="20"/>
        </w:rPr>
        <w:t>e to time, exceed applicable insurance limits. The Company reduces this risk by maintaining such deposits with high quality financial institutions that management believes are creditworthy. With respect to accounts receivable, credit risk is mitigated by t</w:t>
      </w:r>
      <w:r>
        <w:rPr>
          <w:rFonts w:eastAsia="Times New Roman"/>
          <w:color w:val="000000"/>
          <w:sz w:val="20"/>
          <w:szCs w:val="20"/>
        </w:rPr>
        <w:t xml:space="preserve">he Company's ongoing credit evaluation of its customers' financial condition. </w:t>
      </w:r>
    </w:p>
    <w:p w14:paraId="0B9AFC21" w14:textId="77777777" w:rsidR="00000000" w:rsidRDefault="00E614A4">
      <w:pPr>
        <w:jc w:val="center"/>
        <w:divId w:val="943655473"/>
        <w:rPr>
          <w:rFonts w:eastAsia="Times New Roman"/>
        </w:rPr>
      </w:pPr>
      <w:r>
        <w:rPr>
          <w:rFonts w:eastAsia="Times New Roman"/>
          <w:color w:val="000000"/>
          <w:sz w:val="20"/>
          <w:szCs w:val="20"/>
        </w:rPr>
        <w:t>72</w:t>
      </w:r>
    </w:p>
    <w:p w14:paraId="53C72420" w14:textId="77777777" w:rsidR="00000000" w:rsidRDefault="00E614A4">
      <w:pPr>
        <w:rPr>
          <w:rFonts w:eastAsia="Times New Roman"/>
        </w:rPr>
      </w:pPr>
      <w:r>
        <w:rPr>
          <w:rFonts w:eastAsia="Times New Roman"/>
        </w:rPr>
        <w:pict w14:anchorId="2932F90A">
          <v:rect id="_x0000_i1100" style="width:0;height:1.5pt" o:hralign="center" o:hrstd="t" o:hr="t" fillcolor="#a0a0a0" stroked="f"/>
        </w:pict>
      </w:r>
    </w:p>
    <w:p w14:paraId="19C1CAED" w14:textId="77777777" w:rsidR="00000000" w:rsidRDefault="00E614A4">
      <w:pPr>
        <w:divId w:val="2109277342"/>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A929DC5" w14:textId="77777777" w:rsidR="00000000" w:rsidRDefault="00E614A4">
      <w:pPr>
        <w:divId w:val="797188022"/>
        <w:rPr>
          <w:rFonts w:eastAsia="Times New Roman"/>
        </w:rPr>
      </w:pPr>
    </w:p>
    <w:p w14:paraId="25BB66D5" w14:textId="77777777" w:rsidR="00000000" w:rsidRDefault="00E614A4">
      <w:pPr>
        <w:jc w:val="both"/>
        <w:divId w:val="151217960"/>
        <w:rPr>
          <w:rFonts w:eastAsia="Times New Roman"/>
        </w:rPr>
      </w:pPr>
      <w:r>
        <w:rPr>
          <w:rFonts w:eastAsia="Times New Roman"/>
          <w:b/>
          <w:bCs/>
          <w:i/>
          <w:iCs/>
          <w:color w:val="000000"/>
          <w:sz w:val="20"/>
          <w:szCs w:val="20"/>
        </w:rPr>
        <w:t>Debt Issuance Costs</w:t>
      </w:r>
    </w:p>
    <w:p w14:paraId="2164D22C" w14:textId="77777777" w:rsidR="00000000" w:rsidRDefault="00E614A4">
      <w:pPr>
        <w:jc w:val="both"/>
        <w:divId w:val="72625953"/>
        <w:rPr>
          <w:rFonts w:eastAsia="Times New Roman"/>
        </w:rPr>
      </w:pPr>
      <w:r>
        <w:rPr>
          <w:rFonts w:eastAsia="Times New Roman"/>
          <w:color w:val="000000"/>
          <w:sz w:val="20"/>
          <w:szCs w:val="20"/>
        </w:rPr>
        <w:t>The Company reflects debt issuance costs in the Consolidated Balance Sheets as a direct deduction from the gross amount of debt, consistent with the presentation of a debt discount. Debt issuance costs are amortized to interest expense,</w:t>
      </w:r>
      <w:r>
        <w:rPr>
          <w:rFonts w:eastAsia="Times New Roman"/>
          <w:color w:val="000000"/>
          <w:sz w:val="20"/>
          <w:szCs w:val="20"/>
        </w:rPr>
        <w:t xml:space="preserve"> net over the term of the underlying debt instrument, utilizing the effective interest method.</w:t>
      </w:r>
    </w:p>
    <w:p w14:paraId="33DF9ED4" w14:textId="77777777" w:rsidR="00000000" w:rsidRDefault="00E614A4">
      <w:pPr>
        <w:jc w:val="both"/>
        <w:divId w:val="616253877"/>
        <w:rPr>
          <w:rFonts w:eastAsia="Times New Roman"/>
        </w:rPr>
      </w:pPr>
      <w:r>
        <w:rPr>
          <w:rFonts w:eastAsia="Times New Roman"/>
          <w:b/>
          <w:bCs/>
          <w:i/>
          <w:iCs/>
          <w:color w:val="000000"/>
          <w:sz w:val="20"/>
          <w:szCs w:val="20"/>
        </w:rPr>
        <w:t>Derivative Financial Instruments</w:t>
      </w:r>
    </w:p>
    <w:p w14:paraId="24DCF160" w14:textId="77777777" w:rsidR="00000000" w:rsidRDefault="00E614A4">
      <w:pPr>
        <w:jc w:val="both"/>
        <w:divId w:val="1237858972"/>
        <w:rPr>
          <w:rFonts w:eastAsia="Times New Roman"/>
        </w:rPr>
      </w:pPr>
      <w:r>
        <w:rPr>
          <w:rFonts w:eastAsia="Times New Roman"/>
          <w:color w:val="000000"/>
          <w:sz w:val="20"/>
          <w:szCs w:val="20"/>
        </w:rPr>
        <w:t>The Company has derivative financial instruments that are not hedges and do not qualify for hedge accounting. Changes in the fai</w:t>
      </w:r>
      <w:r>
        <w:rPr>
          <w:rFonts w:eastAsia="Times New Roman"/>
          <w:color w:val="000000"/>
          <w:sz w:val="20"/>
          <w:szCs w:val="20"/>
        </w:rPr>
        <w:t xml:space="preserve">r value of these instruments are recorded in other income (expense), net in the Consolidated Statements of Operations and Comprehensive Loss. </w:t>
      </w:r>
    </w:p>
    <w:p w14:paraId="4B24B8DB" w14:textId="77777777" w:rsidR="00000000" w:rsidRDefault="00E614A4">
      <w:pPr>
        <w:jc w:val="both"/>
        <w:divId w:val="323894987"/>
        <w:rPr>
          <w:rFonts w:eastAsia="Times New Roman"/>
        </w:rPr>
      </w:pPr>
      <w:r>
        <w:rPr>
          <w:rFonts w:eastAsia="Times New Roman"/>
          <w:b/>
          <w:bCs/>
          <w:i/>
          <w:iCs/>
          <w:color w:val="000000"/>
          <w:sz w:val="20"/>
          <w:szCs w:val="20"/>
        </w:rPr>
        <w:t>Stock-Based Compensation</w:t>
      </w:r>
    </w:p>
    <w:p w14:paraId="5AD48040" w14:textId="77777777" w:rsidR="00000000" w:rsidRDefault="00E614A4">
      <w:pPr>
        <w:jc w:val="both"/>
        <w:divId w:val="2109496481"/>
        <w:rPr>
          <w:rFonts w:eastAsia="Times New Roman"/>
        </w:rPr>
      </w:pPr>
      <w:r>
        <w:rPr>
          <w:rFonts w:eastAsia="Times New Roman"/>
          <w:color w:val="000000"/>
          <w:sz w:val="20"/>
          <w:szCs w:val="20"/>
        </w:rPr>
        <w:t>The Company estimates the fair value of stock-based awards on the date of grant. The fai</w:t>
      </w:r>
      <w:r>
        <w:rPr>
          <w:rFonts w:eastAsia="Times New Roman"/>
          <w:color w:val="000000"/>
          <w:sz w:val="20"/>
          <w:szCs w:val="20"/>
        </w:rPr>
        <w:t>r value of stock options with only service conditions is determined using the Black-Scholes option pricing model. The fair value of restricted stock units ("RSUs") and restricted stock awards is based on the closing price of the Company's Common Stock on t</w:t>
      </w:r>
      <w:r>
        <w:rPr>
          <w:rFonts w:eastAsia="Times New Roman"/>
          <w:color w:val="000000"/>
          <w:sz w:val="20"/>
          <w:szCs w:val="20"/>
        </w:rPr>
        <w:t>he date of grant. The Company amortizes the fair value of awards expected to vest on a straight-line basis over the requisite service periods of the awards, which is generally the period from the grant date to the end of the vesting period. The determinati</w:t>
      </w:r>
      <w:r>
        <w:rPr>
          <w:rFonts w:eastAsia="Times New Roman"/>
          <w:color w:val="000000"/>
          <w:sz w:val="20"/>
          <w:szCs w:val="20"/>
        </w:rPr>
        <w:t>on of the fair value of the Company's stock option awards is based on a variety of factors, including, but not limited to, the Company's Common Stock price, risk-free rate, expected stock price volatility over the expected life of awards, dividend yield an</w:t>
      </w:r>
      <w:r>
        <w:rPr>
          <w:rFonts w:eastAsia="Times New Roman"/>
          <w:color w:val="000000"/>
          <w:sz w:val="20"/>
          <w:szCs w:val="20"/>
        </w:rPr>
        <w:t>d actual and projected exercise behavior. Additionally, the Company has estimated forfeitures for stock-based awards at the dates of grant based on historical experience and adjusted for future expectation. The Company performs a review of the forfeiture r</w:t>
      </w:r>
      <w:r>
        <w:rPr>
          <w:rFonts w:eastAsia="Times New Roman"/>
          <w:color w:val="000000"/>
          <w:sz w:val="20"/>
          <w:szCs w:val="20"/>
        </w:rPr>
        <w:t>ate assumption at least annually or as deemed necessary if there are changes that could potentially significantly impact the future rate of forfeiture of its stock-based awards. The forfeiture estimate is revised as necessary if actual forfeitures differ f</w:t>
      </w:r>
      <w:r>
        <w:rPr>
          <w:rFonts w:eastAsia="Times New Roman"/>
          <w:color w:val="000000"/>
          <w:sz w:val="20"/>
          <w:szCs w:val="20"/>
        </w:rPr>
        <w:t>rom these estimates.</w:t>
      </w:r>
    </w:p>
    <w:p w14:paraId="2548F729" w14:textId="77777777" w:rsidR="00000000" w:rsidRDefault="00E614A4">
      <w:pPr>
        <w:jc w:val="both"/>
        <w:divId w:val="540166634"/>
        <w:rPr>
          <w:rFonts w:eastAsia="Times New Roman"/>
        </w:rPr>
      </w:pPr>
      <w:r>
        <w:rPr>
          <w:rFonts w:eastAsia="Times New Roman"/>
          <w:color w:val="000000"/>
          <w:sz w:val="20"/>
          <w:szCs w:val="20"/>
        </w:rPr>
        <w:t>The Company issues stock options with a vesting period based solely upon the passage of time (service vesting). In considering expected exercise behavior the Company applies the simplified method for plain-vanilla options due to the la</w:t>
      </w:r>
      <w:r>
        <w:rPr>
          <w:rFonts w:eastAsia="Times New Roman"/>
          <w:color w:val="000000"/>
          <w:sz w:val="20"/>
          <w:szCs w:val="20"/>
        </w:rPr>
        <w:t>ck of significant historical exercise experience. For non-employee options that do not qualify as plain-vanilla the Company generally elects to apply the contractual term of the award.</w:t>
      </w:r>
    </w:p>
    <w:p w14:paraId="7B3EA68C" w14:textId="77777777" w:rsidR="00000000" w:rsidRDefault="00E614A4">
      <w:pPr>
        <w:jc w:val="both"/>
        <w:divId w:val="972828337"/>
        <w:rPr>
          <w:rFonts w:eastAsia="Times New Roman"/>
        </w:rPr>
      </w:pPr>
      <w:r>
        <w:rPr>
          <w:rFonts w:eastAsia="Times New Roman"/>
          <w:color w:val="000000"/>
          <w:sz w:val="20"/>
          <w:szCs w:val="20"/>
        </w:rPr>
        <w:t>The Company issues RSU awards with restrictions that lapse upon the pas</w:t>
      </w:r>
      <w:r>
        <w:rPr>
          <w:rFonts w:eastAsia="Times New Roman"/>
          <w:color w:val="000000"/>
          <w:sz w:val="20"/>
          <w:szCs w:val="20"/>
        </w:rPr>
        <w:t>sage of time (service vesting), achieving performance targets, fulfillment of market conditions or a combination thereof. For those RSU awards with only service vesting, the Company recognizes compensation cost on a straight-line basis over the service per</w:t>
      </w:r>
      <w:r>
        <w:rPr>
          <w:rFonts w:eastAsia="Times New Roman"/>
          <w:color w:val="000000"/>
          <w:sz w:val="20"/>
          <w:szCs w:val="20"/>
        </w:rPr>
        <w:t>iod. For awards with performance conditions only, or performance and service conditions, the Company starts recognizing compensation cost over the remaining service period when it is probable the performance conditions will be met. Stock awards that contai</w:t>
      </w:r>
      <w:r>
        <w:rPr>
          <w:rFonts w:eastAsia="Times New Roman"/>
          <w:color w:val="000000"/>
          <w:sz w:val="20"/>
          <w:szCs w:val="20"/>
        </w:rPr>
        <w:t>n performance vesting conditions are excluded from diluted earnings per share ("EPS") computations until the contingency is met as of the end of that reporting period.</w:t>
      </w:r>
    </w:p>
    <w:p w14:paraId="2D885414" w14:textId="77777777" w:rsidR="00000000" w:rsidRDefault="00E614A4">
      <w:pPr>
        <w:jc w:val="both"/>
        <w:divId w:val="1301113841"/>
        <w:rPr>
          <w:rFonts w:eastAsia="Times New Roman"/>
        </w:rPr>
      </w:pPr>
      <w:r>
        <w:rPr>
          <w:rFonts w:eastAsia="Times New Roman"/>
          <w:color w:val="000000"/>
          <w:sz w:val="20"/>
          <w:szCs w:val="20"/>
        </w:rPr>
        <w:t>For awards with market conditions, the Company recognizes compensation cost over the rem</w:t>
      </w:r>
      <w:r>
        <w:rPr>
          <w:rFonts w:eastAsia="Times New Roman"/>
          <w:color w:val="000000"/>
          <w:sz w:val="20"/>
          <w:szCs w:val="20"/>
        </w:rPr>
        <w:t>aining service period, with the effect of the market condition reflected in the calculation of the award's fair value at the grant date. The Company values awards with market conditions using certain valuation techniques, such as a Monte Carlo simulation a</w:t>
      </w:r>
      <w:r>
        <w:rPr>
          <w:rFonts w:eastAsia="Times New Roman"/>
          <w:color w:val="000000"/>
          <w:sz w:val="20"/>
          <w:szCs w:val="20"/>
        </w:rPr>
        <w:t>nalysis. The Company determines the requisite service period based on the longer of the explicit service period and the derived service period. Stock awards that contain market vesting conditions are included in the computations of diluted EPS reflecting t</w:t>
      </w:r>
      <w:r>
        <w:rPr>
          <w:rFonts w:eastAsia="Times New Roman"/>
          <w:color w:val="000000"/>
          <w:sz w:val="20"/>
          <w:szCs w:val="20"/>
        </w:rPr>
        <w:t>he number of shares that would be issued based on the current market price at the end of the period being reported on, if their effect is dilutive.</w:t>
      </w:r>
    </w:p>
    <w:p w14:paraId="620E499F" w14:textId="77777777" w:rsidR="00000000" w:rsidRDefault="00E614A4">
      <w:pPr>
        <w:jc w:val="both"/>
        <w:divId w:val="830678807"/>
        <w:rPr>
          <w:rFonts w:eastAsia="Times New Roman"/>
        </w:rPr>
      </w:pPr>
      <w:r>
        <w:rPr>
          <w:rFonts w:eastAsia="Times New Roman"/>
          <w:color w:val="000000"/>
          <w:sz w:val="20"/>
          <w:szCs w:val="20"/>
        </w:rPr>
        <w:t>Under the Company's annual incentive compensation plan, the Company may grant immediate or future vesting RS</w:t>
      </w:r>
      <w:r>
        <w:rPr>
          <w:rFonts w:eastAsia="Times New Roman"/>
          <w:color w:val="000000"/>
          <w:sz w:val="20"/>
          <w:szCs w:val="20"/>
        </w:rPr>
        <w:t>Us to certain employees. For these awards, stock-based compensation expense is recognized over the requisite service period, which generally precedes the grant date. The Company accrues stock-based compensation expense for these awards until the date of gr</w:t>
      </w:r>
      <w:r>
        <w:rPr>
          <w:rFonts w:eastAsia="Times New Roman"/>
          <w:color w:val="000000"/>
          <w:sz w:val="20"/>
          <w:szCs w:val="20"/>
        </w:rPr>
        <w:t>ant.</w:t>
      </w:r>
    </w:p>
    <w:p w14:paraId="592B481B" w14:textId="77777777" w:rsidR="00000000" w:rsidRDefault="00E614A4">
      <w:pPr>
        <w:jc w:val="both"/>
        <w:divId w:val="631861208"/>
        <w:rPr>
          <w:rFonts w:eastAsia="Times New Roman"/>
        </w:rPr>
      </w:pPr>
      <w:r>
        <w:rPr>
          <w:rFonts w:eastAsia="Times New Roman"/>
          <w:b/>
          <w:bCs/>
          <w:i/>
          <w:iCs/>
          <w:color w:val="000000"/>
          <w:sz w:val="20"/>
          <w:szCs w:val="20"/>
        </w:rPr>
        <w:t>Income Taxes</w:t>
      </w:r>
    </w:p>
    <w:p w14:paraId="6C7A0A80" w14:textId="77777777" w:rsidR="00000000" w:rsidRDefault="00E614A4">
      <w:pPr>
        <w:jc w:val="both"/>
        <w:divId w:val="1799568891"/>
        <w:rPr>
          <w:rFonts w:eastAsia="Times New Roman"/>
        </w:rPr>
      </w:pPr>
      <w:r>
        <w:rPr>
          <w:rFonts w:eastAsia="Times New Roman"/>
          <w:color w:val="000000"/>
          <w:sz w:val="20"/>
          <w:szCs w:val="20"/>
        </w:rPr>
        <w:t>Income taxes are accounted for using the asset and liability method. Deferred income taxes are provided for temporary differences in recognizing certain income, expense and credit items for financial reporting purposes and tax reporting p</w:t>
      </w:r>
      <w:r>
        <w:rPr>
          <w:rFonts w:eastAsia="Times New Roman"/>
          <w:color w:val="000000"/>
          <w:sz w:val="20"/>
          <w:szCs w:val="20"/>
        </w:rPr>
        <w:t>urposes. Such deferred income taxes primarily relate to the difference between the tax bases of assets and liabilities and their financial reporting amounts. Deferred tax assets and liabilities are measured by applying enacted statutory tax rates applicabl</w:t>
      </w:r>
      <w:r>
        <w:rPr>
          <w:rFonts w:eastAsia="Times New Roman"/>
          <w:color w:val="000000"/>
          <w:sz w:val="20"/>
          <w:szCs w:val="20"/>
        </w:rPr>
        <w:t>e to the future years in which deferred tax assets or liabilities are expected to be settled or realized. Excess tax benefits and tax deficiencies are recognized in the income tax provision in the period in which they occur.</w:t>
      </w:r>
    </w:p>
    <w:p w14:paraId="20F1B069" w14:textId="77777777" w:rsidR="00000000" w:rsidRDefault="00E614A4">
      <w:pPr>
        <w:jc w:val="both"/>
        <w:divId w:val="1672642083"/>
        <w:rPr>
          <w:rFonts w:eastAsia="Times New Roman"/>
        </w:rPr>
      </w:pPr>
      <w:r>
        <w:rPr>
          <w:rFonts w:eastAsia="Times New Roman"/>
          <w:color w:val="000000"/>
          <w:sz w:val="20"/>
          <w:szCs w:val="20"/>
        </w:rPr>
        <w:t>The Company records a valuation</w:t>
      </w:r>
      <w:r>
        <w:rPr>
          <w:rFonts w:eastAsia="Times New Roman"/>
          <w:color w:val="000000"/>
          <w:sz w:val="20"/>
          <w:szCs w:val="20"/>
        </w:rPr>
        <w:t xml:space="preserve"> allowance when it determines, based on available positive and negative evidence, that it is more-likely-than-not that some portion or all of its deferred tax assets will not be realized. The Company determines the realizability of its deferred tax assets </w:t>
      </w:r>
      <w:r>
        <w:rPr>
          <w:rFonts w:eastAsia="Times New Roman"/>
          <w:color w:val="000000"/>
          <w:sz w:val="20"/>
          <w:szCs w:val="20"/>
        </w:rPr>
        <w:t>primarily based on the reversal of existing taxable temporary differences and projections of future taxable income (exclusive of reversing temporary differences and carryforwards). In evaluating such projections, the Company considers its history of profit</w:t>
      </w:r>
      <w:r>
        <w:rPr>
          <w:rFonts w:eastAsia="Times New Roman"/>
          <w:color w:val="000000"/>
          <w:sz w:val="20"/>
          <w:szCs w:val="20"/>
        </w:rPr>
        <w:t>ability, the competitive environment, and general economic conditions. In addition, the Company considers the time frame over which it would take to utilize the deferred tax assets prior to their expiration.</w:t>
      </w:r>
    </w:p>
    <w:p w14:paraId="730972CD" w14:textId="77777777" w:rsidR="00000000" w:rsidRDefault="00E614A4">
      <w:pPr>
        <w:jc w:val="center"/>
        <w:divId w:val="778993554"/>
        <w:rPr>
          <w:rFonts w:eastAsia="Times New Roman"/>
        </w:rPr>
      </w:pPr>
      <w:r>
        <w:rPr>
          <w:rFonts w:eastAsia="Times New Roman"/>
          <w:color w:val="000000"/>
          <w:sz w:val="20"/>
          <w:szCs w:val="20"/>
        </w:rPr>
        <w:t>73</w:t>
      </w:r>
    </w:p>
    <w:p w14:paraId="4C860753" w14:textId="77777777" w:rsidR="00000000" w:rsidRDefault="00E614A4">
      <w:pPr>
        <w:rPr>
          <w:rFonts w:eastAsia="Times New Roman"/>
        </w:rPr>
      </w:pPr>
      <w:r>
        <w:rPr>
          <w:rFonts w:eastAsia="Times New Roman"/>
        </w:rPr>
        <w:pict w14:anchorId="2388AB1C">
          <v:rect id="_x0000_i1101" style="width:0;height:1.5pt" o:hralign="center" o:hrstd="t" o:hr="t" fillcolor="#a0a0a0" stroked="f"/>
        </w:pict>
      </w:r>
    </w:p>
    <w:p w14:paraId="4CD3E7DF" w14:textId="77777777" w:rsidR="00000000" w:rsidRDefault="00E614A4">
      <w:pPr>
        <w:divId w:val="138733320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873455A" w14:textId="77777777" w:rsidR="00000000" w:rsidRDefault="00E614A4">
      <w:pPr>
        <w:divId w:val="995303762"/>
        <w:rPr>
          <w:rFonts w:eastAsia="Times New Roman"/>
        </w:rPr>
      </w:pPr>
    </w:p>
    <w:p w14:paraId="79388ABF" w14:textId="77777777" w:rsidR="00000000" w:rsidRDefault="00E614A4">
      <w:pPr>
        <w:jc w:val="both"/>
        <w:divId w:val="451483993"/>
        <w:rPr>
          <w:rFonts w:eastAsia="Times New Roman"/>
        </w:rPr>
      </w:pPr>
      <w:r>
        <w:rPr>
          <w:rFonts w:eastAsia="Times New Roman"/>
          <w:color w:val="000000"/>
          <w:sz w:val="20"/>
          <w:szCs w:val="20"/>
        </w:rPr>
        <w:t>For certain tax positions, the Company uses a more-likely-than-not threshold based on the technical merits of the tax position t</w:t>
      </w:r>
      <w:r>
        <w:rPr>
          <w:rFonts w:eastAsia="Times New Roman"/>
          <w:color w:val="000000"/>
          <w:sz w:val="20"/>
          <w:szCs w:val="20"/>
        </w:rPr>
        <w:t>aken. Tax positions that meet the more-likely-than-not recognition threshold are measured at the largest amount of tax benefits determined on a cumulative probability basis, which are more-likely-than-not to be realized upon ultimate settlement in the fina</w:t>
      </w:r>
      <w:r>
        <w:rPr>
          <w:rFonts w:eastAsia="Times New Roman"/>
          <w:color w:val="000000"/>
          <w:sz w:val="20"/>
          <w:szCs w:val="20"/>
        </w:rPr>
        <w:t>ncial statements. The Company's policy is to recognize interest and penalties related to income tax matters in income tax expense.</w:t>
      </w:r>
    </w:p>
    <w:p w14:paraId="092FC7BD" w14:textId="77777777" w:rsidR="00000000" w:rsidRDefault="00E614A4">
      <w:pPr>
        <w:jc w:val="both"/>
        <w:divId w:val="1852253830"/>
        <w:rPr>
          <w:rFonts w:eastAsia="Times New Roman"/>
        </w:rPr>
      </w:pPr>
      <w:r>
        <w:rPr>
          <w:rFonts w:eastAsia="Times New Roman"/>
          <w:color w:val="000000"/>
          <w:sz w:val="20"/>
          <w:szCs w:val="20"/>
        </w:rPr>
        <w:t>In December 2017, U.S. tax reform legislation known as the Tax Cuts and Jobs Act (the "TCJA") was signed into law. The Compan</w:t>
      </w:r>
      <w:r>
        <w:rPr>
          <w:rFonts w:eastAsia="Times New Roman"/>
          <w:color w:val="000000"/>
          <w:sz w:val="20"/>
          <w:szCs w:val="20"/>
        </w:rPr>
        <w:t>y determined the effects of certain provisions, including but not limited to: a reduction in the corporate tax rate from 35% to 21%, a limitation of the deductibility of certain officers' compensation, a limitation on the current deductibility of net inter</w:t>
      </w:r>
      <w:r>
        <w:rPr>
          <w:rFonts w:eastAsia="Times New Roman"/>
          <w:color w:val="000000"/>
          <w:sz w:val="20"/>
          <w:szCs w:val="20"/>
        </w:rPr>
        <w:t xml:space="preserve">est expense in excess of 30% of adjusted taxable income, a limitation of net operating losses generated after 2018 to 80% of taxable income, an incremental tax (base erosion anti-abuse or "BEAT") on excessive amounts paid to foreign related parties, and a </w:t>
      </w:r>
      <w:r>
        <w:rPr>
          <w:rFonts w:eastAsia="Times New Roman"/>
          <w:color w:val="000000"/>
          <w:sz w:val="20"/>
          <w:szCs w:val="20"/>
        </w:rPr>
        <w:t>minimum tax on certain foreign earnings in excess of 10% of the foreign subsidiaries tangible assets (global intangible low-taxed income or "GILTI"). As part of its GILTI review, the Company has determined that it will account for GILTI income as it is gen</w:t>
      </w:r>
      <w:r>
        <w:rPr>
          <w:rFonts w:eastAsia="Times New Roman"/>
          <w:color w:val="000000"/>
          <w:sz w:val="20"/>
          <w:szCs w:val="20"/>
        </w:rPr>
        <w:t>erated (i.e., treat it as a period expense). Given the Company's loss position in the U.S. and the valuation allowance recorded against its U.S. net deferred tax assets, these provisions have not had a material impact on the Company's consolidated financia</w:t>
      </w:r>
      <w:r>
        <w:rPr>
          <w:rFonts w:eastAsia="Times New Roman"/>
          <w:color w:val="000000"/>
          <w:sz w:val="20"/>
          <w:szCs w:val="20"/>
        </w:rPr>
        <w:t>l statements.</w:t>
      </w:r>
    </w:p>
    <w:p w14:paraId="090E4500" w14:textId="77777777" w:rsidR="00000000" w:rsidRDefault="00E614A4">
      <w:pPr>
        <w:jc w:val="both"/>
        <w:divId w:val="65568148"/>
        <w:rPr>
          <w:rFonts w:eastAsia="Times New Roman"/>
        </w:rPr>
      </w:pPr>
      <w:r>
        <w:rPr>
          <w:rFonts w:eastAsia="Times New Roman"/>
          <w:b/>
          <w:bCs/>
          <w:i/>
          <w:iCs/>
          <w:color w:val="000000"/>
          <w:sz w:val="20"/>
          <w:szCs w:val="20"/>
        </w:rPr>
        <w:t>Loss Per Share</w:t>
      </w:r>
    </w:p>
    <w:p w14:paraId="0379D257" w14:textId="77777777" w:rsidR="00000000" w:rsidRDefault="00E614A4">
      <w:pPr>
        <w:jc w:val="both"/>
        <w:divId w:val="1149975911"/>
        <w:rPr>
          <w:rFonts w:eastAsia="Times New Roman"/>
        </w:rPr>
      </w:pPr>
      <w:r>
        <w:rPr>
          <w:rFonts w:eastAsia="Times New Roman"/>
          <w:color w:val="000000"/>
          <w:sz w:val="20"/>
          <w:szCs w:val="20"/>
        </w:rPr>
        <w:t xml:space="preserve">Basic net loss per common share excludes dilution for potential Common Stock issuances and is computed by dividing net loss by the weighted-average number of shares of Common Stock outstanding for the period. 250,000 shares of </w:t>
      </w:r>
      <w:r>
        <w:rPr>
          <w:rFonts w:eastAsia="Times New Roman"/>
          <w:color w:val="000000"/>
          <w:sz w:val="20"/>
          <w:szCs w:val="20"/>
        </w:rPr>
        <w:t xml:space="preserve">Common Stock issuable upon the exercise of warrants ("penny warrants") were included in the number of outstanding shares used for the computation of basic net loss per share prior to the exercise of those warrants in April 2019. In periods with a reported </w:t>
      </w:r>
      <w:r>
        <w:rPr>
          <w:rFonts w:eastAsia="Times New Roman"/>
          <w:color w:val="000000"/>
          <w:sz w:val="20"/>
          <w:szCs w:val="20"/>
        </w:rPr>
        <w:t xml:space="preserve">net loss, the effect of anti-dilutive stock options, stock appreciation rights, restricted stock units, senior secured convertible notes and warrants are excluded and diluted loss per share is equal to basic loss per share. </w:t>
      </w:r>
    </w:p>
    <w:p w14:paraId="73871610" w14:textId="77777777" w:rsidR="00000000" w:rsidRDefault="00E614A4">
      <w:pPr>
        <w:jc w:val="both"/>
        <w:divId w:val="720831138"/>
        <w:rPr>
          <w:rFonts w:eastAsia="Times New Roman"/>
        </w:rPr>
      </w:pPr>
      <w:r>
        <w:rPr>
          <w:rFonts w:eastAsia="Times New Roman"/>
          <w:color w:val="000000"/>
          <w:sz w:val="20"/>
          <w:szCs w:val="20"/>
        </w:rPr>
        <w:t>The following is a summary of the Common Stock equivalents for the securities outstanding during the respective periods that have been excluded from the computation of diluted net loss per common share, as their effect would be anti-dilutive:</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4737"/>
        <w:gridCol w:w="36"/>
        <w:gridCol w:w="66"/>
        <w:gridCol w:w="983"/>
        <w:gridCol w:w="38"/>
        <w:gridCol w:w="37"/>
        <w:gridCol w:w="37"/>
        <w:gridCol w:w="37"/>
        <w:gridCol w:w="66"/>
        <w:gridCol w:w="984"/>
        <w:gridCol w:w="38"/>
        <w:gridCol w:w="36"/>
        <w:gridCol w:w="36"/>
        <w:gridCol w:w="36"/>
        <w:gridCol w:w="59"/>
        <w:gridCol w:w="991"/>
        <w:gridCol w:w="37"/>
      </w:tblGrid>
      <w:tr w:rsidR="00000000" w14:paraId="3ABB898B" w14:textId="77777777">
        <w:trPr>
          <w:divId w:val="1754623409"/>
          <w:jc w:val="center"/>
        </w:trPr>
        <w:tc>
          <w:tcPr>
            <w:tcW w:w="50" w:type="pct"/>
            <w:vAlign w:val="center"/>
            <w:hideMark/>
          </w:tcPr>
          <w:p w14:paraId="20666870" w14:textId="77777777" w:rsidR="00000000" w:rsidRDefault="00E614A4">
            <w:pPr>
              <w:jc w:val="both"/>
              <w:rPr>
                <w:rFonts w:eastAsia="Times New Roman"/>
              </w:rPr>
            </w:pPr>
          </w:p>
        </w:tc>
        <w:tc>
          <w:tcPr>
            <w:tcW w:w="2868" w:type="pct"/>
            <w:vAlign w:val="center"/>
            <w:hideMark/>
          </w:tcPr>
          <w:p w14:paraId="13C157A6" w14:textId="77777777" w:rsidR="00000000" w:rsidRDefault="00E614A4">
            <w:pPr>
              <w:rPr>
                <w:rFonts w:eastAsia="Times New Roman"/>
                <w:sz w:val="20"/>
                <w:szCs w:val="20"/>
              </w:rPr>
            </w:pPr>
          </w:p>
        </w:tc>
        <w:tc>
          <w:tcPr>
            <w:tcW w:w="5" w:type="pct"/>
            <w:vAlign w:val="center"/>
            <w:hideMark/>
          </w:tcPr>
          <w:p w14:paraId="7B4C2F4D" w14:textId="77777777" w:rsidR="00000000" w:rsidRDefault="00E614A4">
            <w:pPr>
              <w:rPr>
                <w:rFonts w:eastAsia="Times New Roman"/>
                <w:sz w:val="20"/>
                <w:szCs w:val="20"/>
              </w:rPr>
            </w:pPr>
          </w:p>
        </w:tc>
        <w:tc>
          <w:tcPr>
            <w:tcW w:w="50" w:type="pct"/>
            <w:vAlign w:val="center"/>
            <w:hideMark/>
          </w:tcPr>
          <w:p w14:paraId="34BF9F6D" w14:textId="77777777" w:rsidR="00000000" w:rsidRDefault="00E614A4">
            <w:pPr>
              <w:rPr>
                <w:rFonts w:eastAsia="Times New Roman"/>
                <w:sz w:val="20"/>
                <w:szCs w:val="20"/>
              </w:rPr>
            </w:pPr>
          </w:p>
        </w:tc>
        <w:tc>
          <w:tcPr>
            <w:tcW w:w="618" w:type="pct"/>
            <w:vAlign w:val="center"/>
            <w:hideMark/>
          </w:tcPr>
          <w:p w14:paraId="3653D537" w14:textId="77777777" w:rsidR="00000000" w:rsidRDefault="00E614A4">
            <w:pPr>
              <w:rPr>
                <w:rFonts w:eastAsia="Times New Roman"/>
                <w:sz w:val="20"/>
                <w:szCs w:val="20"/>
              </w:rPr>
            </w:pPr>
          </w:p>
        </w:tc>
        <w:tc>
          <w:tcPr>
            <w:tcW w:w="5" w:type="pct"/>
            <w:vAlign w:val="center"/>
            <w:hideMark/>
          </w:tcPr>
          <w:p w14:paraId="492776CC" w14:textId="77777777" w:rsidR="00000000" w:rsidRDefault="00E614A4">
            <w:pPr>
              <w:rPr>
                <w:rFonts w:eastAsia="Times New Roman"/>
                <w:sz w:val="20"/>
                <w:szCs w:val="20"/>
              </w:rPr>
            </w:pPr>
          </w:p>
        </w:tc>
        <w:tc>
          <w:tcPr>
            <w:tcW w:w="5" w:type="pct"/>
            <w:vAlign w:val="center"/>
            <w:hideMark/>
          </w:tcPr>
          <w:p w14:paraId="0A054575" w14:textId="77777777" w:rsidR="00000000" w:rsidRDefault="00E614A4">
            <w:pPr>
              <w:rPr>
                <w:rFonts w:eastAsia="Times New Roman"/>
                <w:sz w:val="20"/>
                <w:szCs w:val="20"/>
              </w:rPr>
            </w:pPr>
          </w:p>
        </w:tc>
        <w:tc>
          <w:tcPr>
            <w:tcW w:w="17" w:type="pct"/>
            <w:vAlign w:val="center"/>
            <w:hideMark/>
          </w:tcPr>
          <w:p w14:paraId="074648B6" w14:textId="77777777" w:rsidR="00000000" w:rsidRDefault="00E614A4">
            <w:pPr>
              <w:rPr>
                <w:rFonts w:eastAsia="Times New Roman"/>
                <w:sz w:val="20"/>
                <w:szCs w:val="20"/>
              </w:rPr>
            </w:pPr>
          </w:p>
        </w:tc>
        <w:tc>
          <w:tcPr>
            <w:tcW w:w="5" w:type="pct"/>
            <w:vAlign w:val="center"/>
            <w:hideMark/>
          </w:tcPr>
          <w:p w14:paraId="2E60323A" w14:textId="77777777" w:rsidR="00000000" w:rsidRDefault="00E614A4">
            <w:pPr>
              <w:rPr>
                <w:rFonts w:eastAsia="Times New Roman"/>
                <w:sz w:val="20"/>
                <w:szCs w:val="20"/>
              </w:rPr>
            </w:pPr>
          </w:p>
        </w:tc>
        <w:tc>
          <w:tcPr>
            <w:tcW w:w="50" w:type="pct"/>
            <w:vAlign w:val="center"/>
            <w:hideMark/>
          </w:tcPr>
          <w:p w14:paraId="3B73B92E" w14:textId="77777777" w:rsidR="00000000" w:rsidRDefault="00E614A4">
            <w:pPr>
              <w:rPr>
                <w:rFonts w:eastAsia="Times New Roman"/>
                <w:sz w:val="20"/>
                <w:szCs w:val="20"/>
              </w:rPr>
            </w:pPr>
          </w:p>
        </w:tc>
        <w:tc>
          <w:tcPr>
            <w:tcW w:w="618" w:type="pct"/>
            <w:vAlign w:val="center"/>
            <w:hideMark/>
          </w:tcPr>
          <w:p w14:paraId="6193F8F1" w14:textId="77777777" w:rsidR="00000000" w:rsidRDefault="00E614A4">
            <w:pPr>
              <w:rPr>
                <w:rFonts w:eastAsia="Times New Roman"/>
                <w:sz w:val="20"/>
                <w:szCs w:val="20"/>
              </w:rPr>
            </w:pPr>
          </w:p>
        </w:tc>
        <w:tc>
          <w:tcPr>
            <w:tcW w:w="5" w:type="pct"/>
            <w:vAlign w:val="center"/>
            <w:hideMark/>
          </w:tcPr>
          <w:p w14:paraId="04C23096" w14:textId="77777777" w:rsidR="00000000" w:rsidRDefault="00E614A4">
            <w:pPr>
              <w:rPr>
                <w:rFonts w:eastAsia="Times New Roman"/>
                <w:sz w:val="20"/>
                <w:szCs w:val="20"/>
              </w:rPr>
            </w:pPr>
          </w:p>
        </w:tc>
        <w:tc>
          <w:tcPr>
            <w:tcW w:w="5" w:type="pct"/>
            <w:vAlign w:val="center"/>
            <w:hideMark/>
          </w:tcPr>
          <w:p w14:paraId="28CEA7B6" w14:textId="77777777" w:rsidR="00000000" w:rsidRDefault="00E614A4">
            <w:pPr>
              <w:rPr>
                <w:rFonts w:eastAsia="Times New Roman"/>
                <w:sz w:val="20"/>
                <w:szCs w:val="20"/>
              </w:rPr>
            </w:pPr>
          </w:p>
        </w:tc>
        <w:tc>
          <w:tcPr>
            <w:tcW w:w="17" w:type="pct"/>
            <w:vAlign w:val="center"/>
            <w:hideMark/>
          </w:tcPr>
          <w:p w14:paraId="1B04B3F5" w14:textId="77777777" w:rsidR="00000000" w:rsidRDefault="00E614A4">
            <w:pPr>
              <w:rPr>
                <w:rFonts w:eastAsia="Times New Roman"/>
                <w:sz w:val="20"/>
                <w:szCs w:val="20"/>
              </w:rPr>
            </w:pPr>
          </w:p>
        </w:tc>
        <w:tc>
          <w:tcPr>
            <w:tcW w:w="5" w:type="pct"/>
            <w:vAlign w:val="center"/>
            <w:hideMark/>
          </w:tcPr>
          <w:p w14:paraId="1E787262" w14:textId="77777777" w:rsidR="00000000" w:rsidRDefault="00E614A4">
            <w:pPr>
              <w:rPr>
                <w:rFonts w:eastAsia="Times New Roman"/>
                <w:sz w:val="20"/>
                <w:szCs w:val="20"/>
              </w:rPr>
            </w:pPr>
          </w:p>
        </w:tc>
        <w:tc>
          <w:tcPr>
            <w:tcW w:w="50" w:type="pct"/>
            <w:vAlign w:val="center"/>
            <w:hideMark/>
          </w:tcPr>
          <w:p w14:paraId="0DC8CBCF" w14:textId="77777777" w:rsidR="00000000" w:rsidRDefault="00E614A4">
            <w:pPr>
              <w:rPr>
                <w:rFonts w:eastAsia="Times New Roman"/>
                <w:sz w:val="20"/>
                <w:szCs w:val="20"/>
              </w:rPr>
            </w:pPr>
          </w:p>
        </w:tc>
        <w:tc>
          <w:tcPr>
            <w:tcW w:w="618" w:type="pct"/>
            <w:vAlign w:val="center"/>
            <w:hideMark/>
          </w:tcPr>
          <w:p w14:paraId="6B3F6C22" w14:textId="77777777" w:rsidR="00000000" w:rsidRDefault="00E614A4">
            <w:pPr>
              <w:rPr>
                <w:rFonts w:eastAsia="Times New Roman"/>
                <w:sz w:val="20"/>
                <w:szCs w:val="20"/>
              </w:rPr>
            </w:pPr>
          </w:p>
        </w:tc>
        <w:tc>
          <w:tcPr>
            <w:tcW w:w="5" w:type="pct"/>
            <w:vAlign w:val="center"/>
            <w:hideMark/>
          </w:tcPr>
          <w:p w14:paraId="7B244D6F" w14:textId="77777777" w:rsidR="00000000" w:rsidRDefault="00E614A4">
            <w:pPr>
              <w:rPr>
                <w:rFonts w:eastAsia="Times New Roman"/>
                <w:sz w:val="20"/>
                <w:szCs w:val="20"/>
              </w:rPr>
            </w:pPr>
          </w:p>
        </w:tc>
      </w:tr>
      <w:tr w:rsidR="00000000" w14:paraId="6858F676" w14:textId="77777777">
        <w:trPr>
          <w:divId w:val="1754623409"/>
          <w:jc w:val="center"/>
        </w:trPr>
        <w:tc>
          <w:tcPr>
            <w:tcW w:w="0" w:type="auto"/>
            <w:gridSpan w:val="3"/>
            <w:tcMar>
              <w:top w:w="30" w:type="dxa"/>
              <w:left w:w="20" w:type="dxa"/>
              <w:bottom w:w="30" w:type="dxa"/>
              <w:right w:w="20" w:type="dxa"/>
            </w:tcMar>
            <w:vAlign w:val="bottom"/>
            <w:hideMark/>
          </w:tcPr>
          <w:p w14:paraId="47987AD4" w14:textId="77777777" w:rsidR="00000000" w:rsidRDefault="00E614A4">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3FACEEFB"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45179536" w14:textId="77777777">
        <w:trPr>
          <w:divId w:val="1754623409"/>
          <w:jc w:val="center"/>
        </w:trPr>
        <w:tc>
          <w:tcPr>
            <w:tcW w:w="0" w:type="auto"/>
            <w:gridSpan w:val="3"/>
            <w:tcMar>
              <w:top w:w="30" w:type="dxa"/>
              <w:left w:w="20" w:type="dxa"/>
              <w:bottom w:w="30" w:type="dxa"/>
              <w:right w:w="20" w:type="dxa"/>
            </w:tcMar>
            <w:vAlign w:val="bottom"/>
            <w:hideMark/>
          </w:tcPr>
          <w:p w14:paraId="37F4008F" w14:textId="77777777" w:rsidR="00000000" w:rsidRDefault="00E614A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6C632CF"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C980645"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353B18"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0828B9C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6BA14C" w14:textId="77777777" w:rsidR="00000000" w:rsidRDefault="00E614A4">
            <w:pPr>
              <w:jc w:val="center"/>
              <w:rPr>
                <w:rFonts w:eastAsia="Times New Roman"/>
              </w:rPr>
            </w:pPr>
            <w:r>
              <w:rPr>
                <w:rFonts w:eastAsia="Times New Roman"/>
                <w:b/>
                <w:bCs/>
                <w:color w:val="000000"/>
                <w:sz w:val="16"/>
                <w:szCs w:val="16"/>
              </w:rPr>
              <w:t>2018</w:t>
            </w:r>
          </w:p>
        </w:tc>
      </w:tr>
      <w:tr w:rsidR="00000000" w14:paraId="07F220F5" w14:textId="77777777">
        <w:trPr>
          <w:divId w:val="1754623409"/>
          <w:jc w:val="center"/>
        </w:trPr>
        <w:tc>
          <w:tcPr>
            <w:tcW w:w="0" w:type="auto"/>
            <w:gridSpan w:val="3"/>
            <w:shd w:val="clear" w:color="auto" w:fill="CCEEFF"/>
            <w:tcMar>
              <w:top w:w="30" w:type="dxa"/>
              <w:left w:w="20" w:type="dxa"/>
              <w:bottom w:w="30" w:type="dxa"/>
              <w:right w:w="20" w:type="dxa"/>
            </w:tcMar>
            <w:hideMark/>
          </w:tcPr>
          <w:p w14:paraId="34C3FFBA" w14:textId="77777777" w:rsidR="00000000" w:rsidRDefault="00E614A4">
            <w:pPr>
              <w:rPr>
                <w:rFonts w:eastAsia="Times New Roman"/>
              </w:rPr>
            </w:pPr>
            <w:r>
              <w:rPr>
                <w:rFonts w:eastAsia="Times New Roman"/>
                <w:color w:val="000000"/>
                <w:sz w:val="18"/>
                <w:szCs w:val="18"/>
              </w:rPr>
              <w:t>Stock options, stock appreciation rights, restricted stock units, senior secured convertible notes and warrants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364481" w14:textId="77777777" w:rsidR="00000000" w:rsidRDefault="00E614A4">
            <w:pPr>
              <w:jc w:val="right"/>
              <w:rPr>
                <w:rFonts w:eastAsia="Times New Roman"/>
              </w:rPr>
            </w:pPr>
            <w:r>
              <w:rPr>
                <w:rFonts w:eastAsia="Times New Roman"/>
                <w:color w:val="000000"/>
                <w:sz w:val="18"/>
                <w:szCs w:val="18"/>
              </w:rPr>
              <w:t>16,724,946 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EF0312" w14:textId="77777777" w:rsidR="00000000" w:rsidRDefault="00E614A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55AD33"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E220F9" w14:textId="77777777" w:rsidR="00000000" w:rsidRDefault="00E614A4">
            <w:pPr>
              <w:jc w:val="right"/>
              <w:rPr>
                <w:rFonts w:eastAsia="Times New Roman"/>
              </w:rPr>
            </w:pPr>
            <w:r>
              <w:rPr>
                <w:rFonts w:eastAsia="Times New Roman"/>
                <w:color w:val="000000"/>
                <w:sz w:val="18"/>
                <w:szCs w:val="18"/>
              </w:rPr>
              <w:t>12,443,032 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17A0B6" w14:textId="77777777" w:rsidR="00000000" w:rsidRDefault="00E614A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7D3F0F"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E8ED3A" w14:textId="77777777" w:rsidR="00000000" w:rsidRDefault="00E614A4">
            <w:pPr>
              <w:jc w:val="right"/>
              <w:rPr>
                <w:rFonts w:eastAsia="Times New Roman"/>
              </w:rPr>
            </w:pPr>
            <w:r>
              <w:rPr>
                <w:rFonts w:eastAsia="Times New Roman"/>
                <w:color w:val="000000"/>
                <w:sz w:val="18"/>
                <w:szCs w:val="18"/>
              </w:rPr>
              <w:t>8,392,748 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E1AE8C" w14:textId="77777777" w:rsidR="00000000" w:rsidRDefault="00E614A4">
            <w:pPr>
              <w:jc w:val="right"/>
              <w:rPr>
                <w:rFonts w:eastAsia="Times New Roman"/>
              </w:rPr>
            </w:pPr>
          </w:p>
        </w:tc>
      </w:tr>
    </w:tbl>
    <w:p w14:paraId="6EE70049" w14:textId="77777777" w:rsidR="00000000" w:rsidRDefault="00E614A4">
      <w:pPr>
        <w:divId w:val="1175538867"/>
        <w:rPr>
          <w:rFonts w:eastAsia="Times New Roman"/>
        </w:rPr>
      </w:pPr>
      <w:r>
        <w:rPr>
          <w:rFonts w:eastAsia="Times New Roman"/>
          <w:b/>
          <w:bCs/>
          <w:i/>
          <w:iCs/>
          <w:color w:val="000000"/>
          <w:sz w:val="20"/>
          <w:szCs w:val="20"/>
        </w:rPr>
        <w:t>Comprehensive Loss</w:t>
      </w:r>
    </w:p>
    <w:p w14:paraId="2F02F3F2" w14:textId="77777777" w:rsidR="00000000" w:rsidRDefault="00E614A4">
      <w:pPr>
        <w:jc w:val="both"/>
        <w:divId w:val="2063868924"/>
        <w:rPr>
          <w:rFonts w:eastAsia="Times New Roman"/>
        </w:rPr>
      </w:pPr>
      <w:r>
        <w:rPr>
          <w:rFonts w:eastAsia="Times New Roman"/>
          <w:color w:val="000000"/>
          <w:sz w:val="20"/>
          <w:szCs w:val="20"/>
        </w:rPr>
        <w:t>Comprehensive loss consists of net loss and foreign currency translation adjustments.</w:t>
      </w:r>
    </w:p>
    <w:p w14:paraId="1F555578" w14:textId="77777777" w:rsidR="00000000" w:rsidRDefault="00E614A4">
      <w:pPr>
        <w:jc w:val="both"/>
        <w:divId w:val="378284445"/>
        <w:rPr>
          <w:rFonts w:eastAsia="Times New Roman"/>
        </w:rPr>
      </w:pPr>
      <w:r>
        <w:rPr>
          <w:rFonts w:eastAsia="Times New Roman"/>
          <w:b/>
          <w:bCs/>
          <w:i/>
          <w:iCs/>
          <w:color w:val="000000"/>
          <w:sz w:val="20"/>
          <w:szCs w:val="20"/>
        </w:rPr>
        <w:t>Accounting Standards Recently Adopted</w:t>
      </w:r>
    </w:p>
    <w:p w14:paraId="27BCAC2B" w14:textId="77777777" w:rsidR="00000000" w:rsidRDefault="00E614A4">
      <w:pPr>
        <w:jc w:val="both"/>
        <w:divId w:val="2085835845"/>
        <w:rPr>
          <w:rFonts w:eastAsia="Times New Roman"/>
        </w:rPr>
      </w:pPr>
      <w:r>
        <w:rPr>
          <w:rFonts w:eastAsia="Times New Roman"/>
          <w:color w:val="000000"/>
          <w:sz w:val="20"/>
          <w:szCs w:val="20"/>
        </w:rPr>
        <w:t xml:space="preserve">In August 2018, the FASB issued ASU 2018-13, </w:t>
      </w:r>
      <w:r>
        <w:rPr>
          <w:rFonts w:eastAsia="Times New Roman"/>
          <w:i/>
          <w:iCs/>
          <w:color w:val="000000"/>
          <w:sz w:val="20"/>
          <w:szCs w:val="20"/>
        </w:rPr>
        <w:t>Fair Value Measurement (Topic 820)</w:t>
      </w:r>
      <w:r>
        <w:rPr>
          <w:rFonts w:eastAsia="Times New Roman"/>
          <w:color w:val="000000"/>
          <w:sz w:val="20"/>
          <w:szCs w:val="20"/>
        </w:rPr>
        <w:t>, which removes and modifies certain disclosure requi</w:t>
      </w:r>
      <w:r>
        <w:rPr>
          <w:rFonts w:eastAsia="Times New Roman"/>
          <w:color w:val="000000"/>
          <w:sz w:val="20"/>
          <w:szCs w:val="20"/>
        </w:rPr>
        <w:t>rements under Topic 820. The amendments are effective for fiscal years beginning after December 15, 2019, including interim periods within those fiscal years. An entity is permitted to early adopt any removed or modified disclosures upon issuance of the up</w:t>
      </w:r>
      <w:r>
        <w:rPr>
          <w:rFonts w:eastAsia="Times New Roman"/>
          <w:color w:val="000000"/>
          <w:sz w:val="20"/>
          <w:szCs w:val="20"/>
        </w:rPr>
        <w:t>date and to delay adoption of the additional disclosures until their effective date. The Company adopted the new standard effective January 1, 2020, and the standard did not have a material impact on the Consolidated Financial Statements or related disclos</w:t>
      </w:r>
      <w:r>
        <w:rPr>
          <w:rFonts w:eastAsia="Times New Roman"/>
          <w:color w:val="000000"/>
          <w:sz w:val="20"/>
          <w:szCs w:val="20"/>
        </w:rPr>
        <w:t>ures.</w:t>
      </w:r>
    </w:p>
    <w:p w14:paraId="0C25C3B8" w14:textId="77777777" w:rsidR="00000000" w:rsidRDefault="00E614A4">
      <w:pPr>
        <w:jc w:val="both"/>
        <w:divId w:val="2131242600"/>
        <w:rPr>
          <w:rFonts w:eastAsia="Times New Roman"/>
        </w:rPr>
      </w:pPr>
      <w:r>
        <w:rPr>
          <w:rFonts w:eastAsia="Times New Roman"/>
          <w:color w:val="000000"/>
          <w:sz w:val="20"/>
          <w:szCs w:val="20"/>
        </w:rPr>
        <w:t xml:space="preserve">In June 2016, the FASB issued ASU 2016-13, </w:t>
      </w:r>
      <w:r>
        <w:rPr>
          <w:rFonts w:eastAsia="Times New Roman"/>
          <w:i/>
          <w:iCs/>
          <w:color w:val="000000"/>
          <w:sz w:val="20"/>
          <w:szCs w:val="20"/>
        </w:rPr>
        <w:t>Financial Instruments - Credit Losses (Topic 326)</w:t>
      </w:r>
      <w:r>
        <w:rPr>
          <w:rFonts w:eastAsia="Times New Roman"/>
          <w:color w:val="000000"/>
          <w:sz w:val="20"/>
          <w:szCs w:val="20"/>
        </w:rPr>
        <w:t>, which requires the measurement and recognition of expected credit losses for financial assets held at amortized cost. ASU 2016-13 replaces the existing incu</w:t>
      </w:r>
      <w:r>
        <w:rPr>
          <w:rFonts w:eastAsia="Times New Roman"/>
          <w:color w:val="000000"/>
          <w:sz w:val="20"/>
          <w:szCs w:val="20"/>
        </w:rPr>
        <w:t>rred loss impairment model with an expected loss model which requires consideration of forward-looking information to calculate credit loss estimates. These changes will result in an earlier recognition of credit losses. The amendment is effective for fisc</w:t>
      </w:r>
      <w:r>
        <w:rPr>
          <w:rFonts w:eastAsia="Times New Roman"/>
          <w:color w:val="000000"/>
          <w:sz w:val="20"/>
          <w:szCs w:val="20"/>
        </w:rPr>
        <w:t>al years beginning after December 15, 2019, including interim periods within those fiscal years. The Company's financial assets held at amortized cost include certificates of deposit, accounts receivable and contract assets. The Company adopted the new sta</w:t>
      </w:r>
      <w:r>
        <w:rPr>
          <w:rFonts w:eastAsia="Times New Roman"/>
          <w:color w:val="000000"/>
          <w:sz w:val="20"/>
          <w:szCs w:val="20"/>
        </w:rPr>
        <w:t>ndard effective January 1, 2020, and the standard did not have a material impact on the Consolidated Financial Statements or related disclosures based on historical collection trends, the financial condition of payment partners, and external market factors</w:t>
      </w:r>
      <w:r>
        <w:rPr>
          <w:rFonts w:eastAsia="Times New Roman"/>
          <w:color w:val="000000"/>
          <w:sz w:val="20"/>
          <w:szCs w:val="20"/>
        </w:rPr>
        <w:t>.</w:t>
      </w:r>
    </w:p>
    <w:p w14:paraId="1FD21202" w14:textId="77777777" w:rsidR="00000000" w:rsidRDefault="00E614A4">
      <w:pPr>
        <w:jc w:val="both"/>
        <w:divId w:val="1806851054"/>
        <w:rPr>
          <w:rFonts w:eastAsia="Times New Roman"/>
        </w:rPr>
      </w:pPr>
      <w:r>
        <w:rPr>
          <w:rFonts w:eastAsia="Times New Roman"/>
          <w:b/>
          <w:bCs/>
          <w:i/>
          <w:iCs/>
          <w:color w:val="000000"/>
          <w:sz w:val="20"/>
          <w:szCs w:val="20"/>
        </w:rPr>
        <w:t>Recently Issued Accounting Pronouncements</w:t>
      </w:r>
    </w:p>
    <w:p w14:paraId="590997FD" w14:textId="77777777" w:rsidR="00000000" w:rsidRDefault="00E614A4">
      <w:pPr>
        <w:jc w:val="both"/>
        <w:divId w:val="1324234877"/>
        <w:rPr>
          <w:rFonts w:eastAsia="Times New Roman"/>
        </w:rPr>
      </w:pPr>
      <w:r>
        <w:rPr>
          <w:rFonts w:eastAsia="Times New Roman"/>
          <w:color w:val="000000"/>
          <w:sz w:val="20"/>
          <w:szCs w:val="20"/>
        </w:rPr>
        <w:t xml:space="preserve">In December 2019, the FASB issued ASU 2019-12, </w:t>
      </w:r>
      <w:r>
        <w:rPr>
          <w:rFonts w:eastAsia="Times New Roman"/>
          <w:i/>
          <w:iCs/>
          <w:color w:val="000000"/>
          <w:sz w:val="20"/>
          <w:szCs w:val="20"/>
        </w:rPr>
        <w:t>Income Taxes (Topic 740)</w:t>
      </w:r>
      <w:r>
        <w:rPr>
          <w:rFonts w:eastAsia="Times New Roman"/>
          <w:color w:val="000000"/>
          <w:sz w:val="20"/>
          <w:szCs w:val="20"/>
        </w:rPr>
        <w:t>, which simplifies the accounting for income taxes by eliminating certain exemptions as well as a few other changes. The amendments are effec</w:t>
      </w:r>
      <w:r>
        <w:rPr>
          <w:rFonts w:eastAsia="Times New Roman"/>
          <w:color w:val="000000"/>
          <w:sz w:val="20"/>
          <w:szCs w:val="20"/>
        </w:rPr>
        <w:t>tive for fiscal years beginning after December 15, 2020, including interim periods within those fiscal years. An entity is permitted to early adopt any removed or modified disclosures upon issuance of the update and to delay adoption of the additional disc</w:t>
      </w:r>
      <w:r>
        <w:rPr>
          <w:rFonts w:eastAsia="Times New Roman"/>
          <w:color w:val="000000"/>
          <w:sz w:val="20"/>
          <w:szCs w:val="20"/>
        </w:rPr>
        <w:t>losures until their effective date. The Company is in the process of evaluating the guidance but does not believe that the adoption of this standard will have a material impact on the Consolidated Financial Statements or related disclosures.</w:t>
      </w:r>
    </w:p>
    <w:p w14:paraId="6018A6C4" w14:textId="77777777" w:rsidR="00000000" w:rsidRDefault="00E614A4">
      <w:pPr>
        <w:jc w:val="center"/>
        <w:divId w:val="622737904"/>
        <w:rPr>
          <w:rFonts w:eastAsia="Times New Roman"/>
        </w:rPr>
      </w:pPr>
      <w:r>
        <w:rPr>
          <w:rFonts w:eastAsia="Times New Roman"/>
          <w:color w:val="000000"/>
          <w:sz w:val="20"/>
          <w:szCs w:val="20"/>
        </w:rPr>
        <w:t>74</w:t>
      </w:r>
    </w:p>
    <w:p w14:paraId="2CC28F96" w14:textId="77777777" w:rsidR="00000000" w:rsidRDefault="00E614A4">
      <w:pPr>
        <w:rPr>
          <w:rFonts w:eastAsia="Times New Roman"/>
        </w:rPr>
      </w:pPr>
      <w:r>
        <w:rPr>
          <w:rFonts w:eastAsia="Times New Roman"/>
        </w:rPr>
        <w:pict w14:anchorId="4D1906AC">
          <v:rect id="_x0000_i1102" style="width:0;height:1.5pt" o:hralign="center" o:hrstd="t" o:hr="t" fillcolor="#a0a0a0" stroked="f"/>
        </w:pict>
      </w:r>
    </w:p>
    <w:p w14:paraId="3F0B33ED" w14:textId="77777777" w:rsidR="00000000" w:rsidRDefault="00E614A4">
      <w:pPr>
        <w:divId w:val="144568872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BD3DB0C" w14:textId="77777777" w:rsidR="00000000" w:rsidRDefault="00E614A4">
      <w:pPr>
        <w:divId w:val="1781103080"/>
        <w:rPr>
          <w:rFonts w:eastAsia="Times New Roman"/>
        </w:rPr>
      </w:pPr>
    </w:p>
    <w:p w14:paraId="79872DED" w14:textId="77777777" w:rsidR="00000000" w:rsidRDefault="00E614A4">
      <w:pPr>
        <w:jc w:val="both"/>
        <w:divId w:val="1746683143"/>
        <w:rPr>
          <w:rFonts w:eastAsia="Times New Roman"/>
        </w:rPr>
      </w:pPr>
      <w:r>
        <w:rPr>
          <w:rFonts w:eastAsia="Times New Roman"/>
          <w:color w:val="000000"/>
          <w:sz w:val="20"/>
          <w:szCs w:val="20"/>
        </w:rPr>
        <w:t xml:space="preserve">In August 2020, the FASB issued ASU 2020-06, </w:t>
      </w:r>
      <w:r>
        <w:rPr>
          <w:rFonts w:eastAsia="Times New Roman"/>
          <w:i/>
          <w:iCs/>
          <w:color w:val="000000"/>
          <w:sz w:val="20"/>
          <w:szCs w:val="20"/>
        </w:rPr>
        <w:t>Debt—</w:t>
      </w:r>
      <w:r>
        <w:rPr>
          <w:rFonts w:eastAsia="Times New Roman"/>
          <w:i/>
          <w:iCs/>
          <w:color w:val="000000"/>
          <w:sz w:val="20"/>
          <w:szCs w:val="20"/>
        </w:rPr>
        <w:t>Debt with Conversion and Other Options</w:t>
      </w:r>
      <w:r>
        <w:rPr>
          <w:rFonts w:eastAsia="Times New Roman"/>
          <w:color w:val="000000"/>
          <w:sz w:val="20"/>
          <w:szCs w:val="20"/>
        </w:rPr>
        <w:t xml:space="preserve"> (Subtopic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815-40), which simplifies accounting for convertible instruments, enhances disclosure requirements related to the terms and feat</w:t>
      </w:r>
      <w:r>
        <w:rPr>
          <w:rFonts w:eastAsia="Times New Roman"/>
          <w:color w:val="000000"/>
          <w:sz w:val="20"/>
          <w:szCs w:val="20"/>
        </w:rPr>
        <w:t xml:space="preserve">ures of convertible instruments, and amends the guidance for the derivatives scope exception for contracts settled in an entity's own equity. The amendments are effective for fiscal years beginning after December 15, 2021, including interim periods within </w:t>
      </w:r>
      <w:r>
        <w:rPr>
          <w:rFonts w:eastAsia="Times New Roman"/>
          <w:color w:val="000000"/>
          <w:sz w:val="20"/>
          <w:szCs w:val="20"/>
        </w:rPr>
        <w:t>those fiscal years. Early adoption is permitted, but not earlier than periods beginning after December 15, 2020. The Company is in the process of evaluating the guidance but does not believe that the adoption of this standard will have a material impact on</w:t>
      </w:r>
      <w:r>
        <w:rPr>
          <w:rFonts w:eastAsia="Times New Roman"/>
          <w:color w:val="000000"/>
          <w:sz w:val="20"/>
          <w:szCs w:val="20"/>
        </w:rPr>
        <w:t xml:space="preserve"> the Consolidated Financial Statements or related disclosures.</w:t>
      </w:r>
    </w:p>
    <w:p w14:paraId="51F9E3BE" w14:textId="77777777" w:rsidR="00000000" w:rsidRDefault="00E614A4">
      <w:pPr>
        <w:ind w:hanging="360"/>
        <w:divId w:val="940719806"/>
        <w:rPr>
          <w:rFonts w:eastAsia="Times New Roman"/>
        </w:rPr>
      </w:pPr>
      <w:r>
        <w:rPr>
          <w:rFonts w:eastAsia="Times New Roman"/>
          <w:b/>
          <w:bCs/>
          <w:color w:val="000000"/>
          <w:sz w:val="20"/>
          <w:szCs w:val="20"/>
        </w:rPr>
        <w:t>3. Revenue Recognition</w:t>
      </w:r>
    </w:p>
    <w:p w14:paraId="7AA2D998" w14:textId="77777777" w:rsidR="00000000" w:rsidRDefault="00E614A4">
      <w:pPr>
        <w:jc w:val="both"/>
        <w:divId w:val="527262010"/>
        <w:rPr>
          <w:rFonts w:eastAsia="Times New Roman"/>
        </w:rPr>
      </w:pPr>
      <w:r>
        <w:rPr>
          <w:rFonts w:eastAsia="Times New Roman"/>
          <w:color w:val="000000"/>
          <w:sz w:val="20"/>
          <w:szCs w:val="20"/>
        </w:rPr>
        <w:t>The following table presents the Company's revenue disaggregated by solution group, geographical market and timing of transfer of products and services. The Company attri</w:t>
      </w:r>
      <w:r>
        <w:rPr>
          <w:rFonts w:eastAsia="Times New Roman"/>
          <w:color w:val="000000"/>
          <w:sz w:val="20"/>
          <w:szCs w:val="20"/>
        </w:rPr>
        <w:t xml:space="preserve">butes revenue to geographical markets based on the location of the customer. The Company has one reportable segment in accordance with ASC 280, </w:t>
      </w:r>
      <w:r>
        <w:rPr>
          <w:rFonts w:eastAsia="Times New Roman"/>
          <w:i/>
          <w:iCs/>
          <w:color w:val="000000"/>
          <w:sz w:val="20"/>
          <w:szCs w:val="20"/>
        </w:rPr>
        <w:t>Segment Reporting</w:t>
      </w:r>
      <w:r>
        <w:rPr>
          <w:rFonts w:eastAsia="Times New Roman"/>
          <w:color w:val="000000"/>
          <w:sz w:val="20"/>
          <w:szCs w:val="20"/>
        </w:rPr>
        <w:t>; as such, the disaggregation of revenue below reconciles directly to its unique reportable seg</w:t>
      </w:r>
      <w:r>
        <w:rPr>
          <w:rFonts w:eastAsia="Times New Roman"/>
          <w:color w:val="000000"/>
          <w:sz w:val="20"/>
          <w:szCs w:val="20"/>
        </w:rPr>
        <w:t>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685"/>
        <w:gridCol w:w="37"/>
        <w:gridCol w:w="110"/>
        <w:gridCol w:w="964"/>
        <w:gridCol w:w="36"/>
        <w:gridCol w:w="36"/>
        <w:gridCol w:w="36"/>
        <w:gridCol w:w="36"/>
        <w:gridCol w:w="110"/>
        <w:gridCol w:w="964"/>
        <w:gridCol w:w="36"/>
        <w:gridCol w:w="36"/>
        <w:gridCol w:w="36"/>
        <w:gridCol w:w="36"/>
        <w:gridCol w:w="110"/>
        <w:gridCol w:w="964"/>
        <w:gridCol w:w="36"/>
      </w:tblGrid>
      <w:tr w:rsidR="00000000" w14:paraId="3ECECD11" w14:textId="77777777">
        <w:trPr>
          <w:divId w:val="950942805"/>
          <w:jc w:val="center"/>
        </w:trPr>
        <w:tc>
          <w:tcPr>
            <w:tcW w:w="50" w:type="pct"/>
            <w:vAlign w:val="center"/>
            <w:hideMark/>
          </w:tcPr>
          <w:p w14:paraId="548299CC" w14:textId="77777777" w:rsidR="00000000" w:rsidRDefault="00E614A4">
            <w:pPr>
              <w:jc w:val="both"/>
              <w:rPr>
                <w:rFonts w:eastAsia="Times New Roman"/>
              </w:rPr>
            </w:pPr>
          </w:p>
        </w:tc>
        <w:tc>
          <w:tcPr>
            <w:tcW w:w="2868" w:type="pct"/>
            <w:vAlign w:val="center"/>
            <w:hideMark/>
          </w:tcPr>
          <w:p w14:paraId="3153116F" w14:textId="77777777" w:rsidR="00000000" w:rsidRDefault="00E614A4">
            <w:pPr>
              <w:rPr>
                <w:rFonts w:eastAsia="Times New Roman"/>
                <w:sz w:val="20"/>
                <w:szCs w:val="20"/>
              </w:rPr>
            </w:pPr>
          </w:p>
        </w:tc>
        <w:tc>
          <w:tcPr>
            <w:tcW w:w="5" w:type="pct"/>
            <w:vAlign w:val="center"/>
            <w:hideMark/>
          </w:tcPr>
          <w:p w14:paraId="5AD09F7F" w14:textId="77777777" w:rsidR="00000000" w:rsidRDefault="00E614A4">
            <w:pPr>
              <w:rPr>
                <w:rFonts w:eastAsia="Times New Roman"/>
                <w:sz w:val="20"/>
                <w:szCs w:val="20"/>
              </w:rPr>
            </w:pPr>
          </w:p>
        </w:tc>
        <w:tc>
          <w:tcPr>
            <w:tcW w:w="50" w:type="pct"/>
            <w:vAlign w:val="center"/>
            <w:hideMark/>
          </w:tcPr>
          <w:p w14:paraId="1083B29E" w14:textId="77777777" w:rsidR="00000000" w:rsidRDefault="00E614A4">
            <w:pPr>
              <w:rPr>
                <w:rFonts w:eastAsia="Times New Roman"/>
                <w:sz w:val="20"/>
                <w:szCs w:val="20"/>
              </w:rPr>
            </w:pPr>
          </w:p>
        </w:tc>
        <w:tc>
          <w:tcPr>
            <w:tcW w:w="618" w:type="pct"/>
            <w:vAlign w:val="center"/>
            <w:hideMark/>
          </w:tcPr>
          <w:p w14:paraId="276804F5" w14:textId="77777777" w:rsidR="00000000" w:rsidRDefault="00E614A4">
            <w:pPr>
              <w:rPr>
                <w:rFonts w:eastAsia="Times New Roman"/>
                <w:sz w:val="20"/>
                <w:szCs w:val="20"/>
              </w:rPr>
            </w:pPr>
          </w:p>
        </w:tc>
        <w:tc>
          <w:tcPr>
            <w:tcW w:w="5" w:type="pct"/>
            <w:vAlign w:val="center"/>
            <w:hideMark/>
          </w:tcPr>
          <w:p w14:paraId="5C92EF43" w14:textId="77777777" w:rsidR="00000000" w:rsidRDefault="00E614A4">
            <w:pPr>
              <w:rPr>
                <w:rFonts w:eastAsia="Times New Roman"/>
                <w:sz w:val="20"/>
                <w:szCs w:val="20"/>
              </w:rPr>
            </w:pPr>
          </w:p>
        </w:tc>
        <w:tc>
          <w:tcPr>
            <w:tcW w:w="5" w:type="pct"/>
            <w:vAlign w:val="center"/>
            <w:hideMark/>
          </w:tcPr>
          <w:p w14:paraId="0BF1C964" w14:textId="77777777" w:rsidR="00000000" w:rsidRDefault="00E614A4">
            <w:pPr>
              <w:rPr>
                <w:rFonts w:eastAsia="Times New Roman"/>
                <w:sz w:val="20"/>
                <w:szCs w:val="20"/>
              </w:rPr>
            </w:pPr>
          </w:p>
        </w:tc>
        <w:tc>
          <w:tcPr>
            <w:tcW w:w="17" w:type="pct"/>
            <w:vAlign w:val="center"/>
            <w:hideMark/>
          </w:tcPr>
          <w:p w14:paraId="55C7B1F5" w14:textId="77777777" w:rsidR="00000000" w:rsidRDefault="00E614A4">
            <w:pPr>
              <w:rPr>
                <w:rFonts w:eastAsia="Times New Roman"/>
                <w:sz w:val="20"/>
                <w:szCs w:val="20"/>
              </w:rPr>
            </w:pPr>
          </w:p>
        </w:tc>
        <w:tc>
          <w:tcPr>
            <w:tcW w:w="5" w:type="pct"/>
            <w:vAlign w:val="center"/>
            <w:hideMark/>
          </w:tcPr>
          <w:p w14:paraId="6902D96C" w14:textId="77777777" w:rsidR="00000000" w:rsidRDefault="00E614A4">
            <w:pPr>
              <w:rPr>
                <w:rFonts w:eastAsia="Times New Roman"/>
                <w:sz w:val="20"/>
                <w:szCs w:val="20"/>
              </w:rPr>
            </w:pPr>
          </w:p>
        </w:tc>
        <w:tc>
          <w:tcPr>
            <w:tcW w:w="50" w:type="pct"/>
            <w:vAlign w:val="center"/>
            <w:hideMark/>
          </w:tcPr>
          <w:p w14:paraId="2D5BE0C6" w14:textId="77777777" w:rsidR="00000000" w:rsidRDefault="00E614A4">
            <w:pPr>
              <w:rPr>
                <w:rFonts w:eastAsia="Times New Roman"/>
                <w:sz w:val="20"/>
                <w:szCs w:val="20"/>
              </w:rPr>
            </w:pPr>
          </w:p>
        </w:tc>
        <w:tc>
          <w:tcPr>
            <w:tcW w:w="618" w:type="pct"/>
            <w:vAlign w:val="center"/>
            <w:hideMark/>
          </w:tcPr>
          <w:p w14:paraId="38CACBEB" w14:textId="77777777" w:rsidR="00000000" w:rsidRDefault="00E614A4">
            <w:pPr>
              <w:rPr>
                <w:rFonts w:eastAsia="Times New Roman"/>
                <w:sz w:val="20"/>
                <w:szCs w:val="20"/>
              </w:rPr>
            </w:pPr>
          </w:p>
        </w:tc>
        <w:tc>
          <w:tcPr>
            <w:tcW w:w="5" w:type="pct"/>
            <w:vAlign w:val="center"/>
            <w:hideMark/>
          </w:tcPr>
          <w:p w14:paraId="56FDD4DB" w14:textId="77777777" w:rsidR="00000000" w:rsidRDefault="00E614A4">
            <w:pPr>
              <w:rPr>
                <w:rFonts w:eastAsia="Times New Roman"/>
                <w:sz w:val="20"/>
                <w:szCs w:val="20"/>
              </w:rPr>
            </w:pPr>
          </w:p>
        </w:tc>
        <w:tc>
          <w:tcPr>
            <w:tcW w:w="5" w:type="pct"/>
            <w:vAlign w:val="center"/>
            <w:hideMark/>
          </w:tcPr>
          <w:p w14:paraId="62DBB145" w14:textId="77777777" w:rsidR="00000000" w:rsidRDefault="00E614A4">
            <w:pPr>
              <w:rPr>
                <w:rFonts w:eastAsia="Times New Roman"/>
                <w:sz w:val="20"/>
                <w:szCs w:val="20"/>
              </w:rPr>
            </w:pPr>
          </w:p>
        </w:tc>
        <w:tc>
          <w:tcPr>
            <w:tcW w:w="17" w:type="pct"/>
            <w:vAlign w:val="center"/>
            <w:hideMark/>
          </w:tcPr>
          <w:p w14:paraId="212C8A7F" w14:textId="77777777" w:rsidR="00000000" w:rsidRDefault="00E614A4">
            <w:pPr>
              <w:rPr>
                <w:rFonts w:eastAsia="Times New Roman"/>
                <w:sz w:val="20"/>
                <w:szCs w:val="20"/>
              </w:rPr>
            </w:pPr>
          </w:p>
        </w:tc>
        <w:tc>
          <w:tcPr>
            <w:tcW w:w="5" w:type="pct"/>
            <w:vAlign w:val="center"/>
            <w:hideMark/>
          </w:tcPr>
          <w:p w14:paraId="44C9E93A" w14:textId="77777777" w:rsidR="00000000" w:rsidRDefault="00E614A4">
            <w:pPr>
              <w:rPr>
                <w:rFonts w:eastAsia="Times New Roman"/>
                <w:sz w:val="20"/>
                <w:szCs w:val="20"/>
              </w:rPr>
            </w:pPr>
          </w:p>
        </w:tc>
        <w:tc>
          <w:tcPr>
            <w:tcW w:w="50" w:type="pct"/>
            <w:vAlign w:val="center"/>
            <w:hideMark/>
          </w:tcPr>
          <w:p w14:paraId="11052DAA" w14:textId="77777777" w:rsidR="00000000" w:rsidRDefault="00E614A4">
            <w:pPr>
              <w:rPr>
                <w:rFonts w:eastAsia="Times New Roman"/>
                <w:sz w:val="20"/>
                <w:szCs w:val="20"/>
              </w:rPr>
            </w:pPr>
          </w:p>
        </w:tc>
        <w:tc>
          <w:tcPr>
            <w:tcW w:w="618" w:type="pct"/>
            <w:vAlign w:val="center"/>
            <w:hideMark/>
          </w:tcPr>
          <w:p w14:paraId="0EB59333" w14:textId="77777777" w:rsidR="00000000" w:rsidRDefault="00E614A4">
            <w:pPr>
              <w:rPr>
                <w:rFonts w:eastAsia="Times New Roman"/>
                <w:sz w:val="20"/>
                <w:szCs w:val="20"/>
              </w:rPr>
            </w:pPr>
          </w:p>
        </w:tc>
        <w:tc>
          <w:tcPr>
            <w:tcW w:w="5" w:type="pct"/>
            <w:vAlign w:val="center"/>
            <w:hideMark/>
          </w:tcPr>
          <w:p w14:paraId="66DCC718" w14:textId="77777777" w:rsidR="00000000" w:rsidRDefault="00E614A4">
            <w:pPr>
              <w:rPr>
                <w:rFonts w:eastAsia="Times New Roman"/>
                <w:sz w:val="20"/>
                <w:szCs w:val="20"/>
              </w:rPr>
            </w:pPr>
          </w:p>
        </w:tc>
      </w:tr>
      <w:tr w:rsidR="00000000" w14:paraId="2FE0815E" w14:textId="77777777">
        <w:trPr>
          <w:divId w:val="950942805"/>
          <w:jc w:val="center"/>
        </w:trPr>
        <w:tc>
          <w:tcPr>
            <w:tcW w:w="0" w:type="auto"/>
            <w:gridSpan w:val="3"/>
            <w:tcMar>
              <w:top w:w="0" w:type="dxa"/>
              <w:left w:w="20" w:type="dxa"/>
              <w:bottom w:w="0" w:type="dxa"/>
              <w:right w:w="20" w:type="dxa"/>
            </w:tcMar>
            <w:vAlign w:val="center"/>
            <w:hideMark/>
          </w:tcPr>
          <w:p w14:paraId="1E9DEDDA"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2BBA9485"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55CABFC2" w14:textId="77777777">
        <w:trPr>
          <w:divId w:val="950942805"/>
          <w:jc w:val="center"/>
        </w:trPr>
        <w:tc>
          <w:tcPr>
            <w:tcW w:w="0" w:type="auto"/>
            <w:gridSpan w:val="3"/>
            <w:tcMar>
              <w:top w:w="30" w:type="dxa"/>
              <w:left w:w="20" w:type="dxa"/>
              <w:bottom w:w="30" w:type="dxa"/>
              <w:right w:w="20" w:type="dxa"/>
            </w:tcMar>
            <w:vAlign w:val="bottom"/>
            <w:hideMark/>
          </w:tcPr>
          <w:p w14:paraId="52CFBED3" w14:textId="77777777" w:rsidR="00000000" w:rsidRDefault="00E614A4">
            <w:pPr>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6D89007"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D1A1B2F"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91AE38"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48D57382"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BD21E9" w14:textId="77777777" w:rsidR="00000000" w:rsidRDefault="00E614A4">
            <w:pPr>
              <w:jc w:val="center"/>
              <w:rPr>
                <w:rFonts w:eastAsia="Times New Roman"/>
              </w:rPr>
            </w:pPr>
            <w:r>
              <w:rPr>
                <w:rFonts w:eastAsia="Times New Roman"/>
                <w:b/>
                <w:bCs/>
                <w:color w:val="000000"/>
                <w:sz w:val="16"/>
                <w:szCs w:val="16"/>
              </w:rPr>
              <w:t>2018</w:t>
            </w:r>
          </w:p>
        </w:tc>
      </w:tr>
      <w:tr w:rsidR="00000000" w14:paraId="50DEC758" w14:textId="77777777">
        <w:trPr>
          <w:divId w:val="950942805"/>
          <w:jc w:val="center"/>
        </w:trPr>
        <w:tc>
          <w:tcPr>
            <w:tcW w:w="0" w:type="auto"/>
            <w:gridSpan w:val="3"/>
            <w:shd w:val="clear" w:color="auto" w:fill="CCEEFF"/>
            <w:tcMar>
              <w:top w:w="30" w:type="dxa"/>
              <w:left w:w="20" w:type="dxa"/>
              <w:bottom w:w="30" w:type="dxa"/>
              <w:right w:w="20" w:type="dxa"/>
            </w:tcMar>
            <w:vAlign w:val="bottom"/>
            <w:hideMark/>
          </w:tcPr>
          <w:p w14:paraId="5E2B66B1" w14:textId="77777777" w:rsidR="00000000" w:rsidRDefault="00E614A4">
            <w:pPr>
              <w:rPr>
                <w:rFonts w:eastAsia="Times New Roman"/>
              </w:rPr>
            </w:pPr>
            <w:r>
              <w:rPr>
                <w:rFonts w:eastAsia="Times New Roman"/>
                <w:b/>
                <w:bCs/>
                <w:color w:val="000000"/>
                <w:sz w:val="18"/>
                <w:szCs w:val="18"/>
              </w:rPr>
              <w:t>By solution group:</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0F7FC0"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4AE5B"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C1CF72"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4021F4"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6369CE" w14:textId="77777777" w:rsidR="00000000" w:rsidRDefault="00E614A4">
            <w:pPr>
              <w:rPr>
                <w:rFonts w:eastAsia="Times New Roman"/>
                <w:sz w:val="20"/>
                <w:szCs w:val="20"/>
              </w:rPr>
            </w:pPr>
          </w:p>
        </w:tc>
      </w:tr>
      <w:tr w:rsidR="00000000" w14:paraId="71E6BEBC" w14:textId="77777777">
        <w:trPr>
          <w:divId w:val="950942805"/>
          <w:jc w:val="center"/>
        </w:trPr>
        <w:tc>
          <w:tcPr>
            <w:tcW w:w="0" w:type="auto"/>
            <w:gridSpan w:val="3"/>
            <w:tcMar>
              <w:top w:w="30" w:type="dxa"/>
              <w:left w:w="20" w:type="dxa"/>
              <w:bottom w:w="30" w:type="dxa"/>
              <w:right w:w="20" w:type="dxa"/>
            </w:tcMar>
            <w:vAlign w:val="bottom"/>
            <w:hideMark/>
          </w:tcPr>
          <w:p w14:paraId="0D926E10" w14:textId="77777777" w:rsidR="00000000" w:rsidRDefault="00E614A4">
            <w:pPr>
              <w:divId w:val="200441219"/>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tcMar>
              <w:top w:w="30" w:type="dxa"/>
              <w:left w:w="20" w:type="dxa"/>
              <w:bottom w:w="30" w:type="dxa"/>
              <w:right w:w="0" w:type="dxa"/>
            </w:tcMar>
            <w:vAlign w:val="bottom"/>
            <w:hideMark/>
          </w:tcPr>
          <w:p w14:paraId="45950F4A" w14:textId="77777777" w:rsidR="00000000" w:rsidRDefault="00E614A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02785B8F" w14:textId="77777777" w:rsidR="00000000" w:rsidRDefault="00E614A4">
            <w:pPr>
              <w:jc w:val="right"/>
              <w:rPr>
                <w:rFonts w:eastAsia="Times New Roman"/>
              </w:rPr>
            </w:pPr>
            <w:r>
              <w:rPr>
                <w:rFonts w:eastAsia="Times New Roman"/>
                <w:color w:val="000000"/>
                <w:sz w:val="18"/>
                <w:szCs w:val="18"/>
              </w:rPr>
              <w:t>253,652 </w:t>
            </w:r>
          </w:p>
        </w:tc>
        <w:tc>
          <w:tcPr>
            <w:tcW w:w="0" w:type="auto"/>
            <w:tcMar>
              <w:top w:w="30" w:type="dxa"/>
              <w:left w:w="0" w:type="dxa"/>
              <w:bottom w:w="30" w:type="dxa"/>
              <w:right w:w="20" w:type="dxa"/>
            </w:tcMar>
            <w:vAlign w:val="bottom"/>
            <w:hideMark/>
          </w:tcPr>
          <w:p w14:paraId="5E5D2FF9"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3806580C" w14:textId="77777777" w:rsidR="00000000" w:rsidRDefault="00E614A4">
            <w:pPr>
              <w:jc w:val="right"/>
              <w:rPr>
                <w:rFonts w:eastAsia="Times New Roman"/>
                <w:sz w:val="20"/>
                <w:szCs w:val="20"/>
              </w:rPr>
            </w:pPr>
          </w:p>
        </w:tc>
        <w:tc>
          <w:tcPr>
            <w:tcW w:w="0" w:type="auto"/>
            <w:tcMar>
              <w:top w:w="30" w:type="dxa"/>
              <w:left w:w="20" w:type="dxa"/>
              <w:bottom w:w="30" w:type="dxa"/>
              <w:right w:w="0" w:type="dxa"/>
            </w:tcMar>
            <w:vAlign w:val="bottom"/>
            <w:hideMark/>
          </w:tcPr>
          <w:p w14:paraId="666CA71D" w14:textId="77777777" w:rsidR="00000000" w:rsidRDefault="00E614A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7153ECCF" w14:textId="77777777" w:rsidR="00000000" w:rsidRDefault="00E614A4">
            <w:pPr>
              <w:jc w:val="right"/>
              <w:rPr>
                <w:rFonts w:eastAsia="Times New Roman"/>
              </w:rPr>
            </w:pPr>
            <w:r>
              <w:rPr>
                <w:rFonts w:eastAsia="Times New Roman"/>
                <w:color w:val="000000"/>
                <w:sz w:val="18"/>
                <w:szCs w:val="18"/>
              </w:rPr>
              <w:t>271,623 </w:t>
            </w:r>
          </w:p>
        </w:tc>
        <w:tc>
          <w:tcPr>
            <w:tcW w:w="0" w:type="auto"/>
            <w:tcMar>
              <w:top w:w="30" w:type="dxa"/>
              <w:left w:w="0" w:type="dxa"/>
              <w:bottom w:w="30" w:type="dxa"/>
              <w:right w:w="20" w:type="dxa"/>
            </w:tcMar>
            <w:vAlign w:val="bottom"/>
            <w:hideMark/>
          </w:tcPr>
          <w:p w14:paraId="3BB0A2E8"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026672BB" w14:textId="77777777" w:rsidR="00000000" w:rsidRDefault="00E614A4">
            <w:pPr>
              <w:jc w:val="right"/>
              <w:rPr>
                <w:rFonts w:eastAsia="Times New Roman"/>
                <w:sz w:val="20"/>
                <w:szCs w:val="20"/>
              </w:rPr>
            </w:pPr>
          </w:p>
        </w:tc>
        <w:tc>
          <w:tcPr>
            <w:tcW w:w="0" w:type="auto"/>
            <w:tcMar>
              <w:top w:w="30" w:type="dxa"/>
              <w:left w:w="20" w:type="dxa"/>
              <w:bottom w:w="30" w:type="dxa"/>
              <w:right w:w="0" w:type="dxa"/>
            </w:tcMar>
            <w:vAlign w:val="bottom"/>
            <w:hideMark/>
          </w:tcPr>
          <w:p w14:paraId="2F4C183F" w14:textId="77777777" w:rsidR="00000000" w:rsidRDefault="00E614A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154AF817" w14:textId="77777777" w:rsidR="00000000" w:rsidRDefault="00E614A4">
            <w:pPr>
              <w:jc w:val="right"/>
              <w:rPr>
                <w:rFonts w:eastAsia="Times New Roman"/>
              </w:rPr>
            </w:pPr>
            <w:r>
              <w:rPr>
                <w:rFonts w:eastAsia="Times New Roman"/>
                <w:color w:val="000000"/>
                <w:sz w:val="18"/>
                <w:szCs w:val="18"/>
              </w:rPr>
              <w:t>285,355 </w:t>
            </w:r>
          </w:p>
        </w:tc>
        <w:tc>
          <w:tcPr>
            <w:tcW w:w="0" w:type="auto"/>
            <w:tcMar>
              <w:top w:w="30" w:type="dxa"/>
              <w:left w:w="0" w:type="dxa"/>
              <w:bottom w:w="30" w:type="dxa"/>
              <w:right w:w="20" w:type="dxa"/>
            </w:tcMar>
            <w:vAlign w:val="bottom"/>
            <w:hideMark/>
          </w:tcPr>
          <w:p w14:paraId="781C549B" w14:textId="77777777" w:rsidR="00000000" w:rsidRDefault="00E614A4">
            <w:pPr>
              <w:jc w:val="right"/>
              <w:rPr>
                <w:rFonts w:eastAsia="Times New Roman"/>
              </w:rPr>
            </w:pPr>
          </w:p>
        </w:tc>
      </w:tr>
      <w:tr w:rsidR="00000000" w14:paraId="36E0A18A" w14:textId="77777777">
        <w:trPr>
          <w:divId w:val="950942805"/>
          <w:jc w:val="center"/>
        </w:trPr>
        <w:tc>
          <w:tcPr>
            <w:tcW w:w="0" w:type="auto"/>
            <w:gridSpan w:val="3"/>
            <w:shd w:val="clear" w:color="auto" w:fill="CCEEFF"/>
            <w:tcMar>
              <w:top w:w="30" w:type="dxa"/>
              <w:left w:w="20" w:type="dxa"/>
              <w:bottom w:w="30" w:type="dxa"/>
              <w:right w:w="20" w:type="dxa"/>
            </w:tcMar>
            <w:vAlign w:val="bottom"/>
            <w:hideMark/>
          </w:tcPr>
          <w:p w14:paraId="3C301906" w14:textId="77777777" w:rsidR="00000000" w:rsidRDefault="00E614A4">
            <w:pPr>
              <w:divId w:val="743381711"/>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1C3CD638" w14:textId="77777777" w:rsidR="00000000" w:rsidRDefault="00E614A4">
            <w:pPr>
              <w:jc w:val="right"/>
              <w:rPr>
                <w:rFonts w:eastAsia="Times New Roman"/>
              </w:rPr>
            </w:pPr>
            <w:r>
              <w:rPr>
                <w:rFonts w:eastAsia="Times New Roman"/>
                <w:color w:val="000000"/>
                <w:sz w:val="18"/>
                <w:szCs w:val="18"/>
              </w:rPr>
              <w:t>69,080 </w:t>
            </w:r>
          </w:p>
        </w:tc>
        <w:tc>
          <w:tcPr>
            <w:tcW w:w="0" w:type="auto"/>
            <w:shd w:val="clear" w:color="auto" w:fill="CCEEFF"/>
            <w:tcMar>
              <w:top w:w="30" w:type="dxa"/>
              <w:left w:w="0" w:type="dxa"/>
              <w:bottom w:w="30" w:type="dxa"/>
              <w:right w:w="20" w:type="dxa"/>
            </w:tcMar>
            <w:vAlign w:val="bottom"/>
            <w:hideMark/>
          </w:tcPr>
          <w:p w14:paraId="64F2F06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E1D0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AD4FF1" w14:textId="77777777" w:rsidR="00000000" w:rsidRDefault="00E614A4">
            <w:pPr>
              <w:jc w:val="right"/>
              <w:rPr>
                <w:rFonts w:eastAsia="Times New Roman"/>
              </w:rPr>
            </w:pPr>
            <w:r>
              <w:rPr>
                <w:rFonts w:eastAsia="Times New Roman"/>
                <w:color w:val="000000"/>
                <w:sz w:val="18"/>
                <w:szCs w:val="18"/>
              </w:rPr>
              <w:t>74,725 </w:t>
            </w:r>
          </w:p>
        </w:tc>
        <w:tc>
          <w:tcPr>
            <w:tcW w:w="0" w:type="auto"/>
            <w:shd w:val="clear" w:color="auto" w:fill="CCEEFF"/>
            <w:tcMar>
              <w:top w:w="30" w:type="dxa"/>
              <w:left w:w="0" w:type="dxa"/>
              <w:bottom w:w="30" w:type="dxa"/>
              <w:right w:w="20" w:type="dxa"/>
            </w:tcMar>
            <w:vAlign w:val="bottom"/>
            <w:hideMark/>
          </w:tcPr>
          <w:p w14:paraId="2CE0B0A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7053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BFC814" w14:textId="77777777" w:rsidR="00000000" w:rsidRDefault="00E614A4">
            <w:pPr>
              <w:jc w:val="right"/>
              <w:rPr>
                <w:rFonts w:eastAsia="Times New Roman"/>
              </w:rPr>
            </w:pPr>
            <w:r>
              <w:rPr>
                <w:rFonts w:eastAsia="Times New Roman"/>
                <w:color w:val="000000"/>
                <w:sz w:val="18"/>
                <w:szCs w:val="18"/>
              </w:rPr>
              <w:t>92,380 </w:t>
            </w:r>
          </w:p>
        </w:tc>
        <w:tc>
          <w:tcPr>
            <w:tcW w:w="0" w:type="auto"/>
            <w:shd w:val="clear" w:color="auto" w:fill="CCEEFF"/>
            <w:tcMar>
              <w:top w:w="30" w:type="dxa"/>
              <w:left w:w="0" w:type="dxa"/>
              <w:bottom w:w="30" w:type="dxa"/>
              <w:right w:w="20" w:type="dxa"/>
            </w:tcMar>
            <w:vAlign w:val="bottom"/>
            <w:hideMark/>
          </w:tcPr>
          <w:p w14:paraId="5F6B6A7A" w14:textId="77777777" w:rsidR="00000000" w:rsidRDefault="00E614A4">
            <w:pPr>
              <w:jc w:val="right"/>
              <w:rPr>
                <w:rFonts w:eastAsia="Times New Roman"/>
              </w:rPr>
            </w:pPr>
          </w:p>
        </w:tc>
      </w:tr>
      <w:tr w:rsidR="00000000" w14:paraId="01011F99" w14:textId="77777777">
        <w:trPr>
          <w:divId w:val="950942805"/>
          <w:jc w:val="center"/>
        </w:trPr>
        <w:tc>
          <w:tcPr>
            <w:tcW w:w="0" w:type="auto"/>
            <w:gridSpan w:val="3"/>
            <w:tcMar>
              <w:top w:w="30" w:type="dxa"/>
              <w:left w:w="245" w:type="dxa"/>
              <w:bottom w:w="30" w:type="dxa"/>
              <w:right w:w="20" w:type="dxa"/>
            </w:tcMar>
            <w:vAlign w:val="bottom"/>
            <w:hideMark/>
          </w:tcPr>
          <w:p w14:paraId="62A1EF17" w14:textId="77777777" w:rsidR="00000000" w:rsidRDefault="00E614A4">
            <w:pPr>
              <w:rPr>
                <w:rFonts w:eastAsia="Times New Roman"/>
              </w:rPr>
            </w:pPr>
            <w:r>
              <w:rPr>
                <w:rFonts w:eastAsia="Times New Roman"/>
                <w:color w:val="000000"/>
                <w:sz w:val="18"/>
                <w:szCs w:val="18"/>
              </w:rPr>
              <w:t>Movies Reporting and Analytics</w:t>
            </w:r>
          </w:p>
        </w:tc>
        <w:tc>
          <w:tcPr>
            <w:tcW w:w="0" w:type="auto"/>
            <w:gridSpan w:val="2"/>
            <w:tcMar>
              <w:top w:w="30" w:type="dxa"/>
              <w:left w:w="20" w:type="dxa"/>
              <w:bottom w:w="30" w:type="dxa"/>
              <w:right w:w="0" w:type="dxa"/>
            </w:tcMar>
            <w:vAlign w:val="bottom"/>
            <w:hideMark/>
          </w:tcPr>
          <w:p w14:paraId="795E3BE4" w14:textId="77777777" w:rsidR="00000000" w:rsidRDefault="00E614A4">
            <w:pPr>
              <w:jc w:val="right"/>
              <w:rPr>
                <w:rFonts w:eastAsia="Times New Roman"/>
              </w:rPr>
            </w:pPr>
            <w:r>
              <w:rPr>
                <w:rFonts w:eastAsia="Times New Roman"/>
                <w:color w:val="000000"/>
                <w:sz w:val="18"/>
                <w:szCs w:val="18"/>
              </w:rPr>
              <w:t>33,304 </w:t>
            </w:r>
          </w:p>
        </w:tc>
        <w:tc>
          <w:tcPr>
            <w:tcW w:w="0" w:type="auto"/>
            <w:tcMar>
              <w:top w:w="30" w:type="dxa"/>
              <w:left w:w="0" w:type="dxa"/>
              <w:bottom w:w="30" w:type="dxa"/>
              <w:right w:w="20" w:type="dxa"/>
            </w:tcMar>
            <w:vAlign w:val="bottom"/>
            <w:hideMark/>
          </w:tcPr>
          <w:p w14:paraId="2F2C814E"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59696154"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AC7C51C" w14:textId="77777777" w:rsidR="00000000" w:rsidRDefault="00E614A4">
            <w:pPr>
              <w:jc w:val="right"/>
              <w:rPr>
                <w:rFonts w:eastAsia="Times New Roman"/>
              </w:rPr>
            </w:pPr>
            <w:r>
              <w:rPr>
                <w:rFonts w:eastAsia="Times New Roman"/>
                <w:color w:val="000000"/>
                <w:sz w:val="18"/>
                <w:szCs w:val="18"/>
              </w:rPr>
              <w:t>42,297 </w:t>
            </w:r>
          </w:p>
        </w:tc>
        <w:tc>
          <w:tcPr>
            <w:tcW w:w="0" w:type="auto"/>
            <w:tcMar>
              <w:top w:w="30" w:type="dxa"/>
              <w:left w:w="0" w:type="dxa"/>
              <w:bottom w:w="30" w:type="dxa"/>
              <w:right w:w="20" w:type="dxa"/>
            </w:tcMar>
            <w:vAlign w:val="bottom"/>
            <w:hideMark/>
          </w:tcPr>
          <w:p w14:paraId="1CE184BD"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12ADF7AB"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70306A8" w14:textId="77777777" w:rsidR="00000000" w:rsidRDefault="00E614A4">
            <w:pPr>
              <w:jc w:val="right"/>
              <w:rPr>
                <w:rFonts w:eastAsia="Times New Roman"/>
              </w:rPr>
            </w:pPr>
            <w:r>
              <w:rPr>
                <w:rFonts w:eastAsia="Times New Roman"/>
                <w:color w:val="000000"/>
                <w:sz w:val="18"/>
                <w:szCs w:val="18"/>
              </w:rPr>
              <w:t>41,747 </w:t>
            </w:r>
          </w:p>
        </w:tc>
        <w:tc>
          <w:tcPr>
            <w:tcW w:w="0" w:type="auto"/>
            <w:tcMar>
              <w:top w:w="30" w:type="dxa"/>
              <w:left w:w="0" w:type="dxa"/>
              <w:bottom w:w="30" w:type="dxa"/>
              <w:right w:w="20" w:type="dxa"/>
            </w:tcMar>
            <w:vAlign w:val="bottom"/>
            <w:hideMark/>
          </w:tcPr>
          <w:p w14:paraId="0A2322F7" w14:textId="77777777" w:rsidR="00000000" w:rsidRDefault="00E614A4">
            <w:pPr>
              <w:jc w:val="right"/>
              <w:rPr>
                <w:rFonts w:eastAsia="Times New Roman"/>
              </w:rPr>
            </w:pPr>
          </w:p>
        </w:tc>
      </w:tr>
      <w:tr w:rsidR="00000000" w14:paraId="0B964FB7" w14:textId="77777777">
        <w:trPr>
          <w:divId w:val="950942805"/>
          <w:jc w:val="center"/>
        </w:trPr>
        <w:tc>
          <w:tcPr>
            <w:tcW w:w="0" w:type="auto"/>
            <w:gridSpan w:val="3"/>
            <w:shd w:val="clear" w:color="auto" w:fill="CCEEFF"/>
            <w:tcMar>
              <w:top w:w="30" w:type="dxa"/>
              <w:left w:w="155" w:type="dxa"/>
              <w:bottom w:w="30" w:type="dxa"/>
              <w:right w:w="20" w:type="dxa"/>
            </w:tcMar>
            <w:vAlign w:val="bottom"/>
            <w:hideMark/>
          </w:tcPr>
          <w:p w14:paraId="2325D719" w14:textId="77777777" w:rsidR="00000000" w:rsidRDefault="00E614A4">
            <w:pPr>
              <w:rPr>
                <w:rFonts w:eastAsia="Times New Roman"/>
              </w:rPr>
            </w:pPr>
            <w:r>
              <w:rPr>
                <w:rFonts w:eastAsia="Times New Roman"/>
                <w:b/>
                <w:bCs/>
                <w:color w:val="000000"/>
                <w:sz w:val="18"/>
                <w:szCs w:val="18"/>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B99B7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8F2C11" w14:textId="77777777" w:rsidR="00000000" w:rsidRDefault="00E614A4">
            <w:pPr>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9A710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DEB43"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67302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AEEE3B" w14:textId="77777777" w:rsidR="00000000" w:rsidRDefault="00E614A4">
            <w:pPr>
              <w:jc w:val="right"/>
              <w:rPr>
                <w:rFonts w:eastAsia="Times New Roman"/>
              </w:rPr>
            </w:pPr>
            <w:r>
              <w:rPr>
                <w:rFonts w:eastAsia="Times New Roman"/>
                <w:color w:val="000000"/>
                <w:sz w:val="18"/>
                <w:szCs w:val="18"/>
              </w:rPr>
              <w:t>388,645 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F631C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FE800"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D3F98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188C5A" w14:textId="77777777" w:rsidR="00000000" w:rsidRDefault="00E614A4">
            <w:pPr>
              <w:jc w:val="right"/>
              <w:rPr>
                <w:rFonts w:eastAsia="Times New Roman"/>
              </w:rPr>
            </w:pPr>
            <w:r>
              <w:rPr>
                <w:rFonts w:eastAsia="Times New Roman"/>
                <w:color w:val="000000"/>
                <w:sz w:val="18"/>
                <w:szCs w:val="18"/>
              </w:rPr>
              <w:t>419,482 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D5082" w14:textId="77777777" w:rsidR="00000000" w:rsidRDefault="00E614A4">
            <w:pPr>
              <w:jc w:val="right"/>
              <w:rPr>
                <w:rFonts w:eastAsia="Times New Roman"/>
              </w:rPr>
            </w:pPr>
          </w:p>
        </w:tc>
      </w:tr>
      <w:tr w:rsidR="00000000" w14:paraId="5918CDC1" w14:textId="77777777">
        <w:trPr>
          <w:divId w:val="950942805"/>
          <w:jc w:val="center"/>
        </w:trPr>
        <w:tc>
          <w:tcPr>
            <w:tcW w:w="0" w:type="auto"/>
            <w:gridSpan w:val="3"/>
            <w:tcMar>
              <w:top w:w="30" w:type="dxa"/>
              <w:left w:w="20" w:type="dxa"/>
              <w:bottom w:w="30" w:type="dxa"/>
              <w:right w:w="20" w:type="dxa"/>
            </w:tcMar>
            <w:vAlign w:val="bottom"/>
            <w:hideMark/>
          </w:tcPr>
          <w:p w14:paraId="207CD3B5" w14:textId="77777777" w:rsidR="00000000" w:rsidRDefault="00E614A4">
            <w:pPr>
              <w:rPr>
                <w:rFonts w:eastAsia="Times New Roman"/>
              </w:rPr>
            </w:pPr>
            <w:r>
              <w:rPr>
                <w:rFonts w:eastAsia="Times New Roman"/>
                <w:b/>
                <w:bCs/>
                <w:color w:val="000000"/>
                <w:sz w:val="18"/>
                <w:szCs w:val="18"/>
              </w:rPr>
              <w:t>By geographical market:</w:t>
            </w:r>
          </w:p>
        </w:tc>
        <w:tc>
          <w:tcPr>
            <w:tcW w:w="0" w:type="auto"/>
            <w:gridSpan w:val="3"/>
            <w:tcBorders>
              <w:top w:val="double" w:sz="6" w:space="0" w:color="000000"/>
            </w:tcBorders>
            <w:tcMar>
              <w:top w:w="0" w:type="dxa"/>
              <w:left w:w="20" w:type="dxa"/>
              <w:bottom w:w="0" w:type="dxa"/>
              <w:right w:w="20" w:type="dxa"/>
            </w:tcMar>
            <w:vAlign w:val="center"/>
            <w:hideMark/>
          </w:tcPr>
          <w:p w14:paraId="6FD29161"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7C203324" w14:textId="77777777" w:rsidR="00000000" w:rsidRDefault="00E614A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A56E47C"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288655A" w14:textId="77777777" w:rsidR="00000000" w:rsidRDefault="00E614A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5A514B8" w14:textId="77777777" w:rsidR="00000000" w:rsidRDefault="00E614A4">
            <w:pPr>
              <w:rPr>
                <w:rFonts w:eastAsia="Times New Roman"/>
                <w:sz w:val="20"/>
                <w:szCs w:val="20"/>
              </w:rPr>
            </w:pPr>
          </w:p>
        </w:tc>
      </w:tr>
      <w:tr w:rsidR="00000000" w14:paraId="53EB1768" w14:textId="77777777">
        <w:trPr>
          <w:divId w:val="950942805"/>
          <w:jc w:val="center"/>
        </w:trPr>
        <w:tc>
          <w:tcPr>
            <w:tcW w:w="0" w:type="auto"/>
            <w:gridSpan w:val="3"/>
            <w:shd w:val="clear" w:color="auto" w:fill="CCEEFF"/>
            <w:tcMar>
              <w:top w:w="30" w:type="dxa"/>
              <w:left w:w="245" w:type="dxa"/>
              <w:bottom w:w="30" w:type="dxa"/>
              <w:right w:w="20" w:type="dxa"/>
            </w:tcMar>
            <w:vAlign w:val="bottom"/>
            <w:hideMark/>
          </w:tcPr>
          <w:p w14:paraId="279A4925" w14:textId="77777777" w:rsidR="00000000" w:rsidRDefault="00E614A4">
            <w:pPr>
              <w:rPr>
                <w:rFonts w:eastAsia="Times New Roman"/>
              </w:rPr>
            </w:pPr>
            <w:r>
              <w:rPr>
                <w:rFonts w:eastAsia="Times New Roman"/>
                <w:color w:val="000000"/>
                <w:sz w:val="18"/>
                <w:szCs w:val="18"/>
              </w:rPr>
              <w:t xml:space="preserve">United States </w:t>
            </w:r>
          </w:p>
        </w:tc>
        <w:tc>
          <w:tcPr>
            <w:tcW w:w="0" w:type="auto"/>
            <w:shd w:val="clear" w:color="auto" w:fill="CCEEFF"/>
            <w:tcMar>
              <w:top w:w="30" w:type="dxa"/>
              <w:left w:w="20" w:type="dxa"/>
              <w:bottom w:w="30" w:type="dxa"/>
              <w:right w:w="0" w:type="dxa"/>
            </w:tcMar>
            <w:vAlign w:val="bottom"/>
            <w:hideMark/>
          </w:tcPr>
          <w:p w14:paraId="64F4D6B9"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FDE5F96" w14:textId="77777777" w:rsidR="00000000" w:rsidRDefault="00E614A4">
            <w:pPr>
              <w:jc w:val="right"/>
              <w:rPr>
                <w:rFonts w:eastAsia="Times New Roman"/>
              </w:rPr>
            </w:pPr>
            <w:r>
              <w:rPr>
                <w:rFonts w:eastAsia="Times New Roman"/>
                <w:color w:val="000000"/>
                <w:sz w:val="18"/>
                <w:szCs w:val="18"/>
              </w:rPr>
              <w:t>310,717 </w:t>
            </w:r>
          </w:p>
        </w:tc>
        <w:tc>
          <w:tcPr>
            <w:tcW w:w="0" w:type="auto"/>
            <w:shd w:val="clear" w:color="auto" w:fill="CCEEFF"/>
            <w:tcMar>
              <w:top w:w="30" w:type="dxa"/>
              <w:left w:w="0" w:type="dxa"/>
              <w:bottom w:w="30" w:type="dxa"/>
              <w:right w:w="20" w:type="dxa"/>
            </w:tcMar>
            <w:vAlign w:val="bottom"/>
            <w:hideMark/>
          </w:tcPr>
          <w:p w14:paraId="3105B1F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84A16"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8EF82D"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4D38314" w14:textId="77777777" w:rsidR="00000000" w:rsidRDefault="00E614A4">
            <w:pPr>
              <w:jc w:val="right"/>
              <w:rPr>
                <w:rFonts w:eastAsia="Times New Roman"/>
              </w:rPr>
            </w:pPr>
            <w:r>
              <w:rPr>
                <w:rFonts w:eastAsia="Times New Roman"/>
                <w:color w:val="000000"/>
                <w:sz w:val="18"/>
                <w:szCs w:val="18"/>
              </w:rPr>
              <w:t>336,087 </w:t>
            </w:r>
          </w:p>
        </w:tc>
        <w:tc>
          <w:tcPr>
            <w:tcW w:w="0" w:type="auto"/>
            <w:shd w:val="clear" w:color="auto" w:fill="CCEEFF"/>
            <w:tcMar>
              <w:top w:w="30" w:type="dxa"/>
              <w:left w:w="0" w:type="dxa"/>
              <w:bottom w:w="30" w:type="dxa"/>
              <w:right w:w="20" w:type="dxa"/>
            </w:tcMar>
            <w:vAlign w:val="bottom"/>
            <w:hideMark/>
          </w:tcPr>
          <w:p w14:paraId="215880F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85BD8"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C85EAF"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CE54B06" w14:textId="77777777" w:rsidR="00000000" w:rsidRDefault="00E614A4">
            <w:pPr>
              <w:jc w:val="right"/>
              <w:rPr>
                <w:rFonts w:eastAsia="Times New Roman"/>
              </w:rPr>
            </w:pPr>
            <w:r>
              <w:rPr>
                <w:rFonts w:eastAsia="Times New Roman"/>
                <w:color w:val="000000"/>
                <w:sz w:val="18"/>
                <w:szCs w:val="18"/>
              </w:rPr>
              <w:t>359,379 </w:t>
            </w:r>
          </w:p>
        </w:tc>
        <w:tc>
          <w:tcPr>
            <w:tcW w:w="0" w:type="auto"/>
            <w:shd w:val="clear" w:color="auto" w:fill="CCEEFF"/>
            <w:tcMar>
              <w:top w:w="30" w:type="dxa"/>
              <w:left w:w="0" w:type="dxa"/>
              <w:bottom w:w="30" w:type="dxa"/>
              <w:right w:w="20" w:type="dxa"/>
            </w:tcMar>
            <w:vAlign w:val="bottom"/>
            <w:hideMark/>
          </w:tcPr>
          <w:p w14:paraId="537BEACA" w14:textId="77777777" w:rsidR="00000000" w:rsidRDefault="00E614A4">
            <w:pPr>
              <w:jc w:val="right"/>
              <w:rPr>
                <w:rFonts w:eastAsia="Times New Roman"/>
              </w:rPr>
            </w:pPr>
          </w:p>
        </w:tc>
      </w:tr>
      <w:tr w:rsidR="00000000" w14:paraId="7EEEAB9F" w14:textId="77777777">
        <w:trPr>
          <w:divId w:val="950942805"/>
          <w:jc w:val="center"/>
        </w:trPr>
        <w:tc>
          <w:tcPr>
            <w:tcW w:w="0" w:type="auto"/>
            <w:gridSpan w:val="3"/>
            <w:tcMar>
              <w:top w:w="30" w:type="dxa"/>
              <w:left w:w="245" w:type="dxa"/>
              <w:bottom w:w="30" w:type="dxa"/>
              <w:right w:w="20" w:type="dxa"/>
            </w:tcMar>
            <w:vAlign w:val="bottom"/>
            <w:hideMark/>
          </w:tcPr>
          <w:p w14:paraId="7CEDCA51" w14:textId="77777777" w:rsidR="00000000" w:rsidRDefault="00E614A4">
            <w:pPr>
              <w:rPr>
                <w:rFonts w:eastAsia="Times New Roman"/>
              </w:rPr>
            </w:pPr>
            <w:r>
              <w:rPr>
                <w:rFonts w:eastAsia="Times New Roman"/>
                <w:color w:val="000000"/>
                <w:sz w:val="18"/>
                <w:szCs w:val="18"/>
              </w:rPr>
              <w:t>Europe</w:t>
            </w:r>
          </w:p>
        </w:tc>
        <w:tc>
          <w:tcPr>
            <w:tcW w:w="0" w:type="auto"/>
            <w:gridSpan w:val="2"/>
            <w:tcMar>
              <w:top w:w="30" w:type="dxa"/>
              <w:left w:w="20" w:type="dxa"/>
              <w:bottom w:w="30" w:type="dxa"/>
              <w:right w:w="0" w:type="dxa"/>
            </w:tcMar>
            <w:vAlign w:val="bottom"/>
            <w:hideMark/>
          </w:tcPr>
          <w:p w14:paraId="497787F3" w14:textId="77777777" w:rsidR="00000000" w:rsidRDefault="00E614A4">
            <w:pPr>
              <w:jc w:val="right"/>
              <w:rPr>
                <w:rFonts w:eastAsia="Times New Roman"/>
              </w:rPr>
            </w:pPr>
            <w:r>
              <w:rPr>
                <w:rFonts w:eastAsia="Times New Roman"/>
                <w:color w:val="000000"/>
                <w:sz w:val="18"/>
                <w:szCs w:val="18"/>
              </w:rPr>
              <w:t>27,447 </w:t>
            </w:r>
          </w:p>
        </w:tc>
        <w:tc>
          <w:tcPr>
            <w:tcW w:w="0" w:type="auto"/>
            <w:tcMar>
              <w:top w:w="30" w:type="dxa"/>
              <w:left w:w="0" w:type="dxa"/>
              <w:bottom w:w="30" w:type="dxa"/>
              <w:right w:w="20" w:type="dxa"/>
            </w:tcMar>
            <w:vAlign w:val="bottom"/>
            <w:hideMark/>
          </w:tcPr>
          <w:p w14:paraId="09A75F4E"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74FFE7A2"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86629D1" w14:textId="77777777" w:rsidR="00000000" w:rsidRDefault="00E614A4">
            <w:pPr>
              <w:jc w:val="right"/>
              <w:rPr>
                <w:rFonts w:eastAsia="Times New Roman"/>
              </w:rPr>
            </w:pPr>
            <w:r>
              <w:rPr>
                <w:rFonts w:eastAsia="Times New Roman"/>
                <w:color w:val="000000"/>
                <w:sz w:val="18"/>
                <w:szCs w:val="18"/>
              </w:rPr>
              <w:t>30,619 </w:t>
            </w:r>
          </w:p>
        </w:tc>
        <w:tc>
          <w:tcPr>
            <w:tcW w:w="0" w:type="auto"/>
            <w:tcMar>
              <w:top w:w="30" w:type="dxa"/>
              <w:left w:w="0" w:type="dxa"/>
              <w:bottom w:w="30" w:type="dxa"/>
              <w:right w:w="20" w:type="dxa"/>
            </w:tcMar>
            <w:vAlign w:val="bottom"/>
            <w:hideMark/>
          </w:tcPr>
          <w:p w14:paraId="225EE310"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2D398FC4"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44D1977" w14:textId="77777777" w:rsidR="00000000" w:rsidRDefault="00E614A4">
            <w:pPr>
              <w:jc w:val="right"/>
              <w:rPr>
                <w:rFonts w:eastAsia="Times New Roman"/>
              </w:rPr>
            </w:pPr>
            <w:r>
              <w:rPr>
                <w:rFonts w:eastAsia="Times New Roman"/>
                <w:color w:val="000000"/>
                <w:sz w:val="18"/>
                <w:szCs w:val="18"/>
              </w:rPr>
              <w:t>34,623 </w:t>
            </w:r>
          </w:p>
        </w:tc>
        <w:tc>
          <w:tcPr>
            <w:tcW w:w="0" w:type="auto"/>
            <w:tcMar>
              <w:top w:w="30" w:type="dxa"/>
              <w:left w:w="0" w:type="dxa"/>
              <w:bottom w:w="30" w:type="dxa"/>
              <w:right w:w="20" w:type="dxa"/>
            </w:tcMar>
            <w:vAlign w:val="bottom"/>
            <w:hideMark/>
          </w:tcPr>
          <w:p w14:paraId="6CD693BD" w14:textId="77777777" w:rsidR="00000000" w:rsidRDefault="00E614A4">
            <w:pPr>
              <w:jc w:val="right"/>
              <w:rPr>
                <w:rFonts w:eastAsia="Times New Roman"/>
              </w:rPr>
            </w:pPr>
          </w:p>
        </w:tc>
      </w:tr>
      <w:tr w:rsidR="00000000" w14:paraId="049B40CB" w14:textId="77777777">
        <w:trPr>
          <w:divId w:val="950942805"/>
          <w:jc w:val="center"/>
        </w:trPr>
        <w:tc>
          <w:tcPr>
            <w:tcW w:w="0" w:type="auto"/>
            <w:gridSpan w:val="3"/>
            <w:shd w:val="clear" w:color="auto" w:fill="CCEEFF"/>
            <w:tcMar>
              <w:top w:w="30" w:type="dxa"/>
              <w:left w:w="245" w:type="dxa"/>
              <w:bottom w:w="30" w:type="dxa"/>
              <w:right w:w="20" w:type="dxa"/>
            </w:tcMar>
            <w:vAlign w:val="bottom"/>
            <w:hideMark/>
          </w:tcPr>
          <w:p w14:paraId="253AFD9B" w14:textId="77777777" w:rsidR="00000000" w:rsidRDefault="00E614A4">
            <w:pPr>
              <w:rPr>
                <w:rFonts w:eastAsia="Times New Roman"/>
              </w:rPr>
            </w:pPr>
            <w:r>
              <w:rPr>
                <w:rFonts w:eastAsia="Times New Roman"/>
                <w:color w:val="000000"/>
                <w:sz w:val="18"/>
                <w:szCs w:val="18"/>
              </w:rPr>
              <w:t>Latin America</w:t>
            </w:r>
          </w:p>
        </w:tc>
        <w:tc>
          <w:tcPr>
            <w:tcW w:w="0" w:type="auto"/>
            <w:gridSpan w:val="2"/>
            <w:shd w:val="clear" w:color="auto" w:fill="CCEEFF"/>
            <w:tcMar>
              <w:top w:w="30" w:type="dxa"/>
              <w:left w:w="20" w:type="dxa"/>
              <w:bottom w:w="30" w:type="dxa"/>
              <w:right w:w="0" w:type="dxa"/>
            </w:tcMar>
            <w:vAlign w:val="bottom"/>
            <w:hideMark/>
          </w:tcPr>
          <w:p w14:paraId="631FED1C" w14:textId="77777777" w:rsidR="00000000" w:rsidRDefault="00E614A4">
            <w:pPr>
              <w:jc w:val="right"/>
              <w:rPr>
                <w:rFonts w:eastAsia="Times New Roman"/>
              </w:rPr>
            </w:pPr>
            <w:r>
              <w:rPr>
                <w:rFonts w:eastAsia="Times New Roman"/>
                <w:color w:val="000000"/>
                <w:sz w:val="18"/>
                <w:szCs w:val="18"/>
              </w:rPr>
              <w:t>6,275 </w:t>
            </w:r>
          </w:p>
        </w:tc>
        <w:tc>
          <w:tcPr>
            <w:tcW w:w="0" w:type="auto"/>
            <w:shd w:val="clear" w:color="auto" w:fill="CCEEFF"/>
            <w:tcMar>
              <w:top w:w="30" w:type="dxa"/>
              <w:left w:w="0" w:type="dxa"/>
              <w:bottom w:w="30" w:type="dxa"/>
              <w:right w:w="20" w:type="dxa"/>
            </w:tcMar>
            <w:vAlign w:val="bottom"/>
            <w:hideMark/>
          </w:tcPr>
          <w:p w14:paraId="5AD8482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54D91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19D1F3" w14:textId="77777777" w:rsidR="00000000" w:rsidRDefault="00E614A4">
            <w:pPr>
              <w:jc w:val="right"/>
              <w:rPr>
                <w:rFonts w:eastAsia="Times New Roman"/>
              </w:rPr>
            </w:pPr>
            <w:r>
              <w:rPr>
                <w:rFonts w:eastAsia="Times New Roman"/>
                <w:color w:val="000000"/>
                <w:sz w:val="18"/>
                <w:szCs w:val="18"/>
              </w:rPr>
              <w:t>10,326 </w:t>
            </w:r>
          </w:p>
        </w:tc>
        <w:tc>
          <w:tcPr>
            <w:tcW w:w="0" w:type="auto"/>
            <w:shd w:val="clear" w:color="auto" w:fill="CCEEFF"/>
            <w:tcMar>
              <w:top w:w="30" w:type="dxa"/>
              <w:left w:w="0" w:type="dxa"/>
              <w:bottom w:w="30" w:type="dxa"/>
              <w:right w:w="20" w:type="dxa"/>
            </w:tcMar>
            <w:vAlign w:val="bottom"/>
            <w:hideMark/>
          </w:tcPr>
          <w:p w14:paraId="29983BC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94B4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09DFC6" w14:textId="77777777" w:rsidR="00000000" w:rsidRDefault="00E614A4">
            <w:pPr>
              <w:jc w:val="right"/>
              <w:rPr>
                <w:rFonts w:eastAsia="Times New Roman"/>
              </w:rPr>
            </w:pPr>
            <w:r>
              <w:rPr>
                <w:rFonts w:eastAsia="Times New Roman"/>
                <w:color w:val="000000"/>
                <w:sz w:val="18"/>
                <w:szCs w:val="18"/>
              </w:rPr>
              <w:t>13,179 </w:t>
            </w:r>
          </w:p>
        </w:tc>
        <w:tc>
          <w:tcPr>
            <w:tcW w:w="0" w:type="auto"/>
            <w:shd w:val="clear" w:color="auto" w:fill="CCEEFF"/>
            <w:tcMar>
              <w:top w:w="30" w:type="dxa"/>
              <w:left w:w="0" w:type="dxa"/>
              <w:bottom w:w="30" w:type="dxa"/>
              <w:right w:w="20" w:type="dxa"/>
            </w:tcMar>
            <w:vAlign w:val="bottom"/>
            <w:hideMark/>
          </w:tcPr>
          <w:p w14:paraId="32DA87DF" w14:textId="77777777" w:rsidR="00000000" w:rsidRDefault="00E614A4">
            <w:pPr>
              <w:jc w:val="right"/>
              <w:rPr>
                <w:rFonts w:eastAsia="Times New Roman"/>
              </w:rPr>
            </w:pPr>
          </w:p>
        </w:tc>
      </w:tr>
      <w:tr w:rsidR="00000000" w14:paraId="25421705" w14:textId="77777777">
        <w:trPr>
          <w:divId w:val="950942805"/>
          <w:jc w:val="center"/>
        </w:trPr>
        <w:tc>
          <w:tcPr>
            <w:tcW w:w="0" w:type="auto"/>
            <w:gridSpan w:val="3"/>
            <w:tcMar>
              <w:top w:w="30" w:type="dxa"/>
              <w:left w:w="245" w:type="dxa"/>
              <w:bottom w:w="30" w:type="dxa"/>
              <w:right w:w="20" w:type="dxa"/>
            </w:tcMar>
            <w:vAlign w:val="bottom"/>
            <w:hideMark/>
          </w:tcPr>
          <w:p w14:paraId="531169DC" w14:textId="77777777" w:rsidR="00000000" w:rsidRDefault="00E614A4">
            <w:pPr>
              <w:rPr>
                <w:rFonts w:eastAsia="Times New Roman"/>
              </w:rPr>
            </w:pPr>
            <w:r>
              <w:rPr>
                <w:rFonts w:eastAsia="Times New Roman"/>
                <w:color w:val="000000"/>
                <w:sz w:val="18"/>
                <w:szCs w:val="18"/>
              </w:rPr>
              <w:t>Canada</w:t>
            </w:r>
          </w:p>
        </w:tc>
        <w:tc>
          <w:tcPr>
            <w:tcW w:w="0" w:type="auto"/>
            <w:gridSpan w:val="2"/>
            <w:tcMar>
              <w:top w:w="30" w:type="dxa"/>
              <w:left w:w="20" w:type="dxa"/>
              <w:bottom w:w="30" w:type="dxa"/>
              <w:right w:w="0" w:type="dxa"/>
            </w:tcMar>
            <w:vAlign w:val="bottom"/>
            <w:hideMark/>
          </w:tcPr>
          <w:p w14:paraId="5E170D03" w14:textId="77777777" w:rsidR="00000000" w:rsidRDefault="00E614A4">
            <w:pPr>
              <w:jc w:val="right"/>
              <w:rPr>
                <w:rFonts w:eastAsia="Times New Roman"/>
              </w:rPr>
            </w:pPr>
            <w:r>
              <w:rPr>
                <w:rFonts w:eastAsia="Times New Roman"/>
                <w:color w:val="000000"/>
                <w:sz w:val="18"/>
                <w:szCs w:val="18"/>
              </w:rPr>
              <w:t>7,046 </w:t>
            </w:r>
          </w:p>
        </w:tc>
        <w:tc>
          <w:tcPr>
            <w:tcW w:w="0" w:type="auto"/>
            <w:tcMar>
              <w:top w:w="30" w:type="dxa"/>
              <w:left w:w="0" w:type="dxa"/>
              <w:bottom w:w="30" w:type="dxa"/>
              <w:right w:w="20" w:type="dxa"/>
            </w:tcMar>
            <w:vAlign w:val="bottom"/>
            <w:hideMark/>
          </w:tcPr>
          <w:p w14:paraId="355B221A"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04381C83"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7AA71A1" w14:textId="77777777" w:rsidR="00000000" w:rsidRDefault="00E614A4">
            <w:pPr>
              <w:jc w:val="right"/>
              <w:rPr>
                <w:rFonts w:eastAsia="Times New Roman"/>
              </w:rPr>
            </w:pPr>
            <w:r>
              <w:rPr>
                <w:rFonts w:eastAsia="Times New Roman"/>
                <w:color w:val="000000"/>
                <w:sz w:val="18"/>
                <w:szCs w:val="18"/>
              </w:rPr>
              <w:t>7,046 </w:t>
            </w:r>
          </w:p>
        </w:tc>
        <w:tc>
          <w:tcPr>
            <w:tcW w:w="0" w:type="auto"/>
            <w:tcMar>
              <w:top w:w="30" w:type="dxa"/>
              <w:left w:w="0" w:type="dxa"/>
              <w:bottom w:w="30" w:type="dxa"/>
              <w:right w:w="20" w:type="dxa"/>
            </w:tcMar>
            <w:vAlign w:val="bottom"/>
            <w:hideMark/>
          </w:tcPr>
          <w:p w14:paraId="60D6157D"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10033AC0"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6F17F29" w14:textId="77777777" w:rsidR="00000000" w:rsidRDefault="00E614A4">
            <w:pPr>
              <w:jc w:val="right"/>
              <w:rPr>
                <w:rFonts w:eastAsia="Times New Roman"/>
              </w:rPr>
            </w:pPr>
            <w:r>
              <w:rPr>
                <w:rFonts w:eastAsia="Times New Roman"/>
                <w:color w:val="000000"/>
                <w:sz w:val="18"/>
                <w:szCs w:val="18"/>
              </w:rPr>
              <w:t>7,882 </w:t>
            </w:r>
          </w:p>
        </w:tc>
        <w:tc>
          <w:tcPr>
            <w:tcW w:w="0" w:type="auto"/>
            <w:tcMar>
              <w:top w:w="30" w:type="dxa"/>
              <w:left w:w="0" w:type="dxa"/>
              <w:bottom w:w="30" w:type="dxa"/>
              <w:right w:w="20" w:type="dxa"/>
            </w:tcMar>
            <w:vAlign w:val="bottom"/>
            <w:hideMark/>
          </w:tcPr>
          <w:p w14:paraId="59A83690" w14:textId="77777777" w:rsidR="00000000" w:rsidRDefault="00E614A4">
            <w:pPr>
              <w:jc w:val="right"/>
              <w:rPr>
                <w:rFonts w:eastAsia="Times New Roman"/>
              </w:rPr>
            </w:pPr>
          </w:p>
        </w:tc>
      </w:tr>
      <w:tr w:rsidR="00000000" w14:paraId="38A00F92" w14:textId="77777777">
        <w:trPr>
          <w:divId w:val="950942805"/>
          <w:jc w:val="center"/>
        </w:trPr>
        <w:tc>
          <w:tcPr>
            <w:tcW w:w="0" w:type="auto"/>
            <w:gridSpan w:val="3"/>
            <w:shd w:val="clear" w:color="auto" w:fill="CCEEFF"/>
            <w:tcMar>
              <w:top w:w="30" w:type="dxa"/>
              <w:left w:w="245" w:type="dxa"/>
              <w:bottom w:w="30" w:type="dxa"/>
              <w:right w:w="20" w:type="dxa"/>
            </w:tcMar>
            <w:vAlign w:val="bottom"/>
            <w:hideMark/>
          </w:tcPr>
          <w:p w14:paraId="7379D316" w14:textId="77777777" w:rsidR="00000000" w:rsidRDefault="00E614A4">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23A3DCA5" w14:textId="77777777" w:rsidR="00000000" w:rsidRDefault="00E614A4">
            <w:pPr>
              <w:jc w:val="right"/>
              <w:rPr>
                <w:rFonts w:eastAsia="Times New Roman"/>
              </w:rPr>
            </w:pPr>
            <w:r>
              <w:rPr>
                <w:rFonts w:eastAsia="Times New Roman"/>
                <w:color w:val="000000"/>
                <w:sz w:val="18"/>
                <w:szCs w:val="18"/>
              </w:rPr>
              <w:t>4,551 </w:t>
            </w:r>
          </w:p>
        </w:tc>
        <w:tc>
          <w:tcPr>
            <w:tcW w:w="0" w:type="auto"/>
            <w:shd w:val="clear" w:color="auto" w:fill="CCEEFF"/>
            <w:tcMar>
              <w:top w:w="30" w:type="dxa"/>
              <w:left w:w="0" w:type="dxa"/>
              <w:bottom w:w="30" w:type="dxa"/>
              <w:right w:w="20" w:type="dxa"/>
            </w:tcMar>
            <w:vAlign w:val="bottom"/>
            <w:hideMark/>
          </w:tcPr>
          <w:p w14:paraId="60545DE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A3A7C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89253" w14:textId="77777777" w:rsidR="00000000" w:rsidRDefault="00E614A4">
            <w:pPr>
              <w:jc w:val="right"/>
              <w:rPr>
                <w:rFonts w:eastAsia="Times New Roman"/>
              </w:rPr>
            </w:pPr>
            <w:r>
              <w:rPr>
                <w:rFonts w:eastAsia="Times New Roman"/>
                <w:color w:val="000000"/>
                <w:sz w:val="18"/>
                <w:szCs w:val="18"/>
              </w:rPr>
              <w:t>4,567 </w:t>
            </w:r>
          </w:p>
        </w:tc>
        <w:tc>
          <w:tcPr>
            <w:tcW w:w="0" w:type="auto"/>
            <w:shd w:val="clear" w:color="auto" w:fill="CCEEFF"/>
            <w:tcMar>
              <w:top w:w="30" w:type="dxa"/>
              <w:left w:w="0" w:type="dxa"/>
              <w:bottom w:w="30" w:type="dxa"/>
              <w:right w:w="20" w:type="dxa"/>
            </w:tcMar>
            <w:vAlign w:val="bottom"/>
            <w:hideMark/>
          </w:tcPr>
          <w:p w14:paraId="1AC25ED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BDD63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CEFF73" w14:textId="77777777" w:rsidR="00000000" w:rsidRDefault="00E614A4">
            <w:pPr>
              <w:jc w:val="right"/>
              <w:rPr>
                <w:rFonts w:eastAsia="Times New Roman"/>
              </w:rPr>
            </w:pPr>
            <w:r>
              <w:rPr>
                <w:rFonts w:eastAsia="Times New Roman"/>
                <w:color w:val="000000"/>
                <w:sz w:val="18"/>
                <w:szCs w:val="18"/>
              </w:rPr>
              <w:t>4,419 </w:t>
            </w:r>
          </w:p>
        </w:tc>
        <w:tc>
          <w:tcPr>
            <w:tcW w:w="0" w:type="auto"/>
            <w:shd w:val="clear" w:color="auto" w:fill="CCEEFF"/>
            <w:tcMar>
              <w:top w:w="30" w:type="dxa"/>
              <w:left w:w="0" w:type="dxa"/>
              <w:bottom w:w="30" w:type="dxa"/>
              <w:right w:w="20" w:type="dxa"/>
            </w:tcMar>
            <w:vAlign w:val="bottom"/>
            <w:hideMark/>
          </w:tcPr>
          <w:p w14:paraId="2E2ABCF7" w14:textId="77777777" w:rsidR="00000000" w:rsidRDefault="00E614A4">
            <w:pPr>
              <w:jc w:val="right"/>
              <w:rPr>
                <w:rFonts w:eastAsia="Times New Roman"/>
              </w:rPr>
            </w:pPr>
          </w:p>
        </w:tc>
      </w:tr>
      <w:tr w:rsidR="00000000" w14:paraId="2E3520F5" w14:textId="77777777">
        <w:trPr>
          <w:divId w:val="950942805"/>
          <w:jc w:val="center"/>
        </w:trPr>
        <w:tc>
          <w:tcPr>
            <w:tcW w:w="0" w:type="auto"/>
            <w:gridSpan w:val="3"/>
            <w:tcMar>
              <w:top w:w="30" w:type="dxa"/>
              <w:left w:w="155" w:type="dxa"/>
              <w:bottom w:w="30" w:type="dxa"/>
              <w:right w:w="20" w:type="dxa"/>
            </w:tcMar>
            <w:vAlign w:val="bottom"/>
            <w:hideMark/>
          </w:tcPr>
          <w:p w14:paraId="6F822496" w14:textId="77777777" w:rsidR="00000000" w:rsidRDefault="00E614A4">
            <w:pPr>
              <w:rPr>
                <w:rFonts w:eastAsia="Times New Roman"/>
              </w:rPr>
            </w:pPr>
            <w:r>
              <w:rPr>
                <w:rFonts w:eastAsia="Times New Roman"/>
                <w:b/>
                <w:bCs/>
                <w:color w:val="000000"/>
                <w:sz w:val="18"/>
                <w:szCs w:val="18"/>
              </w:rPr>
              <w:t>Total</w:t>
            </w:r>
          </w:p>
        </w:tc>
        <w:tc>
          <w:tcPr>
            <w:tcW w:w="0" w:type="auto"/>
            <w:tcBorders>
              <w:top w:val="single" w:sz="8" w:space="0" w:color="000000"/>
            </w:tcBorders>
            <w:tcMar>
              <w:top w:w="30" w:type="dxa"/>
              <w:left w:w="20" w:type="dxa"/>
              <w:bottom w:w="30" w:type="dxa"/>
              <w:right w:w="0" w:type="dxa"/>
            </w:tcMar>
            <w:vAlign w:val="bottom"/>
            <w:hideMark/>
          </w:tcPr>
          <w:p w14:paraId="6EC2727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4AD653E" w14:textId="77777777" w:rsidR="00000000" w:rsidRDefault="00E614A4">
            <w:pPr>
              <w:jc w:val="right"/>
              <w:rPr>
                <w:rFonts w:eastAsia="Times New Roman"/>
              </w:rPr>
            </w:pPr>
            <w:r>
              <w:rPr>
                <w:rFonts w:eastAsia="Times New Roman"/>
                <w:color w:val="000000"/>
                <w:sz w:val="18"/>
                <w:szCs w:val="18"/>
              </w:rPr>
              <w:t>356,036 </w:t>
            </w:r>
          </w:p>
        </w:tc>
        <w:tc>
          <w:tcPr>
            <w:tcW w:w="0" w:type="auto"/>
            <w:tcBorders>
              <w:top w:val="single" w:sz="8" w:space="0" w:color="000000"/>
            </w:tcBorders>
            <w:tcMar>
              <w:top w:w="30" w:type="dxa"/>
              <w:left w:w="0" w:type="dxa"/>
              <w:bottom w:w="30" w:type="dxa"/>
              <w:right w:w="20" w:type="dxa"/>
            </w:tcMar>
            <w:vAlign w:val="bottom"/>
            <w:hideMark/>
          </w:tcPr>
          <w:p w14:paraId="7B11CFAA"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7558AC48" w14:textId="77777777" w:rsidR="00000000" w:rsidRDefault="00E614A4">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65D64C5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693BFED2" w14:textId="77777777" w:rsidR="00000000" w:rsidRDefault="00E614A4">
            <w:pPr>
              <w:jc w:val="right"/>
              <w:rPr>
                <w:rFonts w:eastAsia="Times New Roman"/>
              </w:rPr>
            </w:pPr>
            <w:r>
              <w:rPr>
                <w:rFonts w:eastAsia="Times New Roman"/>
                <w:color w:val="000000"/>
                <w:sz w:val="18"/>
                <w:szCs w:val="18"/>
              </w:rPr>
              <w:t>388,645 </w:t>
            </w:r>
          </w:p>
        </w:tc>
        <w:tc>
          <w:tcPr>
            <w:tcW w:w="0" w:type="auto"/>
            <w:tcBorders>
              <w:top w:val="single" w:sz="8" w:space="0" w:color="000000"/>
            </w:tcBorders>
            <w:tcMar>
              <w:top w:w="30" w:type="dxa"/>
              <w:left w:w="0" w:type="dxa"/>
              <w:bottom w:w="30" w:type="dxa"/>
              <w:right w:w="20" w:type="dxa"/>
            </w:tcMar>
            <w:vAlign w:val="bottom"/>
            <w:hideMark/>
          </w:tcPr>
          <w:p w14:paraId="3DABAE3B"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7E47F581" w14:textId="77777777" w:rsidR="00000000" w:rsidRDefault="00E614A4">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29A2618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5584680F" w14:textId="77777777" w:rsidR="00000000" w:rsidRDefault="00E614A4">
            <w:pPr>
              <w:jc w:val="right"/>
              <w:rPr>
                <w:rFonts w:eastAsia="Times New Roman"/>
              </w:rPr>
            </w:pPr>
            <w:r>
              <w:rPr>
                <w:rFonts w:eastAsia="Times New Roman"/>
                <w:color w:val="000000"/>
                <w:sz w:val="18"/>
                <w:szCs w:val="18"/>
              </w:rPr>
              <w:t>419,482 </w:t>
            </w:r>
          </w:p>
        </w:tc>
        <w:tc>
          <w:tcPr>
            <w:tcW w:w="0" w:type="auto"/>
            <w:tcBorders>
              <w:top w:val="single" w:sz="8" w:space="0" w:color="000000"/>
            </w:tcBorders>
            <w:tcMar>
              <w:top w:w="30" w:type="dxa"/>
              <w:left w:w="0" w:type="dxa"/>
              <w:bottom w:w="30" w:type="dxa"/>
              <w:right w:w="20" w:type="dxa"/>
            </w:tcMar>
            <w:vAlign w:val="bottom"/>
            <w:hideMark/>
          </w:tcPr>
          <w:p w14:paraId="5398F67E" w14:textId="77777777" w:rsidR="00000000" w:rsidRDefault="00E614A4">
            <w:pPr>
              <w:jc w:val="right"/>
              <w:rPr>
                <w:rFonts w:eastAsia="Times New Roman"/>
              </w:rPr>
            </w:pPr>
          </w:p>
        </w:tc>
      </w:tr>
      <w:tr w:rsidR="00000000" w14:paraId="24FC3683" w14:textId="77777777">
        <w:trPr>
          <w:divId w:val="950942805"/>
          <w:jc w:val="center"/>
        </w:trPr>
        <w:tc>
          <w:tcPr>
            <w:tcW w:w="0" w:type="auto"/>
            <w:gridSpan w:val="3"/>
            <w:shd w:val="clear" w:color="auto" w:fill="CCEEFF"/>
            <w:tcMar>
              <w:top w:w="30" w:type="dxa"/>
              <w:left w:w="20" w:type="dxa"/>
              <w:bottom w:w="30" w:type="dxa"/>
              <w:right w:w="20" w:type="dxa"/>
            </w:tcMar>
            <w:vAlign w:val="bottom"/>
            <w:hideMark/>
          </w:tcPr>
          <w:p w14:paraId="473E2108" w14:textId="77777777" w:rsidR="00000000" w:rsidRDefault="00E614A4">
            <w:pPr>
              <w:rPr>
                <w:rFonts w:eastAsia="Times New Roman"/>
              </w:rPr>
            </w:pPr>
            <w:r>
              <w:rPr>
                <w:rFonts w:eastAsia="Times New Roman"/>
                <w:b/>
                <w:bCs/>
                <w:color w:val="000000"/>
                <w:sz w:val="18"/>
                <w:szCs w:val="18"/>
              </w:rPr>
              <w:t>By timing of revenue recognition: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861B6E"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71789"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AED508"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2F9443"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5787A9" w14:textId="77777777" w:rsidR="00000000" w:rsidRDefault="00E614A4">
            <w:pPr>
              <w:rPr>
                <w:rFonts w:eastAsia="Times New Roman"/>
                <w:sz w:val="20"/>
                <w:szCs w:val="20"/>
              </w:rPr>
            </w:pPr>
          </w:p>
        </w:tc>
      </w:tr>
      <w:tr w:rsidR="00000000" w14:paraId="671C8264" w14:textId="77777777">
        <w:trPr>
          <w:divId w:val="950942805"/>
          <w:jc w:val="center"/>
        </w:trPr>
        <w:tc>
          <w:tcPr>
            <w:tcW w:w="0" w:type="auto"/>
            <w:gridSpan w:val="3"/>
            <w:tcMar>
              <w:top w:w="30" w:type="dxa"/>
              <w:left w:w="245" w:type="dxa"/>
              <w:bottom w:w="30" w:type="dxa"/>
              <w:right w:w="20" w:type="dxa"/>
            </w:tcMar>
            <w:vAlign w:val="bottom"/>
            <w:hideMark/>
          </w:tcPr>
          <w:p w14:paraId="7AC40A71" w14:textId="77777777" w:rsidR="00000000" w:rsidRDefault="00E614A4">
            <w:pPr>
              <w:rPr>
                <w:rFonts w:eastAsia="Times New Roman"/>
              </w:rPr>
            </w:pPr>
            <w:r>
              <w:rPr>
                <w:rFonts w:eastAsia="Times New Roman"/>
                <w:color w:val="000000"/>
                <w:sz w:val="18"/>
                <w:szCs w:val="18"/>
              </w:rPr>
              <w:t>Products and services transferred at a point in time</w:t>
            </w:r>
          </w:p>
        </w:tc>
        <w:tc>
          <w:tcPr>
            <w:tcW w:w="0" w:type="auto"/>
            <w:tcMar>
              <w:top w:w="30" w:type="dxa"/>
              <w:left w:w="20" w:type="dxa"/>
              <w:bottom w:w="30" w:type="dxa"/>
              <w:right w:w="0" w:type="dxa"/>
            </w:tcMar>
            <w:vAlign w:val="bottom"/>
            <w:hideMark/>
          </w:tcPr>
          <w:p w14:paraId="4DD17C7F" w14:textId="77777777" w:rsidR="00000000" w:rsidRDefault="00E614A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78A20041" w14:textId="77777777" w:rsidR="00000000" w:rsidRDefault="00E614A4">
            <w:pPr>
              <w:jc w:val="right"/>
              <w:rPr>
                <w:rFonts w:eastAsia="Times New Roman"/>
              </w:rPr>
            </w:pPr>
            <w:r>
              <w:rPr>
                <w:rFonts w:eastAsia="Times New Roman"/>
                <w:color w:val="000000"/>
                <w:sz w:val="18"/>
                <w:szCs w:val="18"/>
              </w:rPr>
              <w:t>77,398 </w:t>
            </w:r>
          </w:p>
        </w:tc>
        <w:tc>
          <w:tcPr>
            <w:tcW w:w="0" w:type="auto"/>
            <w:tcMar>
              <w:top w:w="30" w:type="dxa"/>
              <w:left w:w="0" w:type="dxa"/>
              <w:bottom w:w="30" w:type="dxa"/>
              <w:right w:w="20" w:type="dxa"/>
            </w:tcMar>
            <w:vAlign w:val="bottom"/>
            <w:hideMark/>
          </w:tcPr>
          <w:p w14:paraId="79F0C1EF"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244CE5A3" w14:textId="77777777" w:rsidR="00000000" w:rsidRDefault="00E614A4">
            <w:pPr>
              <w:jc w:val="right"/>
              <w:rPr>
                <w:rFonts w:eastAsia="Times New Roman"/>
                <w:sz w:val="20"/>
                <w:szCs w:val="20"/>
              </w:rPr>
            </w:pPr>
          </w:p>
        </w:tc>
        <w:tc>
          <w:tcPr>
            <w:tcW w:w="0" w:type="auto"/>
            <w:tcMar>
              <w:top w:w="30" w:type="dxa"/>
              <w:left w:w="20" w:type="dxa"/>
              <w:bottom w:w="30" w:type="dxa"/>
              <w:right w:w="0" w:type="dxa"/>
            </w:tcMar>
            <w:vAlign w:val="bottom"/>
            <w:hideMark/>
          </w:tcPr>
          <w:p w14:paraId="351262C6" w14:textId="77777777" w:rsidR="00000000" w:rsidRDefault="00E614A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1D64277D" w14:textId="77777777" w:rsidR="00000000" w:rsidRDefault="00E614A4">
            <w:pPr>
              <w:jc w:val="right"/>
              <w:rPr>
                <w:rFonts w:eastAsia="Times New Roman"/>
              </w:rPr>
            </w:pPr>
            <w:r>
              <w:rPr>
                <w:rFonts w:eastAsia="Times New Roman"/>
                <w:color w:val="000000"/>
                <w:sz w:val="18"/>
                <w:szCs w:val="18"/>
              </w:rPr>
              <w:t>93,036 </w:t>
            </w:r>
          </w:p>
        </w:tc>
        <w:tc>
          <w:tcPr>
            <w:tcW w:w="0" w:type="auto"/>
            <w:tcMar>
              <w:top w:w="30" w:type="dxa"/>
              <w:left w:w="0" w:type="dxa"/>
              <w:bottom w:w="30" w:type="dxa"/>
              <w:right w:w="20" w:type="dxa"/>
            </w:tcMar>
            <w:vAlign w:val="bottom"/>
            <w:hideMark/>
          </w:tcPr>
          <w:p w14:paraId="264BACEB"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40358A4A" w14:textId="77777777" w:rsidR="00000000" w:rsidRDefault="00E614A4">
            <w:pPr>
              <w:jc w:val="right"/>
              <w:rPr>
                <w:rFonts w:eastAsia="Times New Roman"/>
                <w:sz w:val="20"/>
                <w:szCs w:val="20"/>
              </w:rPr>
            </w:pPr>
          </w:p>
        </w:tc>
        <w:tc>
          <w:tcPr>
            <w:tcW w:w="0" w:type="auto"/>
            <w:tcMar>
              <w:top w:w="30" w:type="dxa"/>
              <w:left w:w="20" w:type="dxa"/>
              <w:bottom w:w="30" w:type="dxa"/>
              <w:right w:w="0" w:type="dxa"/>
            </w:tcMar>
            <w:vAlign w:val="bottom"/>
            <w:hideMark/>
          </w:tcPr>
          <w:p w14:paraId="61070755" w14:textId="77777777" w:rsidR="00000000" w:rsidRDefault="00E614A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65B12889" w14:textId="77777777" w:rsidR="00000000" w:rsidRDefault="00E614A4">
            <w:pPr>
              <w:jc w:val="right"/>
              <w:rPr>
                <w:rFonts w:eastAsia="Times New Roman"/>
              </w:rPr>
            </w:pPr>
            <w:r>
              <w:rPr>
                <w:rFonts w:eastAsia="Times New Roman"/>
                <w:color w:val="000000"/>
                <w:sz w:val="18"/>
                <w:szCs w:val="18"/>
              </w:rPr>
              <w:t>113,583 </w:t>
            </w:r>
          </w:p>
        </w:tc>
        <w:tc>
          <w:tcPr>
            <w:tcW w:w="0" w:type="auto"/>
            <w:tcMar>
              <w:top w:w="30" w:type="dxa"/>
              <w:left w:w="0" w:type="dxa"/>
              <w:bottom w:w="30" w:type="dxa"/>
              <w:right w:w="20" w:type="dxa"/>
            </w:tcMar>
            <w:vAlign w:val="bottom"/>
            <w:hideMark/>
          </w:tcPr>
          <w:p w14:paraId="586CF5BF" w14:textId="77777777" w:rsidR="00000000" w:rsidRDefault="00E614A4">
            <w:pPr>
              <w:jc w:val="right"/>
              <w:rPr>
                <w:rFonts w:eastAsia="Times New Roman"/>
              </w:rPr>
            </w:pPr>
          </w:p>
        </w:tc>
      </w:tr>
      <w:tr w:rsidR="00000000" w14:paraId="6A5E0C60" w14:textId="77777777">
        <w:trPr>
          <w:divId w:val="950942805"/>
          <w:jc w:val="center"/>
        </w:trPr>
        <w:tc>
          <w:tcPr>
            <w:tcW w:w="0" w:type="auto"/>
            <w:gridSpan w:val="3"/>
            <w:shd w:val="clear" w:color="auto" w:fill="CCEEFF"/>
            <w:tcMar>
              <w:top w:w="30" w:type="dxa"/>
              <w:left w:w="245" w:type="dxa"/>
              <w:bottom w:w="30" w:type="dxa"/>
              <w:right w:w="20" w:type="dxa"/>
            </w:tcMar>
            <w:vAlign w:val="bottom"/>
            <w:hideMark/>
          </w:tcPr>
          <w:p w14:paraId="4BC326A5" w14:textId="77777777" w:rsidR="00000000" w:rsidRDefault="00E614A4">
            <w:pPr>
              <w:rPr>
                <w:rFonts w:eastAsia="Times New Roman"/>
              </w:rPr>
            </w:pPr>
            <w:r>
              <w:rPr>
                <w:rFonts w:eastAsia="Times New Roman"/>
                <w:color w:val="000000"/>
                <w:sz w:val="18"/>
                <w:szCs w:val="18"/>
              </w:rPr>
              <w:t>Products and services transferred over time</w:t>
            </w:r>
          </w:p>
        </w:tc>
        <w:tc>
          <w:tcPr>
            <w:tcW w:w="0" w:type="auto"/>
            <w:gridSpan w:val="2"/>
            <w:shd w:val="clear" w:color="auto" w:fill="CCEEFF"/>
            <w:tcMar>
              <w:top w:w="30" w:type="dxa"/>
              <w:left w:w="20" w:type="dxa"/>
              <w:bottom w:w="30" w:type="dxa"/>
              <w:right w:w="0" w:type="dxa"/>
            </w:tcMar>
            <w:vAlign w:val="bottom"/>
            <w:hideMark/>
          </w:tcPr>
          <w:p w14:paraId="18AE6C7F" w14:textId="77777777" w:rsidR="00000000" w:rsidRDefault="00E614A4">
            <w:pPr>
              <w:jc w:val="right"/>
              <w:rPr>
                <w:rFonts w:eastAsia="Times New Roman"/>
              </w:rPr>
            </w:pPr>
            <w:r>
              <w:rPr>
                <w:rFonts w:eastAsia="Times New Roman"/>
                <w:color w:val="000000"/>
                <w:sz w:val="18"/>
                <w:szCs w:val="18"/>
              </w:rPr>
              <w:t>278,638 </w:t>
            </w:r>
          </w:p>
        </w:tc>
        <w:tc>
          <w:tcPr>
            <w:tcW w:w="0" w:type="auto"/>
            <w:shd w:val="clear" w:color="auto" w:fill="CCEEFF"/>
            <w:tcMar>
              <w:top w:w="30" w:type="dxa"/>
              <w:left w:w="0" w:type="dxa"/>
              <w:bottom w:w="30" w:type="dxa"/>
              <w:right w:w="20" w:type="dxa"/>
            </w:tcMar>
            <w:vAlign w:val="bottom"/>
            <w:hideMark/>
          </w:tcPr>
          <w:p w14:paraId="768514D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D214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723180" w14:textId="77777777" w:rsidR="00000000" w:rsidRDefault="00E614A4">
            <w:pPr>
              <w:jc w:val="right"/>
              <w:rPr>
                <w:rFonts w:eastAsia="Times New Roman"/>
              </w:rPr>
            </w:pPr>
            <w:r>
              <w:rPr>
                <w:rFonts w:eastAsia="Times New Roman"/>
                <w:color w:val="000000"/>
                <w:sz w:val="18"/>
                <w:szCs w:val="18"/>
              </w:rPr>
              <w:t>295,609 </w:t>
            </w:r>
          </w:p>
        </w:tc>
        <w:tc>
          <w:tcPr>
            <w:tcW w:w="0" w:type="auto"/>
            <w:shd w:val="clear" w:color="auto" w:fill="CCEEFF"/>
            <w:tcMar>
              <w:top w:w="30" w:type="dxa"/>
              <w:left w:w="0" w:type="dxa"/>
              <w:bottom w:w="30" w:type="dxa"/>
              <w:right w:w="20" w:type="dxa"/>
            </w:tcMar>
            <w:vAlign w:val="bottom"/>
            <w:hideMark/>
          </w:tcPr>
          <w:p w14:paraId="00E1E8C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ABAC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CC6ADE" w14:textId="77777777" w:rsidR="00000000" w:rsidRDefault="00E614A4">
            <w:pPr>
              <w:jc w:val="right"/>
              <w:rPr>
                <w:rFonts w:eastAsia="Times New Roman"/>
              </w:rPr>
            </w:pPr>
            <w:r>
              <w:rPr>
                <w:rFonts w:eastAsia="Times New Roman"/>
                <w:color w:val="000000"/>
                <w:sz w:val="18"/>
                <w:szCs w:val="18"/>
              </w:rPr>
              <w:t>305,899 </w:t>
            </w:r>
          </w:p>
        </w:tc>
        <w:tc>
          <w:tcPr>
            <w:tcW w:w="0" w:type="auto"/>
            <w:shd w:val="clear" w:color="auto" w:fill="CCEEFF"/>
            <w:tcMar>
              <w:top w:w="30" w:type="dxa"/>
              <w:left w:w="0" w:type="dxa"/>
              <w:bottom w:w="30" w:type="dxa"/>
              <w:right w:w="20" w:type="dxa"/>
            </w:tcMar>
            <w:vAlign w:val="bottom"/>
            <w:hideMark/>
          </w:tcPr>
          <w:p w14:paraId="0A2C8E5C" w14:textId="77777777" w:rsidR="00000000" w:rsidRDefault="00E614A4">
            <w:pPr>
              <w:jc w:val="right"/>
              <w:rPr>
                <w:rFonts w:eastAsia="Times New Roman"/>
              </w:rPr>
            </w:pPr>
          </w:p>
        </w:tc>
      </w:tr>
      <w:tr w:rsidR="00000000" w14:paraId="640BFA14" w14:textId="77777777">
        <w:trPr>
          <w:divId w:val="950942805"/>
          <w:jc w:val="center"/>
        </w:trPr>
        <w:tc>
          <w:tcPr>
            <w:tcW w:w="0" w:type="auto"/>
            <w:gridSpan w:val="3"/>
            <w:tcMar>
              <w:top w:w="30" w:type="dxa"/>
              <w:left w:w="155" w:type="dxa"/>
              <w:bottom w:w="30" w:type="dxa"/>
              <w:right w:w="20" w:type="dxa"/>
            </w:tcMar>
            <w:vAlign w:val="bottom"/>
            <w:hideMark/>
          </w:tcPr>
          <w:p w14:paraId="350DBE7B" w14:textId="77777777" w:rsidR="00000000" w:rsidRDefault="00E614A4">
            <w:pPr>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B5134F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56A0874" w14:textId="77777777" w:rsidR="00000000" w:rsidRDefault="00E614A4">
            <w:pPr>
              <w:jc w:val="right"/>
              <w:rPr>
                <w:rFonts w:eastAsia="Times New Roman"/>
              </w:rPr>
            </w:pPr>
            <w:r>
              <w:rPr>
                <w:rFonts w:eastAsia="Times New Roman"/>
                <w:color w:val="000000"/>
                <w:sz w:val="18"/>
                <w:szCs w:val="18"/>
              </w:rPr>
              <w:t>356,036 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FD31571"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0FEA7EF3"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214DD2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575402A" w14:textId="77777777" w:rsidR="00000000" w:rsidRDefault="00E614A4">
            <w:pPr>
              <w:jc w:val="right"/>
              <w:rPr>
                <w:rFonts w:eastAsia="Times New Roman"/>
              </w:rPr>
            </w:pPr>
            <w:r>
              <w:rPr>
                <w:rFonts w:eastAsia="Times New Roman"/>
                <w:color w:val="000000"/>
                <w:sz w:val="18"/>
                <w:szCs w:val="18"/>
              </w:rPr>
              <w:t>388,645 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E2B7607"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445BE487"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45ADDC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CFB8AE9" w14:textId="77777777" w:rsidR="00000000" w:rsidRDefault="00E614A4">
            <w:pPr>
              <w:jc w:val="right"/>
              <w:rPr>
                <w:rFonts w:eastAsia="Times New Roman"/>
              </w:rPr>
            </w:pPr>
            <w:r>
              <w:rPr>
                <w:rFonts w:eastAsia="Times New Roman"/>
                <w:color w:val="000000"/>
                <w:sz w:val="18"/>
                <w:szCs w:val="18"/>
              </w:rPr>
              <w:t>419,482 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90D0880" w14:textId="77777777" w:rsidR="00000000" w:rsidRDefault="00E614A4">
            <w:pPr>
              <w:jc w:val="right"/>
              <w:rPr>
                <w:rFonts w:eastAsia="Times New Roman"/>
              </w:rPr>
            </w:pPr>
          </w:p>
        </w:tc>
      </w:tr>
    </w:tbl>
    <w:p w14:paraId="3A85BA77" w14:textId="77777777" w:rsidR="00000000" w:rsidRDefault="00E614A4">
      <w:pPr>
        <w:jc w:val="both"/>
        <w:divId w:val="879435935"/>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In the second quarter of 2020, the Company began classifying revenue from certain new and extended custom agreements for services that utilize its syndicated data set, previously classified under Analytics and Optimization, as Ratings and Planning. The imp</w:t>
      </w:r>
      <w:r>
        <w:rPr>
          <w:rFonts w:eastAsia="Times New Roman"/>
          <w:i/>
          <w:iCs/>
          <w:color w:val="000000"/>
          <w:sz w:val="16"/>
          <w:szCs w:val="16"/>
        </w:rPr>
        <w:t>act was not material to either solution group.</w:t>
      </w:r>
    </w:p>
    <w:p w14:paraId="374F41F8" w14:textId="77777777" w:rsidR="00000000" w:rsidRDefault="00E614A4">
      <w:pPr>
        <w:jc w:val="both"/>
        <w:divId w:val="55708577"/>
        <w:rPr>
          <w:rFonts w:eastAsia="Times New Roman"/>
        </w:rPr>
      </w:pPr>
      <w:r>
        <w:rPr>
          <w:rFonts w:eastAsia="Times New Roman"/>
          <w:b/>
          <w:bCs/>
          <w:i/>
          <w:iCs/>
          <w:color w:val="000000"/>
          <w:sz w:val="20"/>
          <w:szCs w:val="20"/>
        </w:rPr>
        <w:t>Contract Balances</w:t>
      </w:r>
    </w:p>
    <w:p w14:paraId="76A29FA8" w14:textId="77777777" w:rsidR="00000000" w:rsidRDefault="00E614A4">
      <w:pPr>
        <w:jc w:val="both"/>
        <w:divId w:val="438767436"/>
        <w:rPr>
          <w:rFonts w:eastAsia="Times New Roman"/>
        </w:rPr>
      </w:pPr>
      <w:r>
        <w:rPr>
          <w:rFonts w:eastAsia="Times New Roman"/>
          <w:color w:val="000000"/>
          <w:sz w:val="20"/>
          <w:szCs w:val="20"/>
        </w:rPr>
        <w:t>The following table provides information about receivables, contract assets, contract costs, contract liabilities and customer advances from contracts with customers: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00"/>
        <w:gridCol w:w="37"/>
        <w:gridCol w:w="36"/>
        <w:gridCol w:w="36"/>
        <w:gridCol w:w="36"/>
        <w:gridCol w:w="110"/>
        <w:gridCol w:w="961"/>
        <w:gridCol w:w="36"/>
        <w:gridCol w:w="36"/>
        <w:gridCol w:w="36"/>
        <w:gridCol w:w="36"/>
        <w:gridCol w:w="110"/>
        <w:gridCol w:w="962"/>
        <w:gridCol w:w="36"/>
      </w:tblGrid>
      <w:tr w:rsidR="00000000" w14:paraId="7FA06E2D" w14:textId="77777777">
        <w:trPr>
          <w:divId w:val="1206335249"/>
          <w:jc w:val="center"/>
        </w:trPr>
        <w:tc>
          <w:tcPr>
            <w:tcW w:w="50" w:type="pct"/>
            <w:vAlign w:val="center"/>
            <w:hideMark/>
          </w:tcPr>
          <w:p w14:paraId="57D3E4B2" w14:textId="77777777" w:rsidR="00000000" w:rsidRDefault="00E614A4">
            <w:pPr>
              <w:jc w:val="both"/>
              <w:rPr>
                <w:rFonts w:eastAsia="Times New Roman"/>
              </w:rPr>
            </w:pPr>
          </w:p>
        </w:tc>
        <w:tc>
          <w:tcPr>
            <w:tcW w:w="3542" w:type="pct"/>
            <w:vAlign w:val="center"/>
            <w:hideMark/>
          </w:tcPr>
          <w:p w14:paraId="76F95375" w14:textId="77777777" w:rsidR="00000000" w:rsidRDefault="00E614A4">
            <w:pPr>
              <w:rPr>
                <w:rFonts w:eastAsia="Times New Roman"/>
                <w:sz w:val="20"/>
                <w:szCs w:val="20"/>
              </w:rPr>
            </w:pPr>
          </w:p>
        </w:tc>
        <w:tc>
          <w:tcPr>
            <w:tcW w:w="5" w:type="pct"/>
            <w:vAlign w:val="center"/>
            <w:hideMark/>
          </w:tcPr>
          <w:p w14:paraId="5603A4B1" w14:textId="77777777" w:rsidR="00000000" w:rsidRDefault="00E614A4">
            <w:pPr>
              <w:rPr>
                <w:rFonts w:eastAsia="Times New Roman"/>
                <w:sz w:val="20"/>
                <w:szCs w:val="20"/>
              </w:rPr>
            </w:pPr>
          </w:p>
        </w:tc>
        <w:tc>
          <w:tcPr>
            <w:tcW w:w="5" w:type="pct"/>
            <w:vAlign w:val="center"/>
            <w:hideMark/>
          </w:tcPr>
          <w:p w14:paraId="64D1F76F" w14:textId="77777777" w:rsidR="00000000" w:rsidRDefault="00E614A4">
            <w:pPr>
              <w:rPr>
                <w:rFonts w:eastAsia="Times New Roman"/>
                <w:sz w:val="20"/>
                <w:szCs w:val="20"/>
              </w:rPr>
            </w:pPr>
          </w:p>
        </w:tc>
        <w:tc>
          <w:tcPr>
            <w:tcW w:w="17" w:type="pct"/>
            <w:vAlign w:val="center"/>
            <w:hideMark/>
          </w:tcPr>
          <w:p w14:paraId="660E550F" w14:textId="77777777" w:rsidR="00000000" w:rsidRDefault="00E614A4">
            <w:pPr>
              <w:rPr>
                <w:rFonts w:eastAsia="Times New Roman"/>
                <w:sz w:val="20"/>
                <w:szCs w:val="20"/>
              </w:rPr>
            </w:pPr>
          </w:p>
        </w:tc>
        <w:tc>
          <w:tcPr>
            <w:tcW w:w="5" w:type="pct"/>
            <w:vAlign w:val="center"/>
            <w:hideMark/>
          </w:tcPr>
          <w:p w14:paraId="4EE20454" w14:textId="77777777" w:rsidR="00000000" w:rsidRDefault="00E614A4">
            <w:pPr>
              <w:rPr>
                <w:rFonts w:eastAsia="Times New Roman"/>
                <w:sz w:val="20"/>
                <w:szCs w:val="20"/>
              </w:rPr>
            </w:pPr>
          </w:p>
        </w:tc>
        <w:tc>
          <w:tcPr>
            <w:tcW w:w="50" w:type="pct"/>
            <w:vAlign w:val="center"/>
            <w:hideMark/>
          </w:tcPr>
          <w:p w14:paraId="4FCCE939" w14:textId="77777777" w:rsidR="00000000" w:rsidRDefault="00E614A4">
            <w:pPr>
              <w:rPr>
                <w:rFonts w:eastAsia="Times New Roman"/>
                <w:sz w:val="20"/>
                <w:szCs w:val="20"/>
              </w:rPr>
            </w:pPr>
          </w:p>
        </w:tc>
        <w:tc>
          <w:tcPr>
            <w:tcW w:w="618" w:type="pct"/>
            <w:vAlign w:val="center"/>
            <w:hideMark/>
          </w:tcPr>
          <w:p w14:paraId="031C2054" w14:textId="77777777" w:rsidR="00000000" w:rsidRDefault="00E614A4">
            <w:pPr>
              <w:rPr>
                <w:rFonts w:eastAsia="Times New Roman"/>
                <w:sz w:val="20"/>
                <w:szCs w:val="20"/>
              </w:rPr>
            </w:pPr>
          </w:p>
        </w:tc>
        <w:tc>
          <w:tcPr>
            <w:tcW w:w="5" w:type="pct"/>
            <w:vAlign w:val="center"/>
            <w:hideMark/>
          </w:tcPr>
          <w:p w14:paraId="6910EA37" w14:textId="77777777" w:rsidR="00000000" w:rsidRDefault="00E614A4">
            <w:pPr>
              <w:rPr>
                <w:rFonts w:eastAsia="Times New Roman"/>
                <w:sz w:val="20"/>
                <w:szCs w:val="20"/>
              </w:rPr>
            </w:pPr>
          </w:p>
        </w:tc>
        <w:tc>
          <w:tcPr>
            <w:tcW w:w="5" w:type="pct"/>
            <w:vAlign w:val="center"/>
            <w:hideMark/>
          </w:tcPr>
          <w:p w14:paraId="48F6268F" w14:textId="77777777" w:rsidR="00000000" w:rsidRDefault="00E614A4">
            <w:pPr>
              <w:rPr>
                <w:rFonts w:eastAsia="Times New Roman"/>
                <w:sz w:val="20"/>
                <w:szCs w:val="20"/>
              </w:rPr>
            </w:pPr>
          </w:p>
        </w:tc>
        <w:tc>
          <w:tcPr>
            <w:tcW w:w="17" w:type="pct"/>
            <w:vAlign w:val="center"/>
            <w:hideMark/>
          </w:tcPr>
          <w:p w14:paraId="26321FFB" w14:textId="77777777" w:rsidR="00000000" w:rsidRDefault="00E614A4">
            <w:pPr>
              <w:rPr>
                <w:rFonts w:eastAsia="Times New Roman"/>
                <w:sz w:val="20"/>
                <w:szCs w:val="20"/>
              </w:rPr>
            </w:pPr>
          </w:p>
        </w:tc>
        <w:tc>
          <w:tcPr>
            <w:tcW w:w="5" w:type="pct"/>
            <w:vAlign w:val="center"/>
            <w:hideMark/>
          </w:tcPr>
          <w:p w14:paraId="6C01A677" w14:textId="77777777" w:rsidR="00000000" w:rsidRDefault="00E614A4">
            <w:pPr>
              <w:rPr>
                <w:rFonts w:eastAsia="Times New Roman"/>
                <w:sz w:val="20"/>
                <w:szCs w:val="20"/>
              </w:rPr>
            </w:pPr>
          </w:p>
        </w:tc>
        <w:tc>
          <w:tcPr>
            <w:tcW w:w="50" w:type="pct"/>
            <w:vAlign w:val="center"/>
            <w:hideMark/>
          </w:tcPr>
          <w:p w14:paraId="165C0B9C" w14:textId="77777777" w:rsidR="00000000" w:rsidRDefault="00E614A4">
            <w:pPr>
              <w:rPr>
                <w:rFonts w:eastAsia="Times New Roman"/>
                <w:sz w:val="20"/>
                <w:szCs w:val="20"/>
              </w:rPr>
            </w:pPr>
          </w:p>
        </w:tc>
        <w:tc>
          <w:tcPr>
            <w:tcW w:w="618" w:type="pct"/>
            <w:vAlign w:val="center"/>
            <w:hideMark/>
          </w:tcPr>
          <w:p w14:paraId="64361432" w14:textId="77777777" w:rsidR="00000000" w:rsidRDefault="00E614A4">
            <w:pPr>
              <w:rPr>
                <w:rFonts w:eastAsia="Times New Roman"/>
                <w:sz w:val="20"/>
                <w:szCs w:val="20"/>
              </w:rPr>
            </w:pPr>
          </w:p>
        </w:tc>
        <w:tc>
          <w:tcPr>
            <w:tcW w:w="5" w:type="pct"/>
            <w:vAlign w:val="center"/>
            <w:hideMark/>
          </w:tcPr>
          <w:p w14:paraId="09B1A8AB" w14:textId="77777777" w:rsidR="00000000" w:rsidRDefault="00E614A4">
            <w:pPr>
              <w:rPr>
                <w:rFonts w:eastAsia="Times New Roman"/>
                <w:sz w:val="20"/>
                <w:szCs w:val="20"/>
              </w:rPr>
            </w:pPr>
          </w:p>
        </w:tc>
      </w:tr>
      <w:tr w:rsidR="00000000" w14:paraId="37171CE7" w14:textId="77777777">
        <w:trPr>
          <w:divId w:val="1206335249"/>
          <w:jc w:val="center"/>
        </w:trPr>
        <w:tc>
          <w:tcPr>
            <w:tcW w:w="0" w:type="auto"/>
            <w:gridSpan w:val="3"/>
            <w:tcMar>
              <w:top w:w="0" w:type="dxa"/>
              <w:left w:w="20" w:type="dxa"/>
              <w:bottom w:w="0" w:type="dxa"/>
              <w:right w:w="20" w:type="dxa"/>
            </w:tcMar>
            <w:vAlign w:val="center"/>
            <w:hideMark/>
          </w:tcPr>
          <w:p w14:paraId="48AFAE2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6BA020A"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78ECFF9D"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21115FB1" w14:textId="77777777">
        <w:trPr>
          <w:divId w:val="1206335249"/>
          <w:jc w:val="center"/>
        </w:trPr>
        <w:tc>
          <w:tcPr>
            <w:tcW w:w="0" w:type="auto"/>
            <w:gridSpan w:val="3"/>
            <w:tcMar>
              <w:top w:w="30" w:type="dxa"/>
              <w:left w:w="20" w:type="dxa"/>
              <w:bottom w:w="30" w:type="dxa"/>
              <w:right w:w="20" w:type="dxa"/>
            </w:tcMar>
            <w:vAlign w:val="bottom"/>
            <w:hideMark/>
          </w:tcPr>
          <w:p w14:paraId="0CBC8EEE" w14:textId="77777777" w:rsidR="00000000" w:rsidRDefault="00E614A4">
            <w:pPr>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38C3FF1A" w14:textId="77777777" w:rsidR="00000000" w:rsidRDefault="00E614A4">
            <w:pPr>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1E5C97"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1D2E604"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CF2D80" w14:textId="77777777" w:rsidR="00000000" w:rsidRDefault="00E614A4">
            <w:pPr>
              <w:jc w:val="center"/>
              <w:rPr>
                <w:rFonts w:eastAsia="Times New Roman"/>
              </w:rPr>
            </w:pPr>
            <w:r>
              <w:rPr>
                <w:rFonts w:eastAsia="Times New Roman"/>
                <w:b/>
                <w:bCs/>
                <w:color w:val="000000"/>
                <w:sz w:val="16"/>
                <w:szCs w:val="16"/>
              </w:rPr>
              <w:t>2019</w:t>
            </w:r>
          </w:p>
        </w:tc>
      </w:tr>
      <w:tr w:rsidR="00000000" w14:paraId="0091A6B3" w14:textId="77777777">
        <w:trPr>
          <w:divId w:val="1206335249"/>
          <w:jc w:val="center"/>
        </w:trPr>
        <w:tc>
          <w:tcPr>
            <w:tcW w:w="0" w:type="auto"/>
            <w:gridSpan w:val="3"/>
            <w:shd w:val="clear" w:color="auto" w:fill="CCEEFF"/>
            <w:tcMar>
              <w:top w:w="30" w:type="dxa"/>
              <w:left w:w="20" w:type="dxa"/>
              <w:bottom w:w="30" w:type="dxa"/>
              <w:right w:w="20" w:type="dxa"/>
            </w:tcMar>
            <w:hideMark/>
          </w:tcPr>
          <w:p w14:paraId="3290DB20" w14:textId="77777777" w:rsidR="00000000" w:rsidRDefault="00E614A4">
            <w:pPr>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14:paraId="7A331B96"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B635D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3C45C3" w14:textId="77777777" w:rsidR="00000000" w:rsidRDefault="00E614A4">
            <w:pPr>
              <w:jc w:val="right"/>
              <w:rPr>
                <w:rFonts w:eastAsia="Times New Roman"/>
              </w:rPr>
            </w:pPr>
            <w:r>
              <w:rPr>
                <w:rFonts w:eastAsia="Times New Roman"/>
                <w:color w:val="000000"/>
                <w:sz w:val="18"/>
                <w:szCs w:val="18"/>
              </w:rPr>
              <w:t>69,379 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4CF65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38A20"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26C6A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9F5353" w14:textId="77777777" w:rsidR="00000000" w:rsidRDefault="00E614A4">
            <w:pPr>
              <w:jc w:val="right"/>
              <w:rPr>
                <w:rFonts w:eastAsia="Times New Roman"/>
              </w:rPr>
            </w:pPr>
            <w:r>
              <w:rPr>
                <w:rFonts w:eastAsia="Times New Roman"/>
                <w:color w:val="000000"/>
                <w:sz w:val="18"/>
                <w:szCs w:val="18"/>
              </w:rPr>
              <w:t>71,853 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4C7783" w14:textId="77777777" w:rsidR="00000000" w:rsidRDefault="00E614A4">
            <w:pPr>
              <w:jc w:val="right"/>
              <w:rPr>
                <w:rFonts w:eastAsia="Times New Roman"/>
              </w:rPr>
            </w:pPr>
          </w:p>
        </w:tc>
      </w:tr>
      <w:tr w:rsidR="00000000" w14:paraId="538F508F" w14:textId="77777777">
        <w:trPr>
          <w:divId w:val="1206335249"/>
          <w:jc w:val="center"/>
        </w:trPr>
        <w:tc>
          <w:tcPr>
            <w:tcW w:w="0" w:type="auto"/>
            <w:gridSpan w:val="3"/>
            <w:shd w:val="clear" w:color="auto" w:fill="FFFFFF"/>
            <w:tcMar>
              <w:top w:w="30" w:type="dxa"/>
              <w:left w:w="20" w:type="dxa"/>
              <w:bottom w:w="30" w:type="dxa"/>
              <w:right w:w="20" w:type="dxa"/>
            </w:tcMar>
            <w:hideMark/>
          </w:tcPr>
          <w:p w14:paraId="6EB4C6CA" w14:textId="77777777" w:rsidR="00000000" w:rsidRDefault="00E614A4">
            <w:pPr>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14:paraId="283B223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9BFCC7" w14:textId="77777777" w:rsidR="00000000" w:rsidRDefault="00E614A4">
            <w:pPr>
              <w:jc w:val="right"/>
              <w:rPr>
                <w:rFonts w:eastAsia="Times New Roman"/>
              </w:rPr>
            </w:pPr>
            <w:r>
              <w:rPr>
                <w:rFonts w:eastAsia="Times New Roman"/>
                <w:color w:val="000000"/>
                <w:sz w:val="18"/>
                <w:szCs w:val="18"/>
              </w:rPr>
              <w:t>4,037 </w:t>
            </w:r>
          </w:p>
        </w:tc>
        <w:tc>
          <w:tcPr>
            <w:tcW w:w="0" w:type="auto"/>
            <w:shd w:val="clear" w:color="auto" w:fill="FFFFFF"/>
            <w:tcMar>
              <w:top w:w="30" w:type="dxa"/>
              <w:left w:w="0" w:type="dxa"/>
              <w:bottom w:w="30" w:type="dxa"/>
              <w:right w:w="20" w:type="dxa"/>
            </w:tcMar>
            <w:vAlign w:val="bottom"/>
            <w:hideMark/>
          </w:tcPr>
          <w:p w14:paraId="1E3D60F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DDB8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9C27FC" w14:textId="77777777" w:rsidR="00000000" w:rsidRDefault="00E614A4">
            <w:pPr>
              <w:jc w:val="right"/>
              <w:rPr>
                <w:rFonts w:eastAsia="Times New Roman"/>
              </w:rPr>
            </w:pPr>
            <w:r>
              <w:rPr>
                <w:rFonts w:eastAsia="Times New Roman"/>
                <w:color w:val="000000"/>
                <w:sz w:val="18"/>
                <w:szCs w:val="18"/>
              </w:rPr>
              <w:t>1,035 </w:t>
            </w:r>
          </w:p>
        </w:tc>
        <w:tc>
          <w:tcPr>
            <w:tcW w:w="0" w:type="auto"/>
            <w:shd w:val="clear" w:color="auto" w:fill="FFFFFF"/>
            <w:tcMar>
              <w:top w:w="30" w:type="dxa"/>
              <w:left w:w="0" w:type="dxa"/>
              <w:bottom w:w="30" w:type="dxa"/>
              <w:right w:w="20" w:type="dxa"/>
            </w:tcMar>
            <w:vAlign w:val="bottom"/>
            <w:hideMark/>
          </w:tcPr>
          <w:p w14:paraId="22B6A2C6" w14:textId="77777777" w:rsidR="00000000" w:rsidRDefault="00E614A4">
            <w:pPr>
              <w:jc w:val="right"/>
              <w:rPr>
                <w:rFonts w:eastAsia="Times New Roman"/>
              </w:rPr>
            </w:pPr>
          </w:p>
        </w:tc>
      </w:tr>
      <w:tr w:rsidR="00000000" w14:paraId="48D6FE6F" w14:textId="77777777">
        <w:trPr>
          <w:divId w:val="1206335249"/>
          <w:jc w:val="center"/>
        </w:trPr>
        <w:tc>
          <w:tcPr>
            <w:tcW w:w="0" w:type="auto"/>
            <w:gridSpan w:val="3"/>
            <w:shd w:val="clear" w:color="auto" w:fill="CCEEFF"/>
            <w:tcMar>
              <w:top w:w="30" w:type="dxa"/>
              <w:left w:w="20" w:type="dxa"/>
              <w:bottom w:w="30" w:type="dxa"/>
              <w:right w:w="20" w:type="dxa"/>
            </w:tcMar>
            <w:hideMark/>
          </w:tcPr>
          <w:p w14:paraId="3C12547E" w14:textId="77777777" w:rsidR="00000000" w:rsidRDefault="00E614A4">
            <w:pPr>
              <w:rPr>
                <w:rFonts w:eastAsia="Times New Roman"/>
              </w:rPr>
            </w:pPr>
            <w:r>
              <w:rPr>
                <w:rFonts w:eastAsia="Times New Roman"/>
                <w:color w:val="000000"/>
                <w:sz w:val="18"/>
                <w:szCs w:val="18"/>
              </w:rPr>
              <w:t>Current and non-current contract costs</w:t>
            </w:r>
          </w:p>
        </w:tc>
        <w:tc>
          <w:tcPr>
            <w:tcW w:w="0" w:type="auto"/>
            <w:gridSpan w:val="3"/>
            <w:shd w:val="clear" w:color="auto" w:fill="CCEEFF"/>
            <w:tcMar>
              <w:top w:w="0" w:type="dxa"/>
              <w:left w:w="20" w:type="dxa"/>
              <w:bottom w:w="0" w:type="dxa"/>
              <w:right w:w="20" w:type="dxa"/>
            </w:tcMar>
            <w:vAlign w:val="center"/>
            <w:hideMark/>
          </w:tcPr>
          <w:p w14:paraId="264037BF"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A7694A" w14:textId="77777777" w:rsidR="00000000" w:rsidRDefault="00E614A4">
            <w:pPr>
              <w:jc w:val="right"/>
              <w:rPr>
                <w:rFonts w:eastAsia="Times New Roman"/>
              </w:rPr>
            </w:pPr>
            <w:r>
              <w:rPr>
                <w:rFonts w:eastAsia="Times New Roman"/>
                <w:color w:val="000000"/>
                <w:sz w:val="18"/>
                <w:szCs w:val="18"/>
              </w:rPr>
              <w:t>430 </w:t>
            </w:r>
          </w:p>
        </w:tc>
        <w:tc>
          <w:tcPr>
            <w:tcW w:w="0" w:type="auto"/>
            <w:shd w:val="clear" w:color="auto" w:fill="CCEEFF"/>
            <w:tcMar>
              <w:top w:w="30" w:type="dxa"/>
              <w:left w:w="0" w:type="dxa"/>
              <w:bottom w:w="30" w:type="dxa"/>
              <w:right w:w="20" w:type="dxa"/>
            </w:tcMar>
            <w:vAlign w:val="bottom"/>
            <w:hideMark/>
          </w:tcPr>
          <w:p w14:paraId="197EF9A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3B3C6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881320" w14:textId="77777777" w:rsidR="00000000" w:rsidRDefault="00E614A4">
            <w:pPr>
              <w:jc w:val="right"/>
              <w:rPr>
                <w:rFonts w:eastAsia="Times New Roman"/>
              </w:rPr>
            </w:pPr>
            <w:r>
              <w:rPr>
                <w:rFonts w:eastAsia="Times New Roman"/>
                <w:color w:val="000000"/>
                <w:sz w:val="18"/>
                <w:szCs w:val="18"/>
              </w:rPr>
              <w:t>799 </w:t>
            </w:r>
          </w:p>
        </w:tc>
        <w:tc>
          <w:tcPr>
            <w:tcW w:w="0" w:type="auto"/>
            <w:shd w:val="clear" w:color="auto" w:fill="CCEEFF"/>
            <w:tcMar>
              <w:top w:w="30" w:type="dxa"/>
              <w:left w:w="0" w:type="dxa"/>
              <w:bottom w:w="30" w:type="dxa"/>
              <w:right w:w="20" w:type="dxa"/>
            </w:tcMar>
            <w:vAlign w:val="bottom"/>
            <w:hideMark/>
          </w:tcPr>
          <w:p w14:paraId="5D52B42D" w14:textId="77777777" w:rsidR="00000000" w:rsidRDefault="00E614A4">
            <w:pPr>
              <w:jc w:val="right"/>
              <w:rPr>
                <w:rFonts w:eastAsia="Times New Roman"/>
              </w:rPr>
            </w:pPr>
          </w:p>
        </w:tc>
      </w:tr>
      <w:tr w:rsidR="00000000" w14:paraId="30477958" w14:textId="77777777">
        <w:trPr>
          <w:divId w:val="1206335249"/>
          <w:jc w:val="center"/>
        </w:trPr>
        <w:tc>
          <w:tcPr>
            <w:tcW w:w="0" w:type="auto"/>
            <w:gridSpan w:val="3"/>
            <w:shd w:val="clear" w:color="auto" w:fill="FFFFFF"/>
            <w:tcMar>
              <w:top w:w="30" w:type="dxa"/>
              <w:left w:w="20" w:type="dxa"/>
              <w:bottom w:w="30" w:type="dxa"/>
              <w:right w:w="20" w:type="dxa"/>
            </w:tcMar>
            <w:hideMark/>
          </w:tcPr>
          <w:p w14:paraId="7AEBCB3A" w14:textId="77777777" w:rsidR="00000000" w:rsidRDefault="00E614A4">
            <w:pPr>
              <w:rPr>
                <w:rFonts w:eastAsia="Times New Roman"/>
              </w:rPr>
            </w:pPr>
            <w:r>
              <w:rPr>
                <w:rFonts w:eastAsia="Times New Roman"/>
                <w:color w:val="000000"/>
                <w:sz w:val="18"/>
                <w:szCs w:val="18"/>
              </w:rPr>
              <w:t>Current contract liabilities</w:t>
            </w:r>
          </w:p>
        </w:tc>
        <w:tc>
          <w:tcPr>
            <w:tcW w:w="0" w:type="auto"/>
            <w:gridSpan w:val="3"/>
            <w:shd w:val="clear" w:color="auto" w:fill="FFFFFF"/>
            <w:tcMar>
              <w:top w:w="0" w:type="dxa"/>
              <w:left w:w="20" w:type="dxa"/>
              <w:bottom w:w="0" w:type="dxa"/>
              <w:right w:w="20" w:type="dxa"/>
            </w:tcMar>
            <w:vAlign w:val="center"/>
            <w:hideMark/>
          </w:tcPr>
          <w:p w14:paraId="42E06748"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E70EB2" w14:textId="77777777" w:rsidR="00000000" w:rsidRDefault="00E614A4">
            <w:pPr>
              <w:jc w:val="right"/>
              <w:rPr>
                <w:rFonts w:eastAsia="Times New Roman"/>
              </w:rPr>
            </w:pPr>
            <w:r>
              <w:rPr>
                <w:rFonts w:eastAsia="Times New Roman"/>
                <w:color w:val="000000"/>
                <w:sz w:val="18"/>
                <w:szCs w:val="18"/>
              </w:rPr>
              <w:t>58,529 </w:t>
            </w:r>
          </w:p>
        </w:tc>
        <w:tc>
          <w:tcPr>
            <w:tcW w:w="0" w:type="auto"/>
            <w:shd w:val="clear" w:color="auto" w:fill="FFFFFF"/>
            <w:tcMar>
              <w:top w:w="30" w:type="dxa"/>
              <w:left w:w="0" w:type="dxa"/>
              <w:bottom w:w="30" w:type="dxa"/>
              <w:right w:w="20" w:type="dxa"/>
            </w:tcMar>
            <w:vAlign w:val="bottom"/>
            <w:hideMark/>
          </w:tcPr>
          <w:p w14:paraId="7C2B9ED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8EE8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637DD9" w14:textId="77777777" w:rsidR="00000000" w:rsidRDefault="00E614A4">
            <w:pPr>
              <w:jc w:val="right"/>
              <w:rPr>
                <w:rFonts w:eastAsia="Times New Roman"/>
              </w:rPr>
            </w:pPr>
            <w:r>
              <w:rPr>
                <w:rFonts w:eastAsia="Times New Roman"/>
                <w:color w:val="000000"/>
                <w:sz w:val="18"/>
                <w:szCs w:val="18"/>
              </w:rPr>
              <w:t>58,158 </w:t>
            </w:r>
          </w:p>
        </w:tc>
        <w:tc>
          <w:tcPr>
            <w:tcW w:w="0" w:type="auto"/>
            <w:shd w:val="clear" w:color="auto" w:fill="FFFFFF"/>
            <w:tcMar>
              <w:top w:w="30" w:type="dxa"/>
              <w:left w:w="0" w:type="dxa"/>
              <w:bottom w:w="30" w:type="dxa"/>
              <w:right w:w="20" w:type="dxa"/>
            </w:tcMar>
            <w:vAlign w:val="bottom"/>
            <w:hideMark/>
          </w:tcPr>
          <w:p w14:paraId="45DFA847" w14:textId="77777777" w:rsidR="00000000" w:rsidRDefault="00E614A4">
            <w:pPr>
              <w:jc w:val="right"/>
              <w:rPr>
                <w:rFonts w:eastAsia="Times New Roman"/>
              </w:rPr>
            </w:pPr>
          </w:p>
        </w:tc>
      </w:tr>
      <w:tr w:rsidR="00000000" w14:paraId="1B954877" w14:textId="77777777">
        <w:trPr>
          <w:divId w:val="1206335249"/>
          <w:jc w:val="center"/>
        </w:trPr>
        <w:tc>
          <w:tcPr>
            <w:tcW w:w="0" w:type="auto"/>
            <w:gridSpan w:val="3"/>
            <w:shd w:val="clear" w:color="auto" w:fill="CCEEFF"/>
            <w:tcMar>
              <w:top w:w="30" w:type="dxa"/>
              <w:left w:w="20" w:type="dxa"/>
              <w:bottom w:w="30" w:type="dxa"/>
              <w:right w:w="20" w:type="dxa"/>
            </w:tcMar>
            <w:hideMark/>
          </w:tcPr>
          <w:p w14:paraId="4106FEBC" w14:textId="77777777" w:rsidR="00000000" w:rsidRDefault="00E614A4">
            <w:pPr>
              <w:rPr>
                <w:rFonts w:eastAsia="Times New Roman"/>
              </w:rPr>
            </w:pPr>
            <w:r>
              <w:rPr>
                <w:rFonts w:eastAsia="Times New Roman"/>
                <w:color w:val="000000"/>
                <w:sz w:val="18"/>
                <w:szCs w:val="18"/>
              </w:rPr>
              <w:t>Current customer advances</w:t>
            </w:r>
          </w:p>
        </w:tc>
        <w:tc>
          <w:tcPr>
            <w:tcW w:w="0" w:type="auto"/>
            <w:gridSpan w:val="3"/>
            <w:shd w:val="clear" w:color="auto" w:fill="CCEEFF"/>
            <w:tcMar>
              <w:top w:w="0" w:type="dxa"/>
              <w:left w:w="20" w:type="dxa"/>
              <w:bottom w:w="0" w:type="dxa"/>
              <w:right w:w="20" w:type="dxa"/>
            </w:tcMar>
            <w:vAlign w:val="center"/>
            <w:hideMark/>
          </w:tcPr>
          <w:p w14:paraId="44673D00"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9C0683" w14:textId="77777777" w:rsidR="00000000" w:rsidRDefault="00E614A4">
            <w:pPr>
              <w:jc w:val="right"/>
              <w:rPr>
                <w:rFonts w:eastAsia="Times New Roman"/>
              </w:rPr>
            </w:pPr>
            <w:r>
              <w:rPr>
                <w:rFonts w:eastAsia="Times New Roman"/>
                <w:color w:val="000000"/>
                <w:sz w:val="18"/>
                <w:szCs w:val="18"/>
              </w:rPr>
              <w:t>12,477 </w:t>
            </w:r>
          </w:p>
        </w:tc>
        <w:tc>
          <w:tcPr>
            <w:tcW w:w="0" w:type="auto"/>
            <w:shd w:val="clear" w:color="auto" w:fill="CCEEFF"/>
            <w:tcMar>
              <w:top w:w="30" w:type="dxa"/>
              <w:left w:w="0" w:type="dxa"/>
              <w:bottom w:w="30" w:type="dxa"/>
              <w:right w:w="20" w:type="dxa"/>
            </w:tcMar>
            <w:vAlign w:val="bottom"/>
            <w:hideMark/>
          </w:tcPr>
          <w:p w14:paraId="47B29D7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EC75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419BBD" w14:textId="77777777" w:rsidR="00000000" w:rsidRDefault="00E614A4">
            <w:pPr>
              <w:jc w:val="right"/>
              <w:rPr>
                <w:rFonts w:eastAsia="Times New Roman"/>
              </w:rPr>
            </w:pPr>
            <w:r>
              <w:rPr>
                <w:rFonts w:eastAsia="Times New Roman"/>
                <w:color w:val="000000"/>
                <w:sz w:val="18"/>
                <w:szCs w:val="18"/>
              </w:rPr>
              <w:t>9,886 </w:t>
            </w:r>
          </w:p>
        </w:tc>
        <w:tc>
          <w:tcPr>
            <w:tcW w:w="0" w:type="auto"/>
            <w:shd w:val="clear" w:color="auto" w:fill="CCEEFF"/>
            <w:tcMar>
              <w:top w:w="30" w:type="dxa"/>
              <w:left w:w="0" w:type="dxa"/>
              <w:bottom w:w="30" w:type="dxa"/>
              <w:right w:w="20" w:type="dxa"/>
            </w:tcMar>
            <w:vAlign w:val="bottom"/>
            <w:hideMark/>
          </w:tcPr>
          <w:p w14:paraId="0F005A4F" w14:textId="77777777" w:rsidR="00000000" w:rsidRDefault="00E614A4">
            <w:pPr>
              <w:jc w:val="right"/>
              <w:rPr>
                <w:rFonts w:eastAsia="Times New Roman"/>
              </w:rPr>
            </w:pPr>
          </w:p>
        </w:tc>
      </w:tr>
      <w:tr w:rsidR="00000000" w14:paraId="2BD3CB92" w14:textId="77777777">
        <w:trPr>
          <w:divId w:val="1206335249"/>
          <w:jc w:val="center"/>
        </w:trPr>
        <w:tc>
          <w:tcPr>
            <w:tcW w:w="0" w:type="auto"/>
            <w:gridSpan w:val="3"/>
            <w:shd w:val="clear" w:color="auto" w:fill="FFFFFF"/>
            <w:tcMar>
              <w:top w:w="30" w:type="dxa"/>
              <w:left w:w="20" w:type="dxa"/>
              <w:bottom w:w="30" w:type="dxa"/>
              <w:right w:w="20" w:type="dxa"/>
            </w:tcMar>
            <w:hideMark/>
          </w:tcPr>
          <w:p w14:paraId="4909C6CF" w14:textId="77777777" w:rsidR="00000000" w:rsidRDefault="00E614A4">
            <w:pPr>
              <w:rPr>
                <w:rFonts w:eastAsia="Times New Roman"/>
              </w:rPr>
            </w:pPr>
            <w:r>
              <w:rPr>
                <w:rFonts w:eastAsia="Times New Roman"/>
                <w:color w:val="000000"/>
                <w:sz w:val="18"/>
                <w:szCs w:val="18"/>
              </w:rPr>
              <w:t xml:space="preserve">Non-current contract liabilities </w:t>
            </w:r>
          </w:p>
        </w:tc>
        <w:tc>
          <w:tcPr>
            <w:tcW w:w="0" w:type="auto"/>
            <w:gridSpan w:val="3"/>
            <w:shd w:val="clear" w:color="auto" w:fill="FFFFFF"/>
            <w:tcMar>
              <w:top w:w="0" w:type="dxa"/>
              <w:left w:w="20" w:type="dxa"/>
              <w:bottom w:w="0" w:type="dxa"/>
              <w:right w:w="20" w:type="dxa"/>
            </w:tcMar>
            <w:vAlign w:val="center"/>
            <w:hideMark/>
          </w:tcPr>
          <w:p w14:paraId="171CDB47"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14F1BC" w14:textId="77777777" w:rsidR="00000000" w:rsidRDefault="00E614A4">
            <w:pPr>
              <w:jc w:val="right"/>
              <w:rPr>
                <w:rFonts w:eastAsia="Times New Roman"/>
              </w:rPr>
            </w:pPr>
            <w:r>
              <w:rPr>
                <w:rFonts w:eastAsia="Times New Roman"/>
                <w:color w:val="000000"/>
                <w:sz w:val="18"/>
                <w:szCs w:val="18"/>
              </w:rPr>
              <w:t>4,156 </w:t>
            </w:r>
          </w:p>
        </w:tc>
        <w:tc>
          <w:tcPr>
            <w:tcW w:w="0" w:type="auto"/>
            <w:shd w:val="clear" w:color="auto" w:fill="FFFFFF"/>
            <w:tcMar>
              <w:top w:w="30" w:type="dxa"/>
              <w:left w:w="0" w:type="dxa"/>
              <w:bottom w:w="30" w:type="dxa"/>
              <w:right w:w="20" w:type="dxa"/>
            </w:tcMar>
            <w:vAlign w:val="bottom"/>
            <w:hideMark/>
          </w:tcPr>
          <w:p w14:paraId="438A82F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E935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F691F9" w14:textId="77777777" w:rsidR="00000000" w:rsidRDefault="00E614A4">
            <w:pPr>
              <w:jc w:val="right"/>
              <w:rPr>
                <w:rFonts w:eastAsia="Times New Roman"/>
              </w:rPr>
            </w:pPr>
            <w:r>
              <w:rPr>
                <w:rFonts w:eastAsia="Times New Roman"/>
                <w:color w:val="000000"/>
                <w:sz w:val="18"/>
                <w:szCs w:val="18"/>
              </w:rPr>
              <w:t>291 </w:t>
            </w:r>
          </w:p>
        </w:tc>
        <w:tc>
          <w:tcPr>
            <w:tcW w:w="0" w:type="auto"/>
            <w:shd w:val="clear" w:color="auto" w:fill="FFFFFF"/>
            <w:tcMar>
              <w:top w:w="30" w:type="dxa"/>
              <w:left w:w="0" w:type="dxa"/>
              <w:bottom w:w="30" w:type="dxa"/>
              <w:right w:w="20" w:type="dxa"/>
            </w:tcMar>
            <w:vAlign w:val="bottom"/>
            <w:hideMark/>
          </w:tcPr>
          <w:p w14:paraId="0C4AC77D" w14:textId="77777777" w:rsidR="00000000" w:rsidRDefault="00E614A4">
            <w:pPr>
              <w:jc w:val="right"/>
              <w:rPr>
                <w:rFonts w:eastAsia="Times New Roman"/>
              </w:rPr>
            </w:pPr>
          </w:p>
        </w:tc>
      </w:tr>
    </w:tbl>
    <w:p w14:paraId="77356C9D" w14:textId="77777777" w:rsidR="00000000" w:rsidRDefault="00E614A4">
      <w:pPr>
        <w:jc w:val="both"/>
        <w:divId w:val="618343362"/>
        <w:rPr>
          <w:rFonts w:eastAsia="Times New Roman"/>
        </w:rPr>
      </w:pPr>
      <w:r>
        <w:rPr>
          <w:rFonts w:eastAsia="Times New Roman"/>
          <w:color w:val="000000"/>
          <w:sz w:val="20"/>
          <w:szCs w:val="20"/>
        </w:rPr>
        <w:t>Current and non-current contract assets as of December 31, 2020 increased from the prior year due primarily to the Company providing payment deferrals, in exchange for contract extensions, on certain of its movies contracts because of theater closures as a</w:t>
      </w:r>
      <w:r>
        <w:rPr>
          <w:rFonts w:eastAsia="Times New Roman"/>
          <w:color w:val="000000"/>
          <w:sz w:val="20"/>
          <w:szCs w:val="20"/>
        </w:rPr>
        <w:t xml:space="preserve"> result of the COVID-19 pandemic. Non-current contract liabilities as of December 31, 2020 increased from the prior year due primarily to a large upfront payment received on a new multi-year contract.</w:t>
      </w:r>
    </w:p>
    <w:p w14:paraId="5794B54D" w14:textId="77777777" w:rsidR="00000000" w:rsidRDefault="00E614A4">
      <w:pPr>
        <w:jc w:val="center"/>
        <w:divId w:val="1011493134"/>
        <w:rPr>
          <w:rFonts w:eastAsia="Times New Roman"/>
        </w:rPr>
      </w:pPr>
      <w:r>
        <w:rPr>
          <w:rFonts w:eastAsia="Times New Roman"/>
          <w:color w:val="000000"/>
          <w:sz w:val="20"/>
          <w:szCs w:val="20"/>
        </w:rPr>
        <w:t>75</w:t>
      </w:r>
    </w:p>
    <w:p w14:paraId="7EFC24F5" w14:textId="77777777" w:rsidR="00000000" w:rsidRDefault="00E614A4">
      <w:pPr>
        <w:rPr>
          <w:rFonts w:eastAsia="Times New Roman"/>
        </w:rPr>
      </w:pPr>
      <w:r>
        <w:rPr>
          <w:rFonts w:eastAsia="Times New Roman"/>
        </w:rPr>
        <w:pict w14:anchorId="5421C27C">
          <v:rect id="_x0000_i1103" style="width:0;height:1.5pt" o:hralign="center" o:hrstd="t" o:hr="t" fillcolor="#a0a0a0" stroked="f"/>
        </w:pict>
      </w:r>
    </w:p>
    <w:p w14:paraId="2A22D0FA" w14:textId="77777777" w:rsidR="00000000" w:rsidRDefault="00E614A4">
      <w:pPr>
        <w:divId w:val="144657813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4B7D7F8" w14:textId="77777777" w:rsidR="00000000" w:rsidRDefault="00E614A4">
      <w:pPr>
        <w:divId w:val="866483664"/>
        <w:rPr>
          <w:rFonts w:eastAsia="Times New Roman"/>
        </w:rPr>
      </w:pPr>
    </w:p>
    <w:p w14:paraId="6BE51411" w14:textId="77777777" w:rsidR="00000000" w:rsidRDefault="00E614A4">
      <w:pPr>
        <w:jc w:val="both"/>
        <w:divId w:val="1762292108"/>
        <w:rPr>
          <w:rFonts w:eastAsia="Times New Roman"/>
        </w:rPr>
      </w:pPr>
      <w:r>
        <w:rPr>
          <w:rFonts w:eastAsia="Times New Roman"/>
          <w:color w:val="000000"/>
          <w:sz w:val="20"/>
          <w:szCs w:val="20"/>
        </w:rPr>
        <w:t>Significant changes in the current contract liabilities balances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83"/>
        <w:gridCol w:w="37"/>
        <w:gridCol w:w="36"/>
        <w:gridCol w:w="110"/>
        <w:gridCol w:w="950"/>
        <w:gridCol w:w="36"/>
        <w:gridCol w:w="36"/>
        <w:gridCol w:w="36"/>
        <w:gridCol w:w="36"/>
        <w:gridCol w:w="110"/>
        <w:gridCol w:w="962"/>
        <w:gridCol w:w="36"/>
      </w:tblGrid>
      <w:tr w:rsidR="00000000" w14:paraId="6FECD0F7" w14:textId="77777777">
        <w:trPr>
          <w:divId w:val="2046253002"/>
          <w:jc w:val="center"/>
        </w:trPr>
        <w:tc>
          <w:tcPr>
            <w:tcW w:w="50" w:type="pct"/>
            <w:vAlign w:val="center"/>
            <w:hideMark/>
          </w:tcPr>
          <w:p w14:paraId="4E3FBB3F" w14:textId="77777777" w:rsidR="00000000" w:rsidRDefault="00E614A4">
            <w:pPr>
              <w:jc w:val="both"/>
              <w:rPr>
                <w:rFonts w:eastAsia="Times New Roman"/>
              </w:rPr>
            </w:pPr>
          </w:p>
        </w:tc>
        <w:tc>
          <w:tcPr>
            <w:tcW w:w="3590" w:type="pct"/>
            <w:vAlign w:val="center"/>
            <w:hideMark/>
          </w:tcPr>
          <w:p w14:paraId="7DFF4F74" w14:textId="77777777" w:rsidR="00000000" w:rsidRDefault="00E614A4">
            <w:pPr>
              <w:rPr>
                <w:rFonts w:eastAsia="Times New Roman"/>
                <w:sz w:val="20"/>
                <w:szCs w:val="20"/>
              </w:rPr>
            </w:pPr>
          </w:p>
        </w:tc>
        <w:tc>
          <w:tcPr>
            <w:tcW w:w="5" w:type="pct"/>
            <w:vAlign w:val="center"/>
            <w:hideMark/>
          </w:tcPr>
          <w:p w14:paraId="469800BD" w14:textId="77777777" w:rsidR="00000000" w:rsidRDefault="00E614A4">
            <w:pPr>
              <w:rPr>
                <w:rFonts w:eastAsia="Times New Roman"/>
                <w:sz w:val="20"/>
                <w:szCs w:val="20"/>
              </w:rPr>
            </w:pPr>
          </w:p>
        </w:tc>
        <w:tc>
          <w:tcPr>
            <w:tcW w:w="0" w:type="auto"/>
            <w:vAlign w:val="center"/>
            <w:hideMark/>
          </w:tcPr>
          <w:p w14:paraId="50612634" w14:textId="77777777" w:rsidR="00000000" w:rsidRDefault="00E614A4">
            <w:pPr>
              <w:rPr>
                <w:rFonts w:eastAsia="Times New Roman"/>
                <w:sz w:val="20"/>
                <w:szCs w:val="20"/>
              </w:rPr>
            </w:pPr>
          </w:p>
        </w:tc>
        <w:tc>
          <w:tcPr>
            <w:tcW w:w="50" w:type="pct"/>
            <w:vAlign w:val="center"/>
            <w:hideMark/>
          </w:tcPr>
          <w:p w14:paraId="3A038709" w14:textId="77777777" w:rsidR="00000000" w:rsidRDefault="00E614A4">
            <w:pPr>
              <w:rPr>
                <w:rFonts w:eastAsia="Times New Roman"/>
                <w:sz w:val="20"/>
                <w:szCs w:val="20"/>
              </w:rPr>
            </w:pPr>
          </w:p>
        </w:tc>
        <w:tc>
          <w:tcPr>
            <w:tcW w:w="604" w:type="pct"/>
            <w:vAlign w:val="center"/>
            <w:hideMark/>
          </w:tcPr>
          <w:p w14:paraId="34603E8F" w14:textId="77777777" w:rsidR="00000000" w:rsidRDefault="00E614A4">
            <w:pPr>
              <w:rPr>
                <w:rFonts w:eastAsia="Times New Roman"/>
                <w:sz w:val="20"/>
                <w:szCs w:val="20"/>
              </w:rPr>
            </w:pPr>
          </w:p>
        </w:tc>
        <w:tc>
          <w:tcPr>
            <w:tcW w:w="5" w:type="pct"/>
            <w:vAlign w:val="center"/>
            <w:hideMark/>
          </w:tcPr>
          <w:p w14:paraId="6B4CC911" w14:textId="77777777" w:rsidR="00000000" w:rsidRDefault="00E614A4">
            <w:pPr>
              <w:rPr>
                <w:rFonts w:eastAsia="Times New Roman"/>
                <w:sz w:val="20"/>
                <w:szCs w:val="20"/>
              </w:rPr>
            </w:pPr>
          </w:p>
        </w:tc>
        <w:tc>
          <w:tcPr>
            <w:tcW w:w="5" w:type="pct"/>
            <w:vAlign w:val="center"/>
            <w:hideMark/>
          </w:tcPr>
          <w:p w14:paraId="7BCA7833" w14:textId="77777777" w:rsidR="00000000" w:rsidRDefault="00E614A4">
            <w:pPr>
              <w:rPr>
                <w:rFonts w:eastAsia="Times New Roman"/>
                <w:sz w:val="20"/>
                <w:szCs w:val="20"/>
              </w:rPr>
            </w:pPr>
          </w:p>
        </w:tc>
        <w:tc>
          <w:tcPr>
            <w:tcW w:w="17" w:type="pct"/>
            <w:vAlign w:val="center"/>
            <w:hideMark/>
          </w:tcPr>
          <w:p w14:paraId="21723371" w14:textId="77777777" w:rsidR="00000000" w:rsidRDefault="00E614A4">
            <w:pPr>
              <w:rPr>
                <w:rFonts w:eastAsia="Times New Roman"/>
                <w:sz w:val="20"/>
                <w:szCs w:val="20"/>
              </w:rPr>
            </w:pPr>
          </w:p>
        </w:tc>
        <w:tc>
          <w:tcPr>
            <w:tcW w:w="5" w:type="pct"/>
            <w:vAlign w:val="center"/>
            <w:hideMark/>
          </w:tcPr>
          <w:p w14:paraId="352C33B8" w14:textId="77777777" w:rsidR="00000000" w:rsidRDefault="00E614A4">
            <w:pPr>
              <w:rPr>
                <w:rFonts w:eastAsia="Times New Roman"/>
                <w:sz w:val="20"/>
                <w:szCs w:val="20"/>
              </w:rPr>
            </w:pPr>
          </w:p>
        </w:tc>
        <w:tc>
          <w:tcPr>
            <w:tcW w:w="50" w:type="pct"/>
            <w:vAlign w:val="center"/>
            <w:hideMark/>
          </w:tcPr>
          <w:p w14:paraId="7BC8E020" w14:textId="77777777" w:rsidR="00000000" w:rsidRDefault="00E614A4">
            <w:pPr>
              <w:rPr>
                <w:rFonts w:eastAsia="Times New Roman"/>
                <w:sz w:val="20"/>
                <w:szCs w:val="20"/>
              </w:rPr>
            </w:pPr>
          </w:p>
        </w:tc>
        <w:tc>
          <w:tcPr>
            <w:tcW w:w="611" w:type="pct"/>
            <w:vAlign w:val="center"/>
            <w:hideMark/>
          </w:tcPr>
          <w:p w14:paraId="644B1400" w14:textId="77777777" w:rsidR="00000000" w:rsidRDefault="00E614A4">
            <w:pPr>
              <w:rPr>
                <w:rFonts w:eastAsia="Times New Roman"/>
                <w:sz w:val="20"/>
                <w:szCs w:val="20"/>
              </w:rPr>
            </w:pPr>
          </w:p>
        </w:tc>
        <w:tc>
          <w:tcPr>
            <w:tcW w:w="5" w:type="pct"/>
            <w:vAlign w:val="center"/>
            <w:hideMark/>
          </w:tcPr>
          <w:p w14:paraId="2F4B1EE4" w14:textId="77777777" w:rsidR="00000000" w:rsidRDefault="00E614A4">
            <w:pPr>
              <w:rPr>
                <w:rFonts w:eastAsia="Times New Roman"/>
                <w:sz w:val="20"/>
                <w:szCs w:val="20"/>
              </w:rPr>
            </w:pPr>
          </w:p>
        </w:tc>
      </w:tr>
      <w:tr w:rsidR="00000000" w14:paraId="12D36B81" w14:textId="77777777">
        <w:trPr>
          <w:divId w:val="2046253002"/>
          <w:jc w:val="center"/>
        </w:trPr>
        <w:tc>
          <w:tcPr>
            <w:tcW w:w="0" w:type="auto"/>
            <w:gridSpan w:val="3"/>
            <w:tcMar>
              <w:top w:w="0" w:type="dxa"/>
              <w:left w:w="20" w:type="dxa"/>
              <w:bottom w:w="0" w:type="dxa"/>
              <w:right w:w="20" w:type="dxa"/>
            </w:tcMar>
            <w:vAlign w:val="center"/>
            <w:hideMark/>
          </w:tcPr>
          <w:p w14:paraId="6B198026" w14:textId="77777777" w:rsidR="00000000" w:rsidRDefault="00E614A4">
            <w:pPr>
              <w:rPr>
                <w:rFonts w:eastAsia="Times New Roman"/>
                <w:sz w:val="20"/>
                <w:szCs w:val="20"/>
              </w:rPr>
            </w:pPr>
          </w:p>
        </w:tc>
        <w:tc>
          <w:tcPr>
            <w:tcW w:w="0" w:type="auto"/>
            <w:vAlign w:val="center"/>
            <w:hideMark/>
          </w:tcPr>
          <w:p w14:paraId="4C562BB6" w14:textId="77777777" w:rsidR="00000000" w:rsidRDefault="00E614A4">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20D7D357" w14:textId="77777777" w:rsidR="00000000" w:rsidRDefault="00E614A4">
            <w:pPr>
              <w:jc w:val="center"/>
              <w:rPr>
                <w:rFonts w:eastAsia="Times New Roman"/>
              </w:rPr>
            </w:pPr>
            <w:r>
              <w:rPr>
                <w:rFonts w:eastAsia="Times New Roman"/>
                <w:b/>
                <w:bCs/>
                <w:color w:val="000000"/>
                <w:sz w:val="16"/>
                <w:szCs w:val="16"/>
              </w:rPr>
              <w:t>Contract Liability (Current)</w:t>
            </w:r>
          </w:p>
        </w:tc>
      </w:tr>
      <w:tr w:rsidR="00000000" w14:paraId="2180C060" w14:textId="77777777">
        <w:trPr>
          <w:divId w:val="2046253002"/>
          <w:jc w:val="center"/>
        </w:trPr>
        <w:tc>
          <w:tcPr>
            <w:tcW w:w="0" w:type="auto"/>
            <w:gridSpan w:val="3"/>
            <w:tcMar>
              <w:top w:w="0" w:type="dxa"/>
              <w:left w:w="20" w:type="dxa"/>
              <w:bottom w:w="0" w:type="dxa"/>
              <w:right w:w="20" w:type="dxa"/>
            </w:tcMar>
            <w:vAlign w:val="center"/>
            <w:hideMark/>
          </w:tcPr>
          <w:p w14:paraId="53CFDE7F" w14:textId="77777777" w:rsidR="00000000" w:rsidRDefault="00E614A4">
            <w:pPr>
              <w:jc w:val="center"/>
              <w:rPr>
                <w:rFonts w:eastAsia="Times New Roman"/>
              </w:rPr>
            </w:pPr>
          </w:p>
        </w:tc>
        <w:tc>
          <w:tcPr>
            <w:tcW w:w="0" w:type="auto"/>
            <w:vAlign w:val="center"/>
            <w:hideMark/>
          </w:tcPr>
          <w:p w14:paraId="68979589" w14:textId="77777777" w:rsidR="00000000" w:rsidRDefault="00E614A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A509C16"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55AAB20F" w14:textId="77777777">
        <w:trPr>
          <w:divId w:val="2046253002"/>
          <w:jc w:val="center"/>
        </w:trPr>
        <w:tc>
          <w:tcPr>
            <w:tcW w:w="0" w:type="auto"/>
            <w:gridSpan w:val="3"/>
            <w:tcMar>
              <w:top w:w="30" w:type="dxa"/>
              <w:left w:w="20" w:type="dxa"/>
              <w:bottom w:w="30" w:type="dxa"/>
              <w:right w:w="20" w:type="dxa"/>
            </w:tcMar>
            <w:vAlign w:val="bottom"/>
            <w:hideMark/>
          </w:tcPr>
          <w:p w14:paraId="6360E82F" w14:textId="77777777" w:rsidR="00000000" w:rsidRDefault="00E614A4">
            <w:pPr>
              <w:jc w:val="both"/>
              <w:rPr>
                <w:rFonts w:eastAsia="Times New Roman"/>
              </w:rPr>
            </w:pPr>
            <w:r>
              <w:rPr>
                <w:rFonts w:eastAsia="Times New Roman"/>
                <w:i/>
                <w:iCs/>
                <w:color w:val="000000"/>
                <w:sz w:val="16"/>
                <w:szCs w:val="16"/>
              </w:rPr>
              <w:t>(In thousands)</w:t>
            </w:r>
          </w:p>
        </w:tc>
        <w:tc>
          <w:tcPr>
            <w:tcW w:w="0" w:type="auto"/>
            <w:vAlign w:val="center"/>
            <w:hideMark/>
          </w:tcPr>
          <w:p w14:paraId="17B82D97" w14:textId="77777777" w:rsidR="00000000" w:rsidRDefault="00E614A4">
            <w:pPr>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B9BD85"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3A84B9D"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69BDFF" w14:textId="77777777" w:rsidR="00000000" w:rsidRDefault="00E614A4">
            <w:pPr>
              <w:jc w:val="center"/>
              <w:rPr>
                <w:rFonts w:eastAsia="Times New Roman"/>
              </w:rPr>
            </w:pPr>
            <w:r>
              <w:rPr>
                <w:rFonts w:eastAsia="Times New Roman"/>
                <w:b/>
                <w:bCs/>
                <w:color w:val="000000"/>
                <w:sz w:val="16"/>
                <w:szCs w:val="16"/>
              </w:rPr>
              <w:t>2019</w:t>
            </w:r>
          </w:p>
        </w:tc>
      </w:tr>
      <w:tr w:rsidR="00000000" w14:paraId="3B4CC045" w14:textId="77777777">
        <w:trPr>
          <w:divId w:val="2046253002"/>
          <w:jc w:val="center"/>
        </w:trPr>
        <w:tc>
          <w:tcPr>
            <w:tcW w:w="0" w:type="auto"/>
            <w:gridSpan w:val="3"/>
            <w:shd w:val="clear" w:color="auto" w:fill="CCEEFF"/>
            <w:tcMar>
              <w:top w:w="30" w:type="dxa"/>
              <w:left w:w="20" w:type="dxa"/>
              <w:bottom w:w="30" w:type="dxa"/>
              <w:right w:w="20" w:type="dxa"/>
            </w:tcMar>
            <w:vAlign w:val="bottom"/>
            <w:hideMark/>
          </w:tcPr>
          <w:p w14:paraId="107DBBCC" w14:textId="77777777" w:rsidR="00000000" w:rsidRDefault="00E614A4">
            <w:pPr>
              <w:rPr>
                <w:rFonts w:eastAsia="Times New Roman"/>
              </w:rPr>
            </w:pPr>
            <w:r>
              <w:rPr>
                <w:rFonts w:eastAsia="Times New Roman"/>
                <w:color w:val="000000"/>
                <w:sz w:val="18"/>
                <w:szCs w:val="18"/>
              </w:rPr>
              <w:t>Revenue recognized that was included in the opening contract liabilities balance</w:t>
            </w:r>
          </w:p>
        </w:tc>
        <w:tc>
          <w:tcPr>
            <w:tcW w:w="0" w:type="auto"/>
            <w:vAlign w:val="center"/>
            <w:hideMark/>
          </w:tcPr>
          <w:p w14:paraId="429A4C7D"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7526E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6287C6" w14:textId="77777777" w:rsidR="00000000" w:rsidRDefault="00E614A4">
            <w:pPr>
              <w:jc w:val="right"/>
              <w:rPr>
                <w:rFonts w:eastAsia="Times New Roman"/>
              </w:rPr>
            </w:pPr>
            <w:r>
              <w:rPr>
                <w:rFonts w:eastAsia="Times New Roman"/>
                <w:color w:val="000000"/>
                <w:sz w:val="18"/>
                <w:szCs w:val="18"/>
              </w:rPr>
              <w:t>(53,226)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FF633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DF5DE"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1E2B0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657C2B" w14:textId="77777777" w:rsidR="00000000" w:rsidRDefault="00E614A4">
            <w:pPr>
              <w:jc w:val="right"/>
              <w:rPr>
                <w:rFonts w:eastAsia="Times New Roman"/>
              </w:rPr>
            </w:pPr>
            <w:r>
              <w:rPr>
                <w:rFonts w:eastAsia="Times New Roman"/>
                <w:color w:val="000000"/>
                <w:sz w:val="18"/>
                <w:szCs w:val="18"/>
              </w:rPr>
              <w:t>(58,918)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59422E" w14:textId="77777777" w:rsidR="00000000" w:rsidRDefault="00E614A4">
            <w:pPr>
              <w:jc w:val="right"/>
              <w:rPr>
                <w:rFonts w:eastAsia="Times New Roman"/>
              </w:rPr>
            </w:pPr>
          </w:p>
        </w:tc>
      </w:tr>
      <w:tr w:rsidR="00000000" w14:paraId="0505A26D" w14:textId="77777777">
        <w:trPr>
          <w:divId w:val="2046253002"/>
          <w:jc w:val="center"/>
        </w:trPr>
        <w:tc>
          <w:tcPr>
            <w:tcW w:w="0" w:type="auto"/>
            <w:gridSpan w:val="3"/>
            <w:tcMar>
              <w:top w:w="30" w:type="dxa"/>
              <w:left w:w="20" w:type="dxa"/>
              <w:bottom w:w="30" w:type="dxa"/>
              <w:right w:w="20" w:type="dxa"/>
            </w:tcMar>
            <w:vAlign w:val="bottom"/>
            <w:hideMark/>
          </w:tcPr>
          <w:p w14:paraId="0A78DD94" w14:textId="77777777" w:rsidR="00000000" w:rsidRDefault="00E614A4">
            <w:pPr>
              <w:rPr>
                <w:rFonts w:eastAsia="Times New Roman"/>
              </w:rPr>
            </w:pPr>
            <w:r>
              <w:rPr>
                <w:rFonts w:eastAsia="Times New Roman"/>
                <w:color w:val="000000"/>
                <w:sz w:val="18"/>
                <w:szCs w:val="18"/>
              </w:rPr>
              <w:t>Cash received or amounts billed in advance and not recognized as revenue</w:t>
            </w:r>
          </w:p>
        </w:tc>
        <w:tc>
          <w:tcPr>
            <w:tcW w:w="0" w:type="auto"/>
            <w:vAlign w:val="center"/>
            <w:hideMark/>
          </w:tcPr>
          <w:p w14:paraId="59D92751" w14:textId="77777777" w:rsidR="00000000" w:rsidRDefault="00E614A4">
            <w:pPr>
              <w:rPr>
                <w:rFonts w:eastAsia="Times New Roman"/>
              </w:rPr>
            </w:pPr>
          </w:p>
        </w:tc>
        <w:tc>
          <w:tcPr>
            <w:tcW w:w="0" w:type="auto"/>
            <w:gridSpan w:val="2"/>
            <w:tcMar>
              <w:top w:w="30" w:type="dxa"/>
              <w:left w:w="20" w:type="dxa"/>
              <w:bottom w:w="30" w:type="dxa"/>
              <w:right w:w="0" w:type="dxa"/>
            </w:tcMar>
            <w:vAlign w:val="bottom"/>
            <w:hideMark/>
          </w:tcPr>
          <w:p w14:paraId="7AC6433C" w14:textId="77777777" w:rsidR="00000000" w:rsidRDefault="00E614A4">
            <w:pPr>
              <w:jc w:val="right"/>
              <w:rPr>
                <w:rFonts w:eastAsia="Times New Roman"/>
              </w:rPr>
            </w:pPr>
            <w:r>
              <w:rPr>
                <w:rFonts w:eastAsia="Times New Roman"/>
                <w:color w:val="000000"/>
                <w:sz w:val="18"/>
                <w:szCs w:val="18"/>
              </w:rPr>
              <w:t>50,836 </w:t>
            </w:r>
          </w:p>
        </w:tc>
        <w:tc>
          <w:tcPr>
            <w:tcW w:w="0" w:type="auto"/>
            <w:tcMar>
              <w:top w:w="30" w:type="dxa"/>
              <w:left w:w="0" w:type="dxa"/>
              <w:bottom w:w="30" w:type="dxa"/>
              <w:right w:w="20" w:type="dxa"/>
            </w:tcMar>
            <w:vAlign w:val="bottom"/>
            <w:hideMark/>
          </w:tcPr>
          <w:p w14:paraId="230E5BD2"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78E5470D"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EE3ADAB" w14:textId="77777777" w:rsidR="00000000" w:rsidRDefault="00E614A4">
            <w:pPr>
              <w:jc w:val="right"/>
              <w:rPr>
                <w:rFonts w:eastAsia="Times New Roman"/>
              </w:rPr>
            </w:pPr>
            <w:r>
              <w:rPr>
                <w:rFonts w:eastAsia="Times New Roman"/>
                <w:color w:val="000000"/>
                <w:sz w:val="18"/>
                <w:szCs w:val="18"/>
              </w:rPr>
              <w:t>53,881 </w:t>
            </w:r>
          </w:p>
        </w:tc>
        <w:tc>
          <w:tcPr>
            <w:tcW w:w="0" w:type="auto"/>
            <w:tcMar>
              <w:top w:w="30" w:type="dxa"/>
              <w:left w:w="0" w:type="dxa"/>
              <w:bottom w:w="30" w:type="dxa"/>
              <w:right w:w="20" w:type="dxa"/>
            </w:tcMar>
            <w:vAlign w:val="bottom"/>
            <w:hideMark/>
          </w:tcPr>
          <w:p w14:paraId="4F8A3AFC" w14:textId="77777777" w:rsidR="00000000" w:rsidRDefault="00E614A4">
            <w:pPr>
              <w:jc w:val="right"/>
              <w:rPr>
                <w:rFonts w:eastAsia="Times New Roman"/>
              </w:rPr>
            </w:pPr>
          </w:p>
        </w:tc>
      </w:tr>
      <w:tr w:rsidR="00000000" w14:paraId="1D4ABE45" w14:textId="77777777">
        <w:trPr>
          <w:divId w:val="2046253002"/>
          <w:jc w:val="center"/>
        </w:trPr>
        <w:tc>
          <w:tcPr>
            <w:tcW w:w="0" w:type="auto"/>
            <w:gridSpan w:val="3"/>
            <w:vAlign w:val="center"/>
            <w:hideMark/>
          </w:tcPr>
          <w:p w14:paraId="4434F103" w14:textId="77777777" w:rsidR="00000000" w:rsidRDefault="00E614A4">
            <w:pPr>
              <w:jc w:val="right"/>
              <w:rPr>
                <w:rFonts w:eastAsia="Times New Roman"/>
                <w:sz w:val="20"/>
                <w:szCs w:val="20"/>
              </w:rPr>
            </w:pPr>
          </w:p>
        </w:tc>
        <w:tc>
          <w:tcPr>
            <w:tcW w:w="0" w:type="auto"/>
            <w:vAlign w:val="center"/>
            <w:hideMark/>
          </w:tcPr>
          <w:p w14:paraId="3E0EC985" w14:textId="77777777" w:rsidR="00000000" w:rsidRDefault="00E614A4">
            <w:pPr>
              <w:rPr>
                <w:rFonts w:eastAsia="Times New Roman"/>
                <w:sz w:val="20"/>
                <w:szCs w:val="20"/>
              </w:rPr>
            </w:pPr>
          </w:p>
        </w:tc>
        <w:tc>
          <w:tcPr>
            <w:tcW w:w="0" w:type="auto"/>
            <w:gridSpan w:val="3"/>
            <w:vAlign w:val="center"/>
            <w:hideMark/>
          </w:tcPr>
          <w:p w14:paraId="5855CD74" w14:textId="77777777" w:rsidR="00000000" w:rsidRDefault="00E614A4">
            <w:pPr>
              <w:rPr>
                <w:rFonts w:eastAsia="Times New Roman"/>
                <w:sz w:val="20"/>
                <w:szCs w:val="20"/>
              </w:rPr>
            </w:pPr>
          </w:p>
        </w:tc>
        <w:tc>
          <w:tcPr>
            <w:tcW w:w="0" w:type="auto"/>
            <w:gridSpan w:val="3"/>
            <w:vAlign w:val="center"/>
            <w:hideMark/>
          </w:tcPr>
          <w:p w14:paraId="6EB7C8AF" w14:textId="77777777" w:rsidR="00000000" w:rsidRDefault="00E614A4">
            <w:pPr>
              <w:rPr>
                <w:rFonts w:eastAsia="Times New Roman"/>
                <w:sz w:val="20"/>
                <w:szCs w:val="20"/>
              </w:rPr>
            </w:pPr>
          </w:p>
        </w:tc>
        <w:tc>
          <w:tcPr>
            <w:tcW w:w="0" w:type="auto"/>
            <w:gridSpan w:val="3"/>
            <w:vAlign w:val="center"/>
            <w:hideMark/>
          </w:tcPr>
          <w:p w14:paraId="1B9AD0D8" w14:textId="77777777" w:rsidR="00000000" w:rsidRDefault="00E614A4">
            <w:pPr>
              <w:rPr>
                <w:rFonts w:eastAsia="Times New Roman"/>
                <w:sz w:val="20"/>
                <w:szCs w:val="20"/>
              </w:rPr>
            </w:pPr>
          </w:p>
        </w:tc>
      </w:tr>
      <w:tr w:rsidR="00000000" w14:paraId="630F3343" w14:textId="77777777">
        <w:trPr>
          <w:divId w:val="2046253002"/>
          <w:jc w:val="center"/>
        </w:trPr>
        <w:tc>
          <w:tcPr>
            <w:tcW w:w="0" w:type="auto"/>
            <w:gridSpan w:val="3"/>
            <w:vAlign w:val="center"/>
            <w:hideMark/>
          </w:tcPr>
          <w:p w14:paraId="577221B3" w14:textId="77777777" w:rsidR="00000000" w:rsidRDefault="00E614A4">
            <w:pPr>
              <w:rPr>
                <w:rFonts w:eastAsia="Times New Roman"/>
                <w:sz w:val="20"/>
                <w:szCs w:val="20"/>
              </w:rPr>
            </w:pPr>
          </w:p>
        </w:tc>
        <w:tc>
          <w:tcPr>
            <w:tcW w:w="0" w:type="auto"/>
            <w:vAlign w:val="center"/>
            <w:hideMark/>
          </w:tcPr>
          <w:p w14:paraId="5083B88D" w14:textId="77777777" w:rsidR="00000000" w:rsidRDefault="00E614A4">
            <w:pPr>
              <w:rPr>
                <w:rFonts w:eastAsia="Times New Roman"/>
                <w:sz w:val="20"/>
                <w:szCs w:val="20"/>
              </w:rPr>
            </w:pPr>
          </w:p>
        </w:tc>
        <w:tc>
          <w:tcPr>
            <w:tcW w:w="0" w:type="auto"/>
            <w:gridSpan w:val="3"/>
            <w:vAlign w:val="center"/>
            <w:hideMark/>
          </w:tcPr>
          <w:p w14:paraId="684BE1F8" w14:textId="77777777" w:rsidR="00000000" w:rsidRDefault="00E614A4">
            <w:pPr>
              <w:rPr>
                <w:rFonts w:eastAsia="Times New Roman"/>
                <w:sz w:val="20"/>
                <w:szCs w:val="20"/>
              </w:rPr>
            </w:pPr>
          </w:p>
        </w:tc>
        <w:tc>
          <w:tcPr>
            <w:tcW w:w="0" w:type="auto"/>
            <w:gridSpan w:val="3"/>
            <w:vAlign w:val="center"/>
            <w:hideMark/>
          </w:tcPr>
          <w:p w14:paraId="4228E4C0" w14:textId="77777777" w:rsidR="00000000" w:rsidRDefault="00E614A4">
            <w:pPr>
              <w:rPr>
                <w:rFonts w:eastAsia="Times New Roman"/>
                <w:sz w:val="20"/>
                <w:szCs w:val="20"/>
              </w:rPr>
            </w:pPr>
          </w:p>
        </w:tc>
        <w:tc>
          <w:tcPr>
            <w:tcW w:w="0" w:type="auto"/>
            <w:gridSpan w:val="3"/>
            <w:vAlign w:val="center"/>
            <w:hideMark/>
          </w:tcPr>
          <w:p w14:paraId="35DC64AE" w14:textId="77777777" w:rsidR="00000000" w:rsidRDefault="00E614A4">
            <w:pPr>
              <w:rPr>
                <w:rFonts w:eastAsia="Times New Roman"/>
                <w:sz w:val="20"/>
                <w:szCs w:val="20"/>
              </w:rPr>
            </w:pPr>
          </w:p>
        </w:tc>
      </w:tr>
      <w:tr w:rsidR="00000000" w14:paraId="6E01D618" w14:textId="77777777">
        <w:trPr>
          <w:divId w:val="2046253002"/>
          <w:jc w:val="center"/>
        </w:trPr>
        <w:tc>
          <w:tcPr>
            <w:tcW w:w="0" w:type="auto"/>
            <w:gridSpan w:val="3"/>
            <w:vAlign w:val="center"/>
            <w:hideMark/>
          </w:tcPr>
          <w:p w14:paraId="592E7930" w14:textId="77777777" w:rsidR="00000000" w:rsidRDefault="00E614A4">
            <w:pPr>
              <w:rPr>
                <w:rFonts w:eastAsia="Times New Roman"/>
                <w:sz w:val="20"/>
                <w:szCs w:val="20"/>
              </w:rPr>
            </w:pPr>
          </w:p>
        </w:tc>
        <w:tc>
          <w:tcPr>
            <w:tcW w:w="0" w:type="auto"/>
            <w:vAlign w:val="center"/>
            <w:hideMark/>
          </w:tcPr>
          <w:p w14:paraId="66EC1D32" w14:textId="77777777" w:rsidR="00000000" w:rsidRDefault="00E614A4">
            <w:pPr>
              <w:rPr>
                <w:rFonts w:eastAsia="Times New Roman"/>
                <w:sz w:val="20"/>
                <w:szCs w:val="20"/>
              </w:rPr>
            </w:pPr>
          </w:p>
        </w:tc>
        <w:tc>
          <w:tcPr>
            <w:tcW w:w="0" w:type="auto"/>
            <w:gridSpan w:val="3"/>
            <w:vAlign w:val="center"/>
            <w:hideMark/>
          </w:tcPr>
          <w:p w14:paraId="0B29038C" w14:textId="77777777" w:rsidR="00000000" w:rsidRDefault="00E614A4">
            <w:pPr>
              <w:rPr>
                <w:rFonts w:eastAsia="Times New Roman"/>
                <w:sz w:val="20"/>
                <w:szCs w:val="20"/>
              </w:rPr>
            </w:pPr>
          </w:p>
        </w:tc>
        <w:tc>
          <w:tcPr>
            <w:tcW w:w="0" w:type="auto"/>
            <w:gridSpan w:val="3"/>
            <w:vAlign w:val="center"/>
            <w:hideMark/>
          </w:tcPr>
          <w:p w14:paraId="3F79D96B" w14:textId="77777777" w:rsidR="00000000" w:rsidRDefault="00E614A4">
            <w:pPr>
              <w:rPr>
                <w:rFonts w:eastAsia="Times New Roman"/>
                <w:sz w:val="20"/>
                <w:szCs w:val="20"/>
              </w:rPr>
            </w:pPr>
          </w:p>
        </w:tc>
        <w:tc>
          <w:tcPr>
            <w:tcW w:w="0" w:type="auto"/>
            <w:gridSpan w:val="3"/>
            <w:vAlign w:val="center"/>
            <w:hideMark/>
          </w:tcPr>
          <w:p w14:paraId="4096A341" w14:textId="77777777" w:rsidR="00000000" w:rsidRDefault="00E614A4">
            <w:pPr>
              <w:rPr>
                <w:rFonts w:eastAsia="Times New Roman"/>
                <w:sz w:val="20"/>
                <w:szCs w:val="20"/>
              </w:rPr>
            </w:pPr>
          </w:p>
        </w:tc>
      </w:tr>
    </w:tbl>
    <w:p w14:paraId="577F3C9F" w14:textId="77777777" w:rsidR="00000000" w:rsidRDefault="00E614A4">
      <w:pPr>
        <w:jc w:val="both"/>
        <w:divId w:val="32929446"/>
        <w:rPr>
          <w:rFonts w:eastAsia="Times New Roman"/>
        </w:rPr>
      </w:pPr>
      <w:r>
        <w:rPr>
          <w:rFonts w:eastAsia="Times New Roman"/>
          <w:b/>
          <w:bCs/>
          <w:i/>
          <w:iCs/>
          <w:color w:val="000000"/>
          <w:sz w:val="20"/>
          <w:szCs w:val="20"/>
        </w:rPr>
        <w:t xml:space="preserve">Transaction Price Allocated to the Remaining Performance Obligations </w:t>
      </w:r>
    </w:p>
    <w:p w14:paraId="47457ACD" w14:textId="77777777" w:rsidR="00000000" w:rsidRDefault="00E614A4">
      <w:pPr>
        <w:jc w:val="both"/>
        <w:divId w:val="1485972303"/>
        <w:rPr>
          <w:rFonts w:eastAsia="Times New Roman"/>
        </w:rPr>
      </w:pPr>
      <w:r>
        <w:rPr>
          <w:rFonts w:eastAsia="Times New Roman"/>
          <w:color w:val="000000"/>
          <w:sz w:val="20"/>
          <w:szCs w:val="20"/>
        </w:rPr>
        <w:t xml:space="preserve">As of December 31, 2020, approximately $210 </w:t>
      </w:r>
      <w:r>
        <w:rPr>
          <w:rFonts w:eastAsia="Times New Roman"/>
          <w:color w:val="000000"/>
          <w:sz w:val="20"/>
          <w:szCs w:val="20"/>
        </w:rPr>
        <w:t>million of revenue is expected to be recognized from remaining performance obligations that are unsatisfied (or partially unsatisfied) for non-cancelable contracts. The Company expects to recognize revenue on approximately 63% of these remaining performanc</w:t>
      </w:r>
      <w:r>
        <w:rPr>
          <w:rFonts w:eastAsia="Times New Roman"/>
          <w:color w:val="000000"/>
          <w:sz w:val="20"/>
          <w:szCs w:val="20"/>
        </w:rPr>
        <w:t>e obligations in 2021, and approximately 28% in 2022, with the remainder recognized thereafter.</w:t>
      </w:r>
    </w:p>
    <w:p w14:paraId="4F84D88C" w14:textId="77777777" w:rsidR="00000000" w:rsidRDefault="00E614A4">
      <w:pPr>
        <w:jc w:val="both"/>
        <w:divId w:val="846679513"/>
        <w:rPr>
          <w:rFonts w:eastAsia="Times New Roman"/>
        </w:rPr>
      </w:pPr>
      <w:r>
        <w:rPr>
          <w:rFonts w:eastAsia="Times New Roman"/>
          <w:b/>
          <w:bCs/>
          <w:i/>
          <w:iCs/>
          <w:color w:val="000000"/>
          <w:sz w:val="20"/>
          <w:szCs w:val="20"/>
        </w:rPr>
        <w:t>Costs to Obtain or Fulfill a Contract</w:t>
      </w:r>
    </w:p>
    <w:p w14:paraId="3674570A" w14:textId="77777777" w:rsidR="00000000" w:rsidRDefault="00E614A4">
      <w:pPr>
        <w:jc w:val="both"/>
        <w:divId w:val="653918474"/>
        <w:rPr>
          <w:rFonts w:eastAsia="Times New Roman"/>
        </w:rPr>
      </w:pPr>
      <w:r>
        <w:rPr>
          <w:rFonts w:eastAsia="Times New Roman"/>
          <w:color w:val="000000"/>
          <w:sz w:val="20"/>
          <w:szCs w:val="20"/>
        </w:rPr>
        <w:t>For the years ended December 31, 2020, 2019 and 2018, amortized and expensed contract costs were $1.4 million, $1.9 millio</w:t>
      </w:r>
      <w:r>
        <w:rPr>
          <w:rFonts w:eastAsia="Times New Roman"/>
          <w:color w:val="000000"/>
          <w:sz w:val="20"/>
          <w:szCs w:val="20"/>
        </w:rPr>
        <w:t xml:space="preserve">n and $2.3 million, respectively. </w:t>
      </w:r>
    </w:p>
    <w:p w14:paraId="283BEEDB" w14:textId="77777777" w:rsidR="00000000" w:rsidRDefault="00E614A4">
      <w:pPr>
        <w:ind w:hanging="360"/>
        <w:divId w:val="1431660593"/>
        <w:rPr>
          <w:rFonts w:eastAsia="Times New Roman"/>
        </w:rPr>
      </w:pPr>
      <w:r>
        <w:rPr>
          <w:rFonts w:eastAsia="Times New Roman"/>
          <w:b/>
          <w:bCs/>
          <w:color w:val="000000"/>
          <w:sz w:val="20"/>
          <w:szCs w:val="20"/>
        </w:rPr>
        <w:t>4.Debt</w:t>
      </w:r>
    </w:p>
    <w:p w14:paraId="1E470155" w14:textId="77777777" w:rsidR="00000000" w:rsidRDefault="00E614A4">
      <w:pPr>
        <w:divId w:val="996572155"/>
        <w:rPr>
          <w:rFonts w:eastAsia="Times New Roman"/>
        </w:rPr>
      </w:pPr>
      <w:r>
        <w:rPr>
          <w:rFonts w:eastAsia="Times New Roman"/>
          <w:b/>
          <w:bCs/>
          <w:i/>
          <w:iCs/>
          <w:color w:val="000000"/>
          <w:sz w:val="20"/>
          <w:szCs w:val="20"/>
        </w:rPr>
        <w:t>Issuance and Sale of Initial Notes</w:t>
      </w:r>
    </w:p>
    <w:p w14:paraId="250ACF14" w14:textId="77777777" w:rsidR="00000000" w:rsidRDefault="00E614A4">
      <w:pPr>
        <w:jc w:val="both"/>
        <w:divId w:val="153689535"/>
        <w:rPr>
          <w:rFonts w:eastAsia="Times New Roman"/>
        </w:rPr>
      </w:pPr>
      <w:r>
        <w:rPr>
          <w:rFonts w:eastAsia="Times New Roman"/>
          <w:color w:val="000000"/>
          <w:sz w:val="20"/>
          <w:szCs w:val="20"/>
        </w:rPr>
        <w:t>On January </w:t>
      </w:r>
      <w:r>
        <w:rPr>
          <w:rFonts w:eastAsia="Times New Roman"/>
          <w:color w:val="000000"/>
          <w:sz w:val="20"/>
          <w:szCs w:val="20"/>
        </w:rPr>
        <w:t xml:space="preserve">16, 2018, the Company entered into certain agreements with Starboard, pursuant to which, among other things, the Company issued and sold to Starboard $150.0 million of senior secured convertible notes (the "Initial Notes") in exchange for $85.0 million in </w:t>
      </w:r>
      <w:r>
        <w:rPr>
          <w:rFonts w:eastAsia="Times New Roman"/>
          <w:color w:val="000000"/>
          <w:sz w:val="20"/>
          <w:szCs w:val="20"/>
        </w:rPr>
        <w:t>cash and 2,600,000 shares of Common Stock valued at $65.0 million. Based upon the fair value of the Common Stock on the closing date of the Initial Notes issuance, January 16, 2018, which was $24.45 per share, the difference of $1.4 million was recorded as</w:t>
      </w:r>
      <w:r>
        <w:rPr>
          <w:rFonts w:eastAsia="Times New Roman"/>
          <w:color w:val="000000"/>
          <w:sz w:val="20"/>
          <w:szCs w:val="20"/>
        </w:rPr>
        <w:t xml:space="preserve"> an issuance discount to the Initial Notes. The Company also granted to Starboard an option (the "Notes Option") to acquire up to an additional $50.0 million in senior secured convertible notes (the "Option Notes" and together with the Initial Notes, the "</w:t>
      </w:r>
      <w:r>
        <w:rPr>
          <w:rFonts w:eastAsia="Times New Roman"/>
          <w:color w:val="000000"/>
          <w:sz w:val="20"/>
          <w:szCs w:val="20"/>
        </w:rPr>
        <w:t>Notes") and agreed to grant Starboard warrants to purchase 250,000 shares of Common Stock at a price of $0.01 per share, as adjusted pursuant to the terms of the warrants. The warrants were issued on October 12, 2018 and were exercised in full by Starboard</w:t>
      </w:r>
      <w:r>
        <w:rPr>
          <w:rFonts w:eastAsia="Times New Roman"/>
          <w:color w:val="000000"/>
          <w:sz w:val="20"/>
          <w:szCs w:val="20"/>
        </w:rPr>
        <w:t xml:space="preserve"> on April 3, 2019 for 323,448 shares of Common Stock. </w:t>
      </w:r>
    </w:p>
    <w:p w14:paraId="2AB70AC2" w14:textId="77777777" w:rsidR="00000000" w:rsidRDefault="00E614A4">
      <w:pPr>
        <w:jc w:val="both"/>
        <w:divId w:val="956371641"/>
        <w:rPr>
          <w:rFonts w:eastAsia="Times New Roman"/>
        </w:rPr>
      </w:pPr>
      <w:r>
        <w:rPr>
          <w:rFonts w:eastAsia="Times New Roman"/>
          <w:color w:val="000000"/>
          <w:sz w:val="20"/>
          <w:szCs w:val="20"/>
        </w:rPr>
        <w:t>The conversion price for the Notes (the "Conversion Price") is equal to a 30% premium to the volume weighted average trading prices ("VWAP") of the Common Stock on each trading day during the 10 consec</w:t>
      </w:r>
      <w:r>
        <w:rPr>
          <w:rFonts w:eastAsia="Times New Roman"/>
          <w:color w:val="000000"/>
          <w:sz w:val="20"/>
          <w:szCs w:val="20"/>
        </w:rPr>
        <w:t xml:space="preserve">utive trading days commencing on January 16, 2018, subject to a Conversion Price floor of $28.00 per share. In accordance with the foregoing, the Conversion Price was set at $31.29 per share. </w:t>
      </w:r>
    </w:p>
    <w:p w14:paraId="4B247BCF" w14:textId="77777777" w:rsidR="00000000" w:rsidRDefault="00E614A4">
      <w:pPr>
        <w:jc w:val="both"/>
        <w:divId w:val="1644265005"/>
        <w:rPr>
          <w:rFonts w:eastAsia="Times New Roman"/>
        </w:rPr>
      </w:pPr>
      <w:r>
        <w:rPr>
          <w:rFonts w:eastAsia="Times New Roman"/>
          <w:color w:val="000000"/>
          <w:sz w:val="20"/>
          <w:szCs w:val="20"/>
        </w:rPr>
        <w:t xml:space="preserve">The Notes mature on January 16, 2022. As described in </w:t>
      </w:r>
      <w:hyperlink w:anchor="ided6989bcc374020961c421c465250ee_103"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Organization,</w:t>
      </w:r>
      <w:r>
        <w:rPr>
          <w:rFonts w:eastAsia="Times New Roman"/>
          <w:color w:val="000000"/>
          <w:sz w:val="20"/>
          <w:szCs w:val="20"/>
        </w:rPr>
        <w:t xml:space="preserve"> and </w:t>
      </w:r>
      <w:hyperlink w:anchor="ided6989bcc374020961c421c465250ee_277" w:history="1">
        <w:r>
          <w:rPr>
            <w:rStyle w:val="a3"/>
            <w:rFonts w:eastAsia="Times New Roman"/>
            <w:sz w:val="20"/>
            <w:szCs w:val="20"/>
          </w:rPr>
          <w:t>Footnote 16</w:t>
        </w:r>
      </w:hyperlink>
      <w:r>
        <w:rPr>
          <w:rFonts w:eastAsia="Times New Roman"/>
          <w:color w:val="000000"/>
          <w:sz w:val="20"/>
          <w:szCs w:val="20"/>
        </w:rPr>
        <w:t xml:space="preserve">, </w:t>
      </w:r>
      <w:r>
        <w:rPr>
          <w:rFonts w:eastAsia="Times New Roman"/>
          <w:i/>
          <w:iCs/>
          <w:color w:val="000000"/>
          <w:sz w:val="20"/>
          <w:szCs w:val="20"/>
        </w:rPr>
        <w:t>Subsequent Events,</w:t>
      </w:r>
      <w:r>
        <w:rPr>
          <w:rFonts w:eastAsia="Times New Roman"/>
          <w:color w:val="000000"/>
          <w:sz w:val="20"/>
          <w:szCs w:val="20"/>
        </w:rPr>
        <w:t xml:space="preserve"> on March 9, 2021, the Company's stockholders approved Transactions for which the pr</w:t>
      </w:r>
      <w:r>
        <w:rPr>
          <w:rFonts w:eastAsia="Times New Roman"/>
          <w:color w:val="000000"/>
          <w:sz w:val="20"/>
          <w:szCs w:val="20"/>
        </w:rPr>
        <w:t>oceeds will be used to repay the Notes prior to maturity.</w:t>
      </w:r>
    </w:p>
    <w:p w14:paraId="51AE8B0A" w14:textId="77777777" w:rsidR="00000000" w:rsidRDefault="00E614A4">
      <w:pPr>
        <w:jc w:val="both"/>
        <w:divId w:val="651837485"/>
        <w:rPr>
          <w:rFonts w:eastAsia="Times New Roman"/>
        </w:rPr>
      </w:pPr>
      <w:r>
        <w:rPr>
          <w:rFonts w:eastAsia="Times New Roman"/>
          <w:color w:val="000000"/>
          <w:sz w:val="20"/>
          <w:szCs w:val="20"/>
        </w:rPr>
        <w:t>Based upon the determination of the Conversion Price, interest on the Notes accrued at 6.0% per year through January 30, 2019. On January 30, 2019, the interest rate reset to 12.0% through January 3</w:t>
      </w:r>
      <w:r>
        <w:rPr>
          <w:rFonts w:eastAsia="Times New Roman"/>
          <w:color w:val="000000"/>
          <w:sz w:val="20"/>
          <w:szCs w:val="20"/>
        </w:rPr>
        <w:t xml:space="preserve">0, 2020. On January 30, 2020, the interest rate reset and remained at 12.0% through February 1, 2021. On February 1, 2021, the interest rate was determined to remain at 12.0% through maturity based on the reset calculation. The interest rate reset feature </w:t>
      </w:r>
      <w:r>
        <w:rPr>
          <w:rFonts w:eastAsia="Times New Roman"/>
          <w:color w:val="000000"/>
          <w:sz w:val="20"/>
          <w:szCs w:val="20"/>
        </w:rPr>
        <w:t>of the Initial Notes was determined by management to be a derivative instrument that qualifies for liability treatment. The derivative instrument is initially measured at fair value and classified as a liability on the balance sheet, with subsequent change</w:t>
      </w:r>
      <w:r>
        <w:rPr>
          <w:rFonts w:eastAsia="Times New Roman"/>
          <w:color w:val="000000"/>
          <w:sz w:val="20"/>
          <w:szCs w:val="20"/>
        </w:rPr>
        <w:t>s in fair value being recorded in earnings. To determine the fair value of the interest rate reset feature, management utilized a "with-and-without" convertible bond model, modified to incorporate the interest rate reset feature, using the following key as</w:t>
      </w:r>
      <w:r>
        <w:rPr>
          <w:rFonts w:eastAsia="Times New Roman"/>
          <w:color w:val="000000"/>
          <w:sz w:val="20"/>
          <w:szCs w:val="20"/>
        </w:rPr>
        <w:t>sumptions:</w:t>
      </w:r>
    </w:p>
    <w:p w14:paraId="3018EC7B" w14:textId="77777777" w:rsidR="00000000" w:rsidRDefault="00E614A4">
      <w:pPr>
        <w:ind w:hanging="360"/>
        <w:jc w:val="both"/>
        <w:divId w:val="144861568"/>
        <w:rPr>
          <w:rFonts w:eastAsia="Times New Roman"/>
        </w:rPr>
      </w:pPr>
      <w:r>
        <w:rPr>
          <w:rFonts w:eastAsia="Times New Roman"/>
          <w:color w:val="000000"/>
          <w:sz w:val="20"/>
          <w:szCs w:val="20"/>
        </w:rPr>
        <w:t>•</w:t>
      </w:r>
      <w:r>
        <w:rPr>
          <w:rFonts w:eastAsia="Times New Roman"/>
          <w:i/>
          <w:iCs/>
          <w:color w:val="000000"/>
          <w:sz w:val="20"/>
          <w:szCs w:val="20"/>
        </w:rPr>
        <w:t>Credit Adjusted Discount Rate</w:t>
      </w:r>
      <w:r>
        <w:rPr>
          <w:rFonts w:eastAsia="Times New Roman"/>
          <w:color w:val="000000"/>
          <w:sz w:val="20"/>
          <w:szCs w:val="20"/>
        </w:rPr>
        <w:t xml:space="preserve">: The Company estimated a market-based discount rate of 25.0%. </w:t>
      </w:r>
    </w:p>
    <w:p w14:paraId="4734E919" w14:textId="77777777" w:rsidR="00000000" w:rsidRDefault="00E614A4">
      <w:pPr>
        <w:ind w:hanging="360"/>
        <w:jc w:val="both"/>
        <w:divId w:val="214433811"/>
        <w:rPr>
          <w:rFonts w:eastAsia="Times New Roman"/>
        </w:rPr>
      </w:pPr>
      <w:r>
        <w:rPr>
          <w:rFonts w:eastAsia="Times New Roman"/>
          <w:color w:val="000000"/>
          <w:sz w:val="20"/>
          <w:szCs w:val="20"/>
        </w:rPr>
        <w:t>•</w:t>
      </w:r>
      <w:r>
        <w:rPr>
          <w:rFonts w:eastAsia="Times New Roman"/>
          <w:i/>
          <w:iCs/>
          <w:color w:val="000000"/>
          <w:sz w:val="20"/>
          <w:szCs w:val="20"/>
        </w:rPr>
        <w:t>Stock Price</w:t>
      </w:r>
      <w:r>
        <w:rPr>
          <w:rFonts w:eastAsia="Times New Roman"/>
          <w:color w:val="000000"/>
          <w:sz w:val="20"/>
          <w:szCs w:val="20"/>
        </w:rPr>
        <w:t>: The stock price was measured using the fair value of the Common Stock on the closing date of the Initial Notes issuance, January 16, 2018</w:t>
      </w:r>
      <w:r>
        <w:rPr>
          <w:rFonts w:eastAsia="Times New Roman"/>
          <w:color w:val="000000"/>
          <w:sz w:val="20"/>
          <w:szCs w:val="20"/>
        </w:rPr>
        <w:t xml:space="preserve">, which was $24.45 per share. </w:t>
      </w:r>
    </w:p>
    <w:p w14:paraId="53DF49AF" w14:textId="77777777" w:rsidR="00000000" w:rsidRDefault="00E614A4">
      <w:pPr>
        <w:ind w:hanging="360"/>
        <w:jc w:val="both"/>
        <w:divId w:val="1799687640"/>
        <w:rPr>
          <w:rFonts w:eastAsia="Times New Roman"/>
        </w:rPr>
      </w:pPr>
      <w:r>
        <w:rPr>
          <w:rFonts w:eastAsia="Times New Roman"/>
          <w:color w:val="000000"/>
          <w:sz w:val="20"/>
          <w:szCs w:val="20"/>
        </w:rPr>
        <w:t>•</w:t>
      </w:r>
      <w:r>
        <w:rPr>
          <w:rFonts w:eastAsia="Times New Roman"/>
          <w:i/>
          <w:iCs/>
          <w:color w:val="000000"/>
          <w:sz w:val="20"/>
          <w:szCs w:val="20"/>
        </w:rPr>
        <w:t>Volatility</w:t>
      </w:r>
      <w:r>
        <w:rPr>
          <w:rFonts w:eastAsia="Times New Roman"/>
          <w:color w:val="000000"/>
          <w:sz w:val="20"/>
          <w:szCs w:val="20"/>
        </w:rPr>
        <w:t xml:space="preserve">: Based on the historical volatility of the Company's Common Stock, determined to be 41.3% as of the valuation date. </w:t>
      </w:r>
    </w:p>
    <w:p w14:paraId="381AA41A" w14:textId="77777777" w:rsidR="00000000" w:rsidRDefault="00E614A4">
      <w:pPr>
        <w:ind w:hanging="360"/>
        <w:jc w:val="both"/>
        <w:divId w:val="778912888"/>
        <w:rPr>
          <w:rFonts w:eastAsia="Times New Roman"/>
        </w:rPr>
      </w:pPr>
      <w:r>
        <w:rPr>
          <w:rFonts w:eastAsia="Times New Roman"/>
          <w:color w:val="000000"/>
          <w:sz w:val="20"/>
          <w:szCs w:val="20"/>
        </w:rPr>
        <w:t>•</w:t>
      </w:r>
      <w:r>
        <w:rPr>
          <w:rFonts w:eastAsia="Times New Roman"/>
          <w:i/>
          <w:iCs/>
          <w:color w:val="000000"/>
          <w:sz w:val="20"/>
          <w:szCs w:val="20"/>
        </w:rPr>
        <w:t>Term</w:t>
      </w:r>
      <w:r>
        <w:rPr>
          <w:rFonts w:eastAsia="Times New Roman"/>
          <w:color w:val="000000"/>
          <w:sz w:val="20"/>
          <w:szCs w:val="20"/>
        </w:rPr>
        <w:t xml:space="preserve">: Based on the time period of the Notes maturity, 4 years. </w:t>
      </w:r>
    </w:p>
    <w:p w14:paraId="71165801" w14:textId="77777777" w:rsidR="00000000" w:rsidRDefault="00E614A4">
      <w:pPr>
        <w:ind w:hanging="360"/>
        <w:jc w:val="both"/>
        <w:divId w:val="1325889789"/>
        <w:rPr>
          <w:rFonts w:eastAsia="Times New Roman"/>
        </w:rPr>
      </w:pPr>
      <w:r>
        <w:rPr>
          <w:rFonts w:eastAsia="Times New Roman"/>
          <w:color w:val="000000"/>
          <w:sz w:val="20"/>
          <w:szCs w:val="20"/>
        </w:rPr>
        <w:t>•</w:t>
      </w:r>
      <w:r>
        <w:rPr>
          <w:rFonts w:eastAsia="Times New Roman"/>
          <w:i/>
          <w:iCs/>
          <w:color w:val="000000"/>
          <w:sz w:val="20"/>
          <w:szCs w:val="20"/>
        </w:rPr>
        <w:t>Risk Free Rate</w:t>
      </w:r>
      <w:r>
        <w:rPr>
          <w:rFonts w:eastAsia="Times New Roman"/>
          <w:color w:val="000000"/>
          <w:sz w:val="20"/>
          <w:szCs w:val="20"/>
        </w:rPr>
        <w:t xml:space="preserve">: Assumed to be </w:t>
      </w:r>
      <w:r>
        <w:rPr>
          <w:rFonts w:eastAsia="Times New Roman"/>
          <w:color w:val="000000"/>
          <w:sz w:val="20"/>
          <w:szCs w:val="20"/>
        </w:rPr>
        <w:t xml:space="preserve">2.2% based on the Federal Reserve bond yield. </w:t>
      </w:r>
    </w:p>
    <w:p w14:paraId="013B010C" w14:textId="77777777" w:rsidR="00000000" w:rsidRDefault="00E614A4">
      <w:pPr>
        <w:jc w:val="both"/>
        <w:divId w:val="761687592"/>
        <w:rPr>
          <w:rFonts w:eastAsia="Times New Roman"/>
        </w:rPr>
      </w:pPr>
      <w:r>
        <w:rPr>
          <w:rFonts w:eastAsia="Times New Roman"/>
          <w:color w:val="000000"/>
          <w:sz w:val="20"/>
          <w:szCs w:val="20"/>
        </w:rPr>
        <w:t>Based upon the modified convertible bond model utilized by management, the fair value of the interest rate reset feature was determined to be $6.4 million as of January 16, 2018 and was recognized as an issuan</w:t>
      </w:r>
      <w:r>
        <w:rPr>
          <w:rFonts w:eastAsia="Times New Roman"/>
          <w:color w:val="000000"/>
          <w:sz w:val="20"/>
          <w:szCs w:val="20"/>
        </w:rPr>
        <w:t>ce discount for the Initial Notes at inception.</w:t>
      </w:r>
    </w:p>
    <w:p w14:paraId="4FA3E560" w14:textId="77777777" w:rsidR="00000000" w:rsidRDefault="00E614A4">
      <w:pPr>
        <w:jc w:val="center"/>
        <w:divId w:val="208687175"/>
        <w:rPr>
          <w:rFonts w:eastAsia="Times New Roman"/>
        </w:rPr>
      </w:pPr>
      <w:r>
        <w:rPr>
          <w:rFonts w:eastAsia="Times New Roman"/>
          <w:color w:val="000000"/>
          <w:sz w:val="20"/>
          <w:szCs w:val="20"/>
        </w:rPr>
        <w:t>76</w:t>
      </w:r>
    </w:p>
    <w:p w14:paraId="5DA380AC" w14:textId="77777777" w:rsidR="00000000" w:rsidRDefault="00E614A4">
      <w:pPr>
        <w:rPr>
          <w:rFonts w:eastAsia="Times New Roman"/>
        </w:rPr>
      </w:pPr>
      <w:r>
        <w:rPr>
          <w:rFonts w:eastAsia="Times New Roman"/>
        </w:rPr>
        <w:pict w14:anchorId="2E2EEC42">
          <v:rect id="_x0000_i1104" style="width:0;height:1.5pt" o:hralign="center" o:hrstd="t" o:hr="t" fillcolor="#a0a0a0" stroked="f"/>
        </w:pict>
      </w:r>
    </w:p>
    <w:p w14:paraId="648C21E5" w14:textId="77777777" w:rsidR="00000000" w:rsidRDefault="00E614A4">
      <w:pPr>
        <w:divId w:val="82910377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EFD3F1B" w14:textId="77777777" w:rsidR="00000000" w:rsidRDefault="00E614A4">
      <w:pPr>
        <w:divId w:val="1295335479"/>
        <w:rPr>
          <w:rFonts w:eastAsia="Times New Roman"/>
        </w:rPr>
      </w:pPr>
    </w:p>
    <w:p w14:paraId="046AE4C0" w14:textId="77777777" w:rsidR="00000000" w:rsidRDefault="00E614A4">
      <w:pPr>
        <w:jc w:val="both"/>
        <w:divId w:val="1395204733"/>
        <w:rPr>
          <w:rFonts w:eastAsia="Times New Roman"/>
        </w:rPr>
      </w:pPr>
      <w:r>
        <w:rPr>
          <w:rFonts w:eastAsia="Times New Roman"/>
          <w:color w:val="000000"/>
          <w:sz w:val="20"/>
          <w:szCs w:val="20"/>
        </w:rPr>
        <w:t>Interest on the Initial Notes is payable on a quarterly basis in arrears beginning on April 1, 2018, at the option of the Company, in cash, or, subject to certain conditions, through the issua</w:t>
      </w:r>
      <w:r>
        <w:rPr>
          <w:rFonts w:eastAsia="Times New Roman"/>
          <w:color w:val="000000"/>
          <w:sz w:val="20"/>
          <w:szCs w:val="20"/>
        </w:rPr>
        <w:t>nce by the Company of additional shares of Common Stock (the "PIK Interest Shares"). Any PIK Interest Shares so issued will be valued at the arithmetic average of the VWAP of the Common Stock on each trading day during the 10 consecutive trading days endin</w:t>
      </w:r>
      <w:r>
        <w:rPr>
          <w:rFonts w:eastAsia="Times New Roman"/>
          <w:color w:val="000000"/>
          <w:sz w:val="20"/>
          <w:szCs w:val="20"/>
        </w:rPr>
        <w:t>g immediately preceding the applicable interest payment date. On each of January 2, 2020, April 1, 2020 and July 1, 2020, the Company paid quarterly accrued interest of $6.1 million in cash. On October 1, 2020, the Company paid quarterly accrued interest o</w:t>
      </w:r>
      <w:r>
        <w:rPr>
          <w:rFonts w:eastAsia="Times New Roman"/>
          <w:color w:val="000000"/>
          <w:sz w:val="20"/>
          <w:szCs w:val="20"/>
        </w:rPr>
        <w:t xml:space="preserve">f $6.1 million through the issuance of 1,474,201 PIK Interest Shares and $3.1 million in cash. On January 25, 2021, the Company paid its quarterly accrued interest of $6.1 million through the issuance of 2,802,454 PIK Interest Shares. The interest paid on </w:t>
      </w:r>
      <w:r>
        <w:rPr>
          <w:rFonts w:eastAsia="Times New Roman"/>
          <w:color w:val="000000"/>
          <w:sz w:val="20"/>
          <w:szCs w:val="20"/>
        </w:rPr>
        <w:t>January 25, 2021 was classified within other non-current liabilities in the Consolidated Financial Statements as of December 31, 2020. For the remaining interest payment from January 1, 2021 through the closing of the Transactions, the Company intends to p</w:t>
      </w:r>
      <w:r>
        <w:rPr>
          <w:rFonts w:eastAsia="Times New Roman"/>
          <w:color w:val="000000"/>
          <w:sz w:val="20"/>
          <w:szCs w:val="20"/>
        </w:rPr>
        <w:t>ay interest due through the issuance of PIK Interest Shares.</w:t>
      </w:r>
    </w:p>
    <w:p w14:paraId="13D649A2" w14:textId="77777777" w:rsidR="00000000" w:rsidRDefault="00E614A4">
      <w:pPr>
        <w:jc w:val="both"/>
        <w:divId w:val="941380143"/>
        <w:rPr>
          <w:rFonts w:eastAsia="Times New Roman"/>
        </w:rPr>
      </w:pPr>
      <w:r>
        <w:rPr>
          <w:rFonts w:eastAsia="Times New Roman"/>
          <w:color w:val="000000"/>
          <w:sz w:val="20"/>
          <w:szCs w:val="20"/>
        </w:rPr>
        <w:t>Management evaluated the Notes Option and determined that it met the definition of a derivative as it represented a written option. The Notes Option qualified for liability treatment and was init</w:t>
      </w:r>
      <w:r>
        <w:rPr>
          <w:rFonts w:eastAsia="Times New Roman"/>
          <w:color w:val="000000"/>
          <w:sz w:val="20"/>
          <w:szCs w:val="20"/>
        </w:rPr>
        <w:t>ially measured at fair value, with subsequent changes in fair value being recorded in earnings. To determine the fair value of the Notes Option, management utilized an option pricing model as the option represents a put option that gains value as the under</w:t>
      </w:r>
      <w:r>
        <w:rPr>
          <w:rFonts w:eastAsia="Times New Roman"/>
          <w:color w:val="000000"/>
          <w:sz w:val="20"/>
          <w:szCs w:val="20"/>
        </w:rPr>
        <w:t>lying asset (Common Stock) decreases in value. The following key assumptions were utilized in the Company's estimate of the fair value of the Notes Option derivative:</w:t>
      </w:r>
    </w:p>
    <w:p w14:paraId="1ED381F4" w14:textId="77777777" w:rsidR="00000000" w:rsidRDefault="00E614A4">
      <w:pPr>
        <w:ind w:hanging="360"/>
        <w:jc w:val="both"/>
        <w:divId w:val="1859348456"/>
        <w:rPr>
          <w:rFonts w:eastAsia="Times New Roman"/>
        </w:rPr>
      </w:pPr>
      <w:r>
        <w:rPr>
          <w:rFonts w:eastAsia="Times New Roman"/>
          <w:color w:val="000000"/>
          <w:sz w:val="20"/>
          <w:szCs w:val="20"/>
        </w:rPr>
        <w:t>•</w:t>
      </w:r>
      <w:r>
        <w:rPr>
          <w:rFonts w:eastAsia="Times New Roman"/>
          <w:i/>
          <w:iCs/>
          <w:color w:val="000000"/>
          <w:sz w:val="20"/>
          <w:szCs w:val="20"/>
        </w:rPr>
        <w:t>Stock Price</w:t>
      </w:r>
      <w:r>
        <w:rPr>
          <w:rFonts w:eastAsia="Times New Roman"/>
          <w:color w:val="000000"/>
          <w:sz w:val="20"/>
          <w:szCs w:val="20"/>
        </w:rPr>
        <w:t>: The stock price was measured using the fair value of the Common Stock on th</w:t>
      </w:r>
      <w:r>
        <w:rPr>
          <w:rFonts w:eastAsia="Times New Roman"/>
          <w:color w:val="000000"/>
          <w:sz w:val="20"/>
          <w:szCs w:val="20"/>
        </w:rPr>
        <w:t xml:space="preserve">e closing date of the Initial Notes issuance, January 16, 2018, which was $24.45 per share. </w:t>
      </w:r>
    </w:p>
    <w:p w14:paraId="332D26AA" w14:textId="77777777" w:rsidR="00000000" w:rsidRDefault="00E614A4">
      <w:pPr>
        <w:ind w:hanging="360"/>
        <w:jc w:val="both"/>
        <w:divId w:val="1546715871"/>
        <w:rPr>
          <w:rFonts w:eastAsia="Times New Roman"/>
        </w:rPr>
      </w:pPr>
      <w:r>
        <w:rPr>
          <w:rFonts w:eastAsia="Times New Roman"/>
          <w:color w:val="000000"/>
          <w:sz w:val="20"/>
          <w:szCs w:val="20"/>
        </w:rPr>
        <w:t>•</w:t>
      </w:r>
      <w:r>
        <w:rPr>
          <w:rFonts w:eastAsia="Times New Roman"/>
          <w:i/>
          <w:iCs/>
          <w:color w:val="000000"/>
          <w:sz w:val="20"/>
          <w:szCs w:val="20"/>
        </w:rPr>
        <w:t>Volatility</w:t>
      </w:r>
      <w:r>
        <w:rPr>
          <w:rFonts w:eastAsia="Times New Roman"/>
          <w:color w:val="000000"/>
          <w:sz w:val="20"/>
          <w:szCs w:val="20"/>
        </w:rPr>
        <w:t xml:space="preserve">: Based on the historical volatility of the Company's Common Stock, determined to be 38.4% as of the valuation date. </w:t>
      </w:r>
    </w:p>
    <w:p w14:paraId="66310400" w14:textId="77777777" w:rsidR="00000000" w:rsidRDefault="00E614A4">
      <w:pPr>
        <w:ind w:hanging="360"/>
        <w:jc w:val="both"/>
        <w:divId w:val="1069424959"/>
        <w:rPr>
          <w:rFonts w:eastAsia="Times New Roman"/>
        </w:rPr>
      </w:pPr>
      <w:r>
        <w:rPr>
          <w:rFonts w:eastAsia="Times New Roman"/>
          <w:color w:val="000000"/>
          <w:sz w:val="20"/>
          <w:szCs w:val="20"/>
        </w:rPr>
        <w:t>•</w:t>
      </w:r>
      <w:r>
        <w:rPr>
          <w:rFonts w:eastAsia="Times New Roman"/>
          <w:i/>
          <w:iCs/>
          <w:color w:val="000000"/>
          <w:sz w:val="20"/>
          <w:szCs w:val="20"/>
        </w:rPr>
        <w:t>Term</w:t>
      </w:r>
      <w:r>
        <w:rPr>
          <w:rFonts w:eastAsia="Times New Roman"/>
          <w:color w:val="000000"/>
          <w:sz w:val="20"/>
          <w:szCs w:val="20"/>
        </w:rPr>
        <w:t>: Based on the time period of</w:t>
      </w:r>
      <w:r>
        <w:rPr>
          <w:rFonts w:eastAsia="Times New Roman"/>
          <w:color w:val="000000"/>
          <w:sz w:val="20"/>
          <w:szCs w:val="20"/>
        </w:rPr>
        <w:t xml:space="preserve"> the Notes Option, 6 months. </w:t>
      </w:r>
    </w:p>
    <w:p w14:paraId="01734F57" w14:textId="77777777" w:rsidR="00000000" w:rsidRDefault="00E614A4">
      <w:pPr>
        <w:ind w:hanging="360"/>
        <w:jc w:val="both"/>
        <w:divId w:val="308949008"/>
        <w:rPr>
          <w:rFonts w:eastAsia="Times New Roman"/>
        </w:rPr>
      </w:pPr>
      <w:r>
        <w:rPr>
          <w:rFonts w:eastAsia="Times New Roman"/>
          <w:color w:val="000000"/>
          <w:sz w:val="20"/>
          <w:szCs w:val="20"/>
        </w:rPr>
        <w:t>•</w:t>
      </w:r>
      <w:r>
        <w:rPr>
          <w:rFonts w:eastAsia="Times New Roman"/>
          <w:i/>
          <w:iCs/>
          <w:color w:val="000000"/>
          <w:sz w:val="20"/>
          <w:szCs w:val="20"/>
        </w:rPr>
        <w:t>Risk Free Rate</w:t>
      </w:r>
      <w:r>
        <w:rPr>
          <w:rFonts w:eastAsia="Times New Roman"/>
          <w:color w:val="000000"/>
          <w:sz w:val="20"/>
          <w:szCs w:val="20"/>
        </w:rPr>
        <w:t xml:space="preserve">: Assumed to be 1.6% based on the Federal Reserve bond yield with a term commensurate with the remaining life of the Notes Option. </w:t>
      </w:r>
    </w:p>
    <w:p w14:paraId="3FB78031" w14:textId="77777777" w:rsidR="00000000" w:rsidRDefault="00E614A4">
      <w:pPr>
        <w:jc w:val="both"/>
        <w:divId w:val="1829710511"/>
        <w:rPr>
          <w:rFonts w:eastAsia="Times New Roman"/>
        </w:rPr>
      </w:pPr>
      <w:r>
        <w:rPr>
          <w:rFonts w:eastAsia="Times New Roman"/>
          <w:color w:val="000000"/>
          <w:sz w:val="20"/>
          <w:szCs w:val="20"/>
        </w:rPr>
        <w:t>Based upon the option pricing model utilized, management estimated the fair val</w:t>
      </w:r>
      <w:r>
        <w:rPr>
          <w:rFonts w:eastAsia="Times New Roman"/>
          <w:color w:val="000000"/>
          <w:sz w:val="20"/>
          <w:szCs w:val="20"/>
        </w:rPr>
        <w:t xml:space="preserve">ue of the Notes Option as of January 16, 2018 to be $2.1 million. The fair value was recognized as an issuance discount for the Initial Notes at inception. </w:t>
      </w:r>
    </w:p>
    <w:p w14:paraId="7DBDAB7E" w14:textId="77777777" w:rsidR="00000000" w:rsidRDefault="00E614A4">
      <w:pPr>
        <w:jc w:val="both"/>
        <w:divId w:val="2124498649"/>
        <w:rPr>
          <w:rFonts w:eastAsia="Times New Roman"/>
        </w:rPr>
      </w:pPr>
      <w:r>
        <w:rPr>
          <w:rFonts w:eastAsia="Times New Roman"/>
          <w:color w:val="000000"/>
          <w:sz w:val="20"/>
          <w:szCs w:val="20"/>
        </w:rPr>
        <w:t>The Initial Notes contain redemption provisions whereby, upon the occurrence of certain change of control transactions, a holder would have the right to require the Company to redeem all or any portion of such holder's outstanding Initial Notes for cash at</w:t>
      </w:r>
      <w:r>
        <w:rPr>
          <w:rFonts w:eastAsia="Times New Roman"/>
          <w:color w:val="000000"/>
          <w:sz w:val="20"/>
          <w:szCs w:val="20"/>
        </w:rPr>
        <w:t xml:space="preserve"> a price determined in accordance with the terms of the Initial Notes (the "make-whole change of control redemption"). Management evaluated this make-whole change of control redemption feature and determined that it represented an embedded derivative that </w:t>
      </w:r>
      <w:r>
        <w:rPr>
          <w:rFonts w:eastAsia="Times New Roman"/>
          <w:color w:val="000000"/>
          <w:sz w:val="20"/>
          <w:szCs w:val="20"/>
        </w:rPr>
        <w:t xml:space="preserve">must be bifurcated and accounted for separately from the Initial Notes. The make-whole change of control derivative is treated as a liability, initially measured at fair value with subsequent changes in fair value recorded in earnings. Management utilized </w:t>
      </w:r>
      <w:r>
        <w:rPr>
          <w:rFonts w:eastAsia="Times New Roman"/>
          <w:color w:val="000000"/>
          <w:sz w:val="20"/>
          <w:szCs w:val="20"/>
        </w:rPr>
        <w:t>a probability-adjusted binomial lattice model to determine the fair value of the make-whole change of control derivative, with the following key assumptions:</w:t>
      </w:r>
    </w:p>
    <w:p w14:paraId="70690851" w14:textId="77777777" w:rsidR="00000000" w:rsidRDefault="00E614A4">
      <w:pPr>
        <w:ind w:hanging="360"/>
        <w:jc w:val="both"/>
        <w:divId w:val="254675346"/>
        <w:rPr>
          <w:rFonts w:eastAsia="Times New Roman"/>
        </w:rPr>
      </w:pPr>
      <w:r>
        <w:rPr>
          <w:rFonts w:eastAsia="Times New Roman"/>
          <w:color w:val="000000"/>
          <w:sz w:val="20"/>
          <w:szCs w:val="20"/>
        </w:rPr>
        <w:t>•</w:t>
      </w:r>
      <w:r>
        <w:rPr>
          <w:rFonts w:eastAsia="Times New Roman"/>
          <w:i/>
          <w:iCs/>
          <w:color w:val="000000"/>
          <w:sz w:val="20"/>
          <w:szCs w:val="20"/>
        </w:rPr>
        <w:t>Probability</w:t>
      </w:r>
      <w:r>
        <w:rPr>
          <w:rFonts w:eastAsia="Times New Roman"/>
          <w:color w:val="000000"/>
          <w:sz w:val="20"/>
          <w:szCs w:val="20"/>
        </w:rPr>
        <w:t>: The Company utilized a range between 0% and 10% to estimate the likelihood of occurr</w:t>
      </w:r>
      <w:r>
        <w:rPr>
          <w:rFonts w:eastAsia="Times New Roman"/>
          <w:color w:val="000000"/>
          <w:sz w:val="20"/>
          <w:szCs w:val="20"/>
        </w:rPr>
        <w:t xml:space="preserve">ence. </w:t>
      </w:r>
    </w:p>
    <w:p w14:paraId="0870FBE6" w14:textId="77777777" w:rsidR="00000000" w:rsidRDefault="00E614A4">
      <w:pPr>
        <w:ind w:hanging="360"/>
        <w:jc w:val="both"/>
        <w:divId w:val="1128233010"/>
        <w:rPr>
          <w:rFonts w:eastAsia="Times New Roman"/>
        </w:rPr>
      </w:pPr>
      <w:r>
        <w:rPr>
          <w:rFonts w:eastAsia="Times New Roman"/>
          <w:color w:val="000000"/>
          <w:sz w:val="20"/>
          <w:szCs w:val="20"/>
        </w:rPr>
        <w:t>•</w:t>
      </w:r>
      <w:r>
        <w:rPr>
          <w:rFonts w:eastAsia="Times New Roman"/>
          <w:i/>
          <w:iCs/>
          <w:color w:val="000000"/>
          <w:sz w:val="20"/>
          <w:szCs w:val="20"/>
        </w:rPr>
        <w:t>Term</w:t>
      </w:r>
      <w:r>
        <w:rPr>
          <w:rFonts w:eastAsia="Times New Roman"/>
          <w:color w:val="000000"/>
          <w:sz w:val="20"/>
          <w:szCs w:val="20"/>
        </w:rPr>
        <w:t xml:space="preserve">: Based on the time period of the feature, 4 years. </w:t>
      </w:r>
    </w:p>
    <w:p w14:paraId="717C4C64" w14:textId="77777777" w:rsidR="00000000" w:rsidRDefault="00E614A4">
      <w:pPr>
        <w:ind w:hanging="360"/>
        <w:jc w:val="both"/>
        <w:divId w:val="926697382"/>
        <w:rPr>
          <w:rFonts w:eastAsia="Times New Roman"/>
        </w:rPr>
      </w:pPr>
      <w:r>
        <w:rPr>
          <w:rFonts w:eastAsia="Times New Roman"/>
          <w:color w:val="000000"/>
          <w:sz w:val="20"/>
          <w:szCs w:val="20"/>
        </w:rPr>
        <w:t>•</w:t>
      </w:r>
      <w:r>
        <w:rPr>
          <w:rFonts w:eastAsia="Times New Roman"/>
          <w:i/>
          <w:iCs/>
          <w:color w:val="000000"/>
          <w:sz w:val="20"/>
          <w:szCs w:val="20"/>
        </w:rPr>
        <w:t>Risk Free Rate</w:t>
      </w:r>
      <w:r>
        <w:rPr>
          <w:rFonts w:eastAsia="Times New Roman"/>
          <w:color w:val="000000"/>
          <w:sz w:val="20"/>
          <w:szCs w:val="20"/>
        </w:rPr>
        <w:t>: Assumed to be 2.2% based on the U.S. Treasury bonds on the valuation date with a term commensurate with the remaining life of the change of control derivative.</w:t>
      </w:r>
    </w:p>
    <w:p w14:paraId="488B8E1D" w14:textId="77777777" w:rsidR="00000000" w:rsidRDefault="00E614A4">
      <w:pPr>
        <w:jc w:val="both"/>
        <w:divId w:val="1517420693"/>
        <w:rPr>
          <w:rFonts w:eastAsia="Times New Roman"/>
        </w:rPr>
      </w:pPr>
      <w:r>
        <w:rPr>
          <w:rFonts w:eastAsia="Times New Roman"/>
          <w:color w:val="000000"/>
          <w:sz w:val="20"/>
          <w:szCs w:val="20"/>
        </w:rPr>
        <w:t>Based on the b</w:t>
      </w:r>
      <w:r>
        <w:rPr>
          <w:rFonts w:eastAsia="Times New Roman"/>
          <w:color w:val="000000"/>
          <w:sz w:val="20"/>
          <w:szCs w:val="20"/>
        </w:rPr>
        <w:t>inomial lattice model, the Company determined the fair value of the make-whole redemption provision as of January 16, 2018 to be $4.4 million. The fair value was recognized as an issuance discount of the Initial Notes at inception. See "Notes Modifications</w:t>
      </w:r>
      <w:r>
        <w:rPr>
          <w:rFonts w:eastAsia="Times New Roman"/>
          <w:color w:val="000000"/>
          <w:sz w:val="20"/>
          <w:szCs w:val="20"/>
        </w:rPr>
        <w:t>" below.</w:t>
      </w:r>
    </w:p>
    <w:p w14:paraId="2CD7DD0E" w14:textId="77777777" w:rsidR="00000000" w:rsidRDefault="00E614A4">
      <w:pPr>
        <w:jc w:val="both"/>
        <w:divId w:val="1600718400"/>
        <w:rPr>
          <w:rFonts w:eastAsia="Times New Roman"/>
        </w:rPr>
      </w:pPr>
      <w:r>
        <w:rPr>
          <w:rFonts w:eastAsia="Times New Roman"/>
          <w:color w:val="000000"/>
          <w:sz w:val="20"/>
          <w:szCs w:val="20"/>
        </w:rPr>
        <w:t>The Notes contain certain affirmative and restrictive covenants with which the Company must comply, including (i) covenants with respect to limitations on additional indebtedness, (ii) limitations on liens, (iii) limitations on certain payments, (</w:t>
      </w:r>
      <w:r>
        <w:rPr>
          <w:rFonts w:eastAsia="Times New Roman"/>
          <w:color w:val="000000"/>
          <w:sz w:val="20"/>
          <w:szCs w:val="20"/>
        </w:rPr>
        <w:t>iv) maintenance of certain minimum cash balances (currently $40.0 million), and (v) the timely filing of certain disclosures with the SEC. The Company is in compliance with its debt covenants as of December 31, 2020.</w:t>
      </w:r>
    </w:p>
    <w:p w14:paraId="704838DA" w14:textId="77777777" w:rsidR="00000000" w:rsidRDefault="00E614A4">
      <w:pPr>
        <w:jc w:val="both"/>
        <w:divId w:val="1196653772"/>
        <w:rPr>
          <w:rFonts w:eastAsia="Times New Roman"/>
        </w:rPr>
      </w:pPr>
      <w:r>
        <w:rPr>
          <w:rFonts w:eastAsia="Times New Roman"/>
          <w:color w:val="000000"/>
          <w:sz w:val="20"/>
          <w:szCs w:val="20"/>
        </w:rPr>
        <w:t xml:space="preserve">In connection with the issuance of the </w:t>
      </w:r>
      <w:r>
        <w:rPr>
          <w:rFonts w:eastAsia="Times New Roman"/>
          <w:color w:val="000000"/>
          <w:sz w:val="20"/>
          <w:szCs w:val="20"/>
        </w:rPr>
        <w:t>Initial Notes, the Company also agreed to issue to Starboard warrants to purchase 250,000 shares of Common Stock at a price of $0.01 per share, as adjusted pursuant to the terms of the warrants. The warrants were issued on October 12, 2018 and were exercis</w:t>
      </w:r>
      <w:r>
        <w:rPr>
          <w:rFonts w:eastAsia="Times New Roman"/>
          <w:color w:val="000000"/>
          <w:sz w:val="20"/>
          <w:szCs w:val="20"/>
        </w:rPr>
        <w:t>able for five years from the date of issuance. The Company valued the warrants using the Black-Scholes model, with the following key assumptions:</w:t>
      </w:r>
    </w:p>
    <w:p w14:paraId="1DB9EA13" w14:textId="77777777" w:rsidR="00000000" w:rsidRDefault="00E614A4">
      <w:pPr>
        <w:ind w:hanging="360"/>
        <w:jc w:val="both"/>
        <w:divId w:val="1210265845"/>
        <w:rPr>
          <w:rFonts w:eastAsia="Times New Roman"/>
        </w:rPr>
      </w:pPr>
      <w:r>
        <w:rPr>
          <w:rFonts w:eastAsia="Times New Roman"/>
          <w:color w:val="000000"/>
          <w:sz w:val="20"/>
          <w:szCs w:val="20"/>
        </w:rPr>
        <w:t>•</w:t>
      </w:r>
      <w:r>
        <w:rPr>
          <w:rFonts w:eastAsia="Times New Roman"/>
          <w:i/>
          <w:iCs/>
          <w:color w:val="000000"/>
          <w:sz w:val="20"/>
          <w:szCs w:val="20"/>
        </w:rPr>
        <w:t>Stock Price</w:t>
      </w:r>
      <w:r>
        <w:rPr>
          <w:rFonts w:eastAsia="Times New Roman"/>
          <w:color w:val="000000"/>
          <w:sz w:val="20"/>
          <w:szCs w:val="20"/>
        </w:rPr>
        <w:t>: The stock price was measured using fair value of the Common Stock on the closing date of the Ini</w:t>
      </w:r>
      <w:r>
        <w:rPr>
          <w:rFonts w:eastAsia="Times New Roman"/>
          <w:color w:val="000000"/>
          <w:sz w:val="20"/>
          <w:szCs w:val="20"/>
        </w:rPr>
        <w:t xml:space="preserve">tial Notes issuance, January 16, 2018, which was $24.45 per share. </w:t>
      </w:r>
    </w:p>
    <w:p w14:paraId="00559D85" w14:textId="77777777" w:rsidR="00000000" w:rsidRDefault="00E614A4">
      <w:pPr>
        <w:ind w:hanging="360"/>
        <w:jc w:val="both"/>
        <w:divId w:val="1284460739"/>
        <w:rPr>
          <w:rFonts w:eastAsia="Times New Roman"/>
        </w:rPr>
      </w:pPr>
      <w:r>
        <w:rPr>
          <w:rFonts w:eastAsia="Times New Roman"/>
          <w:color w:val="000000"/>
          <w:sz w:val="20"/>
          <w:szCs w:val="20"/>
        </w:rPr>
        <w:t>•</w:t>
      </w:r>
      <w:r>
        <w:rPr>
          <w:rFonts w:eastAsia="Times New Roman"/>
          <w:i/>
          <w:iCs/>
          <w:color w:val="000000"/>
          <w:sz w:val="20"/>
          <w:szCs w:val="20"/>
        </w:rPr>
        <w:t>Volatility</w:t>
      </w:r>
      <w:r>
        <w:rPr>
          <w:rFonts w:eastAsia="Times New Roman"/>
          <w:color w:val="000000"/>
          <w:sz w:val="20"/>
          <w:szCs w:val="20"/>
        </w:rPr>
        <w:t>: The Company determined volatility to be 39.6% based on the historical volatility of its Common Stock daily volume weighted average price with a look-back period commensurate w</w:t>
      </w:r>
      <w:r>
        <w:rPr>
          <w:rFonts w:eastAsia="Times New Roman"/>
          <w:color w:val="000000"/>
          <w:sz w:val="20"/>
          <w:szCs w:val="20"/>
        </w:rPr>
        <w:t xml:space="preserve">ith the term of the warrants. </w:t>
      </w:r>
    </w:p>
    <w:p w14:paraId="6F8896C9" w14:textId="77777777" w:rsidR="00000000" w:rsidRDefault="00E614A4">
      <w:pPr>
        <w:ind w:hanging="360"/>
        <w:jc w:val="both"/>
        <w:divId w:val="1558469673"/>
        <w:rPr>
          <w:rFonts w:eastAsia="Times New Roman"/>
        </w:rPr>
      </w:pPr>
      <w:r>
        <w:rPr>
          <w:rFonts w:eastAsia="Times New Roman"/>
          <w:color w:val="000000"/>
          <w:sz w:val="20"/>
          <w:szCs w:val="20"/>
        </w:rPr>
        <w:t>•</w:t>
      </w:r>
      <w:r>
        <w:rPr>
          <w:rFonts w:eastAsia="Times New Roman"/>
          <w:i/>
          <w:iCs/>
          <w:color w:val="000000"/>
          <w:sz w:val="20"/>
          <w:szCs w:val="20"/>
        </w:rPr>
        <w:t>Risk Free Rate</w:t>
      </w:r>
      <w:r>
        <w:rPr>
          <w:rFonts w:eastAsia="Times New Roman"/>
          <w:color w:val="000000"/>
          <w:sz w:val="20"/>
          <w:szCs w:val="20"/>
        </w:rPr>
        <w:t>: Assumed to be 2.4% based on U.S. Treasury bonds on the valuation date with a 5-year term.</w:t>
      </w:r>
    </w:p>
    <w:p w14:paraId="660D81F3" w14:textId="77777777" w:rsidR="00000000" w:rsidRDefault="00E614A4">
      <w:pPr>
        <w:ind w:hanging="360"/>
        <w:jc w:val="both"/>
        <w:divId w:val="620920627"/>
        <w:rPr>
          <w:rFonts w:eastAsia="Times New Roman"/>
        </w:rPr>
      </w:pPr>
      <w:r>
        <w:rPr>
          <w:rFonts w:eastAsia="Times New Roman"/>
          <w:color w:val="000000"/>
          <w:sz w:val="20"/>
          <w:szCs w:val="20"/>
        </w:rPr>
        <w:t>•</w:t>
      </w:r>
      <w:r>
        <w:rPr>
          <w:rFonts w:eastAsia="Times New Roman"/>
          <w:i/>
          <w:iCs/>
          <w:color w:val="000000"/>
          <w:sz w:val="20"/>
          <w:szCs w:val="20"/>
        </w:rPr>
        <w:t>Dividend Yield</w:t>
      </w:r>
      <w:r>
        <w:rPr>
          <w:rFonts w:eastAsia="Times New Roman"/>
          <w:color w:val="000000"/>
          <w:sz w:val="20"/>
          <w:szCs w:val="20"/>
        </w:rPr>
        <w:t xml:space="preserve">: Assumed to be zero </w:t>
      </w:r>
      <w:r>
        <w:rPr>
          <w:rFonts w:eastAsia="Times New Roman"/>
          <w:color w:val="000000"/>
          <w:sz w:val="20"/>
          <w:szCs w:val="20"/>
        </w:rPr>
        <w:t xml:space="preserve">based on the historical payout history of the Company. </w:t>
      </w:r>
    </w:p>
    <w:p w14:paraId="2F3F22EA" w14:textId="77777777" w:rsidR="00000000" w:rsidRDefault="00E614A4">
      <w:pPr>
        <w:jc w:val="center"/>
        <w:divId w:val="1735470796"/>
        <w:rPr>
          <w:rFonts w:eastAsia="Times New Roman"/>
        </w:rPr>
      </w:pPr>
      <w:r>
        <w:rPr>
          <w:rFonts w:eastAsia="Times New Roman"/>
          <w:color w:val="000000"/>
          <w:sz w:val="20"/>
          <w:szCs w:val="20"/>
        </w:rPr>
        <w:t>77</w:t>
      </w:r>
    </w:p>
    <w:p w14:paraId="242B4A78" w14:textId="77777777" w:rsidR="00000000" w:rsidRDefault="00E614A4">
      <w:pPr>
        <w:rPr>
          <w:rFonts w:eastAsia="Times New Roman"/>
        </w:rPr>
      </w:pPr>
      <w:r>
        <w:rPr>
          <w:rFonts w:eastAsia="Times New Roman"/>
        </w:rPr>
        <w:pict w14:anchorId="592A7851">
          <v:rect id="_x0000_i1105" style="width:0;height:1.5pt" o:hralign="center" o:hrstd="t" o:hr="t" fillcolor="#a0a0a0" stroked="f"/>
        </w:pict>
      </w:r>
    </w:p>
    <w:p w14:paraId="2BD4A0CE" w14:textId="77777777" w:rsidR="00000000" w:rsidRDefault="00E614A4">
      <w:pPr>
        <w:divId w:val="63531982"/>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729D60E" w14:textId="77777777" w:rsidR="00000000" w:rsidRDefault="00E614A4">
      <w:pPr>
        <w:divId w:val="1597790671"/>
        <w:rPr>
          <w:rFonts w:eastAsia="Times New Roman"/>
        </w:rPr>
      </w:pPr>
    </w:p>
    <w:p w14:paraId="3B059B0C" w14:textId="77777777" w:rsidR="00000000" w:rsidRDefault="00E614A4">
      <w:pPr>
        <w:jc w:val="both"/>
        <w:divId w:val="790588105"/>
        <w:rPr>
          <w:rFonts w:eastAsia="Times New Roman"/>
        </w:rPr>
      </w:pPr>
      <w:r>
        <w:rPr>
          <w:rFonts w:eastAsia="Times New Roman"/>
          <w:color w:val="000000"/>
          <w:sz w:val="20"/>
          <w:szCs w:val="20"/>
        </w:rPr>
        <w:t>Based on the Black-Schol</w:t>
      </w:r>
      <w:r>
        <w:rPr>
          <w:rFonts w:eastAsia="Times New Roman"/>
          <w:color w:val="000000"/>
          <w:sz w:val="20"/>
          <w:szCs w:val="20"/>
        </w:rPr>
        <w:t>es model, the Company determined that the fair value of the warrants as of January 16, 2018 was $6.1 million. The Company recorded the warrants at allocated proceeds of $5.7 million, less allocated issuance costs of $0.2 million, as additional paid-in capi</w:t>
      </w:r>
      <w:r>
        <w:rPr>
          <w:rFonts w:eastAsia="Times New Roman"/>
          <w:color w:val="000000"/>
          <w:sz w:val="20"/>
          <w:szCs w:val="20"/>
        </w:rPr>
        <w:t xml:space="preserve">tal. </w:t>
      </w:r>
    </w:p>
    <w:p w14:paraId="6119EB88" w14:textId="77777777" w:rsidR="00000000" w:rsidRDefault="00E614A4">
      <w:pPr>
        <w:jc w:val="both"/>
        <w:divId w:val="1354961153"/>
        <w:rPr>
          <w:rFonts w:eastAsia="Times New Roman"/>
        </w:rPr>
      </w:pPr>
      <w:r>
        <w:rPr>
          <w:rFonts w:eastAsia="Times New Roman"/>
          <w:color w:val="000000"/>
          <w:sz w:val="20"/>
          <w:szCs w:val="20"/>
        </w:rPr>
        <w:t xml:space="preserve">The cash proceeds and Common Stock received by the Company in exchange for the Initial Notes were net of a $20.1 million issuance discount and $4.6 million in third party deferred financing costs. </w:t>
      </w:r>
    </w:p>
    <w:p w14:paraId="3A6DA7E2" w14:textId="77777777" w:rsidR="00000000" w:rsidRDefault="00E614A4">
      <w:pPr>
        <w:jc w:val="both"/>
        <w:divId w:val="1602449434"/>
        <w:rPr>
          <w:rFonts w:eastAsia="Times New Roman"/>
        </w:rPr>
      </w:pPr>
      <w:r>
        <w:rPr>
          <w:rFonts w:eastAsia="Times New Roman"/>
          <w:color w:val="000000"/>
          <w:sz w:val="20"/>
          <w:szCs w:val="20"/>
        </w:rPr>
        <w:t>On August 8, 2018, the Company and Starboard entered</w:t>
      </w:r>
      <w:r>
        <w:rPr>
          <w:rFonts w:eastAsia="Times New Roman"/>
          <w:color w:val="000000"/>
          <w:sz w:val="20"/>
          <w:szCs w:val="20"/>
        </w:rPr>
        <w:t xml:space="preserve"> into an amendment to the outstanding Notes to reduce the requirement to maintain certain minimum cash balances. In connection with and as consideration for this modification, the Company issued to Starboard $2.0 million in additional aggregate principal a</w:t>
      </w:r>
      <w:r>
        <w:rPr>
          <w:rFonts w:eastAsia="Times New Roman"/>
          <w:color w:val="000000"/>
          <w:sz w:val="20"/>
          <w:szCs w:val="20"/>
        </w:rPr>
        <w:t>mount of senior secured convertible notes, $1.5 million of which was classified as additional Initial Notes. The terms of the additional notes are identical to the terms of the Initial Notes, except with regard to the date from which interest began to accr</w:t>
      </w:r>
      <w:r>
        <w:rPr>
          <w:rFonts w:eastAsia="Times New Roman"/>
          <w:color w:val="000000"/>
          <w:sz w:val="20"/>
          <w:szCs w:val="20"/>
        </w:rPr>
        <w:t>ue thereon, which is August 8, 2018. The amendment is treated as a modification to the debt agreements and the costs related to the issuance of the additional notes were combined with the existing unamortized discount of the Initial Notes on the modificati</w:t>
      </w:r>
      <w:r>
        <w:rPr>
          <w:rFonts w:eastAsia="Times New Roman"/>
          <w:color w:val="000000"/>
          <w:sz w:val="20"/>
          <w:szCs w:val="20"/>
        </w:rPr>
        <w:t>on date and will be amortized to interest expense over the remaining term of the modified debt. In connection with the modification of the Notes, the Company recorded $0.2 million in additional derivative liabilities.</w:t>
      </w:r>
    </w:p>
    <w:p w14:paraId="1BCE5D06" w14:textId="77777777" w:rsidR="00000000" w:rsidRDefault="00E614A4">
      <w:pPr>
        <w:jc w:val="both"/>
        <w:divId w:val="961420767"/>
        <w:rPr>
          <w:rFonts w:eastAsia="Times New Roman"/>
        </w:rPr>
      </w:pPr>
      <w:r>
        <w:rPr>
          <w:rFonts w:eastAsia="Times New Roman"/>
          <w:color w:val="000000"/>
          <w:sz w:val="20"/>
          <w:szCs w:val="20"/>
        </w:rPr>
        <w:t xml:space="preserve">On November 13, 2018, the Company and </w:t>
      </w:r>
      <w:r>
        <w:rPr>
          <w:rFonts w:eastAsia="Times New Roman"/>
          <w:color w:val="000000"/>
          <w:sz w:val="20"/>
          <w:szCs w:val="20"/>
        </w:rPr>
        <w:t>Starboard entered into an agreement whereby the applicable period for the $20.0 million minimum cash balance required to be maintained by the Company was extended until the earlier of August 9, 2019 or the date the Company filed its Form 10-Q for the quart</w:t>
      </w:r>
      <w:r>
        <w:rPr>
          <w:rFonts w:eastAsia="Times New Roman"/>
          <w:color w:val="000000"/>
          <w:sz w:val="20"/>
          <w:szCs w:val="20"/>
        </w:rPr>
        <w:t>erly period ended June 30, 2019, subject to certain limitations. The agreement also modified the provisions of the Notes and the Registration Rights Agreement between the Company and Starboard by revising the grace periods during which the Company would no</w:t>
      </w:r>
      <w:r>
        <w:rPr>
          <w:rFonts w:eastAsia="Times New Roman"/>
          <w:color w:val="000000"/>
          <w:sz w:val="20"/>
          <w:szCs w:val="20"/>
        </w:rPr>
        <w:t>t be obligated to keep applicable registration statements available for use by Starboard. In connection with, and as consideration for these amendments, the Company issued to Starboard $2.0 million in additional aggregate principal amount of senior secured</w:t>
      </w:r>
      <w:r>
        <w:rPr>
          <w:rFonts w:eastAsia="Times New Roman"/>
          <w:color w:val="000000"/>
          <w:sz w:val="20"/>
          <w:szCs w:val="20"/>
        </w:rPr>
        <w:t xml:space="preserve"> convertible notes, the terms of which are identical to the terms of the Initial Notes, except with regard to the date from which interest began to accrue thereon, which is November 13, 2018. In connection with this modification, the Company recorded $0.2 </w:t>
      </w:r>
      <w:r>
        <w:rPr>
          <w:rFonts w:eastAsia="Times New Roman"/>
          <w:color w:val="000000"/>
          <w:sz w:val="20"/>
          <w:szCs w:val="20"/>
        </w:rPr>
        <w:t>million in additional derivative liabilities.</w:t>
      </w:r>
    </w:p>
    <w:p w14:paraId="56D37370" w14:textId="77777777" w:rsidR="00000000" w:rsidRDefault="00E614A4">
      <w:pPr>
        <w:jc w:val="both"/>
        <w:divId w:val="279652121"/>
        <w:rPr>
          <w:rFonts w:eastAsia="Times New Roman"/>
        </w:rPr>
      </w:pPr>
      <w:r>
        <w:rPr>
          <w:rFonts w:eastAsia="Times New Roman"/>
          <w:color w:val="000000"/>
          <w:sz w:val="20"/>
          <w:szCs w:val="20"/>
        </w:rPr>
        <w:t>Additional modifications to the Initial Notes are described under "Notes Modifications" below.</w:t>
      </w:r>
    </w:p>
    <w:p w14:paraId="09007BBD" w14:textId="77777777" w:rsidR="00000000" w:rsidRDefault="00E614A4">
      <w:pPr>
        <w:divId w:val="1974411052"/>
        <w:rPr>
          <w:rFonts w:eastAsia="Times New Roman"/>
        </w:rPr>
      </w:pPr>
      <w:r>
        <w:rPr>
          <w:rFonts w:eastAsia="Times New Roman"/>
          <w:b/>
          <w:bCs/>
          <w:i/>
          <w:iCs/>
          <w:color w:val="000000"/>
          <w:sz w:val="20"/>
          <w:szCs w:val="20"/>
        </w:rPr>
        <w:t>Issuance and Sale of Option Notes</w:t>
      </w:r>
    </w:p>
    <w:p w14:paraId="7297B249" w14:textId="77777777" w:rsidR="00000000" w:rsidRDefault="00E614A4">
      <w:pPr>
        <w:jc w:val="both"/>
        <w:divId w:val="1974091679"/>
        <w:rPr>
          <w:rFonts w:eastAsia="Times New Roman"/>
        </w:rPr>
      </w:pPr>
      <w:r>
        <w:rPr>
          <w:rFonts w:eastAsia="Times New Roman"/>
          <w:color w:val="000000"/>
          <w:sz w:val="20"/>
          <w:szCs w:val="20"/>
        </w:rPr>
        <w:t>On May 17, 2018, the Notes Option was exercised by Starboard, pursuant to which t</w:t>
      </w:r>
      <w:r>
        <w:rPr>
          <w:rFonts w:eastAsia="Times New Roman"/>
          <w:color w:val="000000"/>
          <w:sz w:val="20"/>
          <w:szCs w:val="20"/>
        </w:rPr>
        <w:t xml:space="preserve">he Company issued and sold to Starboard $50.0 million of Option Notes in exchange for $15.0 million in cash and 1,400,000 shares of Common Stock valued at $35.0 million. Based upon the fair value of the Common Stock on the closing date of the Option Notes </w:t>
      </w:r>
      <w:r>
        <w:rPr>
          <w:rFonts w:eastAsia="Times New Roman"/>
          <w:color w:val="000000"/>
          <w:sz w:val="20"/>
          <w:szCs w:val="20"/>
        </w:rPr>
        <w:t>issuance, May 17, 2018, which was $21.75 per share, the difference of $4.6 million was recorded as an issuance discount to the Option Notes. The Option Notes have the same terms, including maturity, interest rate, convertibility, and security, as the Initi</w:t>
      </w:r>
      <w:r>
        <w:rPr>
          <w:rFonts w:eastAsia="Times New Roman"/>
          <w:color w:val="000000"/>
          <w:sz w:val="20"/>
          <w:szCs w:val="20"/>
        </w:rPr>
        <w:t xml:space="preserve">al Notes, except with regard to the date from which interest began to accrue thereon, which was May 17, 2018. Upon the exercise of the Notes Option, the derivative liability recorded for the Notes Option at inception was settled. Management determined the </w:t>
      </w:r>
      <w:r>
        <w:rPr>
          <w:rFonts w:eastAsia="Times New Roman"/>
          <w:color w:val="000000"/>
          <w:sz w:val="20"/>
          <w:szCs w:val="20"/>
        </w:rPr>
        <w:t>fair value of the Notes Option immediately prior to settlement utilizing an option pricing model using the following key assumptions:</w:t>
      </w:r>
    </w:p>
    <w:p w14:paraId="409F964D" w14:textId="77777777" w:rsidR="00000000" w:rsidRDefault="00E614A4">
      <w:pPr>
        <w:ind w:hanging="360"/>
        <w:jc w:val="both"/>
        <w:divId w:val="1180311707"/>
        <w:rPr>
          <w:rFonts w:eastAsia="Times New Roman"/>
        </w:rPr>
      </w:pPr>
      <w:r>
        <w:rPr>
          <w:rFonts w:eastAsia="Times New Roman"/>
          <w:color w:val="000000"/>
          <w:sz w:val="20"/>
          <w:szCs w:val="20"/>
        </w:rPr>
        <w:t>•</w:t>
      </w:r>
      <w:r>
        <w:rPr>
          <w:rFonts w:eastAsia="Times New Roman"/>
          <w:i/>
          <w:iCs/>
          <w:color w:val="000000"/>
          <w:sz w:val="20"/>
          <w:szCs w:val="20"/>
        </w:rPr>
        <w:t>Stock Price</w:t>
      </w:r>
      <w:r>
        <w:rPr>
          <w:rFonts w:eastAsia="Times New Roman"/>
          <w:color w:val="000000"/>
          <w:sz w:val="20"/>
          <w:szCs w:val="20"/>
        </w:rPr>
        <w:t>: The stock price was measured using the fair value of the Common Stock on the closing date of the Option Note</w:t>
      </w:r>
      <w:r>
        <w:rPr>
          <w:rFonts w:eastAsia="Times New Roman"/>
          <w:color w:val="000000"/>
          <w:sz w:val="20"/>
          <w:szCs w:val="20"/>
        </w:rPr>
        <w:t xml:space="preserve">s issuance, May 17, 2018, which was $21.75 per share. </w:t>
      </w:r>
    </w:p>
    <w:p w14:paraId="4555E482" w14:textId="77777777" w:rsidR="00000000" w:rsidRDefault="00E614A4">
      <w:pPr>
        <w:ind w:hanging="360"/>
        <w:jc w:val="both"/>
        <w:divId w:val="1952593191"/>
        <w:rPr>
          <w:rFonts w:eastAsia="Times New Roman"/>
        </w:rPr>
      </w:pPr>
      <w:r>
        <w:rPr>
          <w:rFonts w:eastAsia="Times New Roman"/>
          <w:color w:val="000000"/>
          <w:sz w:val="20"/>
          <w:szCs w:val="20"/>
        </w:rPr>
        <w:t>•</w:t>
      </w:r>
      <w:r>
        <w:rPr>
          <w:rFonts w:eastAsia="Times New Roman"/>
          <w:i/>
          <w:iCs/>
          <w:color w:val="000000"/>
          <w:sz w:val="20"/>
          <w:szCs w:val="20"/>
        </w:rPr>
        <w:t>Volatility</w:t>
      </w:r>
      <w:r>
        <w:rPr>
          <w:rFonts w:eastAsia="Times New Roman"/>
          <w:color w:val="000000"/>
          <w:sz w:val="20"/>
          <w:szCs w:val="20"/>
        </w:rPr>
        <w:t xml:space="preserve">: Based on the historical volatility of the Company's Common Stock, determined to be 26.3% as of the valuation date. </w:t>
      </w:r>
    </w:p>
    <w:p w14:paraId="0B2C3595" w14:textId="77777777" w:rsidR="00000000" w:rsidRDefault="00E614A4">
      <w:pPr>
        <w:ind w:hanging="360"/>
        <w:jc w:val="both"/>
        <w:divId w:val="998197190"/>
        <w:rPr>
          <w:rFonts w:eastAsia="Times New Roman"/>
        </w:rPr>
      </w:pPr>
      <w:r>
        <w:rPr>
          <w:rFonts w:eastAsia="Times New Roman"/>
          <w:color w:val="000000"/>
          <w:sz w:val="20"/>
          <w:szCs w:val="20"/>
        </w:rPr>
        <w:t>•</w:t>
      </w:r>
      <w:r>
        <w:rPr>
          <w:rFonts w:eastAsia="Times New Roman"/>
          <w:i/>
          <w:iCs/>
          <w:color w:val="000000"/>
          <w:sz w:val="20"/>
          <w:szCs w:val="20"/>
        </w:rPr>
        <w:t>Term</w:t>
      </w:r>
      <w:r>
        <w:rPr>
          <w:rFonts w:eastAsia="Times New Roman"/>
          <w:color w:val="000000"/>
          <w:sz w:val="20"/>
          <w:szCs w:val="20"/>
        </w:rPr>
        <w:t>: Based on the time period of the expected exercise of the Notes Op</w:t>
      </w:r>
      <w:r>
        <w:rPr>
          <w:rFonts w:eastAsia="Times New Roman"/>
          <w:color w:val="000000"/>
          <w:sz w:val="20"/>
          <w:szCs w:val="20"/>
        </w:rPr>
        <w:t>tion, 0.16 years.</w:t>
      </w:r>
    </w:p>
    <w:p w14:paraId="3A104D40" w14:textId="77777777" w:rsidR="00000000" w:rsidRDefault="00E614A4">
      <w:pPr>
        <w:ind w:hanging="360"/>
        <w:jc w:val="both"/>
        <w:divId w:val="91052191"/>
        <w:rPr>
          <w:rFonts w:eastAsia="Times New Roman"/>
        </w:rPr>
      </w:pPr>
      <w:r>
        <w:rPr>
          <w:rFonts w:eastAsia="Times New Roman"/>
          <w:color w:val="000000"/>
          <w:sz w:val="20"/>
          <w:szCs w:val="20"/>
        </w:rPr>
        <w:t>•</w:t>
      </w:r>
      <w:r>
        <w:rPr>
          <w:rFonts w:eastAsia="Times New Roman"/>
          <w:i/>
          <w:iCs/>
          <w:color w:val="000000"/>
          <w:sz w:val="20"/>
          <w:szCs w:val="20"/>
        </w:rPr>
        <w:t>Risk Free Rate</w:t>
      </w:r>
      <w:r>
        <w:rPr>
          <w:rFonts w:eastAsia="Times New Roman"/>
          <w:color w:val="000000"/>
          <w:sz w:val="20"/>
          <w:szCs w:val="20"/>
        </w:rPr>
        <w:t>: Assumed to be 1.8</w:t>
      </w:r>
      <w:r>
        <w:rPr>
          <w:rFonts w:eastAsia="Times New Roman"/>
          <w:color w:val="000000"/>
          <w:sz w:val="20"/>
          <w:szCs w:val="20"/>
        </w:rPr>
        <w:t xml:space="preserve">% based on the Federal Reserve bond yield with a term commensurate with the remaining life of the Notes Option. </w:t>
      </w:r>
    </w:p>
    <w:p w14:paraId="1E706BF7" w14:textId="77777777" w:rsidR="00000000" w:rsidRDefault="00E614A4">
      <w:pPr>
        <w:jc w:val="both"/>
        <w:divId w:val="13920571"/>
        <w:rPr>
          <w:rFonts w:eastAsia="Times New Roman"/>
        </w:rPr>
      </w:pPr>
      <w:r>
        <w:rPr>
          <w:rFonts w:eastAsia="Times New Roman"/>
          <w:color w:val="000000"/>
          <w:sz w:val="20"/>
          <w:szCs w:val="20"/>
        </w:rPr>
        <w:t>Based upon the option pricing model utilized, management estimated the fair value of the Notes Option as of May 17, 2018 to be $5.7 million. Th</w:t>
      </w:r>
      <w:r>
        <w:rPr>
          <w:rFonts w:eastAsia="Times New Roman"/>
          <w:color w:val="000000"/>
          <w:sz w:val="20"/>
          <w:szCs w:val="20"/>
        </w:rPr>
        <w:t>e loss related to the change in fair value of $1.6 million was recorded in other income (expense), net on the Consolidated Statements of Operations and Comprehensive Loss. The fair value of the Notes Option was recognized as an issuance premium for the Opt</w:t>
      </w:r>
      <w:r>
        <w:rPr>
          <w:rFonts w:eastAsia="Times New Roman"/>
          <w:color w:val="000000"/>
          <w:sz w:val="20"/>
          <w:szCs w:val="20"/>
        </w:rPr>
        <w:t>ion Notes at inception.</w:t>
      </w:r>
    </w:p>
    <w:p w14:paraId="59EAA2CB" w14:textId="77777777" w:rsidR="00000000" w:rsidRDefault="00E614A4">
      <w:pPr>
        <w:jc w:val="both"/>
        <w:divId w:val="761949255"/>
        <w:rPr>
          <w:rFonts w:eastAsia="Times New Roman"/>
        </w:rPr>
      </w:pPr>
      <w:r>
        <w:rPr>
          <w:rFonts w:eastAsia="Times New Roman"/>
          <w:color w:val="000000"/>
          <w:sz w:val="20"/>
          <w:szCs w:val="20"/>
        </w:rPr>
        <w:t>The interest rate reset feature of the Option Notes was determined by management to be a derivative instrument that qualifies for liability treatment. The derivative instrument is initially measured at fair value and classified as a liability on the balanc</w:t>
      </w:r>
      <w:r>
        <w:rPr>
          <w:rFonts w:eastAsia="Times New Roman"/>
          <w:color w:val="000000"/>
          <w:sz w:val="20"/>
          <w:szCs w:val="20"/>
        </w:rPr>
        <w:t>e sheet, with subsequent changes in fair value being recorded in earnings. To determine the fair value of the interest rate reset feature, management utilized a "with-and-without" convertible bond model, modified to incorporate the interest rate reset feat</w:t>
      </w:r>
      <w:r>
        <w:rPr>
          <w:rFonts w:eastAsia="Times New Roman"/>
          <w:color w:val="000000"/>
          <w:sz w:val="20"/>
          <w:szCs w:val="20"/>
        </w:rPr>
        <w:t>ure, using the following key assumptions:</w:t>
      </w:r>
    </w:p>
    <w:p w14:paraId="19742B34" w14:textId="77777777" w:rsidR="00000000" w:rsidRDefault="00E614A4">
      <w:pPr>
        <w:ind w:hanging="360"/>
        <w:jc w:val="both"/>
        <w:divId w:val="37555263"/>
        <w:rPr>
          <w:rFonts w:eastAsia="Times New Roman"/>
        </w:rPr>
      </w:pPr>
      <w:r>
        <w:rPr>
          <w:rFonts w:eastAsia="Times New Roman"/>
          <w:color w:val="000000"/>
          <w:sz w:val="20"/>
          <w:szCs w:val="20"/>
        </w:rPr>
        <w:t>•</w:t>
      </w:r>
      <w:r>
        <w:rPr>
          <w:rFonts w:eastAsia="Times New Roman"/>
          <w:i/>
          <w:iCs/>
          <w:color w:val="000000"/>
          <w:sz w:val="20"/>
          <w:szCs w:val="20"/>
        </w:rPr>
        <w:t>Credit Adjusted Discount Rate</w:t>
      </w:r>
      <w:r>
        <w:rPr>
          <w:rFonts w:eastAsia="Times New Roman"/>
          <w:color w:val="000000"/>
          <w:sz w:val="20"/>
          <w:szCs w:val="20"/>
        </w:rPr>
        <w:t xml:space="preserve">: The Company estimated a market-based discount rate of 24%. </w:t>
      </w:r>
    </w:p>
    <w:p w14:paraId="18AA1B1F" w14:textId="77777777" w:rsidR="00000000" w:rsidRDefault="00E614A4">
      <w:pPr>
        <w:ind w:hanging="360"/>
        <w:jc w:val="both"/>
        <w:divId w:val="1629361672"/>
        <w:rPr>
          <w:rFonts w:eastAsia="Times New Roman"/>
        </w:rPr>
      </w:pPr>
      <w:r>
        <w:rPr>
          <w:rFonts w:eastAsia="Times New Roman"/>
          <w:color w:val="000000"/>
          <w:sz w:val="20"/>
          <w:szCs w:val="20"/>
        </w:rPr>
        <w:t>•</w:t>
      </w:r>
      <w:r>
        <w:rPr>
          <w:rFonts w:eastAsia="Times New Roman"/>
          <w:i/>
          <w:iCs/>
          <w:color w:val="000000"/>
          <w:sz w:val="20"/>
          <w:szCs w:val="20"/>
        </w:rPr>
        <w:t>Stock Price</w:t>
      </w:r>
      <w:r>
        <w:rPr>
          <w:rFonts w:eastAsia="Times New Roman"/>
          <w:color w:val="000000"/>
          <w:sz w:val="20"/>
          <w:szCs w:val="20"/>
        </w:rPr>
        <w:t>: The stock price was measured using the fair value of the Common Stock on the closing date of the Option Note</w:t>
      </w:r>
      <w:r>
        <w:rPr>
          <w:rFonts w:eastAsia="Times New Roman"/>
          <w:color w:val="000000"/>
          <w:sz w:val="20"/>
          <w:szCs w:val="20"/>
        </w:rPr>
        <w:t xml:space="preserve">s issuance, May 17, 2018, which was $21.75 per share. </w:t>
      </w:r>
    </w:p>
    <w:p w14:paraId="50DF34B3" w14:textId="77777777" w:rsidR="00000000" w:rsidRDefault="00E614A4">
      <w:pPr>
        <w:ind w:hanging="360"/>
        <w:jc w:val="both"/>
        <w:divId w:val="1002391185"/>
        <w:rPr>
          <w:rFonts w:eastAsia="Times New Roman"/>
        </w:rPr>
      </w:pPr>
      <w:r>
        <w:rPr>
          <w:rFonts w:eastAsia="Times New Roman"/>
          <w:color w:val="000000"/>
          <w:sz w:val="20"/>
          <w:szCs w:val="20"/>
        </w:rPr>
        <w:t>•</w:t>
      </w:r>
      <w:r>
        <w:rPr>
          <w:rFonts w:eastAsia="Times New Roman"/>
          <w:i/>
          <w:iCs/>
          <w:color w:val="000000"/>
          <w:sz w:val="20"/>
          <w:szCs w:val="20"/>
        </w:rPr>
        <w:t>Volatility</w:t>
      </w:r>
      <w:r>
        <w:rPr>
          <w:rFonts w:eastAsia="Times New Roman"/>
          <w:color w:val="000000"/>
          <w:sz w:val="20"/>
          <w:szCs w:val="20"/>
        </w:rPr>
        <w:t xml:space="preserve">: Based on the historical volatility of the Company's Common Stock, determined to be 42.6% as of the valuation date. </w:t>
      </w:r>
    </w:p>
    <w:p w14:paraId="1DF598F6" w14:textId="77777777" w:rsidR="00000000" w:rsidRDefault="00E614A4">
      <w:pPr>
        <w:jc w:val="center"/>
        <w:divId w:val="932200193"/>
        <w:rPr>
          <w:rFonts w:eastAsia="Times New Roman"/>
        </w:rPr>
      </w:pPr>
      <w:r>
        <w:rPr>
          <w:rFonts w:eastAsia="Times New Roman"/>
          <w:color w:val="000000"/>
          <w:sz w:val="20"/>
          <w:szCs w:val="20"/>
        </w:rPr>
        <w:t>78</w:t>
      </w:r>
    </w:p>
    <w:p w14:paraId="71F9D85A" w14:textId="77777777" w:rsidR="00000000" w:rsidRDefault="00E614A4">
      <w:pPr>
        <w:rPr>
          <w:rFonts w:eastAsia="Times New Roman"/>
        </w:rPr>
      </w:pPr>
      <w:r>
        <w:rPr>
          <w:rFonts w:eastAsia="Times New Roman"/>
        </w:rPr>
        <w:pict w14:anchorId="4D569B2F">
          <v:rect id="_x0000_i1106" style="width:0;height:1.5pt" o:hralign="center" o:hrstd="t" o:hr="t" fillcolor="#a0a0a0" stroked="f"/>
        </w:pict>
      </w:r>
    </w:p>
    <w:p w14:paraId="18EDDD5F" w14:textId="77777777" w:rsidR="00000000" w:rsidRDefault="00E614A4">
      <w:pPr>
        <w:divId w:val="182789170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85255E8" w14:textId="77777777" w:rsidR="00000000" w:rsidRDefault="00E614A4">
      <w:pPr>
        <w:divId w:val="759372221"/>
        <w:rPr>
          <w:rFonts w:eastAsia="Times New Roman"/>
        </w:rPr>
      </w:pPr>
    </w:p>
    <w:p w14:paraId="09B6A1AA" w14:textId="77777777" w:rsidR="00000000" w:rsidRDefault="00E614A4">
      <w:pPr>
        <w:ind w:hanging="360"/>
        <w:jc w:val="both"/>
        <w:divId w:val="1122380378"/>
        <w:rPr>
          <w:rFonts w:eastAsia="Times New Roman"/>
        </w:rPr>
      </w:pPr>
      <w:r>
        <w:rPr>
          <w:rFonts w:eastAsia="Times New Roman"/>
          <w:color w:val="000000"/>
          <w:sz w:val="20"/>
          <w:szCs w:val="20"/>
        </w:rPr>
        <w:t>•</w:t>
      </w:r>
      <w:r>
        <w:rPr>
          <w:rFonts w:eastAsia="Times New Roman"/>
          <w:i/>
          <w:iCs/>
          <w:color w:val="000000"/>
          <w:sz w:val="20"/>
          <w:szCs w:val="20"/>
        </w:rPr>
        <w:t>Term</w:t>
      </w:r>
      <w:r>
        <w:rPr>
          <w:rFonts w:eastAsia="Times New Roman"/>
          <w:color w:val="000000"/>
          <w:sz w:val="20"/>
          <w:szCs w:val="20"/>
        </w:rPr>
        <w:t xml:space="preserve">: Based on the time period of the Option Notes maturity, 3.7 years. </w:t>
      </w:r>
    </w:p>
    <w:p w14:paraId="3E64BE51" w14:textId="77777777" w:rsidR="00000000" w:rsidRDefault="00E614A4">
      <w:pPr>
        <w:ind w:hanging="360"/>
        <w:jc w:val="both"/>
        <w:divId w:val="1153370720"/>
        <w:rPr>
          <w:rFonts w:eastAsia="Times New Roman"/>
        </w:rPr>
      </w:pPr>
      <w:r>
        <w:rPr>
          <w:rFonts w:eastAsia="Times New Roman"/>
          <w:color w:val="000000"/>
          <w:sz w:val="20"/>
          <w:szCs w:val="20"/>
        </w:rPr>
        <w:t>•</w:t>
      </w:r>
      <w:r>
        <w:rPr>
          <w:rFonts w:eastAsia="Times New Roman"/>
          <w:i/>
          <w:iCs/>
          <w:color w:val="000000"/>
          <w:sz w:val="20"/>
          <w:szCs w:val="20"/>
        </w:rPr>
        <w:t>Risk Free Rate</w:t>
      </w:r>
      <w:r>
        <w:rPr>
          <w:rFonts w:eastAsia="Times New Roman"/>
          <w:color w:val="000000"/>
          <w:sz w:val="20"/>
          <w:szCs w:val="20"/>
        </w:rPr>
        <w:t xml:space="preserve">: Assumed to be 2.8% based on the Federal Reserve bond yield. </w:t>
      </w:r>
    </w:p>
    <w:p w14:paraId="39E5EECF" w14:textId="77777777" w:rsidR="00000000" w:rsidRDefault="00E614A4">
      <w:pPr>
        <w:jc w:val="both"/>
        <w:divId w:val="572158058"/>
        <w:rPr>
          <w:rFonts w:eastAsia="Times New Roman"/>
        </w:rPr>
      </w:pPr>
      <w:r>
        <w:rPr>
          <w:rFonts w:eastAsia="Times New Roman"/>
          <w:color w:val="000000"/>
          <w:sz w:val="20"/>
          <w:szCs w:val="20"/>
        </w:rPr>
        <w:t>Based upon the modified convertible bond model utilized by management, the fair value of the interest rate reset feature was determined to be $3.0 million as of May 17, 2018 and was recognized as an issuance discount for the Option Notes at inception.</w:t>
      </w:r>
    </w:p>
    <w:p w14:paraId="45075CAE" w14:textId="77777777" w:rsidR="00000000" w:rsidRDefault="00E614A4">
      <w:pPr>
        <w:jc w:val="both"/>
        <w:divId w:val="1245260247"/>
        <w:rPr>
          <w:rFonts w:eastAsia="Times New Roman"/>
        </w:rPr>
      </w:pPr>
      <w:r>
        <w:rPr>
          <w:rFonts w:eastAsia="Times New Roman"/>
          <w:color w:val="000000"/>
          <w:sz w:val="20"/>
          <w:szCs w:val="20"/>
        </w:rPr>
        <w:t xml:space="preserve">The </w:t>
      </w:r>
      <w:r>
        <w:rPr>
          <w:rFonts w:eastAsia="Times New Roman"/>
          <w:color w:val="000000"/>
          <w:sz w:val="20"/>
          <w:szCs w:val="20"/>
        </w:rPr>
        <w:t>Option Notes contain redemption provisions whereby, upon the occurrence of certain change of control transactions, a holder would have the right to require the Company to redeem all or any portion of such holder's outstanding Option Notes for cash at a pri</w:t>
      </w:r>
      <w:r>
        <w:rPr>
          <w:rFonts w:eastAsia="Times New Roman"/>
          <w:color w:val="000000"/>
          <w:sz w:val="20"/>
          <w:szCs w:val="20"/>
        </w:rPr>
        <w:t>ce determined in accordance with the terms of the Option Notes. Management evaluated the make-whole change of control redemption feature and determined that it represented an embedded derivative that must be bifurcated and accounted for separately from the</w:t>
      </w:r>
      <w:r>
        <w:rPr>
          <w:rFonts w:eastAsia="Times New Roman"/>
          <w:color w:val="000000"/>
          <w:sz w:val="20"/>
          <w:szCs w:val="20"/>
        </w:rPr>
        <w:t xml:space="preserve"> Option Notes. The make-whole change of control derivative is treated as a liability, initially measured at fair value with subsequent changes in fair value recorded in earnings. Management utilized a probability-adjusted binomial lattice model to determin</w:t>
      </w:r>
      <w:r>
        <w:rPr>
          <w:rFonts w:eastAsia="Times New Roman"/>
          <w:color w:val="000000"/>
          <w:sz w:val="20"/>
          <w:szCs w:val="20"/>
        </w:rPr>
        <w:t>e the fair value of the make-whole change of control derivative, with the following key assumptions:</w:t>
      </w:r>
    </w:p>
    <w:p w14:paraId="467B651D" w14:textId="77777777" w:rsidR="00000000" w:rsidRDefault="00E614A4">
      <w:pPr>
        <w:ind w:hanging="360"/>
        <w:jc w:val="both"/>
        <w:divId w:val="926770230"/>
        <w:rPr>
          <w:rFonts w:eastAsia="Times New Roman"/>
        </w:rPr>
      </w:pPr>
      <w:r>
        <w:rPr>
          <w:rFonts w:eastAsia="Times New Roman"/>
          <w:color w:val="000000"/>
          <w:sz w:val="20"/>
          <w:szCs w:val="20"/>
        </w:rPr>
        <w:t>•</w:t>
      </w:r>
      <w:r>
        <w:rPr>
          <w:rFonts w:eastAsia="Times New Roman"/>
          <w:i/>
          <w:iCs/>
          <w:color w:val="000000"/>
          <w:sz w:val="20"/>
          <w:szCs w:val="20"/>
        </w:rPr>
        <w:t>Probability</w:t>
      </w:r>
      <w:r>
        <w:rPr>
          <w:rFonts w:eastAsia="Times New Roman"/>
          <w:color w:val="000000"/>
          <w:sz w:val="20"/>
          <w:szCs w:val="20"/>
        </w:rPr>
        <w:t xml:space="preserve">: The Company utilized a range between 0% and 10% to estimate the likelihood of occurrence. </w:t>
      </w:r>
    </w:p>
    <w:p w14:paraId="06E2E494" w14:textId="77777777" w:rsidR="00000000" w:rsidRDefault="00E614A4">
      <w:pPr>
        <w:ind w:hanging="360"/>
        <w:jc w:val="both"/>
        <w:divId w:val="566887283"/>
        <w:rPr>
          <w:rFonts w:eastAsia="Times New Roman"/>
        </w:rPr>
      </w:pPr>
      <w:r>
        <w:rPr>
          <w:rFonts w:eastAsia="Times New Roman"/>
          <w:color w:val="000000"/>
          <w:sz w:val="20"/>
          <w:szCs w:val="20"/>
        </w:rPr>
        <w:t>•</w:t>
      </w:r>
      <w:r>
        <w:rPr>
          <w:rFonts w:eastAsia="Times New Roman"/>
          <w:i/>
          <w:iCs/>
          <w:color w:val="000000"/>
          <w:sz w:val="20"/>
          <w:szCs w:val="20"/>
        </w:rPr>
        <w:t>Term</w:t>
      </w:r>
      <w:r>
        <w:rPr>
          <w:rFonts w:eastAsia="Times New Roman"/>
          <w:color w:val="000000"/>
          <w:sz w:val="20"/>
          <w:szCs w:val="20"/>
        </w:rPr>
        <w:t>: Based on the time period of the feature, 3.</w:t>
      </w:r>
      <w:r>
        <w:rPr>
          <w:rFonts w:eastAsia="Times New Roman"/>
          <w:color w:val="000000"/>
          <w:sz w:val="20"/>
          <w:szCs w:val="20"/>
        </w:rPr>
        <w:t xml:space="preserve">7 years. </w:t>
      </w:r>
    </w:p>
    <w:p w14:paraId="4967A97A" w14:textId="77777777" w:rsidR="00000000" w:rsidRDefault="00E614A4">
      <w:pPr>
        <w:ind w:hanging="360"/>
        <w:jc w:val="both"/>
        <w:divId w:val="1483504000"/>
        <w:rPr>
          <w:rFonts w:eastAsia="Times New Roman"/>
        </w:rPr>
      </w:pPr>
      <w:r>
        <w:rPr>
          <w:rFonts w:eastAsia="Times New Roman"/>
          <w:color w:val="000000"/>
          <w:sz w:val="20"/>
          <w:szCs w:val="20"/>
        </w:rPr>
        <w:t>•</w:t>
      </w:r>
      <w:r>
        <w:rPr>
          <w:rFonts w:eastAsia="Times New Roman"/>
          <w:i/>
          <w:iCs/>
          <w:color w:val="000000"/>
          <w:sz w:val="20"/>
          <w:szCs w:val="20"/>
        </w:rPr>
        <w:t>Risk Free Rate</w:t>
      </w:r>
      <w:r>
        <w:rPr>
          <w:rFonts w:eastAsia="Times New Roman"/>
          <w:color w:val="000000"/>
          <w:sz w:val="20"/>
          <w:szCs w:val="20"/>
        </w:rPr>
        <w:t>: Assumed to be 2.8</w:t>
      </w:r>
      <w:r>
        <w:rPr>
          <w:rFonts w:eastAsia="Times New Roman"/>
          <w:color w:val="000000"/>
          <w:sz w:val="20"/>
          <w:szCs w:val="20"/>
        </w:rPr>
        <w:t>% based on U.S. Treasury bonds on the valuation date with a term commensurate with the remaining life of the change of control derivative.</w:t>
      </w:r>
    </w:p>
    <w:p w14:paraId="28DD9180" w14:textId="77777777" w:rsidR="00000000" w:rsidRDefault="00E614A4">
      <w:pPr>
        <w:jc w:val="both"/>
        <w:divId w:val="1344162728"/>
        <w:rPr>
          <w:rFonts w:eastAsia="Times New Roman"/>
        </w:rPr>
      </w:pPr>
      <w:r>
        <w:rPr>
          <w:rFonts w:eastAsia="Times New Roman"/>
          <w:color w:val="000000"/>
          <w:sz w:val="20"/>
          <w:szCs w:val="20"/>
        </w:rPr>
        <w:t xml:space="preserve">Based on the binomial lattice model, the Company determined the fair value of the make-whole redemption provision as </w:t>
      </w:r>
      <w:r>
        <w:rPr>
          <w:rFonts w:eastAsia="Times New Roman"/>
          <w:color w:val="000000"/>
          <w:sz w:val="20"/>
          <w:szCs w:val="20"/>
        </w:rPr>
        <w:t>of May 17, 2018 to be $1.2 million. The fair value was recognized as an issuance discount of the Option Notes at inception. See "Notes Modifications" below.</w:t>
      </w:r>
    </w:p>
    <w:p w14:paraId="5723AFB8" w14:textId="77777777" w:rsidR="00000000" w:rsidRDefault="00E614A4">
      <w:pPr>
        <w:jc w:val="both"/>
        <w:divId w:val="67967528"/>
        <w:rPr>
          <w:rFonts w:eastAsia="Times New Roman"/>
        </w:rPr>
      </w:pPr>
      <w:r>
        <w:rPr>
          <w:rFonts w:eastAsia="Times New Roman"/>
          <w:color w:val="000000"/>
          <w:sz w:val="20"/>
          <w:szCs w:val="20"/>
        </w:rPr>
        <w:t>The cash proceeds and Common Stock received by the Company in exchange for the Option Notes were ne</w:t>
      </w:r>
      <w:r>
        <w:rPr>
          <w:rFonts w:eastAsia="Times New Roman"/>
          <w:color w:val="000000"/>
          <w:sz w:val="20"/>
          <w:szCs w:val="20"/>
        </w:rPr>
        <w:t xml:space="preserve">t of a $3.1 million issuance discount and $0.2 million in third-party deferred financing costs. </w:t>
      </w:r>
    </w:p>
    <w:p w14:paraId="0F1905FB" w14:textId="77777777" w:rsidR="00000000" w:rsidRDefault="00E614A4">
      <w:pPr>
        <w:jc w:val="both"/>
        <w:divId w:val="202862644"/>
        <w:rPr>
          <w:rFonts w:eastAsia="Times New Roman"/>
        </w:rPr>
      </w:pPr>
      <w:r>
        <w:rPr>
          <w:rFonts w:eastAsia="Times New Roman"/>
          <w:color w:val="000000"/>
          <w:sz w:val="20"/>
          <w:szCs w:val="20"/>
        </w:rPr>
        <w:t>On August 8, 2018, the Company and Starboard entered into an amendment to the outstanding Notes to reduce the requirement to maintain certain minimum cash bala</w:t>
      </w:r>
      <w:r>
        <w:rPr>
          <w:rFonts w:eastAsia="Times New Roman"/>
          <w:color w:val="000000"/>
          <w:sz w:val="20"/>
          <w:szCs w:val="20"/>
        </w:rPr>
        <w:t>nces. In connection with the modification, the Company issued to Starboard $2.0 million in additional aggregate principal amount of senior secured convertible notes, $0.5 million of which was classified as additional Option Notes. The terms of the addition</w:t>
      </w:r>
      <w:r>
        <w:rPr>
          <w:rFonts w:eastAsia="Times New Roman"/>
          <w:color w:val="000000"/>
          <w:sz w:val="20"/>
          <w:szCs w:val="20"/>
        </w:rPr>
        <w:t xml:space="preserve">al notes are identical to the terms of the Option Notes, except with regard to the date from which interest began to accrue thereon, which is August 8, 2018. </w:t>
      </w:r>
    </w:p>
    <w:p w14:paraId="4E072362" w14:textId="77777777" w:rsidR="00000000" w:rsidRDefault="00E614A4">
      <w:pPr>
        <w:jc w:val="both"/>
        <w:divId w:val="884606163"/>
        <w:rPr>
          <w:rFonts w:eastAsia="Times New Roman"/>
        </w:rPr>
      </w:pPr>
      <w:r>
        <w:rPr>
          <w:rFonts w:eastAsia="Times New Roman"/>
          <w:color w:val="000000"/>
          <w:sz w:val="20"/>
          <w:szCs w:val="20"/>
        </w:rPr>
        <w:t>Additional modifications to the Option Notes are described under "Notes Modifications" below.</w:t>
      </w:r>
    </w:p>
    <w:p w14:paraId="02E53F19" w14:textId="77777777" w:rsidR="00000000" w:rsidRDefault="00E614A4">
      <w:pPr>
        <w:jc w:val="both"/>
        <w:divId w:val="734936542"/>
        <w:rPr>
          <w:rFonts w:eastAsia="Times New Roman"/>
        </w:rPr>
      </w:pPr>
      <w:r>
        <w:rPr>
          <w:rFonts w:eastAsia="Times New Roman"/>
          <w:b/>
          <w:bCs/>
          <w:i/>
          <w:iCs/>
          <w:color w:val="000000"/>
          <w:sz w:val="20"/>
          <w:szCs w:val="20"/>
        </w:rPr>
        <w:t>Not</w:t>
      </w:r>
      <w:r>
        <w:rPr>
          <w:rFonts w:eastAsia="Times New Roman"/>
          <w:b/>
          <w:bCs/>
          <w:i/>
          <w:iCs/>
          <w:color w:val="000000"/>
          <w:sz w:val="20"/>
          <w:szCs w:val="20"/>
        </w:rPr>
        <w:t>es Modifications</w:t>
      </w:r>
    </w:p>
    <w:p w14:paraId="2FB2430D" w14:textId="77777777" w:rsidR="00000000" w:rsidRDefault="00E614A4">
      <w:pPr>
        <w:jc w:val="both"/>
        <w:divId w:val="86587454"/>
        <w:rPr>
          <w:rFonts w:eastAsia="Times New Roman"/>
        </w:rPr>
      </w:pPr>
      <w:r>
        <w:rPr>
          <w:rFonts w:eastAsia="Times New Roman"/>
          <w:color w:val="000000"/>
          <w:sz w:val="20"/>
          <w:szCs w:val="20"/>
        </w:rPr>
        <w:t xml:space="preserve">In accordance with the amendments described above, the minimum cash balance under the Notes covenant increased to $40.0 million upon filing of the Company's quarterly report on Form 10-Q on August 6, 2019. </w:t>
      </w:r>
    </w:p>
    <w:p w14:paraId="64C32091" w14:textId="77777777" w:rsidR="00000000" w:rsidRDefault="00E614A4">
      <w:pPr>
        <w:jc w:val="both"/>
        <w:divId w:val="692999988"/>
        <w:rPr>
          <w:rFonts w:eastAsia="Times New Roman"/>
        </w:rPr>
      </w:pPr>
      <w:r>
        <w:rPr>
          <w:rFonts w:eastAsia="Times New Roman"/>
          <w:color w:val="000000"/>
          <w:sz w:val="20"/>
          <w:szCs w:val="20"/>
        </w:rPr>
        <w:t>On November 6, 2019, the Company</w:t>
      </w:r>
      <w:r>
        <w:rPr>
          <w:rFonts w:eastAsia="Times New Roman"/>
          <w:color w:val="000000"/>
          <w:sz w:val="20"/>
          <w:szCs w:val="20"/>
        </w:rPr>
        <w:t xml:space="preserve"> and Starboard entered into an additional amendment to the Notes. The terms of the Notes were amended to provide the Company with an optional redemption right, whereby, in connection with a qualifying change of control pursuant to documentation entered int</w:t>
      </w:r>
      <w:r>
        <w:rPr>
          <w:rFonts w:eastAsia="Times New Roman"/>
          <w:color w:val="000000"/>
          <w:sz w:val="20"/>
          <w:szCs w:val="20"/>
        </w:rPr>
        <w:t>o no later than August 5, 2020, the Company had the right to redeem the Notes in full in cash at a price equal to the sum of (i) the aggregate outstanding principal amount of the Notes, as of the consummation of the qualifying change of control, (ii) accru</w:t>
      </w:r>
      <w:r>
        <w:rPr>
          <w:rFonts w:eastAsia="Times New Roman"/>
          <w:color w:val="000000"/>
          <w:sz w:val="20"/>
          <w:szCs w:val="20"/>
        </w:rPr>
        <w:t>ed interest, (iii) any other amounts owed pursuant to the Notes, and (iv) a 20% premium on the aggregate outstanding principal amount of the Notes (the "qualifying change of control redemption"). The amendment also provided for an adjustment to the minimum</w:t>
      </w:r>
      <w:r>
        <w:rPr>
          <w:rFonts w:eastAsia="Times New Roman"/>
          <w:color w:val="000000"/>
          <w:sz w:val="20"/>
          <w:szCs w:val="20"/>
        </w:rPr>
        <w:t xml:space="preserve"> cash balance required to be maintained by the Company. Upon execution of documentation providing for a qualifying change of control, the $40.0 million minimum cash balance would be reduced, on a dollar for dollar basis, for each dollar of cash interest pa</w:t>
      </w:r>
      <w:r>
        <w:rPr>
          <w:rFonts w:eastAsia="Times New Roman"/>
          <w:color w:val="000000"/>
          <w:sz w:val="20"/>
          <w:szCs w:val="20"/>
        </w:rPr>
        <w:t xml:space="preserve">id to the holders of the Notes, subject to a $20.0 million minimum, until consummation of the qualifying change in control or, upon termination of the change in control, the shorter of 90 days after such termination or the consummation of a financing that </w:t>
      </w:r>
      <w:r>
        <w:rPr>
          <w:rFonts w:eastAsia="Times New Roman"/>
          <w:color w:val="000000"/>
          <w:sz w:val="20"/>
          <w:szCs w:val="20"/>
        </w:rPr>
        <w:t>would enable the Company to maintain a minimum cash balance of $40.0 million. The amendment also modified the provisions of the Registration Rights Agreement between the Company and Starboard by revising the grace periods during which the Company would not</w:t>
      </w:r>
      <w:r>
        <w:rPr>
          <w:rFonts w:eastAsia="Times New Roman"/>
          <w:color w:val="000000"/>
          <w:sz w:val="20"/>
          <w:szCs w:val="20"/>
        </w:rPr>
        <w:t xml:space="preserve"> be obligated to keep applicable registration statements available for use by Starboard.</w:t>
      </w:r>
    </w:p>
    <w:p w14:paraId="2CC53929" w14:textId="77777777" w:rsidR="00000000" w:rsidRDefault="00E614A4">
      <w:pPr>
        <w:jc w:val="both"/>
        <w:divId w:val="1958027246"/>
        <w:rPr>
          <w:rFonts w:eastAsia="Times New Roman"/>
        </w:rPr>
      </w:pPr>
      <w:r>
        <w:rPr>
          <w:rFonts w:eastAsia="Times New Roman"/>
          <w:color w:val="000000"/>
          <w:sz w:val="20"/>
          <w:szCs w:val="20"/>
        </w:rPr>
        <w:t>Management evaluated the qualifying change of control redemption feature, described above, and determined that it represented an embedded derivative that must be bifur</w:t>
      </w:r>
      <w:r>
        <w:rPr>
          <w:rFonts w:eastAsia="Times New Roman"/>
          <w:color w:val="000000"/>
          <w:sz w:val="20"/>
          <w:szCs w:val="20"/>
        </w:rPr>
        <w:t>cated and accounted for separately from the Notes. The qualifying change of control derivative is treated as a liability, initially measured at fair value with subsequent changes in fair value recorded in earnings. Management utilized a discounted cash flo</w:t>
      </w:r>
      <w:r>
        <w:rPr>
          <w:rFonts w:eastAsia="Times New Roman"/>
          <w:color w:val="000000"/>
          <w:sz w:val="20"/>
          <w:szCs w:val="20"/>
        </w:rPr>
        <w:t>w model to determine the fair value of the qualifying change of control derivative, with the following key assumptions:</w:t>
      </w:r>
    </w:p>
    <w:p w14:paraId="252EB59C" w14:textId="77777777" w:rsidR="00000000" w:rsidRDefault="00E614A4">
      <w:pPr>
        <w:ind w:hanging="360"/>
        <w:jc w:val="both"/>
        <w:divId w:val="62488516"/>
        <w:rPr>
          <w:rFonts w:eastAsia="Times New Roman"/>
        </w:rPr>
      </w:pPr>
      <w:r>
        <w:rPr>
          <w:rFonts w:eastAsia="Times New Roman"/>
          <w:color w:val="000000"/>
          <w:sz w:val="20"/>
          <w:szCs w:val="20"/>
        </w:rPr>
        <w:t>•</w:t>
      </w:r>
      <w:r>
        <w:rPr>
          <w:rFonts w:eastAsia="Times New Roman"/>
          <w:i/>
          <w:iCs/>
          <w:color w:val="000000"/>
          <w:sz w:val="20"/>
          <w:szCs w:val="20"/>
        </w:rPr>
        <w:t>Probability</w:t>
      </w:r>
      <w:r>
        <w:rPr>
          <w:rFonts w:eastAsia="Times New Roman"/>
          <w:color w:val="000000"/>
          <w:sz w:val="20"/>
          <w:szCs w:val="20"/>
        </w:rPr>
        <w:t xml:space="preserve">: The Company utilized a range between 0% and 5% to estimate the likelihood of occurrence. </w:t>
      </w:r>
    </w:p>
    <w:p w14:paraId="0BF9E1BD" w14:textId="77777777" w:rsidR="00000000" w:rsidRDefault="00E614A4">
      <w:pPr>
        <w:ind w:hanging="360"/>
        <w:jc w:val="both"/>
        <w:divId w:val="980118925"/>
        <w:rPr>
          <w:rFonts w:eastAsia="Times New Roman"/>
        </w:rPr>
      </w:pPr>
      <w:r>
        <w:rPr>
          <w:rFonts w:eastAsia="Times New Roman"/>
          <w:color w:val="000000"/>
          <w:sz w:val="20"/>
          <w:szCs w:val="20"/>
        </w:rPr>
        <w:t>•</w:t>
      </w:r>
      <w:r>
        <w:rPr>
          <w:rFonts w:eastAsia="Times New Roman"/>
          <w:i/>
          <w:iCs/>
          <w:color w:val="000000"/>
          <w:sz w:val="20"/>
          <w:szCs w:val="20"/>
        </w:rPr>
        <w:t>Term</w:t>
      </w:r>
      <w:r>
        <w:rPr>
          <w:rFonts w:eastAsia="Times New Roman"/>
          <w:color w:val="000000"/>
          <w:sz w:val="20"/>
          <w:szCs w:val="20"/>
        </w:rPr>
        <w:t xml:space="preserve">: Based on the time period </w:t>
      </w:r>
      <w:r>
        <w:rPr>
          <w:rFonts w:eastAsia="Times New Roman"/>
          <w:color w:val="000000"/>
          <w:sz w:val="20"/>
          <w:szCs w:val="20"/>
        </w:rPr>
        <w:t xml:space="preserve">of the feature, 0.7 years. </w:t>
      </w:r>
    </w:p>
    <w:p w14:paraId="0C55CEC1" w14:textId="77777777" w:rsidR="00000000" w:rsidRDefault="00E614A4">
      <w:pPr>
        <w:ind w:hanging="360"/>
        <w:jc w:val="both"/>
        <w:divId w:val="1803419853"/>
        <w:rPr>
          <w:rFonts w:eastAsia="Times New Roman"/>
        </w:rPr>
      </w:pPr>
      <w:r>
        <w:rPr>
          <w:rFonts w:eastAsia="Times New Roman"/>
          <w:color w:val="000000"/>
          <w:sz w:val="20"/>
          <w:szCs w:val="20"/>
        </w:rPr>
        <w:t>•</w:t>
      </w:r>
      <w:r>
        <w:rPr>
          <w:rFonts w:eastAsia="Times New Roman"/>
          <w:i/>
          <w:iCs/>
          <w:color w:val="000000"/>
          <w:sz w:val="20"/>
          <w:szCs w:val="20"/>
        </w:rPr>
        <w:t>Credit Adjusted Discount Rate</w:t>
      </w:r>
      <w:r>
        <w:rPr>
          <w:rFonts w:eastAsia="Times New Roman"/>
          <w:color w:val="000000"/>
          <w:sz w:val="20"/>
          <w:szCs w:val="20"/>
        </w:rPr>
        <w:t xml:space="preserve">: The Company estimated a market-based discount rate of 25.0%. </w:t>
      </w:r>
    </w:p>
    <w:p w14:paraId="52E97357" w14:textId="77777777" w:rsidR="00000000" w:rsidRDefault="00E614A4">
      <w:pPr>
        <w:jc w:val="both"/>
        <w:divId w:val="991258357"/>
        <w:rPr>
          <w:rFonts w:eastAsia="Times New Roman"/>
        </w:rPr>
      </w:pPr>
      <w:r>
        <w:rPr>
          <w:rFonts w:eastAsia="Times New Roman"/>
          <w:color w:val="000000"/>
          <w:sz w:val="20"/>
          <w:szCs w:val="20"/>
        </w:rPr>
        <w:t>Based on the discounted cash flow model, the Company determined the fair value of the qualifying change of control redemption provisio</w:t>
      </w:r>
      <w:r>
        <w:rPr>
          <w:rFonts w:eastAsia="Times New Roman"/>
          <w:color w:val="000000"/>
          <w:sz w:val="20"/>
          <w:szCs w:val="20"/>
        </w:rPr>
        <w:t>n as of November 6, 2019 to be $1.2 million.</w:t>
      </w:r>
    </w:p>
    <w:p w14:paraId="60FAB768" w14:textId="77777777" w:rsidR="00000000" w:rsidRDefault="00E614A4">
      <w:pPr>
        <w:jc w:val="center"/>
        <w:divId w:val="1726441999"/>
        <w:rPr>
          <w:rFonts w:eastAsia="Times New Roman"/>
        </w:rPr>
      </w:pPr>
      <w:r>
        <w:rPr>
          <w:rFonts w:eastAsia="Times New Roman"/>
          <w:color w:val="000000"/>
          <w:sz w:val="20"/>
          <w:szCs w:val="20"/>
        </w:rPr>
        <w:t>79</w:t>
      </w:r>
    </w:p>
    <w:p w14:paraId="0D5AF2B7" w14:textId="77777777" w:rsidR="00000000" w:rsidRDefault="00E614A4">
      <w:pPr>
        <w:rPr>
          <w:rFonts w:eastAsia="Times New Roman"/>
        </w:rPr>
      </w:pPr>
      <w:r>
        <w:rPr>
          <w:rFonts w:eastAsia="Times New Roman"/>
        </w:rPr>
        <w:pict w14:anchorId="0E8C3929">
          <v:rect id="_x0000_i1107" style="width:0;height:1.5pt" o:hralign="center" o:hrstd="t" o:hr="t" fillcolor="#a0a0a0" stroked="f"/>
        </w:pict>
      </w:r>
    </w:p>
    <w:p w14:paraId="751E1977" w14:textId="77777777" w:rsidR="00000000" w:rsidRDefault="00E614A4">
      <w:pPr>
        <w:divId w:val="1970167192"/>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EC3D2E8" w14:textId="77777777" w:rsidR="00000000" w:rsidRDefault="00E614A4">
      <w:pPr>
        <w:divId w:val="1136491928"/>
        <w:rPr>
          <w:rFonts w:eastAsia="Times New Roman"/>
        </w:rPr>
      </w:pPr>
    </w:p>
    <w:p w14:paraId="597EDEAE" w14:textId="77777777" w:rsidR="00000000" w:rsidRDefault="00E614A4">
      <w:pPr>
        <w:jc w:val="both"/>
        <w:divId w:val="642201500"/>
        <w:rPr>
          <w:rFonts w:eastAsia="Times New Roman"/>
        </w:rPr>
      </w:pPr>
      <w:r>
        <w:rPr>
          <w:rFonts w:eastAsia="Times New Roman"/>
          <w:color w:val="000000"/>
          <w:sz w:val="20"/>
          <w:szCs w:val="20"/>
        </w:rPr>
        <w:t>In deter</w:t>
      </w:r>
      <w:r>
        <w:rPr>
          <w:rFonts w:eastAsia="Times New Roman"/>
          <w:color w:val="000000"/>
          <w:sz w:val="20"/>
          <w:szCs w:val="20"/>
        </w:rPr>
        <w:t>mining the amount to be recognized as an issuance discount of the Notes, the Company compared the fair value of the make-whole change of control redemption option of $2.2 million as of November 6, 2019 to the combined value of the make-whole and qualifying</w:t>
      </w:r>
      <w:r>
        <w:rPr>
          <w:rFonts w:eastAsia="Times New Roman"/>
          <w:color w:val="000000"/>
          <w:sz w:val="20"/>
          <w:szCs w:val="20"/>
        </w:rPr>
        <w:t xml:space="preserve"> change of control redemption options immediately after the modification. The combined value of both redemption options after modification was $2.8 million. The difference in fair value of $0.6 million is combined with the existing unamortized discount of </w:t>
      </w:r>
      <w:r>
        <w:rPr>
          <w:rFonts w:eastAsia="Times New Roman"/>
          <w:color w:val="000000"/>
          <w:sz w:val="20"/>
          <w:szCs w:val="20"/>
        </w:rPr>
        <w:t>the Notes on the modification date and is amortized to interest expense over the remaining term of the modified debt. The Company recorded an additional $0.6 million in derivative liabilities due to this modification. The qualifying change of control redem</w:t>
      </w:r>
      <w:r>
        <w:rPr>
          <w:rFonts w:eastAsia="Times New Roman"/>
          <w:color w:val="000000"/>
          <w:sz w:val="20"/>
          <w:szCs w:val="20"/>
        </w:rPr>
        <w:t>ption derivative liability expired on August 5, 2020.</w:t>
      </w:r>
    </w:p>
    <w:p w14:paraId="73318F3A" w14:textId="77777777" w:rsidR="00000000" w:rsidRDefault="00E614A4">
      <w:pPr>
        <w:jc w:val="both"/>
        <w:divId w:val="1671907735"/>
        <w:rPr>
          <w:rFonts w:eastAsia="Times New Roman"/>
        </w:rPr>
      </w:pPr>
      <w:r>
        <w:rPr>
          <w:rFonts w:eastAsia="Times New Roman"/>
          <w:color w:val="000000"/>
          <w:sz w:val="20"/>
          <w:szCs w:val="20"/>
        </w:rPr>
        <w:t>The balance of the Notes as of December 31, 2020 and December 31, 2019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576"/>
        <w:gridCol w:w="36"/>
        <w:gridCol w:w="56"/>
        <w:gridCol w:w="630"/>
        <w:gridCol w:w="36"/>
        <w:gridCol w:w="36"/>
        <w:gridCol w:w="36"/>
        <w:gridCol w:w="36"/>
        <w:gridCol w:w="63"/>
        <w:gridCol w:w="623"/>
        <w:gridCol w:w="36"/>
        <w:gridCol w:w="36"/>
        <w:gridCol w:w="36"/>
        <w:gridCol w:w="36"/>
        <w:gridCol w:w="110"/>
        <w:gridCol w:w="672"/>
        <w:gridCol w:w="36"/>
        <w:gridCol w:w="36"/>
        <w:gridCol w:w="36"/>
        <w:gridCol w:w="36"/>
        <w:gridCol w:w="110"/>
        <w:gridCol w:w="673"/>
        <w:gridCol w:w="36"/>
        <w:gridCol w:w="36"/>
        <w:gridCol w:w="36"/>
        <w:gridCol w:w="36"/>
        <w:gridCol w:w="111"/>
        <w:gridCol w:w="673"/>
        <w:gridCol w:w="36"/>
        <w:gridCol w:w="36"/>
        <w:gridCol w:w="36"/>
        <w:gridCol w:w="36"/>
        <w:gridCol w:w="110"/>
        <w:gridCol w:w="674"/>
        <w:gridCol w:w="36"/>
        <w:gridCol w:w="36"/>
        <w:gridCol w:w="36"/>
        <w:gridCol w:w="36"/>
        <w:gridCol w:w="36"/>
        <w:gridCol w:w="36"/>
        <w:gridCol w:w="36"/>
        <w:gridCol w:w="36"/>
        <w:gridCol w:w="36"/>
        <w:gridCol w:w="36"/>
        <w:gridCol w:w="36"/>
        <w:gridCol w:w="36"/>
      </w:tblGrid>
      <w:tr w:rsidR="00000000" w14:paraId="540D18BC" w14:textId="77777777">
        <w:trPr>
          <w:divId w:val="503714980"/>
          <w:jc w:val="center"/>
        </w:trPr>
        <w:tc>
          <w:tcPr>
            <w:tcW w:w="50" w:type="pct"/>
            <w:vAlign w:val="center"/>
            <w:hideMark/>
          </w:tcPr>
          <w:p w14:paraId="4F5091FD" w14:textId="77777777" w:rsidR="00000000" w:rsidRDefault="00E614A4">
            <w:pPr>
              <w:jc w:val="both"/>
              <w:rPr>
                <w:rFonts w:eastAsia="Times New Roman"/>
              </w:rPr>
            </w:pPr>
          </w:p>
        </w:tc>
        <w:tc>
          <w:tcPr>
            <w:tcW w:w="1681" w:type="pct"/>
            <w:vAlign w:val="center"/>
            <w:hideMark/>
          </w:tcPr>
          <w:p w14:paraId="60FD82BB" w14:textId="77777777" w:rsidR="00000000" w:rsidRDefault="00E614A4">
            <w:pPr>
              <w:rPr>
                <w:rFonts w:eastAsia="Times New Roman"/>
                <w:sz w:val="20"/>
                <w:szCs w:val="20"/>
              </w:rPr>
            </w:pPr>
          </w:p>
        </w:tc>
        <w:tc>
          <w:tcPr>
            <w:tcW w:w="5" w:type="pct"/>
            <w:vAlign w:val="center"/>
            <w:hideMark/>
          </w:tcPr>
          <w:p w14:paraId="788D2861" w14:textId="77777777" w:rsidR="00000000" w:rsidRDefault="00E614A4">
            <w:pPr>
              <w:rPr>
                <w:rFonts w:eastAsia="Times New Roman"/>
                <w:sz w:val="20"/>
                <w:szCs w:val="20"/>
              </w:rPr>
            </w:pPr>
          </w:p>
        </w:tc>
        <w:tc>
          <w:tcPr>
            <w:tcW w:w="50" w:type="pct"/>
            <w:vAlign w:val="center"/>
            <w:hideMark/>
          </w:tcPr>
          <w:p w14:paraId="5A531962" w14:textId="77777777" w:rsidR="00000000" w:rsidRDefault="00E614A4">
            <w:pPr>
              <w:rPr>
                <w:rFonts w:eastAsia="Times New Roman"/>
                <w:sz w:val="20"/>
                <w:szCs w:val="20"/>
              </w:rPr>
            </w:pPr>
          </w:p>
        </w:tc>
        <w:tc>
          <w:tcPr>
            <w:tcW w:w="465" w:type="pct"/>
            <w:vAlign w:val="center"/>
            <w:hideMark/>
          </w:tcPr>
          <w:p w14:paraId="4101A017" w14:textId="77777777" w:rsidR="00000000" w:rsidRDefault="00E614A4">
            <w:pPr>
              <w:rPr>
                <w:rFonts w:eastAsia="Times New Roman"/>
                <w:sz w:val="20"/>
                <w:szCs w:val="20"/>
              </w:rPr>
            </w:pPr>
          </w:p>
        </w:tc>
        <w:tc>
          <w:tcPr>
            <w:tcW w:w="5" w:type="pct"/>
            <w:vAlign w:val="center"/>
            <w:hideMark/>
          </w:tcPr>
          <w:p w14:paraId="766763E0" w14:textId="77777777" w:rsidR="00000000" w:rsidRDefault="00E614A4">
            <w:pPr>
              <w:rPr>
                <w:rFonts w:eastAsia="Times New Roman"/>
                <w:sz w:val="20"/>
                <w:szCs w:val="20"/>
              </w:rPr>
            </w:pPr>
          </w:p>
        </w:tc>
        <w:tc>
          <w:tcPr>
            <w:tcW w:w="5" w:type="pct"/>
            <w:vAlign w:val="center"/>
            <w:hideMark/>
          </w:tcPr>
          <w:p w14:paraId="776F7A30" w14:textId="77777777" w:rsidR="00000000" w:rsidRDefault="00E614A4">
            <w:pPr>
              <w:rPr>
                <w:rFonts w:eastAsia="Times New Roman"/>
                <w:sz w:val="20"/>
                <w:szCs w:val="20"/>
              </w:rPr>
            </w:pPr>
          </w:p>
        </w:tc>
        <w:tc>
          <w:tcPr>
            <w:tcW w:w="17" w:type="pct"/>
            <w:vAlign w:val="center"/>
            <w:hideMark/>
          </w:tcPr>
          <w:p w14:paraId="0AAF8059" w14:textId="77777777" w:rsidR="00000000" w:rsidRDefault="00E614A4">
            <w:pPr>
              <w:rPr>
                <w:rFonts w:eastAsia="Times New Roman"/>
                <w:sz w:val="20"/>
                <w:szCs w:val="20"/>
              </w:rPr>
            </w:pPr>
          </w:p>
        </w:tc>
        <w:tc>
          <w:tcPr>
            <w:tcW w:w="5" w:type="pct"/>
            <w:vAlign w:val="center"/>
            <w:hideMark/>
          </w:tcPr>
          <w:p w14:paraId="09DB8205" w14:textId="77777777" w:rsidR="00000000" w:rsidRDefault="00E614A4">
            <w:pPr>
              <w:rPr>
                <w:rFonts w:eastAsia="Times New Roman"/>
                <w:sz w:val="20"/>
                <w:szCs w:val="20"/>
              </w:rPr>
            </w:pPr>
          </w:p>
        </w:tc>
        <w:tc>
          <w:tcPr>
            <w:tcW w:w="50" w:type="pct"/>
            <w:vAlign w:val="center"/>
            <w:hideMark/>
          </w:tcPr>
          <w:p w14:paraId="4517A952" w14:textId="77777777" w:rsidR="00000000" w:rsidRDefault="00E614A4">
            <w:pPr>
              <w:rPr>
                <w:rFonts w:eastAsia="Times New Roman"/>
                <w:sz w:val="20"/>
                <w:szCs w:val="20"/>
              </w:rPr>
            </w:pPr>
          </w:p>
        </w:tc>
        <w:tc>
          <w:tcPr>
            <w:tcW w:w="465" w:type="pct"/>
            <w:vAlign w:val="center"/>
            <w:hideMark/>
          </w:tcPr>
          <w:p w14:paraId="37C78EC6" w14:textId="77777777" w:rsidR="00000000" w:rsidRDefault="00E614A4">
            <w:pPr>
              <w:rPr>
                <w:rFonts w:eastAsia="Times New Roman"/>
                <w:sz w:val="20"/>
                <w:szCs w:val="20"/>
              </w:rPr>
            </w:pPr>
          </w:p>
        </w:tc>
        <w:tc>
          <w:tcPr>
            <w:tcW w:w="5" w:type="pct"/>
            <w:vAlign w:val="center"/>
            <w:hideMark/>
          </w:tcPr>
          <w:p w14:paraId="7DBD0F8D" w14:textId="77777777" w:rsidR="00000000" w:rsidRDefault="00E614A4">
            <w:pPr>
              <w:rPr>
                <w:rFonts w:eastAsia="Times New Roman"/>
                <w:sz w:val="20"/>
                <w:szCs w:val="20"/>
              </w:rPr>
            </w:pPr>
          </w:p>
        </w:tc>
        <w:tc>
          <w:tcPr>
            <w:tcW w:w="5" w:type="pct"/>
            <w:vAlign w:val="center"/>
            <w:hideMark/>
          </w:tcPr>
          <w:p w14:paraId="590A9B51" w14:textId="77777777" w:rsidR="00000000" w:rsidRDefault="00E614A4">
            <w:pPr>
              <w:rPr>
                <w:rFonts w:eastAsia="Times New Roman"/>
                <w:sz w:val="20"/>
                <w:szCs w:val="20"/>
              </w:rPr>
            </w:pPr>
          </w:p>
        </w:tc>
        <w:tc>
          <w:tcPr>
            <w:tcW w:w="17" w:type="pct"/>
            <w:vAlign w:val="center"/>
            <w:hideMark/>
          </w:tcPr>
          <w:p w14:paraId="06F55F73" w14:textId="77777777" w:rsidR="00000000" w:rsidRDefault="00E614A4">
            <w:pPr>
              <w:rPr>
                <w:rFonts w:eastAsia="Times New Roman"/>
                <w:sz w:val="20"/>
                <w:szCs w:val="20"/>
              </w:rPr>
            </w:pPr>
          </w:p>
        </w:tc>
        <w:tc>
          <w:tcPr>
            <w:tcW w:w="5" w:type="pct"/>
            <w:vAlign w:val="center"/>
            <w:hideMark/>
          </w:tcPr>
          <w:p w14:paraId="0E5B7D45" w14:textId="77777777" w:rsidR="00000000" w:rsidRDefault="00E614A4">
            <w:pPr>
              <w:rPr>
                <w:rFonts w:eastAsia="Times New Roman"/>
                <w:sz w:val="20"/>
                <w:szCs w:val="20"/>
              </w:rPr>
            </w:pPr>
          </w:p>
        </w:tc>
        <w:tc>
          <w:tcPr>
            <w:tcW w:w="50" w:type="pct"/>
            <w:vAlign w:val="center"/>
            <w:hideMark/>
          </w:tcPr>
          <w:p w14:paraId="66E18646" w14:textId="77777777" w:rsidR="00000000" w:rsidRDefault="00E614A4">
            <w:pPr>
              <w:rPr>
                <w:rFonts w:eastAsia="Times New Roman"/>
                <w:sz w:val="20"/>
                <w:szCs w:val="20"/>
              </w:rPr>
            </w:pPr>
          </w:p>
        </w:tc>
        <w:tc>
          <w:tcPr>
            <w:tcW w:w="465" w:type="pct"/>
            <w:vAlign w:val="center"/>
            <w:hideMark/>
          </w:tcPr>
          <w:p w14:paraId="74E90CD5" w14:textId="77777777" w:rsidR="00000000" w:rsidRDefault="00E614A4">
            <w:pPr>
              <w:rPr>
                <w:rFonts w:eastAsia="Times New Roman"/>
                <w:sz w:val="20"/>
                <w:szCs w:val="20"/>
              </w:rPr>
            </w:pPr>
          </w:p>
        </w:tc>
        <w:tc>
          <w:tcPr>
            <w:tcW w:w="5" w:type="pct"/>
            <w:vAlign w:val="center"/>
            <w:hideMark/>
          </w:tcPr>
          <w:p w14:paraId="2B9E4CAE" w14:textId="77777777" w:rsidR="00000000" w:rsidRDefault="00E614A4">
            <w:pPr>
              <w:rPr>
                <w:rFonts w:eastAsia="Times New Roman"/>
                <w:sz w:val="20"/>
                <w:szCs w:val="20"/>
              </w:rPr>
            </w:pPr>
          </w:p>
        </w:tc>
        <w:tc>
          <w:tcPr>
            <w:tcW w:w="5" w:type="pct"/>
            <w:vAlign w:val="center"/>
            <w:hideMark/>
          </w:tcPr>
          <w:p w14:paraId="72F06814" w14:textId="77777777" w:rsidR="00000000" w:rsidRDefault="00E614A4">
            <w:pPr>
              <w:rPr>
                <w:rFonts w:eastAsia="Times New Roman"/>
                <w:sz w:val="20"/>
                <w:szCs w:val="20"/>
              </w:rPr>
            </w:pPr>
          </w:p>
        </w:tc>
        <w:tc>
          <w:tcPr>
            <w:tcW w:w="17" w:type="pct"/>
            <w:vAlign w:val="center"/>
            <w:hideMark/>
          </w:tcPr>
          <w:p w14:paraId="0BD5C24D" w14:textId="77777777" w:rsidR="00000000" w:rsidRDefault="00E614A4">
            <w:pPr>
              <w:rPr>
                <w:rFonts w:eastAsia="Times New Roman"/>
                <w:sz w:val="20"/>
                <w:szCs w:val="20"/>
              </w:rPr>
            </w:pPr>
          </w:p>
        </w:tc>
        <w:tc>
          <w:tcPr>
            <w:tcW w:w="5" w:type="pct"/>
            <w:vAlign w:val="center"/>
            <w:hideMark/>
          </w:tcPr>
          <w:p w14:paraId="228BC157" w14:textId="77777777" w:rsidR="00000000" w:rsidRDefault="00E614A4">
            <w:pPr>
              <w:rPr>
                <w:rFonts w:eastAsia="Times New Roman"/>
                <w:sz w:val="20"/>
                <w:szCs w:val="20"/>
              </w:rPr>
            </w:pPr>
          </w:p>
        </w:tc>
        <w:tc>
          <w:tcPr>
            <w:tcW w:w="50" w:type="pct"/>
            <w:vAlign w:val="center"/>
            <w:hideMark/>
          </w:tcPr>
          <w:p w14:paraId="6684F760" w14:textId="77777777" w:rsidR="00000000" w:rsidRDefault="00E614A4">
            <w:pPr>
              <w:rPr>
                <w:rFonts w:eastAsia="Times New Roman"/>
                <w:sz w:val="20"/>
                <w:szCs w:val="20"/>
              </w:rPr>
            </w:pPr>
          </w:p>
        </w:tc>
        <w:tc>
          <w:tcPr>
            <w:tcW w:w="465" w:type="pct"/>
            <w:vAlign w:val="center"/>
            <w:hideMark/>
          </w:tcPr>
          <w:p w14:paraId="161316BD" w14:textId="77777777" w:rsidR="00000000" w:rsidRDefault="00E614A4">
            <w:pPr>
              <w:rPr>
                <w:rFonts w:eastAsia="Times New Roman"/>
                <w:sz w:val="20"/>
                <w:szCs w:val="20"/>
              </w:rPr>
            </w:pPr>
          </w:p>
        </w:tc>
        <w:tc>
          <w:tcPr>
            <w:tcW w:w="5" w:type="pct"/>
            <w:vAlign w:val="center"/>
            <w:hideMark/>
          </w:tcPr>
          <w:p w14:paraId="755C039C" w14:textId="77777777" w:rsidR="00000000" w:rsidRDefault="00E614A4">
            <w:pPr>
              <w:rPr>
                <w:rFonts w:eastAsia="Times New Roman"/>
                <w:sz w:val="20"/>
                <w:szCs w:val="20"/>
              </w:rPr>
            </w:pPr>
          </w:p>
        </w:tc>
        <w:tc>
          <w:tcPr>
            <w:tcW w:w="5" w:type="pct"/>
            <w:vAlign w:val="center"/>
            <w:hideMark/>
          </w:tcPr>
          <w:p w14:paraId="6603654A" w14:textId="77777777" w:rsidR="00000000" w:rsidRDefault="00E614A4">
            <w:pPr>
              <w:rPr>
                <w:rFonts w:eastAsia="Times New Roman"/>
                <w:sz w:val="20"/>
                <w:szCs w:val="20"/>
              </w:rPr>
            </w:pPr>
          </w:p>
        </w:tc>
        <w:tc>
          <w:tcPr>
            <w:tcW w:w="17" w:type="pct"/>
            <w:vAlign w:val="center"/>
            <w:hideMark/>
          </w:tcPr>
          <w:p w14:paraId="2B51BE32" w14:textId="77777777" w:rsidR="00000000" w:rsidRDefault="00E614A4">
            <w:pPr>
              <w:rPr>
                <w:rFonts w:eastAsia="Times New Roman"/>
                <w:sz w:val="20"/>
                <w:szCs w:val="20"/>
              </w:rPr>
            </w:pPr>
          </w:p>
        </w:tc>
        <w:tc>
          <w:tcPr>
            <w:tcW w:w="5" w:type="pct"/>
            <w:vAlign w:val="center"/>
            <w:hideMark/>
          </w:tcPr>
          <w:p w14:paraId="79FA56BB" w14:textId="77777777" w:rsidR="00000000" w:rsidRDefault="00E614A4">
            <w:pPr>
              <w:rPr>
                <w:rFonts w:eastAsia="Times New Roman"/>
                <w:sz w:val="20"/>
                <w:szCs w:val="20"/>
              </w:rPr>
            </w:pPr>
          </w:p>
        </w:tc>
        <w:tc>
          <w:tcPr>
            <w:tcW w:w="50" w:type="pct"/>
            <w:vAlign w:val="center"/>
            <w:hideMark/>
          </w:tcPr>
          <w:p w14:paraId="13DE4A95" w14:textId="77777777" w:rsidR="00000000" w:rsidRDefault="00E614A4">
            <w:pPr>
              <w:rPr>
                <w:rFonts w:eastAsia="Times New Roman"/>
                <w:sz w:val="20"/>
                <w:szCs w:val="20"/>
              </w:rPr>
            </w:pPr>
          </w:p>
        </w:tc>
        <w:tc>
          <w:tcPr>
            <w:tcW w:w="465" w:type="pct"/>
            <w:vAlign w:val="center"/>
            <w:hideMark/>
          </w:tcPr>
          <w:p w14:paraId="51DFF957" w14:textId="77777777" w:rsidR="00000000" w:rsidRDefault="00E614A4">
            <w:pPr>
              <w:rPr>
                <w:rFonts w:eastAsia="Times New Roman"/>
                <w:sz w:val="20"/>
                <w:szCs w:val="20"/>
              </w:rPr>
            </w:pPr>
          </w:p>
        </w:tc>
        <w:tc>
          <w:tcPr>
            <w:tcW w:w="5" w:type="pct"/>
            <w:vAlign w:val="center"/>
            <w:hideMark/>
          </w:tcPr>
          <w:p w14:paraId="186D55D3" w14:textId="77777777" w:rsidR="00000000" w:rsidRDefault="00E614A4">
            <w:pPr>
              <w:rPr>
                <w:rFonts w:eastAsia="Times New Roman"/>
                <w:sz w:val="20"/>
                <w:szCs w:val="20"/>
              </w:rPr>
            </w:pPr>
          </w:p>
        </w:tc>
        <w:tc>
          <w:tcPr>
            <w:tcW w:w="5" w:type="pct"/>
            <w:vAlign w:val="center"/>
            <w:hideMark/>
          </w:tcPr>
          <w:p w14:paraId="3582439D" w14:textId="77777777" w:rsidR="00000000" w:rsidRDefault="00E614A4">
            <w:pPr>
              <w:rPr>
                <w:rFonts w:eastAsia="Times New Roman"/>
                <w:sz w:val="20"/>
                <w:szCs w:val="20"/>
              </w:rPr>
            </w:pPr>
          </w:p>
        </w:tc>
        <w:tc>
          <w:tcPr>
            <w:tcW w:w="17" w:type="pct"/>
            <w:vAlign w:val="center"/>
            <w:hideMark/>
          </w:tcPr>
          <w:p w14:paraId="6168AE35" w14:textId="77777777" w:rsidR="00000000" w:rsidRDefault="00E614A4">
            <w:pPr>
              <w:rPr>
                <w:rFonts w:eastAsia="Times New Roman"/>
                <w:sz w:val="20"/>
                <w:szCs w:val="20"/>
              </w:rPr>
            </w:pPr>
          </w:p>
        </w:tc>
        <w:tc>
          <w:tcPr>
            <w:tcW w:w="5" w:type="pct"/>
            <w:vAlign w:val="center"/>
            <w:hideMark/>
          </w:tcPr>
          <w:p w14:paraId="07F00EBC" w14:textId="77777777" w:rsidR="00000000" w:rsidRDefault="00E614A4">
            <w:pPr>
              <w:rPr>
                <w:rFonts w:eastAsia="Times New Roman"/>
                <w:sz w:val="20"/>
                <w:szCs w:val="20"/>
              </w:rPr>
            </w:pPr>
          </w:p>
        </w:tc>
        <w:tc>
          <w:tcPr>
            <w:tcW w:w="50" w:type="pct"/>
            <w:vAlign w:val="center"/>
            <w:hideMark/>
          </w:tcPr>
          <w:p w14:paraId="1F71EFDB" w14:textId="77777777" w:rsidR="00000000" w:rsidRDefault="00E614A4">
            <w:pPr>
              <w:rPr>
                <w:rFonts w:eastAsia="Times New Roman"/>
                <w:sz w:val="20"/>
                <w:szCs w:val="20"/>
              </w:rPr>
            </w:pPr>
          </w:p>
        </w:tc>
        <w:tc>
          <w:tcPr>
            <w:tcW w:w="466" w:type="pct"/>
            <w:vAlign w:val="center"/>
            <w:hideMark/>
          </w:tcPr>
          <w:p w14:paraId="710B68D1" w14:textId="77777777" w:rsidR="00000000" w:rsidRDefault="00E614A4">
            <w:pPr>
              <w:rPr>
                <w:rFonts w:eastAsia="Times New Roman"/>
                <w:sz w:val="20"/>
                <w:szCs w:val="20"/>
              </w:rPr>
            </w:pPr>
          </w:p>
        </w:tc>
        <w:tc>
          <w:tcPr>
            <w:tcW w:w="5" w:type="pct"/>
            <w:vAlign w:val="center"/>
            <w:hideMark/>
          </w:tcPr>
          <w:p w14:paraId="5DC105F9" w14:textId="77777777" w:rsidR="00000000" w:rsidRDefault="00E614A4">
            <w:pPr>
              <w:rPr>
                <w:rFonts w:eastAsia="Times New Roman"/>
                <w:sz w:val="20"/>
                <w:szCs w:val="20"/>
              </w:rPr>
            </w:pPr>
          </w:p>
        </w:tc>
        <w:tc>
          <w:tcPr>
            <w:tcW w:w="0" w:type="auto"/>
            <w:vAlign w:val="center"/>
            <w:hideMark/>
          </w:tcPr>
          <w:p w14:paraId="510EF899" w14:textId="77777777" w:rsidR="00000000" w:rsidRDefault="00E614A4">
            <w:pPr>
              <w:rPr>
                <w:rFonts w:eastAsia="Times New Roman"/>
                <w:sz w:val="20"/>
                <w:szCs w:val="20"/>
              </w:rPr>
            </w:pPr>
          </w:p>
        </w:tc>
        <w:tc>
          <w:tcPr>
            <w:tcW w:w="0" w:type="auto"/>
            <w:vAlign w:val="center"/>
            <w:hideMark/>
          </w:tcPr>
          <w:p w14:paraId="4663E8F0" w14:textId="77777777" w:rsidR="00000000" w:rsidRDefault="00E614A4">
            <w:pPr>
              <w:rPr>
                <w:rFonts w:eastAsia="Times New Roman"/>
                <w:sz w:val="20"/>
                <w:szCs w:val="20"/>
              </w:rPr>
            </w:pPr>
          </w:p>
        </w:tc>
        <w:tc>
          <w:tcPr>
            <w:tcW w:w="0" w:type="auto"/>
            <w:gridSpan w:val="3"/>
            <w:vAlign w:val="center"/>
            <w:hideMark/>
          </w:tcPr>
          <w:p w14:paraId="01EC137C" w14:textId="77777777" w:rsidR="00000000" w:rsidRDefault="00E614A4">
            <w:pPr>
              <w:rPr>
                <w:rFonts w:eastAsia="Times New Roman"/>
                <w:sz w:val="20"/>
                <w:szCs w:val="20"/>
              </w:rPr>
            </w:pPr>
          </w:p>
        </w:tc>
        <w:tc>
          <w:tcPr>
            <w:tcW w:w="0" w:type="auto"/>
            <w:gridSpan w:val="3"/>
            <w:vAlign w:val="center"/>
            <w:hideMark/>
          </w:tcPr>
          <w:p w14:paraId="58B43CC9" w14:textId="77777777" w:rsidR="00000000" w:rsidRDefault="00E614A4">
            <w:pPr>
              <w:rPr>
                <w:rFonts w:eastAsia="Times New Roman"/>
                <w:sz w:val="20"/>
                <w:szCs w:val="20"/>
              </w:rPr>
            </w:pPr>
          </w:p>
        </w:tc>
        <w:tc>
          <w:tcPr>
            <w:tcW w:w="0" w:type="auto"/>
            <w:gridSpan w:val="3"/>
            <w:vAlign w:val="center"/>
            <w:hideMark/>
          </w:tcPr>
          <w:p w14:paraId="158CC277" w14:textId="77777777" w:rsidR="00000000" w:rsidRDefault="00E614A4">
            <w:pPr>
              <w:rPr>
                <w:rFonts w:eastAsia="Times New Roman"/>
                <w:sz w:val="20"/>
                <w:szCs w:val="20"/>
              </w:rPr>
            </w:pPr>
          </w:p>
        </w:tc>
      </w:tr>
      <w:tr w:rsidR="00000000" w14:paraId="2DA2433A" w14:textId="77777777">
        <w:trPr>
          <w:divId w:val="503714980"/>
          <w:jc w:val="center"/>
        </w:trPr>
        <w:tc>
          <w:tcPr>
            <w:tcW w:w="0" w:type="auto"/>
            <w:gridSpan w:val="3"/>
            <w:tcMar>
              <w:top w:w="0" w:type="dxa"/>
              <w:left w:w="20" w:type="dxa"/>
              <w:bottom w:w="0" w:type="dxa"/>
              <w:right w:w="20" w:type="dxa"/>
            </w:tcMar>
            <w:vAlign w:val="center"/>
            <w:hideMark/>
          </w:tcPr>
          <w:p w14:paraId="157AC56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1F3E9D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55ECCC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0E1ADF4"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CDB3911"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71290954" w14:textId="77777777" w:rsidR="00000000" w:rsidRDefault="00E614A4">
            <w:pPr>
              <w:jc w:val="center"/>
              <w:rPr>
                <w:rFonts w:eastAsia="Times New Roman"/>
              </w:rPr>
            </w:pPr>
            <w:r>
              <w:rPr>
                <w:rFonts w:eastAsia="Times New Roman"/>
                <w:b/>
                <w:bCs/>
                <w:color w:val="000000"/>
                <w:sz w:val="16"/>
                <w:szCs w:val="16"/>
              </w:rPr>
              <w:t>As of</w:t>
            </w:r>
          </w:p>
        </w:tc>
        <w:tc>
          <w:tcPr>
            <w:tcW w:w="0" w:type="auto"/>
            <w:vAlign w:val="center"/>
            <w:hideMark/>
          </w:tcPr>
          <w:p w14:paraId="4E57D8A5" w14:textId="77777777" w:rsidR="00000000" w:rsidRDefault="00E614A4">
            <w:pPr>
              <w:jc w:val="center"/>
              <w:rPr>
                <w:rFonts w:eastAsia="Times New Roman"/>
              </w:rPr>
            </w:pPr>
          </w:p>
        </w:tc>
        <w:tc>
          <w:tcPr>
            <w:tcW w:w="0" w:type="auto"/>
            <w:vAlign w:val="center"/>
            <w:hideMark/>
          </w:tcPr>
          <w:p w14:paraId="1B1F18F8" w14:textId="77777777" w:rsidR="00000000" w:rsidRDefault="00E614A4">
            <w:pPr>
              <w:rPr>
                <w:rFonts w:eastAsia="Times New Roman"/>
                <w:sz w:val="20"/>
                <w:szCs w:val="20"/>
              </w:rPr>
            </w:pPr>
          </w:p>
        </w:tc>
        <w:tc>
          <w:tcPr>
            <w:tcW w:w="0" w:type="auto"/>
            <w:vAlign w:val="center"/>
            <w:hideMark/>
          </w:tcPr>
          <w:p w14:paraId="130DB292" w14:textId="77777777" w:rsidR="00000000" w:rsidRDefault="00E614A4">
            <w:pPr>
              <w:rPr>
                <w:rFonts w:eastAsia="Times New Roman"/>
                <w:sz w:val="20"/>
                <w:szCs w:val="20"/>
              </w:rPr>
            </w:pPr>
          </w:p>
        </w:tc>
        <w:tc>
          <w:tcPr>
            <w:tcW w:w="0" w:type="auto"/>
            <w:vAlign w:val="center"/>
            <w:hideMark/>
          </w:tcPr>
          <w:p w14:paraId="0F8841AA" w14:textId="77777777" w:rsidR="00000000" w:rsidRDefault="00E614A4">
            <w:pPr>
              <w:rPr>
                <w:rFonts w:eastAsia="Times New Roman"/>
                <w:sz w:val="20"/>
                <w:szCs w:val="20"/>
              </w:rPr>
            </w:pPr>
          </w:p>
        </w:tc>
        <w:tc>
          <w:tcPr>
            <w:tcW w:w="0" w:type="auto"/>
            <w:vAlign w:val="center"/>
            <w:hideMark/>
          </w:tcPr>
          <w:p w14:paraId="794BDA31" w14:textId="77777777" w:rsidR="00000000" w:rsidRDefault="00E614A4">
            <w:pPr>
              <w:rPr>
                <w:rFonts w:eastAsia="Times New Roman"/>
                <w:sz w:val="20"/>
                <w:szCs w:val="20"/>
              </w:rPr>
            </w:pPr>
          </w:p>
        </w:tc>
        <w:tc>
          <w:tcPr>
            <w:tcW w:w="0" w:type="auto"/>
            <w:vAlign w:val="center"/>
            <w:hideMark/>
          </w:tcPr>
          <w:p w14:paraId="6DFE75EB" w14:textId="77777777" w:rsidR="00000000" w:rsidRDefault="00E614A4">
            <w:pPr>
              <w:rPr>
                <w:rFonts w:eastAsia="Times New Roman"/>
                <w:sz w:val="20"/>
                <w:szCs w:val="20"/>
              </w:rPr>
            </w:pPr>
          </w:p>
        </w:tc>
        <w:tc>
          <w:tcPr>
            <w:tcW w:w="0" w:type="auto"/>
            <w:vAlign w:val="center"/>
            <w:hideMark/>
          </w:tcPr>
          <w:p w14:paraId="55FEBCC5" w14:textId="77777777" w:rsidR="00000000" w:rsidRDefault="00E614A4">
            <w:pPr>
              <w:rPr>
                <w:rFonts w:eastAsia="Times New Roman"/>
                <w:sz w:val="20"/>
                <w:szCs w:val="20"/>
              </w:rPr>
            </w:pPr>
          </w:p>
        </w:tc>
        <w:tc>
          <w:tcPr>
            <w:tcW w:w="0" w:type="auto"/>
            <w:vAlign w:val="center"/>
            <w:hideMark/>
          </w:tcPr>
          <w:p w14:paraId="289CA9E9" w14:textId="77777777" w:rsidR="00000000" w:rsidRDefault="00E614A4">
            <w:pPr>
              <w:rPr>
                <w:rFonts w:eastAsia="Times New Roman"/>
                <w:sz w:val="20"/>
                <w:szCs w:val="20"/>
              </w:rPr>
            </w:pPr>
          </w:p>
        </w:tc>
        <w:tc>
          <w:tcPr>
            <w:tcW w:w="0" w:type="auto"/>
            <w:vAlign w:val="center"/>
            <w:hideMark/>
          </w:tcPr>
          <w:p w14:paraId="1D2F090B" w14:textId="77777777" w:rsidR="00000000" w:rsidRDefault="00E614A4">
            <w:pPr>
              <w:rPr>
                <w:rFonts w:eastAsia="Times New Roman"/>
                <w:sz w:val="20"/>
                <w:szCs w:val="20"/>
              </w:rPr>
            </w:pPr>
          </w:p>
        </w:tc>
        <w:tc>
          <w:tcPr>
            <w:tcW w:w="0" w:type="auto"/>
            <w:vAlign w:val="center"/>
            <w:hideMark/>
          </w:tcPr>
          <w:p w14:paraId="307AA3B8" w14:textId="77777777" w:rsidR="00000000" w:rsidRDefault="00E614A4">
            <w:pPr>
              <w:rPr>
                <w:rFonts w:eastAsia="Times New Roman"/>
                <w:sz w:val="20"/>
                <w:szCs w:val="20"/>
              </w:rPr>
            </w:pPr>
          </w:p>
        </w:tc>
        <w:tc>
          <w:tcPr>
            <w:tcW w:w="0" w:type="auto"/>
            <w:vAlign w:val="center"/>
            <w:hideMark/>
          </w:tcPr>
          <w:p w14:paraId="6BE79093" w14:textId="77777777" w:rsidR="00000000" w:rsidRDefault="00E614A4">
            <w:pPr>
              <w:rPr>
                <w:rFonts w:eastAsia="Times New Roman"/>
                <w:sz w:val="20"/>
                <w:szCs w:val="20"/>
              </w:rPr>
            </w:pPr>
          </w:p>
        </w:tc>
      </w:tr>
      <w:tr w:rsidR="00000000" w14:paraId="23819FF6" w14:textId="77777777">
        <w:trPr>
          <w:divId w:val="503714980"/>
          <w:jc w:val="center"/>
        </w:trPr>
        <w:tc>
          <w:tcPr>
            <w:tcW w:w="0" w:type="auto"/>
            <w:gridSpan w:val="3"/>
            <w:tcMar>
              <w:top w:w="0" w:type="dxa"/>
              <w:left w:w="20" w:type="dxa"/>
              <w:bottom w:w="0" w:type="dxa"/>
              <w:right w:w="20" w:type="dxa"/>
            </w:tcMar>
            <w:vAlign w:val="center"/>
            <w:hideMark/>
          </w:tcPr>
          <w:p w14:paraId="44F9CA3B"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DD0222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4BC3C5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464AD1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550A451"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11BC9F5B" w14:textId="77777777" w:rsidR="00000000" w:rsidRDefault="00E614A4">
            <w:pPr>
              <w:jc w:val="center"/>
              <w:rPr>
                <w:rFonts w:eastAsia="Times New Roman"/>
              </w:rPr>
            </w:pPr>
            <w:r>
              <w:rPr>
                <w:rFonts w:eastAsia="Times New Roman"/>
                <w:b/>
                <w:bCs/>
                <w:color w:val="000000"/>
                <w:sz w:val="16"/>
                <w:szCs w:val="16"/>
              </w:rPr>
              <w:t>December 31, 2020</w:t>
            </w:r>
          </w:p>
        </w:tc>
        <w:tc>
          <w:tcPr>
            <w:tcW w:w="0" w:type="auto"/>
            <w:vAlign w:val="center"/>
            <w:hideMark/>
          </w:tcPr>
          <w:p w14:paraId="0C3A1711" w14:textId="77777777" w:rsidR="00000000" w:rsidRDefault="00E614A4">
            <w:pPr>
              <w:jc w:val="center"/>
              <w:rPr>
                <w:rFonts w:eastAsia="Times New Roman"/>
              </w:rPr>
            </w:pPr>
          </w:p>
        </w:tc>
        <w:tc>
          <w:tcPr>
            <w:tcW w:w="0" w:type="auto"/>
            <w:vAlign w:val="center"/>
            <w:hideMark/>
          </w:tcPr>
          <w:p w14:paraId="2B9392B6" w14:textId="77777777" w:rsidR="00000000" w:rsidRDefault="00E614A4">
            <w:pPr>
              <w:rPr>
                <w:rFonts w:eastAsia="Times New Roman"/>
                <w:sz w:val="20"/>
                <w:szCs w:val="20"/>
              </w:rPr>
            </w:pPr>
          </w:p>
        </w:tc>
        <w:tc>
          <w:tcPr>
            <w:tcW w:w="0" w:type="auto"/>
            <w:vAlign w:val="center"/>
            <w:hideMark/>
          </w:tcPr>
          <w:p w14:paraId="5770180C" w14:textId="77777777" w:rsidR="00000000" w:rsidRDefault="00E614A4">
            <w:pPr>
              <w:rPr>
                <w:rFonts w:eastAsia="Times New Roman"/>
                <w:sz w:val="20"/>
                <w:szCs w:val="20"/>
              </w:rPr>
            </w:pPr>
          </w:p>
        </w:tc>
        <w:tc>
          <w:tcPr>
            <w:tcW w:w="0" w:type="auto"/>
            <w:vAlign w:val="center"/>
            <w:hideMark/>
          </w:tcPr>
          <w:p w14:paraId="02576C97" w14:textId="77777777" w:rsidR="00000000" w:rsidRDefault="00E614A4">
            <w:pPr>
              <w:rPr>
                <w:rFonts w:eastAsia="Times New Roman"/>
                <w:sz w:val="20"/>
                <w:szCs w:val="20"/>
              </w:rPr>
            </w:pPr>
          </w:p>
        </w:tc>
        <w:tc>
          <w:tcPr>
            <w:tcW w:w="0" w:type="auto"/>
            <w:vAlign w:val="center"/>
            <w:hideMark/>
          </w:tcPr>
          <w:p w14:paraId="6EED835E" w14:textId="77777777" w:rsidR="00000000" w:rsidRDefault="00E614A4">
            <w:pPr>
              <w:rPr>
                <w:rFonts w:eastAsia="Times New Roman"/>
                <w:sz w:val="20"/>
                <w:szCs w:val="20"/>
              </w:rPr>
            </w:pPr>
          </w:p>
        </w:tc>
        <w:tc>
          <w:tcPr>
            <w:tcW w:w="0" w:type="auto"/>
            <w:vAlign w:val="center"/>
            <w:hideMark/>
          </w:tcPr>
          <w:p w14:paraId="28D594EE" w14:textId="77777777" w:rsidR="00000000" w:rsidRDefault="00E614A4">
            <w:pPr>
              <w:rPr>
                <w:rFonts w:eastAsia="Times New Roman"/>
                <w:sz w:val="20"/>
                <w:szCs w:val="20"/>
              </w:rPr>
            </w:pPr>
          </w:p>
        </w:tc>
        <w:tc>
          <w:tcPr>
            <w:tcW w:w="0" w:type="auto"/>
            <w:vAlign w:val="center"/>
            <w:hideMark/>
          </w:tcPr>
          <w:p w14:paraId="24BF2888" w14:textId="77777777" w:rsidR="00000000" w:rsidRDefault="00E614A4">
            <w:pPr>
              <w:rPr>
                <w:rFonts w:eastAsia="Times New Roman"/>
                <w:sz w:val="20"/>
                <w:szCs w:val="20"/>
              </w:rPr>
            </w:pPr>
          </w:p>
        </w:tc>
        <w:tc>
          <w:tcPr>
            <w:tcW w:w="0" w:type="auto"/>
            <w:vAlign w:val="center"/>
            <w:hideMark/>
          </w:tcPr>
          <w:p w14:paraId="5482BA7A" w14:textId="77777777" w:rsidR="00000000" w:rsidRDefault="00E614A4">
            <w:pPr>
              <w:rPr>
                <w:rFonts w:eastAsia="Times New Roman"/>
                <w:sz w:val="20"/>
                <w:szCs w:val="20"/>
              </w:rPr>
            </w:pPr>
          </w:p>
        </w:tc>
        <w:tc>
          <w:tcPr>
            <w:tcW w:w="0" w:type="auto"/>
            <w:vAlign w:val="center"/>
            <w:hideMark/>
          </w:tcPr>
          <w:p w14:paraId="3638C8B1" w14:textId="77777777" w:rsidR="00000000" w:rsidRDefault="00E614A4">
            <w:pPr>
              <w:rPr>
                <w:rFonts w:eastAsia="Times New Roman"/>
                <w:sz w:val="20"/>
                <w:szCs w:val="20"/>
              </w:rPr>
            </w:pPr>
          </w:p>
        </w:tc>
        <w:tc>
          <w:tcPr>
            <w:tcW w:w="0" w:type="auto"/>
            <w:vAlign w:val="center"/>
            <w:hideMark/>
          </w:tcPr>
          <w:p w14:paraId="3B77F722" w14:textId="77777777" w:rsidR="00000000" w:rsidRDefault="00E614A4">
            <w:pPr>
              <w:rPr>
                <w:rFonts w:eastAsia="Times New Roman"/>
                <w:sz w:val="20"/>
                <w:szCs w:val="20"/>
              </w:rPr>
            </w:pPr>
          </w:p>
        </w:tc>
        <w:tc>
          <w:tcPr>
            <w:tcW w:w="0" w:type="auto"/>
            <w:vAlign w:val="center"/>
            <w:hideMark/>
          </w:tcPr>
          <w:p w14:paraId="04509C1C" w14:textId="77777777" w:rsidR="00000000" w:rsidRDefault="00E614A4">
            <w:pPr>
              <w:rPr>
                <w:rFonts w:eastAsia="Times New Roman"/>
                <w:sz w:val="20"/>
                <w:szCs w:val="20"/>
              </w:rPr>
            </w:pPr>
          </w:p>
        </w:tc>
      </w:tr>
      <w:tr w:rsidR="00000000" w14:paraId="6551720A" w14:textId="77777777">
        <w:trPr>
          <w:divId w:val="503714980"/>
          <w:jc w:val="center"/>
        </w:trPr>
        <w:tc>
          <w:tcPr>
            <w:tcW w:w="0" w:type="auto"/>
            <w:gridSpan w:val="3"/>
            <w:tcMar>
              <w:top w:w="30" w:type="dxa"/>
              <w:left w:w="20" w:type="dxa"/>
              <w:bottom w:w="30" w:type="dxa"/>
              <w:right w:w="20" w:type="dxa"/>
            </w:tcMar>
            <w:vAlign w:val="bottom"/>
            <w:hideMark/>
          </w:tcPr>
          <w:p w14:paraId="3EE26647" w14:textId="77777777" w:rsidR="00000000" w:rsidRDefault="00E614A4">
            <w:pPr>
              <w:rPr>
                <w:rFonts w:eastAsia="Times New Roman"/>
              </w:rPr>
            </w:pPr>
            <w:r>
              <w:rPr>
                <w:rFonts w:eastAsia="Times New Roman"/>
                <w:i/>
                <w:iCs/>
                <w:color w:val="000000"/>
                <w:sz w:val="16"/>
                <w:szCs w:val="16"/>
              </w:rPr>
              <w:t>(In thousands, except interest rates)</w:t>
            </w:r>
          </w:p>
        </w:tc>
        <w:tc>
          <w:tcPr>
            <w:tcW w:w="0" w:type="auto"/>
            <w:gridSpan w:val="3"/>
            <w:tcBorders>
              <w:top w:val="single" w:sz="8" w:space="0" w:color="000000"/>
            </w:tcBorders>
            <w:tcMar>
              <w:top w:w="30" w:type="dxa"/>
              <w:left w:w="20" w:type="dxa"/>
              <w:bottom w:w="30" w:type="dxa"/>
              <w:right w:w="20" w:type="dxa"/>
            </w:tcMar>
            <w:vAlign w:val="bottom"/>
            <w:hideMark/>
          </w:tcPr>
          <w:p w14:paraId="0E7A7754" w14:textId="77777777" w:rsidR="00000000" w:rsidRDefault="00E614A4">
            <w:pPr>
              <w:jc w:val="center"/>
              <w:rPr>
                <w:rFonts w:eastAsia="Times New Roman"/>
              </w:rPr>
            </w:pPr>
            <w:r>
              <w:rPr>
                <w:rFonts w:eastAsia="Times New Roman"/>
                <w:b/>
                <w:bCs/>
                <w:color w:val="000000"/>
                <w:sz w:val="16"/>
                <w:szCs w:val="16"/>
              </w:rPr>
              <w:t>Stated Interest Rate</w:t>
            </w:r>
          </w:p>
        </w:tc>
        <w:tc>
          <w:tcPr>
            <w:tcW w:w="0" w:type="auto"/>
            <w:gridSpan w:val="3"/>
            <w:tcBorders>
              <w:top w:val="single" w:sz="8" w:space="0" w:color="000000"/>
            </w:tcBorders>
            <w:tcMar>
              <w:top w:w="0" w:type="dxa"/>
              <w:left w:w="20" w:type="dxa"/>
              <w:bottom w:w="0" w:type="dxa"/>
              <w:right w:w="20" w:type="dxa"/>
            </w:tcMar>
            <w:vAlign w:val="center"/>
            <w:hideMark/>
          </w:tcPr>
          <w:p w14:paraId="0B409A93"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76B0B3" w14:textId="77777777" w:rsidR="00000000" w:rsidRDefault="00E614A4">
            <w:pPr>
              <w:jc w:val="center"/>
              <w:rPr>
                <w:rFonts w:eastAsia="Times New Roman"/>
              </w:rPr>
            </w:pPr>
            <w:r>
              <w:rPr>
                <w:rFonts w:eastAsia="Times New Roman"/>
                <w:b/>
                <w:bCs/>
                <w:color w:val="000000"/>
                <w:sz w:val="16"/>
                <w:szCs w:val="16"/>
              </w:rPr>
              <w:t>Effective Interest Rate</w:t>
            </w:r>
          </w:p>
        </w:tc>
        <w:tc>
          <w:tcPr>
            <w:tcW w:w="0" w:type="auto"/>
            <w:gridSpan w:val="3"/>
            <w:tcBorders>
              <w:top w:val="single" w:sz="8" w:space="0" w:color="000000"/>
            </w:tcBorders>
            <w:tcMar>
              <w:top w:w="0" w:type="dxa"/>
              <w:left w:w="20" w:type="dxa"/>
              <w:bottom w:w="0" w:type="dxa"/>
              <w:right w:w="20" w:type="dxa"/>
            </w:tcMar>
            <w:vAlign w:val="center"/>
            <w:hideMark/>
          </w:tcPr>
          <w:p w14:paraId="0C659ED1"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8A7EF6" w14:textId="77777777" w:rsidR="00000000" w:rsidRDefault="00E614A4">
            <w:pPr>
              <w:jc w:val="center"/>
              <w:rPr>
                <w:rFonts w:eastAsia="Times New Roman"/>
              </w:rPr>
            </w:pPr>
            <w:r>
              <w:rPr>
                <w:rFonts w:eastAsia="Times New Roman"/>
                <w:b/>
                <w:bCs/>
                <w:color w:val="000000"/>
                <w:sz w:val="16"/>
                <w:szCs w:val="16"/>
              </w:rPr>
              <w:t>Face Value</w:t>
            </w:r>
          </w:p>
        </w:tc>
        <w:tc>
          <w:tcPr>
            <w:tcW w:w="0" w:type="auto"/>
            <w:gridSpan w:val="3"/>
            <w:tcBorders>
              <w:top w:val="single" w:sz="8" w:space="0" w:color="000000"/>
            </w:tcBorders>
            <w:tcMar>
              <w:top w:w="0" w:type="dxa"/>
              <w:left w:w="20" w:type="dxa"/>
              <w:bottom w:w="0" w:type="dxa"/>
              <w:right w:w="20" w:type="dxa"/>
            </w:tcMar>
            <w:vAlign w:val="center"/>
            <w:hideMark/>
          </w:tcPr>
          <w:p w14:paraId="29355E5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70E134" w14:textId="77777777" w:rsidR="00000000" w:rsidRDefault="00E614A4">
            <w:pPr>
              <w:jc w:val="center"/>
              <w:rPr>
                <w:rFonts w:eastAsia="Times New Roman"/>
              </w:rPr>
            </w:pPr>
            <w:r>
              <w:rPr>
                <w:rFonts w:eastAsia="Times New Roman"/>
                <w:b/>
                <w:bCs/>
                <w:color w:val="000000"/>
                <w:sz w:val="16"/>
                <w:szCs w:val="16"/>
              </w:rPr>
              <w:t>Issuance Discount</w:t>
            </w:r>
          </w:p>
        </w:tc>
        <w:tc>
          <w:tcPr>
            <w:tcW w:w="0" w:type="auto"/>
            <w:gridSpan w:val="3"/>
            <w:tcBorders>
              <w:top w:val="single" w:sz="8" w:space="0" w:color="000000"/>
            </w:tcBorders>
            <w:tcMar>
              <w:top w:w="0" w:type="dxa"/>
              <w:left w:w="20" w:type="dxa"/>
              <w:bottom w:w="0" w:type="dxa"/>
              <w:right w:w="20" w:type="dxa"/>
            </w:tcMar>
            <w:vAlign w:val="center"/>
            <w:hideMark/>
          </w:tcPr>
          <w:p w14:paraId="287C9189"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E8022C" w14:textId="77777777" w:rsidR="00000000" w:rsidRDefault="00E614A4">
            <w:pPr>
              <w:jc w:val="center"/>
              <w:rPr>
                <w:rFonts w:eastAsia="Times New Roman"/>
              </w:rPr>
            </w:pPr>
            <w:r>
              <w:rPr>
                <w:rFonts w:eastAsia="Times New Roman"/>
                <w:b/>
                <w:bCs/>
                <w:color w:val="000000"/>
                <w:sz w:val="16"/>
                <w:szCs w:val="16"/>
              </w:rPr>
              <w:t>Deferred Financing Costs</w:t>
            </w:r>
          </w:p>
        </w:tc>
        <w:tc>
          <w:tcPr>
            <w:tcW w:w="0" w:type="auto"/>
            <w:gridSpan w:val="3"/>
            <w:tcBorders>
              <w:top w:val="single" w:sz="8" w:space="0" w:color="000000"/>
            </w:tcBorders>
            <w:tcMar>
              <w:top w:w="0" w:type="dxa"/>
              <w:left w:w="20" w:type="dxa"/>
              <w:bottom w:w="0" w:type="dxa"/>
              <w:right w:w="20" w:type="dxa"/>
            </w:tcMar>
            <w:vAlign w:val="center"/>
            <w:hideMark/>
          </w:tcPr>
          <w:p w14:paraId="58A81DD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8C8782" w14:textId="77777777" w:rsidR="00000000" w:rsidRDefault="00E614A4">
            <w:pPr>
              <w:jc w:val="center"/>
              <w:rPr>
                <w:rFonts w:eastAsia="Times New Roman"/>
              </w:rPr>
            </w:pPr>
            <w:r>
              <w:rPr>
                <w:rFonts w:eastAsia="Times New Roman"/>
                <w:b/>
                <w:bCs/>
                <w:color w:val="000000"/>
                <w:sz w:val="16"/>
                <w:szCs w:val="16"/>
              </w:rPr>
              <w:t>Net Carrying Value</w:t>
            </w:r>
          </w:p>
        </w:tc>
        <w:tc>
          <w:tcPr>
            <w:tcW w:w="0" w:type="auto"/>
            <w:vAlign w:val="center"/>
            <w:hideMark/>
          </w:tcPr>
          <w:p w14:paraId="5E3762FC" w14:textId="77777777" w:rsidR="00000000" w:rsidRDefault="00E614A4">
            <w:pPr>
              <w:jc w:val="center"/>
              <w:rPr>
                <w:rFonts w:eastAsia="Times New Roman"/>
              </w:rPr>
            </w:pPr>
          </w:p>
        </w:tc>
        <w:tc>
          <w:tcPr>
            <w:tcW w:w="0" w:type="auto"/>
            <w:vAlign w:val="center"/>
            <w:hideMark/>
          </w:tcPr>
          <w:p w14:paraId="0DDD58CF" w14:textId="77777777" w:rsidR="00000000" w:rsidRDefault="00E614A4">
            <w:pPr>
              <w:rPr>
                <w:rFonts w:eastAsia="Times New Roman"/>
                <w:sz w:val="20"/>
                <w:szCs w:val="20"/>
              </w:rPr>
            </w:pPr>
          </w:p>
        </w:tc>
        <w:tc>
          <w:tcPr>
            <w:tcW w:w="0" w:type="auto"/>
            <w:gridSpan w:val="3"/>
            <w:vAlign w:val="center"/>
            <w:hideMark/>
          </w:tcPr>
          <w:p w14:paraId="7FA4A8F4" w14:textId="77777777" w:rsidR="00000000" w:rsidRDefault="00E614A4">
            <w:pPr>
              <w:rPr>
                <w:rFonts w:eastAsia="Times New Roman"/>
                <w:sz w:val="20"/>
                <w:szCs w:val="20"/>
              </w:rPr>
            </w:pPr>
          </w:p>
        </w:tc>
        <w:tc>
          <w:tcPr>
            <w:tcW w:w="0" w:type="auto"/>
            <w:gridSpan w:val="3"/>
            <w:vAlign w:val="center"/>
            <w:hideMark/>
          </w:tcPr>
          <w:p w14:paraId="6AF29BD6" w14:textId="77777777" w:rsidR="00000000" w:rsidRDefault="00E614A4">
            <w:pPr>
              <w:rPr>
                <w:rFonts w:eastAsia="Times New Roman"/>
                <w:sz w:val="20"/>
                <w:szCs w:val="20"/>
              </w:rPr>
            </w:pPr>
          </w:p>
        </w:tc>
        <w:tc>
          <w:tcPr>
            <w:tcW w:w="0" w:type="auto"/>
            <w:gridSpan w:val="3"/>
            <w:vAlign w:val="center"/>
            <w:hideMark/>
          </w:tcPr>
          <w:p w14:paraId="7851630A" w14:textId="77777777" w:rsidR="00000000" w:rsidRDefault="00E614A4">
            <w:pPr>
              <w:rPr>
                <w:rFonts w:eastAsia="Times New Roman"/>
                <w:sz w:val="20"/>
                <w:szCs w:val="20"/>
              </w:rPr>
            </w:pPr>
          </w:p>
        </w:tc>
      </w:tr>
      <w:tr w:rsidR="00000000" w14:paraId="484B63CA" w14:textId="77777777">
        <w:trPr>
          <w:divId w:val="503714980"/>
          <w:jc w:val="center"/>
        </w:trPr>
        <w:tc>
          <w:tcPr>
            <w:tcW w:w="0" w:type="auto"/>
            <w:gridSpan w:val="3"/>
            <w:shd w:val="clear" w:color="auto" w:fill="CCEEFF"/>
            <w:tcMar>
              <w:top w:w="30" w:type="dxa"/>
              <w:left w:w="20" w:type="dxa"/>
              <w:bottom w:w="30" w:type="dxa"/>
              <w:right w:w="20" w:type="dxa"/>
            </w:tcMar>
            <w:vAlign w:val="bottom"/>
            <w:hideMark/>
          </w:tcPr>
          <w:p w14:paraId="0090C9C5" w14:textId="77777777" w:rsidR="00000000" w:rsidRDefault="00E614A4">
            <w:pPr>
              <w:rPr>
                <w:rFonts w:eastAsia="Times New Roman"/>
              </w:rPr>
            </w:pPr>
            <w:r>
              <w:rPr>
                <w:rFonts w:eastAsia="Times New Roman"/>
                <w:color w:val="000000"/>
                <w:sz w:val="18"/>
                <w:szCs w:val="18"/>
              </w:rPr>
              <w:t>Initial Notes, due January 16,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993FC4" w14:textId="77777777" w:rsidR="00000000" w:rsidRDefault="00E614A4">
            <w:pPr>
              <w:jc w:val="center"/>
              <w:rPr>
                <w:rFonts w:eastAsia="Times New Roman"/>
              </w:rPr>
            </w:pPr>
            <w:r>
              <w:rPr>
                <w:rFonts w:eastAsia="Times New Roman"/>
                <w:color w:val="000000"/>
                <w:sz w:val="18"/>
                <w:szCs w:val="18"/>
              </w:rPr>
              <w:t>12.0%</w:t>
            </w:r>
          </w:p>
        </w:tc>
        <w:tc>
          <w:tcPr>
            <w:tcW w:w="0" w:type="auto"/>
            <w:gridSpan w:val="3"/>
            <w:shd w:val="clear" w:color="auto" w:fill="CCEEFF"/>
            <w:tcMar>
              <w:top w:w="0" w:type="dxa"/>
              <w:left w:w="20" w:type="dxa"/>
              <w:bottom w:w="0" w:type="dxa"/>
              <w:right w:w="20" w:type="dxa"/>
            </w:tcMar>
            <w:vAlign w:val="center"/>
            <w:hideMark/>
          </w:tcPr>
          <w:p w14:paraId="0B301AB3" w14:textId="77777777" w:rsidR="00000000" w:rsidRDefault="00E614A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7CF176" w14:textId="77777777" w:rsidR="00000000" w:rsidRDefault="00E614A4">
            <w:pPr>
              <w:jc w:val="center"/>
              <w:rPr>
                <w:rFonts w:eastAsia="Times New Roman"/>
              </w:rPr>
            </w:pPr>
            <w:r>
              <w:rPr>
                <w:rFonts w:eastAsia="Times New Roman"/>
                <w:color w:val="000000"/>
                <w:sz w:val="18"/>
                <w:szCs w:val="18"/>
              </w:rPr>
              <w:t>18.8%</w:t>
            </w:r>
          </w:p>
        </w:tc>
        <w:tc>
          <w:tcPr>
            <w:tcW w:w="0" w:type="auto"/>
            <w:gridSpan w:val="3"/>
            <w:shd w:val="clear" w:color="auto" w:fill="CCEEFF"/>
            <w:tcMar>
              <w:top w:w="0" w:type="dxa"/>
              <w:left w:w="20" w:type="dxa"/>
              <w:bottom w:w="0" w:type="dxa"/>
              <w:right w:w="20" w:type="dxa"/>
            </w:tcMar>
            <w:vAlign w:val="center"/>
            <w:hideMark/>
          </w:tcPr>
          <w:p w14:paraId="07480AB2" w14:textId="77777777" w:rsidR="00000000" w:rsidRDefault="00E614A4">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CF056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106B10" w14:textId="77777777" w:rsidR="00000000" w:rsidRDefault="00E614A4">
            <w:pPr>
              <w:jc w:val="right"/>
              <w:rPr>
                <w:rFonts w:eastAsia="Times New Roman"/>
              </w:rPr>
            </w:pPr>
            <w:r>
              <w:rPr>
                <w:rFonts w:eastAsia="Times New Roman"/>
                <w:color w:val="000000"/>
                <w:sz w:val="18"/>
                <w:szCs w:val="18"/>
              </w:rPr>
              <w:t>153,500 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E8027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B3EEF7"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E3621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37809F" w14:textId="77777777" w:rsidR="00000000" w:rsidRDefault="00E614A4">
            <w:pPr>
              <w:jc w:val="right"/>
              <w:rPr>
                <w:rFonts w:eastAsia="Times New Roman"/>
              </w:rPr>
            </w:pPr>
            <w:r>
              <w:rPr>
                <w:rFonts w:eastAsia="Times New Roman"/>
                <w:color w:val="000000"/>
                <w:sz w:val="18"/>
                <w:szCs w:val="18"/>
              </w:rPr>
              <w:t>(8,200)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4E334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2B4C9"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AE7CA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EFFEC3" w14:textId="77777777" w:rsidR="00000000" w:rsidRDefault="00E614A4">
            <w:pPr>
              <w:jc w:val="right"/>
              <w:rPr>
                <w:rFonts w:eastAsia="Times New Roman"/>
              </w:rPr>
            </w:pPr>
            <w:r>
              <w:rPr>
                <w:rFonts w:eastAsia="Times New Roman"/>
                <w:color w:val="000000"/>
                <w:sz w:val="18"/>
                <w:szCs w:val="18"/>
              </w:rPr>
              <w:t>(1,523)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0D436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F819C"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7C2A8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78ED7E" w14:textId="77777777" w:rsidR="00000000" w:rsidRDefault="00E614A4">
            <w:pPr>
              <w:jc w:val="right"/>
              <w:rPr>
                <w:rFonts w:eastAsia="Times New Roman"/>
              </w:rPr>
            </w:pPr>
            <w:r>
              <w:rPr>
                <w:rFonts w:eastAsia="Times New Roman"/>
                <w:color w:val="000000"/>
                <w:sz w:val="18"/>
                <w:szCs w:val="18"/>
              </w:rPr>
              <w:t>143,777 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3BA9D4" w14:textId="77777777" w:rsidR="00000000" w:rsidRDefault="00E614A4">
            <w:pPr>
              <w:jc w:val="right"/>
              <w:rPr>
                <w:rFonts w:eastAsia="Times New Roman"/>
              </w:rPr>
            </w:pPr>
          </w:p>
        </w:tc>
        <w:tc>
          <w:tcPr>
            <w:tcW w:w="0" w:type="auto"/>
            <w:vAlign w:val="center"/>
            <w:hideMark/>
          </w:tcPr>
          <w:p w14:paraId="78EF068D" w14:textId="77777777" w:rsidR="00000000" w:rsidRDefault="00E614A4">
            <w:pPr>
              <w:jc w:val="right"/>
              <w:rPr>
                <w:rFonts w:eastAsia="Times New Roman"/>
                <w:sz w:val="20"/>
                <w:szCs w:val="20"/>
              </w:rPr>
            </w:pPr>
          </w:p>
        </w:tc>
        <w:tc>
          <w:tcPr>
            <w:tcW w:w="0" w:type="auto"/>
            <w:vAlign w:val="center"/>
            <w:hideMark/>
          </w:tcPr>
          <w:p w14:paraId="04DB3594" w14:textId="77777777" w:rsidR="00000000" w:rsidRDefault="00E614A4">
            <w:pPr>
              <w:rPr>
                <w:rFonts w:eastAsia="Times New Roman"/>
                <w:sz w:val="20"/>
                <w:szCs w:val="20"/>
              </w:rPr>
            </w:pPr>
          </w:p>
        </w:tc>
        <w:tc>
          <w:tcPr>
            <w:tcW w:w="0" w:type="auto"/>
            <w:gridSpan w:val="3"/>
            <w:vAlign w:val="center"/>
            <w:hideMark/>
          </w:tcPr>
          <w:p w14:paraId="68A32709" w14:textId="77777777" w:rsidR="00000000" w:rsidRDefault="00E614A4">
            <w:pPr>
              <w:rPr>
                <w:rFonts w:eastAsia="Times New Roman"/>
                <w:sz w:val="20"/>
                <w:szCs w:val="20"/>
              </w:rPr>
            </w:pPr>
          </w:p>
        </w:tc>
        <w:tc>
          <w:tcPr>
            <w:tcW w:w="0" w:type="auto"/>
            <w:gridSpan w:val="3"/>
            <w:vAlign w:val="center"/>
            <w:hideMark/>
          </w:tcPr>
          <w:p w14:paraId="561D6DEB" w14:textId="77777777" w:rsidR="00000000" w:rsidRDefault="00E614A4">
            <w:pPr>
              <w:rPr>
                <w:rFonts w:eastAsia="Times New Roman"/>
                <w:sz w:val="20"/>
                <w:szCs w:val="20"/>
              </w:rPr>
            </w:pPr>
          </w:p>
        </w:tc>
        <w:tc>
          <w:tcPr>
            <w:tcW w:w="0" w:type="auto"/>
            <w:gridSpan w:val="3"/>
            <w:vAlign w:val="center"/>
            <w:hideMark/>
          </w:tcPr>
          <w:p w14:paraId="420EAE8E" w14:textId="77777777" w:rsidR="00000000" w:rsidRDefault="00E614A4">
            <w:pPr>
              <w:rPr>
                <w:rFonts w:eastAsia="Times New Roman"/>
                <w:sz w:val="20"/>
                <w:szCs w:val="20"/>
              </w:rPr>
            </w:pPr>
          </w:p>
        </w:tc>
      </w:tr>
      <w:tr w:rsidR="00000000" w14:paraId="772CC970" w14:textId="77777777">
        <w:trPr>
          <w:divId w:val="503714980"/>
          <w:jc w:val="center"/>
        </w:trPr>
        <w:tc>
          <w:tcPr>
            <w:tcW w:w="0" w:type="auto"/>
            <w:gridSpan w:val="3"/>
            <w:shd w:val="clear" w:color="auto" w:fill="FFFFFF"/>
            <w:tcMar>
              <w:top w:w="30" w:type="dxa"/>
              <w:left w:w="20" w:type="dxa"/>
              <w:bottom w:w="30" w:type="dxa"/>
              <w:right w:w="20" w:type="dxa"/>
            </w:tcMar>
            <w:hideMark/>
          </w:tcPr>
          <w:p w14:paraId="0F400CEF" w14:textId="77777777" w:rsidR="00000000" w:rsidRDefault="00E614A4">
            <w:pPr>
              <w:rPr>
                <w:rFonts w:eastAsia="Times New Roman"/>
              </w:rPr>
            </w:pPr>
            <w:r>
              <w:rPr>
                <w:rFonts w:eastAsia="Times New Roman"/>
                <w:color w:val="000000"/>
                <w:sz w:val="18"/>
                <w:szCs w:val="18"/>
              </w:rPr>
              <w:t>Option Notes, due January 16, 2022</w:t>
            </w:r>
          </w:p>
        </w:tc>
        <w:tc>
          <w:tcPr>
            <w:tcW w:w="0" w:type="auto"/>
            <w:gridSpan w:val="3"/>
            <w:shd w:val="clear" w:color="auto" w:fill="FFFFFF"/>
            <w:tcMar>
              <w:top w:w="30" w:type="dxa"/>
              <w:left w:w="20" w:type="dxa"/>
              <w:bottom w:w="30" w:type="dxa"/>
              <w:right w:w="20" w:type="dxa"/>
            </w:tcMar>
            <w:vAlign w:val="bottom"/>
            <w:hideMark/>
          </w:tcPr>
          <w:p w14:paraId="273CEA6B" w14:textId="77777777" w:rsidR="00000000" w:rsidRDefault="00E614A4">
            <w:pPr>
              <w:jc w:val="center"/>
              <w:rPr>
                <w:rFonts w:eastAsia="Times New Roman"/>
              </w:rPr>
            </w:pPr>
            <w:r>
              <w:rPr>
                <w:rFonts w:eastAsia="Times New Roman"/>
                <w:color w:val="000000"/>
                <w:sz w:val="18"/>
                <w:szCs w:val="18"/>
              </w:rPr>
              <w:t>12.0%</w:t>
            </w:r>
          </w:p>
        </w:tc>
        <w:tc>
          <w:tcPr>
            <w:tcW w:w="0" w:type="auto"/>
            <w:gridSpan w:val="3"/>
            <w:shd w:val="clear" w:color="auto" w:fill="FFFFFF"/>
            <w:tcMar>
              <w:top w:w="0" w:type="dxa"/>
              <w:left w:w="20" w:type="dxa"/>
              <w:bottom w:w="0" w:type="dxa"/>
              <w:right w:w="20" w:type="dxa"/>
            </w:tcMar>
            <w:vAlign w:val="center"/>
            <w:hideMark/>
          </w:tcPr>
          <w:p w14:paraId="66F9CA2F"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7CE5993" w14:textId="77777777" w:rsidR="00000000" w:rsidRDefault="00E614A4">
            <w:pPr>
              <w:jc w:val="center"/>
              <w:rPr>
                <w:rFonts w:eastAsia="Times New Roman"/>
              </w:rPr>
            </w:pPr>
            <w:r>
              <w:rPr>
                <w:rFonts w:eastAsia="Times New Roman"/>
                <w:color w:val="000000"/>
                <w:sz w:val="18"/>
                <w:szCs w:val="18"/>
              </w:rPr>
              <w:t>14.9%</w:t>
            </w:r>
          </w:p>
        </w:tc>
        <w:tc>
          <w:tcPr>
            <w:tcW w:w="0" w:type="auto"/>
            <w:gridSpan w:val="3"/>
            <w:shd w:val="clear" w:color="auto" w:fill="FFFFFF"/>
            <w:tcMar>
              <w:top w:w="0" w:type="dxa"/>
              <w:left w:w="20" w:type="dxa"/>
              <w:bottom w:w="0" w:type="dxa"/>
              <w:right w:w="20" w:type="dxa"/>
            </w:tcMar>
            <w:vAlign w:val="center"/>
            <w:hideMark/>
          </w:tcPr>
          <w:p w14:paraId="624F107A" w14:textId="77777777" w:rsidR="00000000" w:rsidRDefault="00E614A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37FB61" w14:textId="77777777" w:rsidR="00000000" w:rsidRDefault="00E614A4">
            <w:pPr>
              <w:jc w:val="right"/>
              <w:rPr>
                <w:rFonts w:eastAsia="Times New Roman"/>
              </w:rPr>
            </w:pPr>
            <w:r>
              <w:rPr>
                <w:rFonts w:eastAsia="Times New Roman"/>
                <w:color w:val="000000"/>
                <w:sz w:val="18"/>
                <w:szCs w:val="18"/>
              </w:rPr>
              <w:t>50,500 </w:t>
            </w:r>
          </w:p>
        </w:tc>
        <w:tc>
          <w:tcPr>
            <w:tcW w:w="0" w:type="auto"/>
            <w:shd w:val="clear" w:color="auto" w:fill="FFFFFF"/>
            <w:tcMar>
              <w:top w:w="30" w:type="dxa"/>
              <w:left w:w="0" w:type="dxa"/>
              <w:bottom w:w="30" w:type="dxa"/>
              <w:right w:w="20" w:type="dxa"/>
            </w:tcMar>
            <w:vAlign w:val="bottom"/>
            <w:hideMark/>
          </w:tcPr>
          <w:p w14:paraId="14B370A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F5D49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A8757" w14:textId="77777777" w:rsidR="00000000" w:rsidRDefault="00E614A4">
            <w:pPr>
              <w:jc w:val="right"/>
              <w:rPr>
                <w:rFonts w:eastAsia="Times New Roman"/>
              </w:rPr>
            </w:pPr>
            <w:r>
              <w:rPr>
                <w:rFonts w:eastAsia="Times New Roman"/>
                <w:color w:val="000000"/>
                <w:sz w:val="18"/>
                <w:szCs w:val="18"/>
              </w:rPr>
              <w:t>(1,298)</w:t>
            </w:r>
          </w:p>
        </w:tc>
        <w:tc>
          <w:tcPr>
            <w:tcW w:w="0" w:type="auto"/>
            <w:shd w:val="clear" w:color="auto" w:fill="FFFFFF"/>
            <w:tcMar>
              <w:top w:w="30" w:type="dxa"/>
              <w:left w:w="0" w:type="dxa"/>
              <w:bottom w:w="30" w:type="dxa"/>
              <w:right w:w="20" w:type="dxa"/>
            </w:tcMar>
            <w:vAlign w:val="bottom"/>
            <w:hideMark/>
          </w:tcPr>
          <w:p w14:paraId="1F56FB8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D669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5610FE" w14:textId="77777777" w:rsidR="00000000" w:rsidRDefault="00E614A4">
            <w:pPr>
              <w:jc w:val="right"/>
              <w:rPr>
                <w:rFonts w:eastAsia="Times New Roman"/>
              </w:rPr>
            </w:pPr>
            <w:r>
              <w:rPr>
                <w:rFonts w:eastAsia="Times New Roman"/>
                <w:color w:val="000000"/>
                <w:sz w:val="18"/>
                <w:szCs w:val="18"/>
              </w:rPr>
              <w:t>(</w:t>
            </w: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14:paraId="5AD69B1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8B1B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97D7E9" w14:textId="77777777" w:rsidR="00000000" w:rsidRDefault="00E614A4">
            <w:pPr>
              <w:jc w:val="right"/>
              <w:rPr>
                <w:rFonts w:eastAsia="Times New Roman"/>
              </w:rPr>
            </w:pPr>
            <w:r>
              <w:rPr>
                <w:rFonts w:eastAsia="Times New Roman"/>
                <w:color w:val="000000"/>
                <w:sz w:val="18"/>
                <w:szCs w:val="18"/>
              </w:rPr>
              <w:t>49,118 </w:t>
            </w:r>
          </w:p>
        </w:tc>
        <w:tc>
          <w:tcPr>
            <w:tcW w:w="0" w:type="auto"/>
            <w:shd w:val="clear" w:color="auto" w:fill="FFFFFF"/>
            <w:tcMar>
              <w:top w:w="30" w:type="dxa"/>
              <w:left w:w="0" w:type="dxa"/>
              <w:bottom w:w="30" w:type="dxa"/>
              <w:right w:w="20" w:type="dxa"/>
            </w:tcMar>
            <w:vAlign w:val="bottom"/>
            <w:hideMark/>
          </w:tcPr>
          <w:p w14:paraId="4A42D24C" w14:textId="77777777" w:rsidR="00000000" w:rsidRDefault="00E614A4">
            <w:pPr>
              <w:jc w:val="right"/>
              <w:rPr>
                <w:rFonts w:eastAsia="Times New Roman"/>
              </w:rPr>
            </w:pPr>
          </w:p>
        </w:tc>
        <w:tc>
          <w:tcPr>
            <w:tcW w:w="0" w:type="auto"/>
            <w:vAlign w:val="center"/>
            <w:hideMark/>
          </w:tcPr>
          <w:p w14:paraId="008A807C" w14:textId="77777777" w:rsidR="00000000" w:rsidRDefault="00E614A4">
            <w:pPr>
              <w:jc w:val="right"/>
              <w:rPr>
                <w:rFonts w:eastAsia="Times New Roman"/>
                <w:sz w:val="20"/>
                <w:szCs w:val="20"/>
              </w:rPr>
            </w:pPr>
          </w:p>
        </w:tc>
        <w:tc>
          <w:tcPr>
            <w:tcW w:w="0" w:type="auto"/>
            <w:vAlign w:val="center"/>
            <w:hideMark/>
          </w:tcPr>
          <w:p w14:paraId="5C6FC47A" w14:textId="77777777" w:rsidR="00000000" w:rsidRDefault="00E614A4">
            <w:pPr>
              <w:rPr>
                <w:rFonts w:eastAsia="Times New Roman"/>
                <w:sz w:val="20"/>
                <w:szCs w:val="20"/>
              </w:rPr>
            </w:pPr>
          </w:p>
        </w:tc>
        <w:tc>
          <w:tcPr>
            <w:tcW w:w="0" w:type="auto"/>
            <w:gridSpan w:val="3"/>
            <w:vAlign w:val="center"/>
            <w:hideMark/>
          </w:tcPr>
          <w:p w14:paraId="46D15556" w14:textId="77777777" w:rsidR="00000000" w:rsidRDefault="00E614A4">
            <w:pPr>
              <w:rPr>
                <w:rFonts w:eastAsia="Times New Roman"/>
                <w:sz w:val="20"/>
                <w:szCs w:val="20"/>
              </w:rPr>
            </w:pPr>
          </w:p>
        </w:tc>
        <w:tc>
          <w:tcPr>
            <w:tcW w:w="0" w:type="auto"/>
            <w:gridSpan w:val="3"/>
            <w:vAlign w:val="center"/>
            <w:hideMark/>
          </w:tcPr>
          <w:p w14:paraId="67C3A173" w14:textId="77777777" w:rsidR="00000000" w:rsidRDefault="00E614A4">
            <w:pPr>
              <w:rPr>
                <w:rFonts w:eastAsia="Times New Roman"/>
                <w:sz w:val="20"/>
                <w:szCs w:val="20"/>
              </w:rPr>
            </w:pPr>
          </w:p>
        </w:tc>
        <w:tc>
          <w:tcPr>
            <w:tcW w:w="0" w:type="auto"/>
            <w:gridSpan w:val="3"/>
            <w:vAlign w:val="center"/>
            <w:hideMark/>
          </w:tcPr>
          <w:p w14:paraId="5715B77B" w14:textId="77777777" w:rsidR="00000000" w:rsidRDefault="00E614A4">
            <w:pPr>
              <w:rPr>
                <w:rFonts w:eastAsia="Times New Roman"/>
                <w:sz w:val="20"/>
                <w:szCs w:val="20"/>
              </w:rPr>
            </w:pPr>
          </w:p>
        </w:tc>
      </w:tr>
      <w:tr w:rsidR="00000000" w14:paraId="542201D8" w14:textId="77777777">
        <w:trPr>
          <w:divId w:val="503714980"/>
          <w:jc w:val="center"/>
        </w:trPr>
        <w:tc>
          <w:tcPr>
            <w:tcW w:w="0" w:type="auto"/>
            <w:gridSpan w:val="3"/>
            <w:shd w:val="clear" w:color="auto" w:fill="CCEEFF"/>
            <w:tcMar>
              <w:top w:w="30" w:type="dxa"/>
              <w:left w:w="20" w:type="dxa"/>
              <w:bottom w:w="30" w:type="dxa"/>
              <w:right w:w="20" w:type="dxa"/>
            </w:tcMar>
            <w:hideMark/>
          </w:tcPr>
          <w:p w14:paraId="0C38D323" w14:textId="77777777" w:rsidR="00000000" w:rsidRDefault="00E614A4">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7B08AC85"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F5D1C"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33B924"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5255DF" w14:textId="77777777" w:rsidR="00000000" w:rsidRDefault="00E614A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0CB523E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1C2F313B" w14:textId="77777777" w:rsidR="00000000" w:rsidRDefault="00E614A4">
            <w:pPr>
              <w:jc w:val="right"/>
              <w:rPr>
                <w:rFonts w:eastAsia="Times New Roman"/>
              </w:rPr>
            </w:pPr>
            <w:r>
              <w:rPr>
                <w:rFonts w:eastAsia="Times New Roman"/>
                <w:color w:val="000000"/>
                <w:sz w:val="18"/>
                <w:szCs w:val="18"/>
              </w:rPr>
              <w:t>204,000 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598075E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72396"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4E5D0C1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62A54C41" w14:textId="77777777" w:rsidR="00000000" w:rsidRDefault="00E614A4">
            <w:pPr>
              <w:jc w:val="right"/>
              <w:rPr>
                <w:rFonts w:eastAsia="Times New Roman"/>
              </w:rPr>
            </w:pPr>
            <w:r>
              <w:rPr>
                <w:rFonts w:eastAsia="Times New Roman"/>
                <w:color w:val="000000"/>
                <w:sz w:val="18"/>
                <w:szCs w:val="18"/>
              </w:rPr>
              <w:t>(9,498)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7A6B568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E2FE4B"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59422BE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5A9C3B81" w14:textId="77777777" w:rsidR="00000000" w:rsidRDefault="00E614A4">
            <w:pPr>
              <w:jc w:val="right"/>
              <w:rPr>
                <w:rFonts w:eastAsia="Times New Roman"/>
              </w:rPr>
            </w:pPr>
            <w:r>
              <w:rPr>
                <w:rFonts w:eastAsia="Times New Roman"/>
                <w:color w:val="000000"/>
                <w:sz w:val="18"/>
                <w:szCs w:val="18"/>
              </w:rPr>
              <w:t>(1,607)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36A39FE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93050"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32FF420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05950600" w14:textId="77777777" w:rsidR="00000000" w:rsidRDefault="00E614A4">
            <w:pPr>
              <w:jc w:val="right"/>
              <w:rPr>
                <w:rFonts w:eastAsia="Times New Roman"/>
              </w:rPr>
            </w:pPr>
            <w:r>
              <w:rPr>
                <w:rFonts w:eastAsia="Times New Roman"/>
                <w:color w:val="000000"/>
                <w:sz w:val="18"/>
                <w:szCs w:val="18"/>
              </w:rPr>
              <w:t>192,895 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4113E05A" w14:textId="77777777" w:rsidR="00000000" w:rsidRDefault="00E614A4">
            <w:pPr>
              <w:jc w:val="right"/>
              <w:rPr>
                <w:rFonts w:eastAsia="Times New Roman"/>
              </w:rPr>
            </w:pPr>
          </w:p>
        </w:tc>
        <w:tc>
          <w:tcPr>
            <w:tcW w:w="0" w:type="auto"/>
            <w:vAlign w:val="center"/>
            <w:hideMark/>
          </w:tcPr>
          <w:p w14:paraId="3292B8EF" w14:textId="77777777" w:rsidR="00000000" w:rsidRDefault="00E614A4">
            <w:pPr>
              <w:jc w:val="right"/>
              <w:rPr>
                <w:rFonts w:eastAsia="Times New Roman"/>
                <w:sz w:val="20"/>
                <w:szCs w:val="20"/>
              </w:rPr>
            </w:pPr>
          </w:p>
        </w:tc>
        <w:tc>
          <w:tcPr>
            <w:tcW w:w="0" w:type="auto"/>
            <w:vAlign w:val="center"/>
            <w:hideMark/>
          </w:tcPr>
          <w:p w14:paraId="41CD734E" w14:textId="77777777" w:rsidR="00000000" w:rsidRDefault="00E614A4">
            <w:pPr>
              <w:rPr>
                <w:rFonts w:eastAsia="Times New Roman"/>
                <w:sz w:val="20"/>
                <w:szCs w:val="20"/>
              </w:rPr>
            </w:pPr>
          </w:p>
        </w:tc>
        <w:tc>
          <w:tcPr>
            <w:tcW w:w="0" w:type="auto"/>
            <w:gridSpan w:val="3"/>
            <w:vAlign w:val="center"/>
            <w:hideMark/>
          </w:tcPr>
          <w:p w14:paraId="01CD3FF2" w14:textId="77777777" w:rsidR="00000000" w:rsidRDefault="00E614A4">
            <w:pPr>
              <w:rPr>
                <w:rFonts w:eastAsia="Times New Roman"/>
                <w:sz w:val="20"/>
                <w:szCs w:val="20"/>
              </w:rPr>
            </w:pPr>
          </w:p>
        </w:tc>
        <w:tc>
          <w:tcPr>
            <w:tcW w:w="0" w:type="auto"/>
            <w:gridSpan w:val="3"/>
            <w:vAlign w:val="center"/>
            <w:hideMark/>
          </w:tcPr>
          <w:p w14:paraId="3A1ADAC4" w14:textId="77777777" w:rsidR="00000000" w:rsidRDefault="00E614A4">
            <w:pPr>
              <w:rPr>
                <w:rFonts w:eastAsia="Times New Roman"/>
                <w:sz w:val="20"/>
                <w:szCs w:val="20"/>
              </w:rPr>
            </w:pPr>
          </w:p>
        </w:tc>
        <w:tc>
          <w:tcPr>
            <w:tcW w:w="0" w:type="auto"/>
            <w:gridSpan w:val="3"/>
            <w:vAlign w:val="center"/>
            <w:hideMark/>
          </w:tcPr>
          <w:p w14:paraId="33475F5B" w14:textId="77777777" w:rsidR="00000000" w:rsidRDefault="00E614A4">
            <w:pPr>
              <w:rPr>
                <w:rFonts w:eastAsia="Times New Roman"/>
                <w:sz w:val="20"/>
                <w:szCs w:val="20"/>
              </w:rPr>
            </w:pPr>
          </w:p>
        </w:tc>
      </w:tr>
      <w:tr w:rsidR="00000000" w14:paraId="54C610A7" w14:textId="77777777">
        <w:trPr>
          <w:divId w:val="503714980"/>
          <w:jc w:val="center"/>
        </w:trPr>
        <w:tc>
          <w:tcPr>
            <w:tcW w:w="0" w:type="auto"/>
            <w:gridSpan w:val="3"/>
            <w:vAlign w:val="center"/>
            <w:hideMark/>
          </w:tcPr>
          <w:p w14:paraId="37ADA8DD" w14:textId="77777777" w:rsidR="00000000" w:rsidRDefault="00E614A4">
            <w:pPr>
              <w:rPr>
                <w:rFonts w:eastAsia="Times New Roman"/>
                <w:sz w:val="20"/>
                <w:szCs w:val="20"/>
              </w:rPr>
            </w:pPr>
          </w:p>
        </w:tc>
        <w:tc>
          <w:tcPr>
            <w:tcW w:w="0" w:type="auto"/>
            <w:gridSpan w:val="3"/>
            <w:vAlign w:val="center"/>
            <w:hideMark/>
          </w:tcPr>
          <w:p w14:paraId="1C34079F" w14:textId="77777777" w:rsidR="00000000" w:rsidRDefault="00E614A4">
            <w:pPr>
              <w:rPr>
                <w:rFonts w:eastAsia="Times New Roman"/>
                <w:sz w:val="20"/>
                <w:szCs w:val="20"/>
              </w:rPr>
            </w:pPr>
          </w:p>
        </w:tc>
        <w:tc>
          <w:tcPr>
            <w:tcW w:w="0" w:type="auto"/>
            <w:gridSpan w:val="3"/>
            <w:vAlign w:val="center"/>
            <w:hideMark/>
          </w:tcPr>
          <w:p w14:paraId="1315105E" w14:textId="77777777" w:rsidR="00000000" w:rsidRDefault="00E614A4">
            <w:pPr>
              <w:rPr>
                <w:rFonts w:eastAsia="Times New Roman"/>
                <w:sz w:val="20"/>
                <w:szCs w:val="20"/>
              </w:rPr>
            </w:pPr>
          </w:p>
        </w:tc>
        <w:tc>
          <w:tcPr>
            <w:tcW w:w="0" w:type="auto"/>
            <w:gridSpan w:val="3"/>
            <w:vAlign w:val="center"/>
            <w:hideMark/>
          </w:tcPr>
          <w:p w14:paraId="2A21A311" w14:textId="77777777" w:rsidR="00000000" w:rsidRDefault="00E614A4">
            <w:pPr>
              <w:rPr>
                <w:rFonts w:eastAsia="Times New Roman"/>
                <w:sz w:val="20"/>
                <w:szCs w:val="20"/>
              </w:rPr>
            </w:pPr>
          </w:p>
        </w:tc>
        <w:tc>
          <w:tcPr>
            <w:tcW w:w="0" w:type="auto"/>
            <w:gridSpan w:val="3"/>
            <w:vAlign w:val="center"/>
            <w:hideMark/>
          </w:tcPr>
          <w:p w14:paraId="67799080" w14:textId="77777777" w:rsidR="00000000" w:rsidRDefault="00E614A4">
            <w:pPr>
              <w:rPr>
                <w:rFonts w:eastAsia="Times New Roman"/>
                <w:sz w:val="20"/>
                <w:szCs w:val="20"/>
              </w:rPr>
            </w:pPr>
          </w:p>
        </w:tc>
        <w:tc>
          <w:tcPr>
            <w:tcW w:w="0" w:type="auto"/>
            <w:gridSpan w:val="3"/>
            <w:vAlign w:val="center"/>
            <w:hideMark/>
          </w:tcPr>
          <w:p w14:paraId="3DA969B9" w14:textId="77777777" w:rsidR="00000000" w:rsidRDefault="00E614A4">
            <w:pPr>
              <w:rPr>
                <w:rFonts w:eastAsia="Times New Roman"/>
                <w:sz w:val="20"/>
                <w:szCs w:val="20"/>
              </w:rPr>
            </w:pPr>
          </w:p>
        </w:tc>
        <w:tc>
          <w:tcPr>
            <w:tcW w:w="0" w:type="auto"/>
            <w:gridSpan w:val="3"/>
            <w:vAlign w:val="center"/>
            <w:hideMark/>
          </w:tcPr>
          <w:p w14:paraId="2749B547" w14:textId="77777777" w:rsidR="00000000" w:rsidRDefault="00E614A4">
            <w:pPr>
              <w:rPr>
                <w:rFonts w:eastAsia="Times New Roman"/>
                <w:sz w:val="20"/>
                <w:szCs w:val="20"/>
              </w:rPr>
            </w:pPr>
          </w:p>
        </w:tc>
        <w:tc>
          <w:tcPr>
            <w:tcW w:w="0" w:type="auto"/>
            <w:gridSpan w:val="3"/>
            <w:vAlign w:val="center"/>
            <w:hideMark/>
          </w:tcPr>
          <w:p w14:paraId="51BC1AD1" w14:textId="77777777" w:rsidR="00000000" w:rsidRDefault="00E614A4">
            <w:pPr>
              <w:rPr>
                <w:rFonts w:eastAsia="Times New Roman"/>
                <w:sz w:val="20"/>
                <w:szCs w:val="20"/>
              </w:rPr>
            </w:pPr>
          </w:p>
        </w:tc>
        <w:tc>
          <w:tcPr>
            <w:tcW w:w="0" w:type="auto"/>
            <w:gridSpan w:val="3"/>
            <w:vAlign w:val="center"/>
            <w:hideMark/>
          </w:tcPr>
          <w:p w14:paraId="385D9C58" w14:textId="77777777" w:rsidR="00000000" w:rsidRDefault="00E614A4">
            <w:pPr>
              <w:rPr>
                <w:rFonts w:eastAsia="Times New Roman"/>
                <w:sz w:val="20"/>
                <w:szCs w:val="20"/>
              </w:rPr>
            </w:pPr>
          </w:p>
        </w:tc>
        <w:tc>
          <w:tcPr>
            <w:tcW w:w="0" w:type="auto"/>
            <w:gridSpan w:val="3"/>
            <w:vAlign w:val="center"/>
            <w:hideMark/>
          </w:tcPr>
          <w:p w14:paraId="7A439C54" w14:textId="77777777" w:rsidR="00000000" w:rsidRDefault="00E614A4">
            <w:pPr>
              <w:rPr>
                <w:rFonts w:eastAsia="Times New Roman"/>
                <w:sz w:val="20"/>
                <w:szCs w:val="20"/>
              </w:rPr>
            </w:pPr>
          </w:p>
        </w:tc>
        <w:tc>
          <w:tcPr>
            <w:tcW w:w="0" w:type="auto"/>
            <w:gridSpan w:val="3"/>
            <w:vAlign w:val="center"/>
            <w:hideMark/>
          </w:tcPr>
          <w:p w14:paraId="0ED143D8" w14:textId="77777777" w:rsidR="00000000" w:rsidRDefault="00E614A4">
            <w:pPr>
              <w:rPr>
                <w:rFonts w:eastAsia="Times New Roman"/>
                <w:sz w:val="20"/>
                <w:szCs w:val="20"/>
              </w:rPr>
            </w:pPr>
          </w:p>
        </w:tc>
        <w:tc>
          <w:tcPr>
            <w:tcW w:w="0" w:type="auto"/>
            <w:gridSpan w:val="3"/>
            <w:vAlign w:val="center"/>
            <w:hideMark/>
          </w:tcPr>
          <w:p w14:paraId="0D247CBB" w14:textId="77777777" w:rsidR="00000000" w:rsidRDefault="00E614A4">
            <w:pPr>
              <w:rPr>
                <w:rFonts w:eastAsia="Times New Roman"/>
                <w:sz w:val="20"/>
                <w:szCs w:val="20"/>
              </w:rPr>
            </w:pPr>
          </w:p>
        </w:tc>
        <w:tc>
          <w:tcPr>
            <w:tcW w:w="0" w:type="auto"/>
            <w:vAlign w:val="center"/>
            <w:hideMark/>
          </w:tcPr>
          <w:p w14:paraId="4BD1BB72" w14:textId="77777777" w:rsidR="00000000" w:rsidRDefault="00E614A4">
            <w:pPr>
              <w:rPr>
                <w:rFonts w:eastAsia="Times New Roman"/>
                <w:sz w:val="20"/>
                <w:szCs w:val="20"/>
              </w:rPr>
            </w:pPr>
          </w:p>
        </w:tc>
        <w:tc>
          <w:tcPr>
            <w:tcW w:w="0" w:type="auto"/>
            <w:vAlign w:val="center"/>
            <w:hideMark/>
          </w:tcPr>
          <w:p w14:paraId="4810D004" w14:textId="77777777" w:rsidR="00000000" w:rsidRDefault="00E614A4">
            <w:pPr>
              <w:rPr>
                <w:rFonts w:eastAsia="Times New Roman"/>
                <w:sz w:val="20"/>
                <w:szCs w:val="20"/>
              </w:rPr>
            </w:pPr>
          </w:p>
        </w:tc>
        <w:tc>
          <w:tcPr>
            <w:tcW w:w="0" w:type="auto"/>
            <w:gridSpan w:val="3"/>
            <w:vAlign w:val="center"/>
            <w:hideMark/>
          </w:tcPr>
          <w:p w14:paraId="48090DDB" w14:textId="77777777" w:rsidR="00000000" w:rsidRDefault="00E614A4">
            <w:pPr>
              <w:rPr>
                <w:rFonts w:eastAsia="Times New Roman"/>
                <w:sz w:val="20"/>
                <w:szCs w:val="20"/>
              </w:rPr>
            </w:pPr>
          </w:p>
        </w:tc>
        <w:tc>
          <w:tcPr>
            <w:tcW w:w="0" w:type="auto"/>
            <w:gridSpan w:val="3"/>
            <w:vAlign w:val="center"/>
            <w:hideMark/>
          </w:tcPr>
          <w:p w14:paraId="1E6573AF" w14:textId="77777777" w:rsidR="00000000" w:rsidRDefault="00E614A4">
            <w:pPr>
              <w:rPr>
                <w:rFonts w:eastAsia="Times New Roman"/>
                <w:sz w:val="20"/>
                <w:szCs w:val="20"/>
              </w:rPr>
            </w:pPr>
          </w:p>
        </w:tc>
        <w:tc>
          <w:tcPr>
            <w:tcW w:w="0" w:type="auto"/>
            <w:gridSpan w:val="3"/>
            <w:vAlign w:val="center"/>
            <w:hideMark/>
          </w:tcPr>
          <w:p w14:paraId="3513D458" w14:textId="77777777" w:rsidR="00000000" w:rsidRDefault="00E614A4">
            <w:pPr>
              <w:rPr>
                <w:rFonts w:eastAsia="Times New Roman"/>
                <w:sz w:val="20"/>
                <w:szCs w:val="20"/>
              </w:rPr>
            </w:pPr>
          </w:p>
        </w:tc>
      </w:tr>
      <w:tr w:rsidR="00000000" w14:paraId="72E5926A" w14:textId="77777777">
        <w:trPr>
          <w:divId w:val="503714980"/>
          <w:jc w:val="center"/>
        </w:trPr>
        <w:tc>
          <w:tcPr>
            <w:tcW w:w="0" w:type="auto"/>
            <w:gridSpan w:val="3"/>
            <w:vAlign w:val="center"/>
            <w:hideMark/>
          </w:tcPr>
          <w:p w14:paraId="4D79CAF5" w14:textId="77777777" w:rsidR="00000000" w:rsidRDefault="00E614A4">
            <w:pPr>
              <w:rPr>
                <w:rFonts w:eastAsia="Times New Roman"/>
                <w:sz w:val="20"/>
                <w:szCs w:val="20"/>
              </w:rPr>
            </w:pPr>
          </w:p>
        </w:tc>
        <w:tc>
          <w:tcPr>
            <w:tcW w:w="0" w:type="auto"/>
            <w:gridSpan w:val="3"/>
            <w:vAlign w:val="center"/>
            <w:hideMark/>
          </w:tcPr>
          <w:p w14:paraId="546BEF3F" w14:textId="77777777" w:rsidR="00000000" w:rsidRDefault="00E614A4">
            <w:pPr>
              <w:rPr>
                <w:rFonts w:eastAsia="Times New Roman"/>
                <w:sz w:val="20"/>
                <w:szCs w:val="20"/>
              </w:rPr>
            </w:pPr>
          </w:p>
        </w:tc>
        <w:tc>
          <w:tcPr>
            <w:tcW w:w="0" w:type="auto"/>
            <w:gridSpan w:val="3"/>
            <w:vAlign w:val="center"/>
            <w:hideMark/>
          </w:tcPr>
          <w:p w14:paraId="4BC62059" w14:textId="77777777" w:rsidR="00000000" w:rsidRDefault="00E614A4">
            <w:pPr>
              <w:rPr>
                <w:rFonts w:eastAsia="Times New Roman"/>
                <w:sz w:val="20"/>
                <w:szCs w:val="20"/>
              </w:rPr>
            </w:pPr>
          </w:p>
        </w:tc>
        <w:tc>
          <w:tcPr>
            <w:tcW w:w="0" w:type="auto"/>
            <w:gridSpan w:val="3"/>
            <w:vAlign w:val="center"/>
            <w:hideMark/>
          </w:tcPr>
          <w:p w14:paraId="0AD3D5B8" w14:textId="77777777" w:rsidR="00000000" w:rsidRDefault="00E614A4">
            <w:pPr>
              <w:rPr>
                <w:rFonts w:eastAsia="Times New Roman"/>
                <w:sz w:val="20"/>
                <w:szCs w:val="20"/>
              </w:rPr>
            </w:pPr>
          </w:p>
        </w:tc>
        <w:tc>
          <w:tcPr>
            <w:tcW w:w="0" w:type="auto"/>
            <w:gridSpan w:val="3"/>
            <w:vAlign w:val="center"/>
            <w:hideMark/>
          </w:tcPr>
          <w:p w14:paraId="7BBAB015" w14:textId="77777777" w:rsidR="00000000" w:rsidRDefault="00E614A4">
            <w:pPr>
              <w:rPr>
                <w:rFonts w:eastAsia="Times New Roman"/>
                <w:sz w:val="20"/>
                <w:szCs w:val="20"/>
              </w:rPr>
            </w:pPr>
          </w:p>
        </w:tc>
        <w:tc>
          <w:tcPr>
            <w:tcW w:w="0" w:type="auto"/>
            <w:gridSpan w:val="3"/>
            <w:vAlign w:val="center"/>
            <w:hideMark/>
          </w:tcPr>
          <w:p w14:paraId="44021754" w14:textId="77777777" w:rsidR="00000000" w:rsidRDefault="00E614A4">
            <w:pPr>
              <w:rPr>
                <w:rFonts w:eastAsia="Times New Roman"/>
                <w:sz w:val="20"/>
                <w:szCs w:val="20"/>
              </w:rPr>
            </w:pPr>
          </w:p>
        </w:tc>
        <w:tc>
          <w:tcPr>
            <w:tcW w:w="0" w:type="auto"/>
            <w:gridSpan w:val="3"/>
            <w:vAlign w:val="center"/>
            <w:hideMark/>
          </w:tcPr>
          <w:p w14:paraId="1F45DB8B" w14:textId="77777777" w:rsidR="00000000" w:rsidRDefault="00E614A4">
            <w:pPr>
              <w:rPr>
                <w:rFonts w:eastAsia="Times New Roman"/>
                <w:sz w:val="20"/>
                <w:szCs w:val="20"/>
              </w:rPr>
            </w:pPr>
          </w:p>
        </w:tc>
        <w:tc>
          <w:tcPr>
            <w:tcW w:w="0" w:type="auto"/>
            <w:gridSpan w:val="3"/>
            <w:vAlign w:val="center"/>
            <w:hideMark/>
          </w:tcPr>
          <w:p w14:paraId="560417CC" w14:textId="77777777" w:rsidR="00000000" w:rsidRDefault="00E614A4">
            <w:pPr>
              <w:rPr>
                <w:rFonts w:eastAsia="Times New Roman"/>
                <w:sz w:val="20"/>
                <w:szCs w:val="20"/>
              </w:rPr>
            </w:pPr>
          </w:p>
        </w:tc>
        <w:tc>
          <w:tcPr>
            <w:tcW w:w="0" w:type="auto"/>
            <w:gridSpan w:val="3"/>
            <w:vAlign w:val="center"/>
            <w:hideMark/>
          </w:tcPr>
          <w:p w14:paraId="7611BEB4" w14:textId="77777777" w:rsidR="00000000" w:rsidRDefault="00E614A4">
            <w:pPr>
              <w:rPr>
                <w:rFonts w:eastAsia="Times New Roman"/>
                <w:sz w:val="20"/>
                <w:szCs w:val="20"/>
              </w:rPr>
            </w:pPr>
          </w:p>
        </w:tc>
        <w:tc>
          <w:tcPr>
            <w:tcW w:w="0" w:type="auto"/>
            <w:gridSpan w:val="3"/>
            <w:vAlign w:val="center"/>
            <w:hideMark/>
          </w:tcPr>
          <w:p w14:paraId="21CDF82D" w14:textId="77777777" w:rsidR="00000000" w:rsidRDefault="00E614A4">
            <w:pPr>
              <w:rPr>
                <w:rFonts w:eastAsia="Times New Roman"/>
                <w:sz w:val="20"/>
                <w:szCs w:val="20"/>
              </w:rPr>
            </w:pPr>
          </w:p>
        </w:tc>
        <w:tc>
          <w:tcPr>
            <w:tcW w:w="0" w:type="auto"/>
            <w:gridSpan w:val="3"/>
            <w:vAlign w:val="center"/>
            <w:hideMark/>
          </w:tcPr>
          <w:p w14:paraId="75B6A8B1" w14:textId="77777777" w:rsidR="00000000" w:rsidRDefault="00E614A4">
            <w:pPr>
              <w:rPr>
                <w:rFonts w:eastAsia="Times New Roman"/>
                <w:sz w:val="20"/>
                <w:szCs w:val="20"/>
              </w:rPr>
            </w:pPr>
          </w:p>
        </w:tc>
        <w:tc>
          <w:tcPr>
            <w:tcW w:w="0" w:type="auto"/>
            <w:gridSpan w:val="3"/>
            <w:vAlign w:val="center"/>
            <w:hideMark/>
          </w:tcPr>
          <w:p w14:paraId="7B72800A" w14:textId="77777777" w:rsidR="00000000" w:rsidRDefault="00E614A4">
            <w:pPr>
              <w:rPr>
                <w:rFonts w:eastAsia="Times New Roman"/>
                <w:sz w:val="20"/>
                <w:szCs w:val="20"/>
              </w:rPr>
            </w:pPr>
          </w:p>
        </w:tc>
        <w:tc>
          <w:tcPr>
            <w:tcW w:w="0" w:type="auto"/>
            <w:vAlign w:val="center"/>
            <w:hideMark/>
          </w:tcPr>
          <w:p w14:paraId="72A6F5A4" w14:textId="77777777" w:rsidR="00000000" w:rsidRDefault="00E614A4">
            <w:pPr>
              <w:rPr>
                <w:rFonts w:eastAsia="Times New Roman"/>
                <w:sz w:val="20"/>
                <w:szCs w:val="20"/>
              </w:rPr>
            </w:pPr>
          </w:p>
        </w:tc>
        <w:tc>
          <w:tcPr>
            <w:tcW w:w="0" w:type="auto"/>
            <w:vAlign w:val="center"/>
            <w:hideMark/>
          </w:tcPr>
          <w:p w14:paraId="0A2A9815" w14:textId="77777777" w:rsidR="00000000" w:rsidRDefault="00E614A4">
            <w:pPr>
              <w:rPr>
                <w:rFonts w:eastAsia="Times New Roman"/>
                <w:sz w:val="20"/>
                <w:szCs w:val="20"/>
              </w:rPr>
            </w:pPr>
          </w:p>
        </w:tc>
        <w:tc>
          <w:tcPr>
            <w:tcW w:w="0" w:type="auto"/>
            <w:gridSpan w:val="3"/>
            <w:vAlign w:val="center"/>
            <w:hideMark/>
          </w:tcPr>
          <w:p w14:paraId="1F1908B7" w14:textId="77777777" w:rsidR="00000000" w:rsidRDefault="00E614A4">
            <w:pPr>
              <w:rPr>
                <w:rFonts w:eastAsia="Times New Roman"/>
                <w:sz w:val="20"/>
                <w:szCs w:val="20"/>
              </w:rPr>
            </w:pPr>
          </w:p>
        </w:tc>
        <w:tc>
          <w:tcPr>
            <w:tcW w:w="0" w:type="auto"/>
            <w:gridSpan w:val="3"/>
            <w:vAlign w:val="center"/>
            <w:hideMark/>
          </w:tcPr>
          <w:p w14:paraId="1E7018F8" w14:textId="77777777" w:rsidR="00000000" w:rsidRDefault="00E614A4">
            <w:pPr>
              <w:rPr>
                <w:rFonts w:eastAsia="Times New Roman"/>
                <w:sz w:val="20"/>
                <w:szCs w:val="20"/>
              </w:rPr>
            </w:pPr>
          </w:p>
        </w:tc>
        <w:tc>
          <w:tcPr>
            <w:tcW w:w="0" w:type="auto"/>
            <w:gridSpan w:val="3"/>
            <w:vAlign w:val="center"/>
            <w:hideMark/>
          </w:tcPr>
          <w:p w14:paraId="4D7A9651" w14:textId="77777777" w:rsidR="00000000" w:rsidRDefault="00E614A4">
            <w:pPr>
              <w:rPr>
                <w:rFonts w:eastAsia="Times New Roman"/>
                <w:sz w:val="20"/>
                <w:szCs w:val="20"/>
              </w:rPr>
            </w:pPr>
          </w:p>
        </w:tc>
      </w:tr>
      <w:tr w:rsidR="00000000" w14:paraId="65793861" w14:textId="77777777">
        <w:trPr>
          <w:divId w:val="503714980"/>
          <w:jc w:val="center"/>
        </w:trPr>
        <w:tc>
          <w:tcPr>
            <w:tcW w:w="0" w:type="auto"/>
            <w:gridSpan w:val="3"/>
            <w:vAlign w:val="center"/>
            <w:hideMark/>
          </w:tcPr>
          <w:p w14:paraId="6C2EE969" w14:textId="77777777" w:rsidR="00000000" w:rsidRDefault="00E614A4">
            <w:pPr>
              <w:rPr>
                <w:rFonts w:eastAsia="Times New Roman"/>
                <w:sz w:val="20"/>
                <w:szCs w:val="20"/>
              </w:rPr>
            </w:pPr>
          </w:p>
        </w:tc>
        <w:tc>
          <w:tcPr>
            <w:tcW w:w="0" w:type="auto"/>
            <w:gridSpan w:val="3"/>
            <w:vAlign w:val="center"/>
            <w:hideMark/>
          </w:tcPr>
          <w:p w14:paraId="5EBD598E" w14:textId="77777777" w:rsidR="00000000" w:rsidRDefault="00E614A4">
            <w:pPr>
              <w:rPr>
                <w:rFonts w:eastAsia="Times New Roman"/>
                <w:sz w:val="20"/>
                <w:szCs w:val="20"/>
              </w:rPr>
            </w:pPr>
          </w:p>
        </w:tc>
        <w:tc>
          <w:tcPr>
            <w:tcW w:w="0" w:type="auto"/>
            <w:gridSpan w:val="3"/>
            <w:vAlign w:val="center"/>
            <w:hideMark/>
          </w:tcPr>
          <w:p w14:paraId="21217288" w14:textId="77777777" w:rsidR="00000000" w:rsidRDefault="00E614A4">
            <w:pPr>
              <w:rPr>
                <w:rFonts w:eastAsia="Times New Roman"/>
                <w:sz w:val="20"/>
                <w:szCs w:val="20"/>
              </w:rPr>
            </w:pPr>
          </w:p>
        </w:tc>
        <w:tc>
          <w:tcPr>
            <w:tcW w:w="0" w:type="auto"/>
            <w:gridSpan w:val="3"/>
            <w:vAlign w:val="center"/>
            <w:hideMark/>
          </w:tcPr>
          <w:p w14:paraId="1B338BFF" w14:textId="77777777" w:rsidR="00000000" w:rsidRDefault="00E614A4">
            <w:pPr>
              <w:rPr>
                <w:rFonts w:eastAsia="Times New Roman"/>
                <w:sz w:val="20"/>
                <w:szCs w:val="20"/>
              </w:rPr>
            </w:pPr>
          </w:p>
        </w:tc>
        <w:tc>
          <w:tcPr>
            <w:tcW w:w="0" w:type="auto"/>
            <w:gridSpan w:val="3"/>
            <w:vAlign w:val="center"/>
            <w:hideMark/>
          </w:tcPr>
          <w:p w14:paraId="238E7F25" w14:textId="77777777" w:rsidR="00000000" w:rsidRDefault="00E614A4">
            <w:pPr>
              <w:rPr>
                <w:rFonts w:eastAsia="Times New Roman"/>
                <w:sz w:val="20"/>
                <w:szCs w:val="20"/>
              </w:rPr>
            </w:pPr>
          </w:p>
        </w:tc>
        <w:tc>
          <w:tcPr>
            <w:tcW w:w="0" w:type="auto"/>
            <w:gridSpan w:val="3"/>
            <w:vAlign w:val="center"/>
            <w:hideMark/>
          </w:tcPr>
          <w:p w14:paraId="2CB06930" w14:textId="77777777" w:rsidR="00000000" w:rsidRDefault="00E614A4">
            <w:pPr>
              <w:rPr>
                <w:rFonts w:eastAsia="Times New Roman"/>
                <w:sz w:val="20"/>
                <w:szCs w:val="20"/>
              </w:rPr>
            </w:pPr>
          </w:p>
        </w:tc>
        <w:tc>
          <w:tcPr>
            <w:tcW w:w="0" w:type="auto"/>
            <w:gridSpan w:val="3"/>
            <w:vAlign w:val="center"/>
            <w:hideMark/>
          </w:tcPr>
          <w:p w14:paraId="06C01981" w14:textId="77777777" w:rsidR="00000000" w:rsidRDefault="00E614A4">
            <w:pPr>
              <w:rPr>
                <w:rFonts w:eastAsia="Times New Roman"/>
                <w:sz w:val="20"/>
                <w:szCs w:val="20"/>
              </w:rPr>
            </w:pPr>
          </w:p>
        </w:tc>
        <w:tc>
          <w:tcPr>
            <w:tcW w:w="0" w:type="auto"/>
            <w:gridSpan w:val="3"/>
            <w:vAlign w:val="center"/>
            <w:hideMark/>
          </w:tcPr>
          <w:p w14:paraId="129F0CC8" w14:textId="77777777" w:rsidR="00000000" w:rsidRDefault="00E614A4">
            <w:pPr>
              <w:rPr>
                <w:rFonts w:eastAsia="Times New Roman"/>
                <w:sz w:val="20"/>
                <w:szCs w:val="20"/>
              </w:rPr>
            </w:pPr>
          </w:p>
        </w:tc>
        <w:tc>
          <w:tcPr>
            <w:tcW w:w="0" w:type="auto"/>
            <w:gridSpan w:val="3"/>
            <w:vAlign w:val="center"/>
            <w:hideMark/>
          </w:tcPr>
          <w:p w14:paraId="7ABA20DB" w14:textId="77777777" w:rsidR="00000000" w:rsidRDefault="00E614A4">
            <w:pPr>
              <w:rPr>
                <w:rFonts w:eastAsia="Times New Roman"/>
                <w:sz w:val="20"/>
                <w:szCs w:val="20"/>
              </w:rPr>
            </w:pPr>
          </w:p>
        </w:tc>
        <w:tc>
          <w:tcPr>
            <w:tcW w:w="0" w:type="auto"/>
            <w:gridSpan w:val="3"/>
            <w:vAlign w:val="center"/>
            <w:hideMark/>
          </w:tcPr>
          <w:p w14:paraId="518B6758" w14:textId="77777777" w:rsidR="00000000" w:rsidRDefault="00E614A4">
            <w:pPr>
              <w:rPr>
                <w:rFonts w:eastAsia="Times New Roman"/>
                <w:sz w:val="20"/>
                <w:szCs w:val="20"/>
              </w:rPr>
            </w:pPr>
          </w:p>
        </w:tc>
        <w:tc>
          <w:tcPr>
            <w:tcW w:w="0" w:type="auto"/>
            <w:gridSpan w:val="3"/>
            <w:vAlign w:val="center"/>
            <w:hideMark/>
          </w:tcPr>
          <w:p w14:paraId="6C08897C" w14:textId="77777777" w:rsidR="00000000" w:rsidRDefault="00E614A4">
            <w:pPr>
              <w:rPr>
                <w:rFonts w:eastAsia="Times New Roman"/>
                <w:sz w:val="20"/>
                <w:szCs w:val="20"/>
              </w:rPr>
            </w:pPr>
          </w:p>
        </w:tc>
        <w:tc>
          <w:tcPr>
            <w:tcW w:w="0" w:type="auto"/>
            <w:gridSpan w:val="3"/>
            <w:vAlign w:val="center"/>
            <w:hideMark/>
          </w:tcPr>
          <w:p w14:paraId="1E8F572E" w14:textId="77777777" w:rsidR="00000000" w:rsidRDefault="00E614A4">
            <w:pPr>
              <w:rPr>
                <w:rFonts w:eastAsia="Times New Roman"/>
                <w:sz w:val="20"/>
                <w:szCs w:val="20"/>
              </w:rPr>
            </w:pPr>
          </w:p>
        </w:tc>
        <w:tc>
          <w:tcPr>
            <w:tcW w:w="0" w:type="auto"/>
            <w:vAlign w:val="center"/>
            <w:hideMark/>
          </w:tcPr>
          <w:p w14:paraId="7C10405F" w14:textId="77777777" w:rsidR="00000000" w:rsidRDefault="00E614A4">
            <w:pPr>
              <w:rPr>
                <w:rFonts w:eastAsia="Times New Roman"/>
                <w:sz w:val="20"/>
                <w:szCs w:val="20"/>
              </w:rPr>
            </w:pPr>
          </w:p>
        </w:tc>
        <w:tc>
          <w:tcPr>
            <w:tcW w:w="0" w:type="auto"/>
            <w:vAlign w:val="center"/>
            <w:hideMark/>
          </w:tcPr>
          <w:p w14:paraId="1682735A" w14:textId="77777777" w:rsidR="00000000" w:rsidRDefault="00E614A4">
            <w:pPr>
              <w:rPr>
                <w:rFonts w:eastAsia="Times New Roman"/>
                <w:sz w:val="20"/>
                <w:szCs w:val="20"/>
              </w:rPr>
            </w:pPr>
          </w:p>
        </w:tc>
        <w:tc>
          <w:tcPr>
            <w:tcW w:w="0" w:type="auto"/>
            <w:gridSpan w:val="3"/>
            <w:vAlign w:val="center"/>
            <w:hideMark/>
          </w:tcPr>
          <w:p w14:paraId="258FFA78" w14:textId="77777777" w:rsidR="00000000" w:rsidRDefault="00E614A4">
            <w:pPr>
              <w:rPr>
                <w:rFonts w:eastAsia="Times New Roman"/>
                <w:sz w:val="20"/>
                <w:szCs w:val="20"/>
              </w:rPr>
            </w:pPr>
          </w:p>
        </w:tc>
        <w:tc>
          <w:tcPr>
            <w:tcW w:w="0" w:type="auto"/>
            <w:gridSpan w:val="3"/>
            <w:vAlign w:val="center"/>
            <w:hideMark/>
          </w:tcPr>
          <w:p w14:paraId="1F889EF8" w14:textId="77777777" w:rsidR="00000000" w:rsidRDefault="00E614A4">
            <w:pPr>
              <w:rPr>
                <w:rFonts w:eastAsia="Times New Roman"/>
                <w:sz w:val="20"/>
                <w:szCs w:val="20"/>
              </w:rPr>
            </w:pPr>
          </w:p>
        </w:tc>
        <w:tc>
          <w:tcPr>
            <w:tcW w:w="0" w:type="auto"/>
            <w:gridSpan w:val="3"/>
            <w:vAlign w:val="center"/>
            <w:hideMark/>
          </w:tcPr>
          <w:p w14:paraId="57474D9C" w14:textId="77777777" w:rsidR="00000000" w:rsidRDefault="00E614A4">
            <w:pPr>
              <w:rPr>
                <w:rFonts w:eastAsia="Times New Roman"/>
                <w:sz w:val="20"/>
                <w:szCs w:val="20"/>
              </w:rPr>
            </w:pPr>
          </w:p>
        </w:tc>
      </w:tr>
    </w:tbl>
    <w:p w14:paraId="7674D1DA" w14:textId="77777777" w:rsidR="00000000" w:rsidRDefault="00E614A4">
      <w:pPr>
        <w:jc w:val="center"/>
        <w:divId w:val="199047231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576"/>
        <w:gridCol w:w="36"/>
        <w:gridCol w:w="56"/>
        <w:gridCol w:w="630"/>
        <w:gridCol w:w="36"/>
        <w:gridCol w:w="36"/>
        <w:gridCol w:w="36"/>
        <w:gridCol w:w="36"/>
        <w:gridCol w:w="63"/>
        <w:gridCol w:w="623"/>
        <w:gridCol w:w="36"/>
        <w:gridCol w:w="36"/>
        <w:gridCol w:w="36"/>
        <w:gridCol w:w="36"/>
        <w:gridCol w:w="110"/>
        <w:gridCol w:w="672"/>
        <w:gridCol w:w="36"/>
        <w:gridCol w:w="36"/>
        <w:gridCol w:w="36"/>
        <w:gridCol w:w="36"/>
        <w:gridCol w:w="110"/>
        <w:gridCol w:w="673"/>
        <w:gridCol w:w="36"/>
        <w:gridCol w:w="36"/>
        <w:gridCol w:w="36"/>
        <w:gridCol w:w="36"/>
        <w:gridCol w:w="111"/>
        <w:gridCol w:w="673"/>
        <w:gridCol w:w="36"/>
        <w:gridCol w:w="36"/>
        <w:gridCol w:w="36"/>
        <w:gridCol w:w="36"/>
        <w:gridCol w:w="110"/>
        <w:gridCol w:w="674"/>
        <w:gridCol w:w="36"/>
        <w:gridCol w:w="36"/>
        <w:gridCol w:w="36"/>
        <w:gridCol w:w="36"/>
        <w:gridCol w:w="36"/>
        <w:gridCol w:w="36"/>
        <w:gridCol w:w="36"/>
        <w:gridCol w:w="36"/>
        <w:gridCol w:w="36"/>
        <w:gridCol w:w="36"/>
        <w:gridCol w:w="36"/>
        <w:gridCol w:w="36"/>
      </w:tblGrid>
      <w:tr w:rsidR="00000000" w14:paraId="65362C1D" w14:textId="77777777">
        <w:trPr>
          <w:divId w:val="752629298"/>
          <w:jc w:val="center"/>
        </w:trPr>
        <w:tc>
          <w:tcPr>
            <w:tcW w:w="50" w:type="pct"/>
            <w:vAlign w:val="center"/>
            <w:hideMark/>
          </w:tcPr>
          <w:p w14:paraId="7AA3989F" w14:textId="77777777" w:rsidR="00000000" w:rsidRDefault="00E614A4">
            <w:pPr>
              <w:jc w:val="center"/>
              <w:rPr>
                <w:rFonts w:eastAsia="Times New Roman"/>
              </w:rPr>
            </w:pPr>
          </w:p>
        </w:tc>
        <w:tc>
          <w:tcPr>
            <w:tcW w:w="1681" w:type="pct"/>
            <w:vAlign w:val="center"/>
            <w:hideMark/>
          </w:tcPr>
          <w:p w14:paraId="7122F27C" w14:textId="77777777" w:rsidR="00000000" w:rsidRDefault="00E614A4">
            <w:pPr>
              <w:rPr>
                <w:rFonts w:eastAsia="Times New Roman"/>
                <w:sz w:val="20"/>
                <w:szCs w:val="20"/>
              </w:rPr>
            </w:pPr>
          </w:p>
        </w:tc>
        <w:tc>
          <w:tcPr>
            <w:tcW w:w="5" w:type="pct"/>
            <w:vAlign w:val="center"/>
            <w:hideMark/>
          </w:tcPr>
          <w:p w14:paraId="64BD8072" w14:textId="77777777" w:rsidR="00000000" w:rsidRDefault="00E614A4">
            <w:pPr>
              <w:rPr>
                <w:rFonts w:eastAsia="Times New Roman"/>
                <w:sz w:val="20"/>
                <w:szCs w:val="20"/>
              </w:rPr>
            </w:pPr>
          </w:p>
        </w:tc>
        <w:tc>
          <w:tcPr>
            <w:tcW w:w="50" w:type="pct"/>
            <w:vAlign w:val="center"/>
            <w:hideMark/>
          </w:tcPr>
          <w:p w14:paraId="54F589ED" w14:textId="77777777" w:rsidR="00000000" w:rsidRDefault="00E614A4">
            <w:pPr>
              <w:rPr>
                <w:rFonts w:eastAsia="Times New Roman"/>
                <w:sz w:val="20"/>
                <w:szCs w:val="20"/>
              </w:rPr>
            </w:pPr>
          </w:p>
        </w:tc>
        <w:tc>
          <w:tcPr>
            <w:tcW w:w="465" w:type="pct"/>
            <w:vAlign w:val="center"/>
            <w:hideMark/>
          </w:tcPr>
          <w:p w14:paraId="6AB9343E" w14:textId="77777777" w:rsidR="00000000" w:rsidRDefault="00E614A4">
            <w:pPr>
              <w:rPr>
                <w:rFonts w:eastAsia="Times New Roman"/>
                <w:sz w:val="20"/>
                <w:szCs w:val="20"/>
              </w:rPr>
            </w:pPr>
          </w:p>
        </w:tc>
        <w:tc>
          <w:tcPr>
            <w:tcW w:w="5" w:type="pct"/>
            <w:vAlign w:val="center"/>
            <w:hideMark/>
          </w:tcPr>
          <w:p w14:paraId="5E1624FC" w14:textId="77777777" w:rsidR="00000000" w:rsidRDefault="00E614A4">
            <w:pPr>
              <w:rPr>
                <w:rFonts w:eastAsia="Times New Roman"/>
                <w:sz w:val="20"/>
                <w:szCs w:val="20"/>
              </w:rPr>
            </w:pPr>
          </w:p>
        </w:tc>
        <w:tc>
          <w:tcPr>
            <w:tcW w:w="5" w:type="pct"/>
            <w:vAlign w:val="center"/>
            <w:hideMark/>
          </w:tcPr>
          <w:p w14:paraId="1295B80F" w14:textId="77777777" w:rsidR="00000000" w:rsidRDefault="00E614A4">
            <w:pPr>
              <w:rPr>
                <w:rFonts w:eastAsia="Times New Roman"/>
                <w:sz w:val="20"/>
                <w:szCs w:val="20"/>
              </w:rPr>
            </w:pPr>
          </w:p>
        </w:tc>
        <w:tc>
          <w:tcPr>
            <w:tcW w:w="17" w:type="pct"/>
            <w:vAlign w:val="center"/>
            <w:hideMark/>
          </w:tcPr>
          <w:p w14:paraId="14C2C921" w14:textId="77777777" w:rsidR="00000000" w:rsidRDefault="00E614A4">
            <w:pPr>
              <w:rPr>
                <w:rFonts w:eastAsia="Times New Roman"/>
                <w:sz w:val="20"/>
                <w:szCs w:val="20"/>
              </w:rPr>
            </w:pPr>
          </w:p>
        </w:tc>
        <w:tc>
          <w:tcPr>
            <w:tcW w:w="5" w:type="pct"/>
            <w:vAlign w:val="center"/>
            <w:hideMark/>
          </w:tcPr>
          <w:p w14:paraId="0FAABAE0" w14:textId="77777777" w:rsidR="00000000" w:rsidRDefault="00E614A4">
            <w:pPr>
              <w:rPr>
                <w:rFonts w:eastAsia="Times New Roman"/>
                <w:sz w:val="20"/>
                <w:szCs w:val="20"/>
              </w:rPr>
            </w:pPr>
          </w:p>
        </w:tc>
        <w:tc>
          <w:tcPr>
            <w:tcW w:w="50" w:type="pct"/>
            <w:vAlign w:val="center"/>
            <w:hideMark/>
          </w:tcPr>
          <w:p w14:paraId="23CFEC95" w14:textId="77777777" w:rsidR="00000000" w:rsidRDefault="00E614A4">
            <w:pPr>
              <w:rPr>
                <w:rFonts w:eastAsia="Times New Roman"/>
                <w:sz w:val="20"/>
                <w:szCs w:val="20"/>
              </w:rPr>
            </w:pPr>
          </w:p>
        </w:tc>
        <w:tc>
          <w:tcPr>
            <w:tcW w:w="465" w:type="pct"/>
            <w:vAlign w:val="center"/>
            <w:hideMark/>
          </w:tcPr>
          <w:p w14:paraId="7AB3D55C" w14:textId="77777777" w:rsidR="00000000" w:rsidRDefault="00E614A4">
            <w:pPr>
              <w:rPr>
                <w:rFonts w:eastAsia="Times New Roman"/>
                <w:sz w:val="20"/>
                <w:szCs w:val="20"/>
              </w:rPr>
            </w:pPr>
          </w:p>
        </w:tc>
        <w:tc>
          <w:tcPr>
            <w:tcW w:w="5" w:type="pct"/>
            <w:vAlign w:val="center"/>
            <w:hideMark/>
          </w:tcPr>
          <w:p w14:paraId="600D2454" w14:textId="77777777" w:rsidR="00000000" w:rsidRDefault="00E614A4">
            <w:pPr>
              <w:rPr>
                <w:rFonts w:eastAsia="Times New Roman"/>
                <w:sz w:val="20"/>
                <w:szCs w:val="20"/>
              </w:rPr>
            </w:pPr>
          </w:p>
        </w:tc>
        <w:tc>
          <w:tcPr>
            <w:tcW w:w="5" w:type="pct"/>
            <w:vAlign w:val="center"/>
            <w:hideMark/>
          </w:tcPr>
          <w:p w14:paraId="733798BB" w14:textId="77777777" w:rsidR="00000000" w:rsidRDefault="00E614A4">
            <w:pPr>
              <w:rPr>
                <w:rFonts w:eastAsia="Times New Roman"/>
                <w:sz w:val="20"/>
                <w:szCs w:val="20"/>
              </w:rPr>
            </w:pPr>
          </w:p>
        </w:tc>
        <w:tc>
          <w:tcPr>
            <w:tcW w:w="17" w:type="pct"/>
            <w:vAlign w:val="center"/>
            <w:hideMark/>
          </w:tcPr>
          <w:p w14:paraId="36EB458E" w14:textId="77777777" w:rsidR="00000000" w:rsidRDefault="00E614A4">
            <w:pPr>
              <w:rPr>
                <w:rFonts w:eastAsia="Times New Roman"/>
                <w:sz w:val="20"/>
                <w:szCs w:val="20"/>
              </w:rPr>
            </w:pPr>
          </w:p>
        </w:tc>
        <w:tc>
          <w:tcPr>
            <w:tcW w:w="5" w:type="pct"/>
            <w:vAlign w:val="center"/>
            <w:hideMark/>
          </w:tcPr>
          <w:p w14:paraId="7AD829BB" w14:textId="77777777" w:rsidR="00000000" w:rsidRDefault="00E614A4">
            <w:pPr>
              <w:rPr>
                <w:rFonts w:eastAsia="Times New Roman"/>
                <w:sz w:val="20"/>
                <w:szCs w:val="20"/>
              </w:rPr>
            </w:pPr>
          </w:p>
        </w:tc>
        <w:tc>
          <w:tcPr>
            <w:tcW w:w="50" w:type="pct"/>
            <w:vAlign w:val="center"/>
            <w:hideMark/>
          </w:tcPr>
          <w:p w14:paraId="51C5E045" w14:textId="77777777" w:rsidR="00000000" w:rsidRDefault="00E614A4">
            <w:pPr>
              <w:rPr>
                <w:rFonts w:eastAsia="Times New Roman"/>
                <w:sz w:val="20"/>
                <w:szCs w:val="20"/>
              </w:rPr>
            </w:pPr>
          </w:p>
        </w:tc>
        <w:tc>
          <w:tcPr>
            <w:tcW w:w="465" w:type="pct"/>
            <w:vAlign w:val="center"/>
            <w:hideMark/>
          </w:tcPr>
          <w:p w14:paraId="2F39A24A" w14:textId="77777777" w:rsidR="00000000" w:rsidRDefault="00E614A4">
            <w:pPr>
              <w:rPr>
                <w:rFonts w:eastAsia="Times New Roman"/>
                <w:sz w:val="20"/>
                <w:szCs w:val="20"/>
              </w:rPr>
            </w:pPr>
          </w:p>
        </w:tc>
        <w:tc>
          <w:tcPr>
            <w:tcW w:w="5" w:type="pct"/>
            <w:vAlign w:val="center"/>
            <w:hideMark/>
          </w:tcPr>
          <w:p w14:paraId="5113C7F3" w14:textId="77777777" w:rsidR="00000000" w:rsidRDefault="00E614A4">
            <w:pPr>
              <w:rPr>
                <w:rFonts w:eastAsia="Times New Roman"/>
                <w:sz w:val="20"/>
                <w:szCs w:val="20"/>
              </w:rPr>
            </w:pPr>
          </w:p>
        </w:tc>
        <w:tc>
          <w:tcPr>
            <w:tcW w:w="5" w:type="pct"/>
            <w:vAlign w:val="center"/>
            <w:hideMark/>
          </w:tcPr>
          <w:p w14:paraId="7EEA91A9" w14:textId="77777777" w:rsidR="00000000" w:rsidRDefault="00E614A4">
            <w:pPr>
              <w:rPr>
                <w:rFonts w:eastAsia="Times New Roman"/>
                <w:sz w:val="20"/>
                <w:szCs w:val="20"/>
              </w:rPr>
            </w:pPr>
          </w:p>
        </w:tc>
        <w:tc>
          <w:tcPr>
            <w:tcW w:w="17" w:type="pct"/>
            <w:vAlign w:val="center"/>
            <w:hideMark/>
          </w:tcPr>
          <w:p w14:paraId="07E2FF2D" w14:textId="77777777" w:rsidR="00000000" w:rsidRDefault="00E614A4">
            <w:pPr>
              <w:rPr>
                <w:rFonts w:eastAsia="Times New Roman"/>
                <w:sz w:val="20"/>
                <w:szCs w:val="20"/>
              </w:rPr>
            </w:pPr>
          </w:p>
        </w:tc>
        <w:tc>
          <w:tcPr>
            <w:tcW w:w="5" w:type="pct"/>
            <w:vAlign w:val="center"/>
            <w:hideMark/>
          </w:tcPr>
          <w:p w14:paraId="2A6421B6" w14:textId="77777777" w:rsidR="00000000" w:rsidRDefault="00E614A4">
            <w:pPr>
              <w:rPr>
                <w:rFonts w:eastAsia="Times New Roman"/>
                <w:sz w:val="20"/>
                <w:szCs w:val="20"/>
              </w:rPr>
            </w:pPr>
          </w:p>
        </w:tc>
        <w:tc>
          <w:tcPr>
            <w:tcW w:w="50" w:type="pct"/>
            <w:vAlign w:val="center"/>
            <w:hideMark/>
          </w:tcPr>
          <w:p w14:paraId="5E6E1E14" w14:textId="77777777" w:rsidR="00000000" w:rsidRDefault="00E614A4">
            <w:pPr>
              <w:rPr>
                <w:rFonts w:eastAsia="Times New Roman"/>
                <w:sz w:val="20"/>
                <w:szCs w:val="20"/>
              </w:rPr>
            </w:pPr>
          </w:p>
        </w:tc>
        <w:tc>
          <w:tcPr>
            <w:tcW w:w="465" w:type="pct"/>
            <w:vAlign w:val="center"/>
            <w:hideMark/>
          </w:tcPr>
          <w:p w14:paraId="4184D2BC" w14:textId="77777777" w:rsidR="00000000" w:rsidRDefault="00E614A4">
            <w:pPr>
              <w:rPr>
                <w:rFonts w:eastAsia="Times New Roman"/>
                <w:sz w:val="20"/>
                <w:szCs w:val="20"/>
              </w:rPr>
            </w:pPr>
          </w:p>
        </w:tc>
        <w:tc>
          <w:tcPr>
            <w:tcW w:w="5" w:type="pct"/>
            <w:vAlign w:val="center"/>
            <w:hideMark/>
          </w:tcPr>
          <w:p w14:paraId="1F955E99" w14:textId="77777777" w:rsidR="00000000" w:rsidRDefault="00E614A4">
            <w:pPr>
              <w:rPr>
                <w:rFonts w:eastAsia="Times New Roman"/>
                <w:sz w:val="20"/>
                <w:szCs w:val="20"/>
              </w:rPr>
            </w:pPr>
          </w:p>
        </w:tc>
        <w:tc>
          <w:tcPr>
            <w:tcW w:w="5" w:type="pct"/>
            <w:vAlign w:val="center"/>
            <w:hideMark/>
          </w:tcPr>
          <w:p w14:paraId="405AE76D" w14:textId="77777777" w:rsidR="00000000" w:rsidRDefault="00E614A4">
            <w:pPr>
              <w:rPr>
                <w:rFonts w:eastAsia="Times New Roman"/>
                <w:sz w:val="20"/>
                <w:szCs w:val="20"/>
              </w:rPr>
            </w:pPr>
          </w:p>
        </w:tc>
        <w:tc>
          <w:tcPr>
            <w:tcW w:w="17" w:type="pct"/>
            <w:vAlign w:val="center"/>
            <w:hideMark/>
          </w:tcPr>
          <w:p w14:paraId="7A6D2440" w14:textId="77777777" w:rsidR="00000000" w:rsidRDefault="00E614A4">
            <w:pPr>
              <w:rPr>
                <w:rFonts w:eastAsia="Times New Roman"/>
                <w:sz w:val="20"/>
                <w:szCs w:val="20"/>
              </w:rPr>
            </w:pPr>
          </w:p>
        </w:tc>
        <w:tc>
          <w:tcPr>
            <w:tcW w:w="5" w:type="pct"/>
            <w:vAlign w:val="center"/>
            <w:hideMark/>
          </w:tcPr>
          <w:p w14:paraId="48149B6B" w14:textId="77777777" w:rsidR="00000000" w:rsidRDefault="00E614A4">
            <w:pPr>
              <w:rPr>
                <w:rFonts w:eastAsia="Times New Roman"/>
                <w:sz w:val="20"/>
                <w:szCs w:val="20"/>
              </w:rPr>
            </w:pPr>
          </w:p>
        </w:tc>
        <w:tc>
          <w:tcPr>
            <w:tcW w:w="50" w:type="pct"/>
            <w:vAlign w:val="center"/>
            <w:hideMark/>
          </w:tcPr>
          <w:p w14:paraId="599B2E90" w14:textId="77777777" w:rsidR="00000000" w:rsidRDefault="00E614A4">
            <w:pPr>
              <w:rPr>
                <w:rFonts w:eastAsia="Times New Roman"/>
                <w:sz w:val="20"/>
                <w:szCs w:val="20"/>
              </w:rPr>
            </w:pPr>
          </w:p>
        </w:tc>
        <w:tc>
          <w:tcPr>
            <w:tcW w:w="465" w:type="pct"/>
            <w:vAlign w:val="center"/>
            <w:hideMark/>
          </w:tcPr>
          <w:p w14:paraId="31562A39" w14:textId="77777777" w:rsidR="00000000" w:rsidRDefault="00E614A4">
            <w:pPr>
              <w:rPr>
                <w:rFonts w:eastAsia="Times New Roman"/>
                <w:sz w:val="20"/>
                <w:szCs w:val="20"/>
              </w:rPr>
            </w:pPr>
          </w:p>
        </w:tc>
        <w:tc>
          <w:tcPr>
            <w:tcW w:w="5" w:type="pct"/>
            <w:vAlign w:val="center"/>
            <w:hideMark/>
          </w:tcPr>
          <w:p w14:paraId="519E935D" w14:textId="77777777" w:rsidR="00000000" w:rsidRDefault="00E614A4">
            <w:pPr>
              <w:rPr>
                <w:rFonts w:eastAsia="Times New Roman"/>
                <w:sz w:val="20"/>
                <w:szCs w:val="20"/>
              </w:rPr>
            </w:pPr>
          </w:p>
        </w:tc>
        <w:tc>
          <w:tcPr>
            <w:tcW w:w="5" w:type="pct"/>
            <w:vAlign w:val="center"/>
            <w:hideMark/>
          </w:tcPr>
          <w:p w14:paraId="4B883BA3" w14:textId="77777777" w:rsidR="00000000" w:rsidRDefault="00E614A4">
            <w:pPr>
              <w:rPr>
                <w:rFonts w:eastAsia="Times New Roman"/>
                <w:sz w:val="20"/>
                <w:szCs w:val="20"/>
              </w:rPr>
            </w:pPr>
          </w:p>
        </w:tc>
        <w:tc>
          <w:tcPr>
            <w:tcW w:w="17" w:type="pct"/>
            <w:vAlign w:val="center"/>
            <w:hideMark/>
          </w:tcPr>
          <w:p w14:paraId="4464C8C9" w14:textId="77777777" w:rsidR="00000000" w:rsidRDefault="00E614A4">
            <w:pPr>
              <w:rPr>
                <w:rFonts w:eastAsia="Times New Roman"/>
                <w:sz w:val="20"/>
                <w:szCs w:val="20"/>
              </w:rPr>
            </w:pPr>
          </w:p>
        </w:tc>
        <w:tc>
          <w:tcPr>
            <w:tcW w:w="5" w:type="pct"/>
            <w:vAlign w:val="center"/>
            <w:hideMark/>
          </w:tcPr>
          <w:p w14:paraId="6977A86D" w14:textId="77777777" w:rsidR="00000000" w:rsidRDefault="00E614A4">
            <w:pPr>
              <w:rPr>
                <w:rFonts w:eastAsia="Times New Roman"/>
                <w:sz w:val="20"/>
                <w:szCs w:val="20"/>
              </w:rPr>
            </w:pPr>
          </w:p>
        </w:tc>
        <w:tc>
          <w:tcPr>
            <w:tcW w:w="50" w:type="pct"/>
            <w:vAlign w:val="center"/>
            <w:hideMark/>
          </w:tcPr>
          <w:p w14:paraId="2E853C88" w14:textId="77777777" w:rsidR="00000000" w:rsidRDefault="00E614A4">
            <w:pPr>
              <w:rPr>
                <w:rFonts w:eastAsia="Times New Roman"/>
                <w:sz w:val="20"/>
                <w:szCs w:val="20"/>
              </w:rPr>
            </w:pPr>
          </w:p>
        </w:tc>
        <w:tc>
          <w:tcPr>
            <w:tcW w:w="466" w:type="pct"/>
            <w:vAlign w:val="center"/>
            <w:hideMark/>
          </w:tcPr>
          <w:p w14:paraId="48700C91" w14:textId="77777777" w:rsidR="00000000" w:rsidRDefault="00E614A4">
            <w:pPr>
              <w:rPr>
                <w:rFonts w:eastAsia="Times New Roman"/>
                <w:sz w:val="20"/>
                <w:szCs w:val="20"/>
              </w:rPr>
            </w:pPr>
          </w:p>
        </w:tc>
        <w:tc>
          <w:tcPr>
            <w:tcW w:w="5" w:type="pct"/>
            <w:vAlign w:val="center"/>
            <w:hideMark/>
          </w:tcPr>
          <w:p w14:paraId="0D9EE461" w14:textId="77777777" w:rsidR="00000000" w:rsidRDefault="00E614A4">
            <w:pPr>
              <w:rPr>
                <w:rFonts w:eastAsia="Times New Roman"/>
                <w:sz w:val="20"/>
                <w:szCs w:val="20"/>
              </w:rPr>
            </w:pPr>
          </w:p>
        </w:tc>
        <w:tc>
          <w:tcPr>
            <w:tcW w:w="0" w:type="auto"/>
            <w:vAlign w:val="center"/>
            <w:hideMark/>
          </w:tcPr>
          <w:p w14:paraId="23AC1E94" w14:textId="77777777" w:rsidR="00000000" w:rsidRDefault="00E614A4">
            <w:pPr>
              <w:rPr>
                <w:rFonts w:eastAsia="Times New Roman"/>
                <w:sz w:val="20"/>
                <w:szCs w:val="20"/>
              </w:rPr>
            </w:pPr>
          </w:p>
        </w:tc>
        <w:tc>
          <w:tcPr>
            <w:tcW w:w="0" w:type="auto"/>
            <w:vAlign w:val="center"/>
            <w:hideMark/>
          </w:tcPr>
          <w:p w14:paraId="1D1DD63B" w14:textId="77777777" w:rsidR="00000000" w:rsidRDefault="00E614A4">
            <w:pPr>
              <w:rPr>
                <w:rFonts w:eastAsia="Times New Roman"/>
                <w:sz w:val="20"/>
                <w:szCs w:val="20"/>
              </w:rPr>
            </w:pPr>
          </w:p>
        </w:tc>
        <w:tc>
          <w:tcPr>
            <w:tcW w:w="0" w:type="auto"/>
            <w:gridSpan w:val="3"/>
            <w:vAlign w:val="center"/>
            <w:hideMark/>
          </w:tcPr>
          <w:p w14:paraId="1CB04D55" w14:textId="77777777" w:rsidR="00000000" w:rsidRDefault="00E614A4">
            <w:pPr>
              <w:rPr>
                <w:rFonts w:eastAsia="Times New Roman"/>
                <w:sz w:val="20"/>
                <w:szCs w:val="20"/>
              </w:rPr>
            </w:pPr>
          </w:p>
        </w:tc>
        <w:tc>
          <w:tcPr>
            <w:tcW w:w="0" w:type="auto"/>
            <w:gridSpan w:val="3"/>
            <w:vAlign w:val="center"/>
            <w:hideMark/>
          </w:tcPr>
          <w:p w14:paraId="32937CB0" w14:textId="77777777" w:rsidR="00000000" w:rsidRDefault="00E614A4">
            <w:pPr>
              <w:rPr>
                <w:rFonts w:eastAsia="Times New Roman"/>
                <w:sz w:val="20"/>
                <w:szCs w:val="20"/>
              </w:rPr>
            </w:pPr>
          </w:p>
        </w:tc>
        <w:tc>
          <w:tcPr>
            <w:tcW w:w="0" w:type="auto"/>
            <w:gridSpan w:val="3"/>
            <w:vAlign w:val="center"/>
            <w:hideMark/>
          </w:tcPr>
          <w:p w14:paraId="5F23385D" w14:textId="77777777" w:rsidR="00000000" w:rsidRDefault="00E614A4">
            <w:pPr>
              <w:rPr>
                <w:rFonts w:eastAsia="Times New Roman"/>
                <w:sz w:val="20"/>
                <w:szCs w:val="20"/>
              </w:rPr>
            </w:pPr>
          </w:p>
        </w:tc>
      </w:tr>
      <w:tr w:rsidR="00000000" w14:paraId="22891FF7" w14:textId="77777777">
        <w:trPr>
          <w:divId w:val="752629298"/>
          <w:jc w:val="center"/>
        </w:trPr>
        <w:tc>
          <w:tcPr>
            <w:tcW w:w="0" w:type="auto"/>
            <w:gridSpan w:val="3"/>
            <w:tcMar>
              <w:top w:w="0" w:type="dxa"/>
              <w:left w:w="20" w:type="dxa"/>
              <w:bottom w:w="0" w:type="dxa"/>
              <w:right w:w="20" w:type="dxa"/>
            </w:tcMar>
            <w:vAlign w:val="center"/>
            <w:hideMark/>
          </w:tcPr>
          <w:p w14:paraId="6A4736B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909FC3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F1CC01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D02E9FC"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3D72D08"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50E7667E" w14:textId="77777777" w:rsidR="00000000" w:rsidRDefault="00E614A4">
            <w:pPr>
              <w:jc w:val="center"/>
              <w:rPr>
                <w:rFonts w:eastAsia="Times New Roman"/>
              </w:rPr>
            </w:pPr>
            <w:r>
              <w:rPr>
                <w:rFonts w:eastAsia="Times New Roman"/>
                <w:b/>
                <w:bCs/>
                <w:color w:val="000000"/>
                <w:sz w:val="16"/>
                <w:szCs w:val="16"/>
              </w:rPr>
              <w:t>As of</w:t>
            </w:r>
          </w:p>
        </w:tc>
        <w:tc>
          <w:tcPr>
            <w:tcW w:w="0" w:type="auto"/>
            <w:vAlign w:val="center"/>
            <w:hideMark/>
          </w:tcPr>
          <w:p w14:paraId="5853E0C4" w14:textId="77777777" w:rsidR="00000000" w:rsidRDefault="00E614A4">
            <w:pPr>
              <w:jc w:val="center"/>
              <w:rPr>
                <w:rFonts w:eastAsia="Times New Roman"/>
              </w:rPr>
            </w:pPr>
          </w:p>
        </w:tc>
        <w:tc>
          <w:tcPr>
            <w:tcW w:w="0" w:type="auto"/>
            <w:vAlign w:val="center"/>
            <w:hideMark/>
          </w:tcPr>
          <w:p w14:paraId="24E295BF" w14:textId="77777777" w:rsidR="00000000" w:rsidRDefault="00E614A4">
            <w:pPr>
              <w:rPr>
                <w:rFonts w:eastAsia="Times New Roman"/>
                <w:sz w:val="20"/>
                <w:szCs w:val="20"/>
              </w:rPr>
            </w:pPr>
          </w:p>
        </w:tc>
        <w:tc>
          <w:tcPr>
            <w:tcW w:w="0" w:type="auto"/>
            <w:vAlign w:val="center"/>
            <w:hideMark/>
          </w:tcPr>
          <w:p w14:paraId="2397925C" w14:textId="77777777" w:rsidR="00000000" w:rsidRDefault="00E614A4">
            <w:pPr>
              <w:rPr>
                <w:rFonts w:eastAsia="Times New Roman"/>
                <w:sz w:val="20"/>
                <w:szCs w:val="20"/>
              </w:rPr>
            </w:pPr>
          </w:p>
        </w:tc>
        <w:tc>
          <w:tcPr>
            <w:tcW w:w="0" w:type="auto"/>
            <w:vAlign w:val="center"/>
            <w:hideMark/>
          </w:tcPr>
          <w:p w14:paraId="08D6A253" w14:textId="77777777" w:rsidR="00000000" w:rsidRDefault="00E614A4">
            <w:pPr>
              <w:rPr>
                <w:rFonts w:eastAsia="Times New Roman"/>
                <w:sz w:val="20"/>
                <w:szCs w:val="20"/>
              </w:rPr>
            </w:pPr>
          </w:p>
        </w:tc>
        <w:tc>
          <w:tcPr>
            <w:tcW w:w="0" w:type="auto"/>
            <w:vAlign w:val="center"/>
            <w:hideMark/>
          </w:tcPr>
          <w:p w14:paraId="2D1E07E5" w14:textId="77777777" w:rsidR="00000000" w:rsidRDefault="00E614A4">
            <w:pPr>
              <w:rPr>
                <w:rFonts w:eastAsia="Times New Roman"/>
                <w:sz w:val="20"/>
                <w:szCs w:val="20"/>
              </w:rPr>
            </w:pPr>
          </w:p>
        </w:tc>
        <w:tc>
          <w:tcPr>
            <w:tcW w:w="0" w:type="auto"/>
            <w:vAlign w:val="center"/>
            <w:hideMark/>
          </w:tcPr>
          <w:p w14:paraId="7421A971" w14:textId="77777777" w:rsidR="00000000" w:rsidRDefault="00E614A4">
            <w:pPr>
              <w:rPr>
                <w:rFonts w:eastAsia="Times New Roman"/>
                <w:sz w:val="20"/>
                <w:szCs w:val="20"/>
              </w:rPr>
            </w:pPr>
          </w:p>
        </w:tc>
        <w:tc>
          <w:tcPr>
            <w:tcW w:w="0" w:type="auto"/>
            <w:vAlign w:val="center"/>
            <w:hideMark/>
          </w:tcPr>
          <w:p w14:paraId="4A6E384E" w14:textId="77777777" w:rsidR="00000000" w:rsidRDefault="00E614A4">
            <w:pPr>
              <w:rPr>
                <w:rFonts w:eastAsia="Times New Roman"/>
                <w:sz w:val="20"/>
                <w:szCs w:val="20"/>
              </w:rPr>
            </w:pPr>
          </w:p>
        </w:tc>
        <w:tc>
          <w:tcPr>
            <w:tcW w:w="0" w:type="auto"/>
            <w:vAlign w:val="center"/>
            <w:hideMark/>
          </w:tcPr>
          <w:p w14:paraId="0172E3AD" w14:textId="77777777" w:rsidR="00000000" w:rsidRDefault="00E614A4">
            <w:pPr>
              <w:rPr>
                <w:rFonts w:eastAsia="Times New Roman"/>
                <w:sz w:val="20"/>
                <w:szCs w:val="20"/>
              </w:rPr>
            </w:pPr>
          </w:p>
        </w:tc>
        <w:tc>
          <w:tcPr>
            <w:tcW w:w="0" w:type="auto"/>
            <w:vAlign w:val="center"/>
            <w:hideMark/>
          </w:tcPr>
          <w:p w14:paraId="2F95276F" w14:textId="77777777" w:rsidR="00000000" w:rsidRDefault="00E614A4">
            <w:pPr>
              <w:rPr>
                <w:rFonts w:eastAsia="Times New Roman"/>
                <w:sz w:val="20"/>
                <w:szCs w:val="20"/>
              </w:rPr>
            </w:pPr>
          </w:p>
        </w:tc>
        <w:tc>
          <w:tcPr>
            <w:tcW w:w="0" w:type="auto"/>
            <w:vAlign w:val="center"/>
            <w:hideMark/>
          </w:tcPr>
          <w:p w14:paraId="0816A106" w14:textId="77777777" w:rsidR="00000000" w:rsidRDefault="00E614A4">
            <w:pPr>
              <w:rPr>
                <w:rFonts w:eastAsia="Times New Roman"/>
                <w:sz w:val="20"/>
                <w:szCs w:val="20"/>
              </w:rPr>
            </w:pPr>
          </w:p>
        </w:tc>
        <w:tc>
          <w:tcPr>
            <w:tcW w:w="0" w:type="auto"/>
            <w:vAlign w:val="center"/>
            <w:hideMark/>
          </w:tcPr>
          <w:p w14:paraId="672C1E09" w14:textId="77777777" w:rsidR="00000000" w:rsidRDefault="00E614A4">
            <w:pPr>
              <w:rPr>
                <w:rFonts w:eastAsia="Times New Roman"/>
                <w:sz w:val="20"/>
                <w:szCs w:val="20"/>
              </w:rPr>
            </w:pPr>
          </w:p>
        </w:tc>
      </w:tr>
      <w:tr w:rsidR="00000000" w14:paraId="60259372" w14:textId="77777777">
        <w:trPr>
          <w:divId w:val="752629298"/>
          <w:jc w:val="center"/>
        </w:trPr>
        <w:tc>
          <w:tcPr>
            <w:tcW w:w="0" w:type="auto"/>
            <w:gridSpan w:val="3"/>
            <w:tcMar>
              <w:top w:w="0" w:type="dxa"/>
              <w:left w:w="20" w:type="dxa"/>
              <w:bottom w:w="0" w:type="dxa"/>
              <w:right w:w="20" w:type="dxa"/>
            </w:tcMar>
            <w:vAlign w:val="center"/>
            <w:hideMark/>
          </w:tcPr>
          <w:p w14:paraId="019C1D0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D1338C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57678A6"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CFF406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755E5C4"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555C54E9" w14:textId="77777777" w:rsidR="00000000" w:rsidRDefault="00E614A4">
            <w:pPr>
              <w:jc w:val="center"/>
              <w:rPr>
                <w:rFonts w:eastAsia="Times New Roman"/>
              </w:rPr>
            </w:pPr>
            <w:r>
              <w:rPr>
                <w:rFonts w:eastAsia="Times New Roman"/>
                <w:b/>
                <w:bCs/>
                <w:color w:val="000000"/>
                <w:sz w:val="16"/>
                <w:szCs w:val="16"/>
              </w:rPr>
              <w:t>December 31, 2019</w:t>
            </w:r>
          </w:p>
        </w:tc>
        <w:tc>
          <w:tcPr>
            <w:tcW w:w="0" w:type="auto"/>
            <w:vAlign w:val="center"/>
            <w:hideMark/>
          </w:tcPr>
          <w:p w14:paraId="52325E23" w14:textId="77777777" w:rsidR="00000000" w:rsidRDefault="00E614A4">
            <w:pPr>
              <w:jc w:val="center"/>
              <w:rPr>
                <w:rFonts w:eastAsia="Times New Roman"/>
              </w:rPr>
            </w:pPr>
          </w:p>
        </w:tc>
        <w:tc>
          <w:tcPr>
            <w:tcW w:w="0" w:type="auto"/>
            <w:vAlign w:val="center"/>
            <w:hideMark/>
          </w:tcPr>
          <w:p w14:paraId="71524957" w14:textId="77777777" w:rsidR="00000000" w:rsidRDefault="00E614A4">
            <w:pPr>
              <w:rPr>
                <w:rFonts w:eastAsia="Times New Roman"/>
                <w:sz w:val="20"/>
                <w:szCs w:val="20"/>
              </w:rPr>
            </w:pPr>
          </w:p>
        </w:tc>
        <w:tc>
          <w:tcPr>
            <w:tcW w:w="0" w:type="auto"/>
            <w:vAlign w:val="center"/>
            <w:hideMark/>
          </w:tcPr>
          <w:p w14:paraId="7CD48CA2" w14:textId="77777777" w:rsidR="00000000" w:rsidRDefault="00E614A4">
            <w:pPr>
              <w:rPr>
                <w:rFonts w:eastAsia="Times New Roman"/>
                <w:sz w:val="20"/>
                <w:szCs w:val="20"/>
              </w:rPr>
            </w:pPr>
          </w:p>
        </w:tc>
        <w:tc>
          <w:tcPr>
            <w:tcW w:w="0" w:type="auto"/>
            <w:vAlign w:val="center"/>
            <w:hideMark/>
          </w:tcPr>
          <w:p w14:paraId="012410C7" w14:textId="77777777" w:rsidR="00000000" w:rsidRDefault="00E614A4">
            <w:pPr>
              <w:rPr>
                <w:rFonts w:eastAsia="Times New Roman"/>
                <w:sz w:val="20"/>
                <w:szCs w:val="20"/>
              </w:rPr>
            </w:pPr>
          </w:p>
        </w:tc>
        <w:tc>
          <w:tcPr>
            <w:tcW w:w="0" w:type="auto"/>
            <w:vAlign w:val="center"/>
            <w:hideMark/>
          </w:tcPr>
          <w:p w14:paraId="5FA44163" w14:textId="77777777" w:rsidR="00000000" w:rsidRDefault="00E614A4">
            <w:pPr>
              <w:rPr>
                <w:rFonts w:eastAsia="Times New Roman"/>
                <w:sz w:val="20"/>
                <w:szCs w:val="20"/>
              </w:rPr>
            </w:pPr>
          </w:p>
        </w:tc>
        <w:tc>
          <w:tcPr>
            <w:tcW w:w="0" w:type="auto"/>
            <w:vAlign w:val="center"/>
            <w:hideMark/>
          </w:tcPr>
          <w:p w14:paraId="3B6D5B6B" w14:textId="77777777" w:rsidR="00000000" w:rsidRDefault="00E614A4">
            <w:pPr>
              <w:rPr>
                <w:rFonts w:eastAsia="Times New Roman"/>
                <w:sz w:val="20"/>
                <w:szCs w:val="20"/>
              </w:rPr>
            </w:pPr>
          </w:p>
        </w:tc>
        <w:tc>
          <w:tcPr>
            <w:tcW w:w="0" w:type="auto"/>
            <w:vAlign w:val="center"/>
            <w:hideMark/>
          </w:tcPr>
          <w:p w14:paraId="6D58DEC0" w14:textId="77777777" w:rsidR="00000000" w:rsidRDefault="00E614A4">
            <w:pPr>
              <w:rPr>
                <w:rFonts w:eastAsia="Times New Roman"/>
                <w:sz w:val="20"/>
                <w:szCs w:val="20"/>
              </w:rPr>
            </w:pPr>
          </w:p>
        </w:tc>
        <w:tc>
          <w:tcPr>
            <w:tcW w:w="0" w:type="auto"/>
            <w:vAlign w:val="center"/>
            <w:hideMark/>
          </w:tcPr>
          <w:p w14:paraId="05666583" w14:textId="77777777" w:rsidR="00000000" w:rsidRDefault="00E614A4">
            <w:pPr>
              <w:rPr>
                <w:rFonts w:eastAsia="Times New Roman"/>
                <w:sz w:val="20"/>
                <w:szCs w:val="20"/>
              </w:rPr>
            </w:pPr>
          </w:p>
        </w:tc>
        <w:tc>
          <w:tcPr>
            <w:tcW w:w="0" w:type="auto"/>
            <w:vAlign w:val="center"/>
            <w:hideMark/>
          </w:tcPr>
          <w:p w14:paraId="44510C82" w14:textId="77777777" w:rsidR="00000000" w:rsidRDefault="00E614A4">
            <w:pPr>
              <w:rPr>
                <w:rFonts w:eastAsia="Times New Roman"/>
                <w:sz w:val="20"/>
                <w:szCs w:val="20"/>
              </w:rPr>
            </w:pPr>
          </w:p>
        </w:tc>
        <w:tc>
          <w:tcPr>
            <w:tcW w:w="0" w:type="auto"/>
            <w:vAlign w:val="center"/>
            <w:hideMark/>
          </w:tcPr>
          <w:p w14:paraId="7459C0B9" w14:textId="77777777" w:rsidR="00000000" w:rsidRDefault="00E614A4">
            <w:pPr>
              <w:rPr>
                <w:rFonts w:eastAsia="Times New Roman"/>
                <w:sz w:val="20"/>
                <w:szCs w:val="20"/>
              </w:rPr>
            </w:pPr>
          </w:p>
        </w:tc>
        <w:tc>
          <w:tcPr>
            <w:tcW w:w="0" w:type="auto"/>
            <w:vAlign w:val="center"/>
            <w:hideMark/>
          </w:tcPr>
          <w:p w14:paraId="32436FD2" w14:textId="77777777" w:rsidR="00000000" w:rsidRDefault="00E614A4">
            <w:pPr>
              <w:rPr>
                <w:rFonts w:eastAsia="Times New Roman"/>
                <w:sz w:val="20"/>
                <w:szCs w:val="20"/>
              </w:rPr>
            </w:pPr>
          </w:p>
        </w:tc>
      </w:tr>
      <w:tr w:rsidR="00000000" w14:paraId="04A1E838" w14:textId="77777777">
        <w:trPr>
          <w:divId w:val="752629298"/>
          <w:jc w:val="center"/>
        </w:trPr>
        <w:tc>
          <w:tcPr>
            <w:tcW w:w="0" w:type="auto"/>
            <w:gridSpan w:val="3"/>
            <w:tcMar>
              <w:top w:w="30" w:type="dxa"/>
              <w:left w:w="20" w:type="dxa"/>
              <w:bottom w:w="30" w:type="dxa"/>
              <w:right w:w="20" w:type="dxa"/>
            </w:tcMar>
            <w:vAlign w:val="bottom"/>
            <w:hideMark/>
          </w:tcPr>
          <w:p w14:paraId="1C96532F" w14:textId="77777777" w:rsidR="00000000" w:rsidRDefault="00E614A4">
            <w:pPr>
              <w:rPr>
                <w:rFonts w:eastAsia="Times New Roman"/>
              </w:rPr>
            </w:pPr>
            <w:r>
              <w:rPr>
                <w:rFonts w:eastAsia="Times New Roman"/>
                <w:i/>
                <w:iCs/>
                <w:color w:val="000000"/>
                <w:sz w:val="16"/>
                <w:szCs w:val="16"/>
              </w:rPr>
              <w:t>(In thousands, except interest rates)</w:t>
            </w:r>
          </w:p>
        </w:tc>
        <w:tc>
          <w:tcPr>
            <w:tcW w:w="0" w:type="auto"/>
            <w:gridSpan w:val="3"/>
            <w:tcBorders>
              <w:top w:val="single" w:sz="8" w:space="0" w:color="000000"/>
            </w:tcBorders>
            <w:tcMar>
              <w:top w:w="30" w:type="dxa"/>
              <w:left w:w="20" w:type="dxa"/>
              <w:bottom w:w="30" w:type="dxa"/>
              <w:right w:w="20" w:type="dxa"/>
            </w:tcMar>
            <w:vAlign w:val="bottom"/>
            <w:hideMark/>
          </w:tcPr>
          <w:p w14:paraId="4E01F296" w14:textId="77777777" w:rsidR="00000000" w:rsidRDefault="00E614A4">
            <w:pPr>
              <w:jc w:val="center"/>
              <w:rPr>
                <w:rFonts w:eastAsia="Times New Roman"/>
              </w:rPr>
            </w:pPr>
            <w:r>
              <w:rPr>
                <w:rFonts w:eastAsia="Times New Roman"/>
                <w:b/>
                <w:bCs/>
                <w:color w:val="000000"/>
                <w:sz w:val="16"/>
                <w:szCs w:val="16"/>
              </w:rPr>
              <w:t>Stated Interest Rate</w:t>
            </w:r>
          </w:p>
        </w:tc>
        <w:tc>
          <w:tcPr>
            <w:tcW w:w="0" w:type="auto"/>
            <w:gridSpan w:val="3"/>
            <w:tcBorders>
              <w:top w:val="single" w:sz="8" w:space="0" w:color="000000"/>
            </w:tcBorders>
            <w:tcMar>
              <w:top w:w="0" w:type="dxa"/>
              <w:left w:w="20" w:type="dxa"/>
              <w:bottom w:w="0" w:type="dxa"/>
              <w:right w:w="20" w:type="dxa"/>
            </w:tcMar>
            <w:vAlign w:val="center"/>
            <w:hideMark/>
          </w:tcPr>
          <w:p w14:paraId="3BC44D64"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D9DA8E" w14:textId="77777777" w:rsidR="00000000" w:rsidRDefault="00E614A4">
            <w:pPr>
              <w:jc w:val="center"/>
              <w:rPr>
                <w:rFonts w:eastAsia="Times New Roman"/>
              </w:rPr>
            </w:pPr>
            <w:r>
              <w:rPr>
                <w:rFonts w:eastAsia="Times New Roman"/>
                <w:b/>
                <w:bCs/>
                <w:color w:val="000000"/>
                <w:sz w:val="16"/>
                <w:szCs w:val="16"/>
              </w:rPr>
              <w:t>Effective Interest Rate</w:t>
            </w:r>
          </w:p>
        </w:tc>
        <w:tc>
          <w:tcPr>
            <w:tcW w:w="0" w:type="auto"/>
            <w:gridSpan w:val="3"/>
            <w:tcBorders>
              <w:top w:val="single" w:sz="8" w:space="0" w:color="000000"/>
            </w:tcBorders>
            <w:tcMar>
              <w:top w:w="0" w:type="dxa"/>
              <w:left w:w="20" w:type="dxa"/>
              <w:bottom w:w="0" w:type="dxa"/>
              <w:right w:w="20" w:type="dxa"/>
            </w:tcMar>
            <w:vAlign w:val="center"/>
            <w:hideMark/>
          </w:tcPr>
          <w:p w14:paraId="64A262A2"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AED42B" w14:textId="77777777" w:rsidR="00000000" w:rsidRDefault="00E614A4">
            <w:pPr>
              <w:jc w:val="center"/>
              <w:rPr>
                <w:rFonts w:eastAsia="Times New Roman"/>
              </w:rPr>
            </w:pPr>
            <w:r>
              <w:rPr>
                <w:rFonts w:eastAsia="Times New Roman"/>
                <w:b/>
                <w:bCs/>
                <w:color w:val="000000"/>
                <w:sz w:val="16"/>
                <w:szCs w:val="16"/>
              </w:rPr>
              <w:t>Face Value</w:t>
            </w:r>
          </w:p>
        </w:tc>
        <w:tc>
          <w:tcPr>
            <w:tcW w:w="0" w:type="auto"/>
            <w:gridSpan w:val="3"/>
            <w:tcBorders>
              <w:top w:val="single" w:sz="8" w:space="0" w:color="000000"/>
            </w:tcBorders>
            <w:tcMar>
              <w:top w:w="0" w:type="dxa"/>
              <w:left w:w="20" w:type="dxa"/>
              <w:bottom w:w="0" w:type="dxa"/>
              <w:right w:w="20" w:type="dxa"/>
            </w:tcMar>
            <w:vAlign w:val="center"/>
            <w:hideMark/>
          </w:tcPr>
          <w:p w14:paraId="020E3E02"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6D71AB" w14:textId="77777777" w:rsidR="00000000" w:rsidRDefault="00E614A4">
            <w:pPr>
              <w:jc w:val="center"/>
              <w:rPr>
                <w:rFonts w:eastAsia="Times New Roman"/>
              </w:rPr>
            </w:pPr>
            <w:r>
              <w:rPr>
                <w:rFonts w:eastAsia="Times New Roman"/>
                <w:b/>
                <w:bCs/>
                <w:color w:val="000000"/>
                <w:sz w:val="16"/>
                <w:szCs w:val="16"/>
              </w:rPr>
              <w:t>Issuance Discount</w:t>
            </w:r>
          </w:p>
        </w:tc>
        <w:tc>
          <w:tcPr>
            <w:tcW w:w="0" w:type="auto"/>
            <w:gridSpan w:val="3"/>
            <w:tcBorders>
              <w:top w:val="single" w:sz="8" w:space="0" w:color="000000"/>
            </w:tcBorders>
            <w:tcMar>
              <w:top w:w="0" w:type="dxa"/>
              <w:left w:w="20" w:type="dxa"/>
              <w:bottom w:w="0" w:type="dxa"/>
              <w:right w:w="20" w:type="dxa"/>
            </w:tcMar>
            <w:vAlign w:val="center"/>
            <w:hideMark/>
          </w:tcPr>
          <w:p w14:paraId="3CAEAE0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5610BE" w14:textId="77777777" w:rsidR="00000000" w:rsidRDefault="00E614A4">
            <w:pPr>
              <w:jc w:val="center"/>
              <w:rPr>
                <w:rFonts w:eastAsia="Times New Roman"/>
              </w:rPr>
            </w:pPr>
            <w:r>
              <w:rPr>
                <w:rFonts w:eastAsia="Times New Roman"/>
                <w:b/>
                <w:bCs/>
                <w:color w:val="000000"/>
                <w:sz w:val="16"/>
                <w:szCs w:val="16"/>
              </w:rPr>
              <w:t>Deferred Financing Costs</w:t>
            </w:r>
          </w:p>
        </w:tc>
        <w:tc>
          <w:tcPr>
            <w:tcW w:w="0" w:type="auto"/>
            <w:gridSpan w:val="3"/>
            <w:tcBorders>
              <w:top w:val="single" w:sz="8" w:space="0" w:color="000000"/>
            </w:tcBorders>
            <w:tcMar>
              <w:top w:w="0" w:type="dxa"/>
              <w:left w:w="20" w:type="dxa"/>
              <w:bottom w:w="0" w:type="dxa"/>
              <w:right w:w="20" w:type="dxa"/>
            </w:tcMar>
            <w:vAlign w:val="center"/>
            <w:hideMark/>
          </w:tcPr>
          <w:p w14:paraId="44CCFB3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CEAE60" w14:textId="77777777" w:rsidR="00000000" w:rsidRDefault="00E614A4">
            <w:pPr>
              <w:jc w:val="center"/>
              <w:rPr>
                <w:rFonts w:eastAsia="Times New Roman"/>
              </w:rPr>
            </w:pPr>
            <w:r>
              <w:rPr>
                <w:rFonts w:eastAsia="Times New Roman"/>
                <w:b/>
                <w:bCs/>
                <w:color w:val="000000"/>
                <w:sz w:val="16"/>
                <w:szCs w:val="16"/>
              </w:rPr>
              <w:t>Net Carrying Value</w:t>
            </w:r>
          </w:p>
        </w:tc>
        <w:tc>
          <w:tcPr>
            <w:tcW w:w="0" w:type="auto"/>
            <w:vAlign w:val="center"/>
            <w:hideMark/>
          </w:tcPr>
          <w:p w14:paraId="4204453C" w14:textId="77777777" w:rsidR="00000000" w:rsidRDefault="00E614A4">
            <w:pPr>
              <w:jc w:val="center"/>
              <w:rPr>
                <w:rFonts w:eastAsia="Times New Roman"/>
              </w:rPr>
            </w:pPr>
          </w:p>
        </w:tc>
        <w:tc>
          <w:tcPr>
            <w:tcW w:w="0" w:type="auto"/>
            <w:vAlign w:val="center"/>
            <w:hideMark/>
          </w:tcPr>
          <w:p w14:paraId="38E0D6A7" w14:textId="77777777" w:rsidR="00000000" w:rsidRDefault="00E614A4">
            <w:pPr>
              <w:rPr>
                <w:rFonts w:eastAsia="Times New Roman"/>
                <w:sz w:val="20"/>
                <w:szCs w:val="20"/>
              </w:rPr>
            </w:pPr>
          </w:p>
        </w:tc>
        <w:tc>
          <w:tcPr>
            <w:tcW w:w="0" w:type="auto"/>
            <w:gridSpan w:val="3"/>
            <w:vAlign w:val="center"/>
            <w:hideMark/>
          </w:tcPr>
          <w:p w14:paraId="2497A5ED" w14:textId="77777777" w:rsidR="00000000" w:rsidRDefault="00E614A4">
            <w:pPr>
              <w:rPr>
                <w:rFonts w:eastAsia="Times New Roman"/>
                <w:sz w:val="20"/>
                <w:szCs w:val="20"/>
              </w:rPr>
            </w:pPr>
          </w:p>
        </w:tc>
        <w:tc>
          <w:tcPr>
            <w:tcW w:w="0" w:type="auto"/>
            <w:gridSpan w:val="3"/>
            <w:vAlign w:val="center"/>
            <w:hideMark/>
          </w:tcPr>
          <w:p w14:paraId="68C54618" w14:textId="77777777" w:rsidR="00000000" w:rsidRDefault="00E614A4">
            <w:pPr>
              <w:rPr>
                <w:rFonts w:eastAsia="Times New Roman"/>
                <w:sz w:val="20"/>
                <w:szCs w:val="20"/>
              </w:rPr>
            </w:pPr>
          </w:p>
        </w:tc>
        <w:tc>
          <w:tcPr>
            <w:tcW w:w="0" w:type="auto"/>
            <w:gridSpan w:val="3"/>
            <w:vAlign w:val="center"/>
            <w:hideMark/>
          </w:tcPr>
          <w:p w14:paraId="731EEE1E" w14:textId="77777777" w:rsidR="00000000" w:rsidRDefault="00E614A4">
            <w:pPr>
              <w:rPr>
                <w:rFonts w:eastAsia="Times New Roman"/>
                <w:sz w:val="20"/>
                <w:szCs w:val="20"/>
              </w:rPr>
            </w:pPr>
          </w:p>
        </w:tc>
      </w:tr>
      <w:tr w:rsidR="00000000" w14:paraId="0652EA65" w14:textId="77777777">
        <w:trPr>
          <w:divId w:val="752629298"/>
          <w:jc w:val="center"/>
        </w:trPr>
        <w:tc>
          <w:tcPr>
            <w:tcW w:w="0" w:type="auto"/>
            <w:gridSpan w:val="3"/>
            <w:shd w:val="clear" w:color="auto" w:fill="CCEEFF"/>
            <w:tcMar>
              <w:top w:w="30" w:type="dxa"/>
              <w:left w:w="20" w:type="dxa"/>
              <w:bottom w:w="30" w:type="dxa"/>
              <w:right w:w="20" w:type="dxa"/>
            </w:tcMar>
            <w:vAlign w:val="bottom"/>
            <w:hideMark/>
          </w:tcPr>
          <w:p w14:paraId="52564E6F" w14:textId="77777777" w:rsidR="00000000" w:rsidRDefault="00E614A4">
            <w:pPr>
              <w:rPr>
                <w:rFonts w:eastAsia="Times New Roman"/>
              </w:rPr>
            </w:pPr>
            <w:r>
              <w:rPr>
                <w:rFonts w:eastAsia="Times New Roman"/>
                <w:color w:val="000000"/>
                <w:sz w:val="18"/>
                <w:szCs w:val="18"/>
              </w:rPr>
              <w:t>Initial Notes, due January 16,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0BEAF7" w14:textId="77777777" w:rsidR="00000000" w:rsidRDefault="00E614A4">
            <w:pPr>
              <w:jc w:val="center"/>
              <w:rPr>
                <w:rFonts w:eastAsia="Times New Roman"/>
              </w:rPr>
            </w:pPr>
            <w:r>
              <w:rPr>
                <w:rFonts w:eastAsia="Times New Roman"/>
                <w:color w:val="000000"/>
                <w:sz w:val="18"/>
                <w:szCs w:val="18"/>
              </w:rPr>
              <w:t>12.0%</w:t>
            </w:r>
          </w:p>
        </w:tc>
        <w:tc>
          <w:tcPr>
            <w:tcW w:w="0" w:type="auto"/>
            <w:gridSpan w:val="3"/>
            <w:shd w:val="clear" w:color="auto" w:fill="CCEEFF"/>
            <w:tcMar>
              <w:top w:w="0" w:type="dxa"/>
              <w:left w:w="20" w:type="dxa"/>
              <w:bottom w:w="0" w:type="dxa"/>
              <w:right w:w="20" w:type="dxa"/>
            </w:tcMar>
            <w:vAlign w:val="center"/>
            <w:hideMark/>
          </w:tcPr>
          <w:p w14:paraId="6841DC1F" w14:textId="77777777" w:rsidR="00000000" w:rsidRDefault="00E614A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A67BA9" w14:textId="77777777" w:rsidR="00000000" w:rsidRDefault="00E614A4">
            <w:pPr>
              <w:jc w:val="center"/>
              <w:rPr>
                <w:rFonts w:eastAsia="Times New Roman"/>
              </w:rPr>
            </w:pPr>
            <w:r>
              <w:rPr>
                <w:rFonts w:eastAsia="Times New Roman"/>
                <w:color w:val="000000"/>
                <w:sz w:val="18"/>
                <w:szCs w:val="18"/>
              </w:rPr>
              <w:t>18.8%</w:t>
            </w:r>
          </w:p>
        </w:tc>
        <w:tc>
          <w:tcPr>
            <w:tcW w:w="0" w:type="auto"/>
            <w:gridSpan w:val="3"/>
            <w:shd w:val="clear" w:color="auto" w:fill="CCEEFF"/>
            <w:tcMar>
              <w:top w:w="0" w:type="dxa"/>
              <w:left w:w="20" w:type="dxa"/>
              <w:bottom w:w="0" w:type="dxa"/>
              <w:right w:w="20" w:type="dxa"/>
            </w:tcMar>
            <w:vAlign w:val="center"/>
            <w:hideMark/>
          </w:tcPr>
          <w:p w14:paraId="2AE2D98A" w14:textId="77777777" w:rsidR="00000000" w:rsidRDefault="00E614A4">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C0402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68DFEB" w14:textId="77777777" w:rsidR="00000000" w:rsidRDefault="00E614A4">
            <w:pPr>
              <w:jc w:val="right"/>
              <w:rPr>
                <w:rFonts w:eastAsia="Times New Roman"/>
              </w:rPr>
            </w:pPr>
            <w:r>
              <w:rPr>
                <w:rFonts w:eastAsia="Times New Roman"/>
                <w:color w:val="000000"/>
                <w:sz w:val="18"/>
                <w:szCs w:val="18"/>
              </w:rPr>
              <w:t>153,500 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63217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7F666"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847FE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2C448C" w14:textId="77777777" w:rsidR="00000000" w:rsidRDefault="00E614A4">
            <w:pPr>
              <w:jc w:val="right"/>
              <w:rPr>
                <w:rFonts w:eastAsia="Times New Roman"/>
              </w:rPr>
            </w:pPr>
            <w:r>
              <w:rPr>
                <w:rFonts w:eastAsia="Times New Roman"/>
                <w:color w:val="000000"/>
                <w:sz w:val="18"/>
                <w:szCs w:val="18"/>
              </w:rPr>
              <w:t>(14,703)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4E711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59570"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52BCD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240F39" w14:textId="77777777" w:rsidR="00000000" w:rsidRDefault="00E614A4">
            <w:pPr>
              <w:jc w:val="right"/>
              <w:rPr>
                <w:rFonts w:eastAsia="Times New Roman"/>
              </w:rPr>
            </w:pPr>
            <w:r>
              <w:rPr>
                <w:rFonts w:eastAsia="Times New Roman"/>
                <w:color w:val="000000"/>
                <w:sz w:val="18"/>
                <w:szCs w:val="18"/>
              </w:rPr>
              <w:t>(2,706)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68EC9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9A331"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06611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C6DA50" w14:textId="77777777" w:rsidR="00000000" w:rsidRDefault="00E614A4">
            <w:pPr>
              <w:jc w:val="right"/>
              <w:rPr>
                <w:rFonts w:eastAsia="Times New Roman"/>
              </w:rPr>
            </w:pPr>
            <w:r>
              <w:rPr>
                <w:rFonts w:eastAsia="Times New Roman"/>
                <w:color w:val="000000"/>
                <w:sz w:val="18"/>
                <w:szCs w:val="18"/>
              </w:rPr>
              <w:t>136,091 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B202AF" w14:textId="77777777" w:rsidR="00000000" w:rsidRDefault="00E614A4">
            <w:pPr>
              <w:jc w:val="right"/>
              <w:rPr>
                <w:rFonts w:eastAsia="Times New Roman"/>
              </w:rPr>
            </w:pPr>
          </w:p>
        </w:tc>
        <w:tc>
          <w:tcPr>
            <w:tcW w:w="0" w:type="auto"/>
            <w:vAlign w:val="center"/>
            <w:hideMark/>
          </w:tcPr>
          <w:p w14:paraId="731DC252" w14:textId="77777777" w:rsidR="00000000" w:rsidRDefault="00E614A4">
            <w:pPr>
              <w:jc w:val="right"/>
              <w:rPr>
                <w:rFonts w:eastAsia="Times New Roman"/>
                <w:sz w:val="20"/>
                <w:szCs w:val="20"/>
              </w:rPr>
            </w:pPr>
          </w:p>
        </w:tc>
        <w:tc>
          <w:tcPr>
            <w:tcW w:w="0" w:type="auto"/>
            <w:vAlign w:val="center"/>
            <w:hideMark/>
          </w:tcPr>
          <w:p w14:paraId="57B4C052" w14:textId="77777777" w:rsidR="00000000" w:rsidRDefault="00E614A4">
            <w:pPr>
              <w:rPr>
                <w:rFonts w:eastAsia="Times New Roman"/>
                <w:sz w:val="20"/>
                <w:szCs w:val="20"/>
              </w:rPr>
            </w:pPr>
          </w:p>
        </w:tc>
        <w:tc>
          <w:tcPr>
            <w:tcW w:w="0" w:type="auto"/>
            <w:gridSpan w:val="3"/>
            <w:vAlign w:val="center"/>
            <w:hideMark/>
          </w:tcPr>
          <w:p w14:paraId="4C42DF6F" w14:textId="77777777" w:rsidR="00000000" w:rsidRDefault="00E614A4">
            <w:pPr>
              <w:rPr>
                <w:rFonts w:eastAsia="Times New Roman"/>
                <w:sz w:val="20"/>
                <w:szCs w:val="20"/>
              </w:rPr>
            </w:pPr>
          </w:p>
        </w:tc>
        <w:tc>
          <w:tcPr>
            <w:tcW w:w="0" w:type="auto"/>
            <w:gridSpan w:val="3"/>
            <w:vAlign w:val="center"/>
            <w:hideMark/>
          </w:tcPr>
          <w:p w14:paraId="3C827067" w14:textId="77777777" w:rsidR="00000000" w:rsidRDefault="00E614A4">
            <w:pPr>
              <w:rPr>
                <w:rFonts w:eastAsia="Times New Roman"/>
                <w:sz w:val="20"/>
                <w:szCs w:val="20"/>
              </w:rPr>
            </w:pPr>
          </w:p>
        </w:tc>
        <w:tc>
          <w:tcPr>
            <w:tcW w:w="0" w:type="auto"/>
            <w:gridSpan w:val="3"/>
            <w:vAlign w:val="center"/>
            <w:hideMark/>
          </w:tcPr>
          <w:p w14:paraId="731EF967" w14:textId="77777777" w:rsidR="00000000" w:rsidRDefault="00E614A4">
            <w:pPr>
              <w:rPr>
                <w:rFonts w:eastAsia="Times New Roman"/>
                <w:sz w:val="20"/>
                <w:szCs w:val="20"/>
              </w:rPr>
            </w:pPr>
          </w:p>
        </w:tc>
      </w:tr>
      <w:tr w:rsidR="00000000" w14:paraId="23E7FE84" w14:textId="77777777">
        <w:trPr>
          <w:divId w:val="752629298"/>
          <w:jc w:val="center"/>
        </w:trPr>
        <w:tc>
          <w:tcPr>
            <w:tcW w:w="0" w:type="auto"/>
            <w:gridSpan w:val="3"/>
            <w:shd w:val="clear" w:color="auto" w:fill="FFFFFF"/>
            <w:tcMar>
              <w:top w:w="30" w:type="dxa"/>
              <w:left w:w="20" w:type="dxa"/>
              <w:bottom w:w="30" w:type="dxa"/>
              <w:right w:w="20" w:type="dxa"/>
            </w:tcMar>
            <w:hideMark/>
          </w:tcPr>
          <w:p w14:paraId="35F6CF7A" w14:textId="77777777" w:rsidR="00000000" w:rsidRDefault="00E614A4">
            <w:pPr>
              <w:rPr>
                <w:rFonts w:eastAsia="Times New Roman"/>
              </w:rPr>
            </w:pPr>
            <w:r>
              <w:rPr>
                <w:rFonts w:eastAsia="Times New Roman"/>
                <w:color w:val="000000"/>
                <w:sz w:val="18"/>
                <w:szCs w:val="18"/>
              </w:rPr>
              <w:t>Option Notes, due January 16, 2022</w:t>
            </w:r>
          </w:p>
        </w:tc>
        <w:tc>
          <w:tcPr>
            <w:tcW w:w="0" w:type="auto"/>
            <w:gridSpan w:val="3"/>
            <w:shd w:val="clear" w:color="auto" w:fill="FFFFFF"/>
            <w:tcMar>
              <w:top w:w="30" w:type="dxa"/>
              <w:left w:w="20" w:type="dxa"/>
              <w:bottom w:w="30" w:type="dxa"/>
              <w:right w:w="20" w:type="dxa"/>
            </w:tcMar>
            <w:vAlign w:val="bottom"/>
            <w:hideMark/>
          </w:tcPr>
          <w:p w14:paraId="58824A4B" w14:textId="77777777" w:rsidR="00000000" w:rsidRDefault="00E614A4">
            <w:pPr>
              <w:jc w:val="center"/>
              <w:rPr>
                <w:rFonts w:eastAsia="Times New Roman"/>
              </w:rPr>
            </w:pPr>
            <w:r>
              <w:rPr>
                <w:rFonts w:eastAsia="Times New Roman"/>
                <w:color w:val="000000"/>
                <w:sz w:val="18"/>
                <w:szCs w:val="18"/>
              </w:rPr>
              <w:t>12.0%</w:t>
            </w:r>
          </w:p>
        </w:tc>
        <w:tc>
          <w:tcPr>
            <w:tcW w:w="0" w:type="auto"/>
            <w:gridSpan w:val="3"/>
            <w:shd w:val="clear" w:color="auto" w:fill="FFFFFF"/>
            <w:tcMar>
              <w:top w:w="0" w:type="dxa"/>
              <w:left w:w="20" w:type="dxa"/>
              <w:bottom w:w="0" w:type="dxa"/>
              <w:right w:w="20" w:type="dxa"/>
            </w:tcMar>
            <w:vAlign w:val="center"/>
            <w:hideMark/>
          </w:tcPr>
          <w:p w14:paraId="19690A52"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DBDB4EB" w14:textId="77777777" w:rsidR="00000000" w:rsidRDefault="00E614A4">
            <w:pPr>
              <w:jc w:val="center"/>
              <w:rPr>
                <w:rFonts w:eastAsia="Times New Roman"/>
              </w:rPr>
            </w:pPr>
            <w:r>
              <w:rPr>
                <w:rFonts w:eastAsia="Times New Roman"/>
                <w:color w:val="000000"/>
                <w:sz w:val="18"/>
                <w:szCs w:val="18"/>
              </w:rPr>
              <w:t>14.9%</w:t>
            </w:r>
          </w:p>
        </w:tc>
        <w:tc>
          <w:tcPr>
            <w:tcW w:w="0" w:type="auto"/>
            <w:gridSpan w:val="3"/>
            <w:shd w:val="clear" w:color="auto" w:fill="FFFFFF"/>
            <w:tcMar>
              <w:top w:w="0" w:type="dxa"/>
              <w:left w:w="20" w:type="dxa"/>
              <w:bottom w:w="0" w:type="dxa"/>
              <w:right w:w="20" w:type="dxa"/>
            </w:tcMar>
            <w:vAlign w:val="center"/>
            <w:hideMark/>
          </w:tcPr>
          <w:p w14:paraId="21D28001" w14:textId="77777777" w:rsidR="00000000" w:rsidRDefault="00E614A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8557BE" w14:textId="77777777" w:rsidR="00000000" w:rsidRDefault="00E614A4">
            <w:pPr>
              <w:jc w:val="right"/>
              <w:rPr>
                <w:rFonts w:eastAsia="Times New Roman"/>
              </w:rPr>
            </w:pPr>
            <w:r>
              <w:rPr>
                <w:rFonts w:eastAsia="Times New Roman"/>
                <w:color w:val="000000"/>
                <w:sz w:val="18"/>
                <w:szCs w:val="18"/>
              </w:rPr>
              <w:t>50,500 </w:t>
            </w:r>
          </w:p>
        </w:tc>
        <w:tc>
          <w:tcPr>
            <w:tcW w:w="0" w:type="auto"/>
            <w:shd w:val="clear" w:color="auto" w:fill="FFFFFF"/>
            <w:tcMar>
              <w:top w:w="30" w:type="dxa"/>
              <w:left w:w="0" w:type="dxa"/>
              <w:bottom w:w="30" w:type="dxa"/>
              <w:right w:w="20" w:type="dxa"/>
            </w:tcMar>
            <w:vAlign w:val="bottom"/>
            <w:hideMark/>
          </w:tcPr>
          <w:p w14:paraId="4D83E26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13CB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D42F1E" w14:textId="77777777" w:rsidR="00000000" w:rsidRDefault="00E614A4">
            <w:pPr>
              <w:jc w:val="right"/>
              <w:rPr>
                <w:rFonts w:eastAsia="Times New Roman"/>
              </w:rPr>
            </w:pPr>
            <w:r>
              <w:rPr>
                <w:rFonts w:eastAsia="Times New Roman"/>
                <w:color w:val="000000"/>
                <w:sz w:val="18"/>
                <w:szCs w:val="18"/>
              </w:rPr>
              <w:t>(2,365)</w:t>
            </w:r>
          </w:p>
        </w:tc>
        <w:tc>
          <w:tcPr>
            <w:tcW w:w="0" w:type="auto"/>
            <w:shd w:val="clear" w:color="auto" w:fill="FFFFFF"/>
            <w:tcMar>
              <w:top w:w="30" w:type="dxa"/>
              <w:left w:w="0" w:type="dxa"/>
              <w:bottom w:w="30" w:type="dxa"/>
              <w:right w:w="20" w:type="dxa"/>
            </w:tcMar>
            <w:vAlign w:val="bottom"/>
            <w:hideMark/>
          </w:tcPr>
          <w:p w14:paraId="5C2099E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CB3B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859CB" w14:textId="77777777" w:rsidR="00000000" w:rsidRDefault="00E614A4">
            <w:pPr>
              <w:jc w:val="right"/>
              <w:rPr>
                <w:rFonts w:eastAsia="Times New Roman"/>
              </w:rPr>
            </w:pPr>
            <w:r>
              <w:rPr>
                <w:rFonts w:eastAsia="Times New Roman"/>
                <w:color w:val="000000"/>
                <w:sz w:val="18"/>
                <w:szCs w:val="18"/>
              </w:rPr>
              <w:t>(151)</w:t>
            </w:r>
          </w:p>
        </w:tc>
        <w:tc>
          <w:tcPr>
            <w:tcW w:w="0" w:type="auto"/>
            <w:shd w:val="clear" w:color="auto" w:fill="FFFFFF"/>
            <w:tcMar>
              <w:top w:w="30" w:type="dxa"/>
              <w:left w:w="0" w:type="dxa"/>
              <w:bottom w:w="30" w:type="dxa"/>
              <w:right w:w="20" w:type="dxa"/>
            </w:tcMar>
            <w:vAlign w:val="bottom"/>
            <w:hideMark/>
          </w:tcPr>
          <w:p w14:paraId="7DA9651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97DA8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654B6" w14:textId="77777777" w:rsidR="00000000" w:rsidRDefault="00E614A4">
            <w:pPr>
              <w:jc w:val="right"/>
              <w:rPr>
                <w:rFonts w:eastAsia="Times New Roman"/>
              </w:rPr>
            </w:pPr>
            <w:r>
              <w:rPr>
                <w:rFonts w:eastAsia="Times New Roman"/>
                <w:color w:val="000000"/>
                <w:sz w:val="18"/>
                <w:szCs w:val="18"/>
              </w:rPr>
              <w:t>47,984 </w:t>
            </w:r>
          </w:p>
        </w:tc>
        <w:tc>
          <w:tcPr>
            <w:tcW w:w="0" w:type="auto"/>
            <w:shd w:val="clear" w:color="auto" w:fill="FFFFFF"/>
            <w:tcMar>
              <w:top w:w="30" w:type="dxa"/>
              <w:left w:w="0" w:type="dxa"/>
              <w:bottom w:w="30" w:type="dxa"/>
              <w:right w:w="20" w:type="dxa"/>
            </w:tcMar>
            <w:vAlign w:val="bottom"/>
            <w:hideMark/>
          </w:tcPr>
          <w:p w14:paraId="0A0CBFC2" w14:textId="77777777" w:rsidR="00000000" w:rsidRDefault="00E614A4">
            <w:pPr>
              <w:jc w:val="right"/>
              <w:rPr>
                <w:rFonts w:eastAsia="Times New Roman"/>
              </w:rPr>
            </w:pPr>
          </w:p>
        </w:tc>
        <w:tc>
          <w:tcPr>
            <w:tcW w:w="0" w:type="auto"/>
            <w:vAlign w:val="center"/>
            <w:hideMark/>
          </w:tcPr>
          <w:p w14:paraId="26252FB3" w14:textId="77777777" w:rsidR="00000000" w:rsidRDefault="00E614A4">
            <w:pPr>
              <w:jc w:val="right"/>
              <w:rPr>
                <w:rFonts w:eastAsia="Times New Roman"/>
                <w:sz w:val="20"/>
                <w:szCs w:val="20"/>
              </w:rPr>
            </w:pPr>
          </w:p>
        </w:tc>
        <w:tc>
          <w:tcPr>
            <w:tcW w:w="0" w:type="auto"/>
            <w:vAlign w:val="center"/>
            <w:hideMark/>
          </w:tcPr>
          <w:p w14:paraId="7BA39EAB" w14:textId="77777777" w:rsidR="00000000" w:rsidRDefault="00E614A4">
            <w:pPr>
              <w:rPr>
                <w:rFonts w:eastAsia="Times New Roman"/>
                <w:sz w:val="20"/>
                <w:szCs w:val="20"/>
              </w:rPr>
            </w:pPr>
          </w:p>
        </w:tc>
        <w:tc>
          <w:tcPr>
            <w:tcW w:w="0" w:type="auto"/>
            <w:gridSpan w:val="3"/>
            <w:vAlign w:val="center"/>
            <w:hideMark/>
          </w:tcPr>
          <w:p w14:paraId="4F0B129C" w14:textId="77777777" w:rsidR="00000000" w:rsidRDefault="00E614A4">
            <w:pPr>
              <w:rPr>
                <w:rFonts w:eastAsia="Times New Roman"/>
                <w:sz w:val="20"/>
                <w:szCs w:val="20"/>
              </w:rPr>
            </w:pPr>
          </w:p>
        </w:tc>
        <w:tc>
          <w:tcPr>
            <w:tcW w:w="0" w:type="auto"/>
            <w:gridSpan w:val="3"/>
            <w:vAlign w:val="center"/>
            <w:hideMark/>
          </w:tcPr>
          <w:p w14:paraId="76D5DAB0" w14:textId="77777777" w:rsidR="00000000" w:rsidRDefault="00E614A4">
            <w:pPr>
              <w:rPr>
                <w:rFonts w:eastAsia="Times New Roman"/>
                <w:sz w:val="20"/>
                <w:szCs w:val="20"/>
              </w:rPr>
            </w:pPr>
          </w:p>
        </w:tc>
        <w:tc>
          <w:tcPr>
            <w:tcW w:w="0" w:type="auto"/>
            <w:gridSpan w:val="3"/>
            <w:vAlign w:val="center"/>
            <w:hideMark/>
          </w:tcPr>
          <w:p w14:paraId="053380FC" w14:textId="77777777" w:rsidR="00000000" w:rsidRDefault="00E614A4">
            <w:pPr>
              <w:rPr>
                <w:rFonts w:eastAsia="Times New Roman"/>
                <w:sz w:val="20"/>
                <w:szCs w:val="20"/>
              </w:rPr>
            </w:pPr>
          </w:p>
        </w:tc>
      </w:tr>
      <w:tr w:rsidR="00000000" w14:paraId="32675D2E" w14:textId="77777777">
        <w:trPr>
          <w:divId w:val="752629298"/>
          <w:jc w:val="center"/>
        </w:trPr>
        <w:tc>
          <w:tcPr>
            <w:tcW w:w="0" w:type="auto"/>
            <w:gridSpan w:val="3"/>
            <w:shd w:val="clear" w:color="auto" w:fill="CCEEFF"/>
            <w:tcMar>
              <w:top w:w="30" w:type="dxa"/>
              <w:left w:w="20" w:type="dxa"/>
              <w:bottom w:w="30" w:type="dxa"/>
              <w:right w:w="20" w:type="dxa"/>
            </w:tcMar>
            <w:hideMark/>
          </w:tcPr>
          <w:p w14:paraId="161BE5EC" w14:textId="77777777" w:rsidR="00000000" w:rsidRDefault="00E614A4">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47504BA7"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312F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AC857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8A3048" w14:textId="77777777" w:rsidR="00000000" w:rsidRDefault="00E614A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586AF72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1A98411A" w14:textId="77777777" w:rsidR="00000000" w:rsidRDefault="00E614A4">
            <w:pPr>
              <w:jc w:val="right"/>
              <w:rPr>
                <w:rFonts w:eastAsia="Times New Roman"/>
              </w:rPr>
            </w:pPr>
            <w:r>
              <w:rPr>
                <w:rFonts w:eastAsia="Times New Roman"/>
                <w:color w:val="000000"/>
                <w:sz w:val="18"/>
                <w:szCs w:val="18"/>
              </w:rPr>
              <w:t>204,000 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5E06432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C3984"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544755D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4FB41D19" w14:textId="77777777" w:rsidR="00000000" w:rsidRDefault="00E614A4">
            <w:pPr>
              <w:jc w:val="right"/>
              <w:rPr>
                <w:rFonts w:eastAsia="Times New Roman"/>
              </w:rPr>
            </w:pPr>
            <w:r>
              <w:rPr>
                <w:rFonts w:eastAsia="Times New Roman"/>
                <w:color w:val="000000"/>
                <w:sz w:val="18"/>
                <w:szCs w:val="18"/>
              </w:rPr>
              <w:t>(17,068)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4BCD30A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172EF"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1332E7A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22ECFD28" w14:textId="77777777" w:rsidR="00000000" w:rsidRDefault="00E614A4">
            <w:pPr>
              <w:jc w:val="right"/>
              <w:rPr>
                <w:rFonts w:eastAsia="Times New Roman"/>
              </w:rPr>
            </w:pPr>
            <w:r>
              <w:rPr>
                <w:rFonts w:eastAsia="Times New Roman"/>
                <w:color w:val="000000"/>
                <w:sz w:val="18"/>
                <w:szCs w:val="18"/>
              </w:rPr>
              <w:t>(2,857)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78B8B00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7290E"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24FEF6C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644EBB7C" w14:textId="77777777" w:rsidR="00000000" w:rsidRDefault="00E614A4">
            <w:pPr>
              <w:jc w:val="right"/>
              <w:rPr>
                <w:rFonts w:eastAsia="Times New Roman"/>
              </w:rPr>
            </w:pPr>
            <w:r>
              <w:rPr>
                <w:rFonts w:eastAsia="Times New Roman"/>
                <w:color w:val="000000"/>
                <w:sz w:val="18"/>
                <w:szCs w:val="18"/>
              </w:rPr>
              <w:t>184,075 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3B7B79E9" w14:textId="77777777" w:rsidR="00000000" w:rsidRDefault="00E614A4">
            <w:pPr>
              <w:jc w:val="right"/>
              <w:rPr>
                <w:rFonts w:eastAsia="Times New Roman"/>
              </w:rPr>
            </w:pPr>
          </w:p>
        </w:tc>
        <w:tc>
          <w:tcPr>
            <w:tcW w:w="0" w:type="auto"/>
            <w:vAlign w:val="center"/>
            <w:hideMark/>
          </w:tcPr>
          <w:p w14:paraId="0B00AEC6" w14:textId="77777777" w:rsidR="00000000" w:rsidRDefault="00E614A4">
            <w:pPr>
              <w:jc w:val="right"/>
              <w:rPr>
                <w:rFonts w:eastAsia="Times New Roman"/>
                <w:sz w:val="20"/>
                <w:szCs w:val="20"/>
              </w:rPr>
            </w:pPr>
          </w:p>
        </w:tc>
        <w:tc>
          <w:tcPr>
            <w:tcW w:w="0" w:type="auto"/>
            <w:vAlign w:val="center"/>
            <w:hideMark/>
          </w:tcPr>
          <w:p w14:paraId="343D8E37" w14:textId="77777777" w:rsidR="00000000" w:rsidRDefault="00E614A4">
            <w:pPr>
              <w:rPr>
                <w:rFonts w:eastAsia="Times New Roman"/>
                <w:sz w:val="20"/>
                <w:szCs w:val="20"/>
              </w:rPr>
            </w:pPr>
          </w:p>
        </w:tc>
        <w:tc>
          <w:tcPr>
            <w:tcW w:w="0" w:type="auto"/>
            <w:gridSpan w:val="3"/>
            <w:vAlign w:val="center"/>
            <w:hideMark/>
          </w:tcPr>
          <w:p w14:paraId="388594DF" w14:textId="77777777" w:rsidR="00000000" w:rsidRDefault="00E614A4">
            <w:pPr>
              <w:rPr>
                <w:rFonts w:eastAsia="Times New Roman"/>
                <w:sz w:val="20"/>
                <w:szCs w:val="20"/>
              </w:rPr>
            </w:pPr>
          </w:p>
        </w:tc>
        <w:tc>
          <w:tcPr>
            <w:tcW w:w="0" w:type="auto"/>
            <w:gridSpan w:val="3"/>
            <w:vAlign w:val="center"/>
            <w:hideMark/>
          </w:tcPr>
          <w:p w14:paraId="77ACEE06" w14:textId="77777777" w:rsidR="00000000" w:rsidRDefault="00E614A4">
            <w:pPr>
              <w:rPr>
                <w:rFonts w:eastAsia="Times New Roman"/>
                <w:sz w:val="20"/>
                <w:szCs w:val="20"/>
              </w:rPr>
            </w:pPr>
          </w:p>
        </w:tc>
        <w:tc>
          <w:tcPr>
            <w:tcW w:w="0" w:type="auto"/>
            <w:gridSpan w:val="3"/>
            <w:vAlign w:val="center"/>
            <w:hideMark/>
          </w:tcPr>
          <w:p w14:paraId="4034532B" w14:textId="77777777" w:rsidR="00000000" w:rsidRDefault="00E614A4">
            <w:pPr>
              <w:rPr>
                <w:rFonts w:eastAsia="Times New Roman"/>
                <w:sz w:val="20"/>
                <w:szCs w:val="20"/>
              </w:rPr>
            </w:pPr>
          </w:p>
        </w:tc>
      </w:tr>
    </w:tbl>
    <w:p w14:paraId="426E8F45" w14:textId="77777777" w:rsidR="00000000" w:rsidRDefault="00E614A4">
      <w:pPr>
        <w:jc w:val="both"/>
        <w:divId w:val="1157570196"/>
        <w:rPr>
          <w:rFonts w:eastAsia="Times New Roman"/>
        </w:rPr>
      </w:pPr>
      <w:r>
        <w:rPr>
          <w:rFonts w:eastAsia="Times New Roman"/>
          <w:color w:val="000000"/>
          <w:sz w:val="20"/>
          <w:szCs w:val="20"/>
        </w:rPr>
        <w:t>Due to the interest rate reset feature of the</w:t>
      </w:r>
      <w:r>
        <w:rPr>
          <w:rFonts w:eastAsia="Times New Roman"/>
          <w:color w:val="000000"/>
          <w:sz w:val="20"/>
          <w:szCs w:val="20"/>
        </w:rPr>
        <w:t xml:space="preserve"> Notes, the potential future cash flows associated with the Notes were variable prior to the final interest rate reset on February 1, 2021. Accordingly, the accretion schedule of debt discount and the amortization schedule of deferred financing costs were </w:t>
      </w:r>
      <w:r>
        <w:rPr>
          <w:rFonts w:eastAsia="Times New Roman"/>
          <w:color w:val="000000"/>
          <w:sz w:val="20"/>
          <w:szCs w:val="20"/>
        </w:rPr>
        <w:t xml:space="preserve">updated annually to reflect periodic changes in the future cash flows using the effective interest rate on a prospective basis. </w:t>
      </w:r>
    </w:p>
    <w:p w14:paraId="267B1093" w14:textId="77777777" w:rsidR="00000000" w:rsidRDefault="00E614A4">
      <w:pPr>
        <w:jc w:val="both"/>
        <w:divId w:val="580457064"/>
        <w:rPr>
          <w:rFonts w:eastAsia="Times New Roman"/>
        </w:rPr>
      </w:pPr>
      <w:r>
        <w:rPr>
          <w:rFonts w:eastAsia="Times New Roman"/>
          <w:color w:val="000000"/>
          <w:sz w:val="20"/>
          <w:szCs w:val="20"/>
        </w:rPr>
        <w:t>The Company amortized $1.2 million in deferred financing costs and accreted $7.6 million in issuance discount related to the to</w:t>
      </w:r>
      <w:r>
        <w:rPr>
          <w:rFonts w:eastAsia="Times New Roman"/>
          <w:color w:val="000000"/>
          <w:sz w:val="20"/>
          <w:szCs w:val="20"/>
        </w:rPr>
        <w:t>tal outstanding long-term debt during the year ended December 31, 2020. The Company amortized $1.1 million in deferred financing costs and accreted $6.2 million in issuance discount related to the total outstanding long-term debt during the year ended Dece</w:t>
      </w:r>
      <w:r>
        <w:rPr>
          <w:rFonts w:eastAsia="Times New Roman"/>
          <w:color w:val="000000"/>
          <w:sz w:val="20"/>
          <w:szCs w:val="20"/>
        </w:rPr>
        <w:t xml:space="preserve">mber 31, 2019. </w:t>
      </w:r>
    </w:p>
    <w:p w14:paraId="5A37AE51" w14:textId="77777777" w:rsidR="00000000" w:rsidRDefault="00E614A4">
      <w:pPr>
        <w:jc w:val="both"/>
        <w:divId w:val="746851684"/>
        <w:rPr>
          <w:rFonts w:eastAsia="Times New Roman"/>
        </w:rPr>
      </w:pPr>
      <w:r>
        <w:rPr>
          <w:rFonts w:eastAsia="Times New Roman"/>
          <w:color w:val="000000"/>
          <w:sz w:val="20"/>
          <w:szCs w:val="20"/>
        </w:rPr>
        <w:t>The estimated fair value of the Notes, using Level 3 inputs based on interest rates available for debt with terms and maturities similar to the Company's outstanding debt, was $191.8 million as of December 31, 2020.</w:t>
      </w:r>
    </w:p>
    <w:p w14:paraId="25274E3E" w14:textId="77777777" w:rsidR="00000000" w:rsidRDefault="00E614A4">
      <w:pPr>
        <w:divId w:val="897209463"/>
        <w:rPr>
          <w:rFonts w:eastAsia="Times New Roman"/>
        </w:rPr>
      </w:pPr>
      <w:r>
        <w:rPr>
          <w:rFonts w:eastAsia="Times New Roman"/>
          <w:b/>
          <w:bCs/>
          <w:i/>
          <w:iCs/>
          <w:color w:val="000000"/>
          <w:sz w:val="20"/>
          <w:szCs w:val="20"/>
        </w:rPr>
        <w:t>Potential Rights Offerin</w:t>
      </w:r>
      <w:r>
        <w:rPr>
          <w:rFonts w:eastAsia="Times New Roman"/>
          <w:b/>
          <w:bCs/>
          <w:i/>
          <w:iCs/>
          <w:color w:val="000000"/>
          <w:sz w:val="20"/>
          <w:szCs w:val="20"/>
        </w:rPr>
        <w:t>g</w:t>
      </w:r>
    </w:p>
    <w:p w14:paraId="6FF15AD1" w14:textId="77777777" w:rsidR="00000000" w:rsidRDefault="00E614A4">
      <w:pPr>
        <w:jc w:val="both"/>
        <w:divId w:val="2033723058"/>
        <w:rPr>
          <w:rFonts w:eastAsia="Times New Roman"/>
        </w:rPr>
      </w:pPr>
      <w:r>
        <w:rPr>
          <w:rFonts w:eastAsia="Times New Roman"/>
          <w:color w:val="000000"/>
          <w:sz w:val="20"/>
          <w:szCs w:val="20"/>
        </w:rPr>
        <w:t>Under the January 16, 2018 agreements with Starboard, the Company has the right to conduct a rights offering (the "Rights Offering") for up to $150.0 million in senior secured convertible notes (the "Rights Offering Notes"). Subject to the terms of the R</w:t>
      </w:r>
      <w:r>
        <w:rPr>
          <w:rFonts w:eastAsia="Times New Roman"/>
          <w:color w:val="000000"/>
          <w:sz w:val="20"/>
          <w:szCs w:val="20"/>
        </w:rPr>
        <w:t>ights Offering, if undertaken, the Company would distribute to all of the Company's stockholders rights to acquire Rights Offering Notes. Stockholders who elect to participate in the Rights Offering could elect to have up to 30% of the Rights Offering Note</w:t>
      </w:r>
      <w:r>
        <w:rPr>
          <w:rFonts w:eastAsia="Times New Roman"/>
          <w:color w:val="000000"/>
          <w:sz w:val="20"/>
          <w:szCs w:val="20"/>
        </w:rPr>
        <w:t>s they acquire pursuant thereto delivered through the sale to or exchange with the Company of shares of Common Stock, with the per share value thereof equal to the closing price of the Common Stock on the last trading day immediately prior to the commencem</w:t>
      </w:r>
      <w:r>
        <w:rPr>
          <w:rFonts w:eastAsia="Times New Roman"/>
          <w:color w:val="000000"/>
          <w:sz w:val="20"/>
          <w:szCs w:val="20"/>
        </w:rPr>
        <w:t>ent of the Rights Offering. The Rights Offering Notes would be substantially similar to the Notes, except, among other things, with respect to: (i) the date from which interest thereon would begin to accrue and the maturity date thereof (which would be 4 y</w:t>
      </w:r>
      <w:r>
        <w:rPr>
          <w:rFonts w:eastAsia="Times New Roman"/>
          <w:color w:val="000000"/>
          <w:sz w:val="20"/>
          <w:szCs w:val="20"/>
        </w:rPr>
        <w:t>ears from the date of issuance of the Rights Offering Notes) and (ii) the conversion price thereof, which would be equal to 130% of the closing price of the Common Stock on the last trading day immediately prior to the commencement of the Rights Offering (</w:t>
      </w:r>
      <w:r>
        <w:rPr>
          <w:rFonts w:eastAsia="Times New Roman"/>
          <w:color w:val="000000"/>
          <w:sz w:val="20"/>
          <w:szCs w:val="20"/>
        </w:rPr>
        <w:t>subject to a conversion price floor of $28.00 per share). Starboard also agreed to enter into one or more backstop commitment agreements, pursuant to which Starboard would backstop up to $100.0 million in aggregate principal amount of Rights Offering Notes</w:t>
      </w:r>
      <w:r>
        <w:rPr>
          <w:rFonts w:eastAsia="Times New Roman"/>
          <w:color w:val="000000"/>
          <w:sz w:val="20"/>
          <w:szCs w:val="20"/>
        </w:rPr>
        <w:t xml:space="preserve"> through the purchase of additional Notes, with such backstop obligation reduced by the amount of Option Notes purchased ($50.0 million). The Company is not obligated to undertake the Rights Offering, and the Company does not intend to do so.</w:t>
      </w:r>
    </w:p>
    <w:p w14:paraId="1935E9E8" w14:textId="77777777" w:rsidR="00000000" w:rsidRDefault="00E614A4">
      <w:pPr>
        <w:jc w:val="both"/>
        <w:divId w:val="487673244"/>
        <w:rPr>
          <w:rFonts w:eastAsia="Times New Roman"/>
        </w:rPr>
      </w:pPr>
      <w:r>
        <w:rPr>
          <w:rFonts w:eastAsia="Times New Roman"/>
          <w:b/>
          <w:bCs/>
          <w:i/>
          <w:iCs/>
          <w:color w:val="000000"/>
          <w:sz w:val="20"/>
          <w:szCs w:val="20"/>
        </w:rPr>
        <w:t>Guarantee and Security of Notes</w:t>
      </w:r>
    </w:p>
    <w:p w14:paraId="445B2500" w14:textId="77777777" w:rsidR="00000000" w:rsidRDefault="00E614A4">
      <w:pPr>
        <w:jc w:val="both"/>
        <w:divId w:val="1937441993"/>
        <w:rPr>
          <w:rFonts w:eastAsia="Times New Roman"/>
        </w:rPr>
      </w:pPr>
      <w:r>
        <w:rPr>
          <w:rFonts w:eastAsia="Times New Roman"/>
          <w:color w:val="000000"/>
          <w:sz w:val="20"/>
          <w:szCs w:val="20"/>
        </w:rPr>
        <w:t xml:space="preserve">The Notes are guaranteed by certain of the Company's direct and indirect wholly-owned domestic subsidiaries (the "Guarantors") and are secured by a security interest in substantially all of the assets of the Company and the </w:t>
      </w:r>
      <w:r>
        <w:rPr>
          <w:rFonts w:eastAsia="Times New Roman"/>
          <w:color w:val="000000"/>
          <w:sz w:val="20"/>
          <w:szCs w:val="20"/>
        </w:rPr>
        <w:t xml:space="preserve">Guarantors, pursuant to a Guaranty, dated as </w:t>
      </w:r>
    </w:p>
    <w:p w14:paraId="77A741EB" w14:textId="77777777" w:rsidR="00000000" w:rsidRDefault="00E614A4">
      <w:pPr>
        <w:jc w:val="center"/>
        <w:divId w:val="700521937"/>
        <w:rPr>
          <w:rFonts w:eastAsia="Times New Roman"/>
        </w:rPr>
      </w:pPr>
      <w:r>
        <w:rPr>
          <w:rFonts w:eastAsia="Times New Roman"/>
          <w:color w:val="000000"/>
          <w:sz w:val="20"/>
          <w:szCs w:val="20"/>
        </w:rPr>
        <w:t>80</w:t>
      </w:r>
    </w:p>
    <w:p w14:paraId="6698DB2A" w14:textId="77777777" w:rsidR="00000000" w:rsidRDefault="00E614A4">
      <w:pPr>
        <w:rPr>
          <w:rFonts w:eastAsia="Times New Roman"/>
        </w:rPr>
      </w:pPr>
      <w:r>
        <w:rPr>
          <w:rFonts w:eastAsia="Times New Roman"/>
        </w:rPr>
        <w:pict w14:anchorId="3479A0A1">
          <v:rect id="_x0000_i1108" style="width:0;height:1.5pt" o:hralign="center" o:hrstd="t" o:hr="t" fillcolor="#a0a0a0" stroked="f"/>
        </w:pict>
      </w:r>
    </w:p>
    <w:p w14:paraId="111CD1C6" w14:textId="77777777" w:rsidR="00000000" w:rsidRDefault="00E614A4">
      <w:pPr>
        <w:divId w:val="80243000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9A8418B" w14:textId="77777777" w:rsidR="00000000" w:rsidRDefault="00E614A4">
      <w:pPr>
        <w:divId w:val="919487219"/>
        <w:rPr>
          <w:rFonts w:eastAsia="Times New Roman"/>
        </w:rPr>
      </w:pPr>
    </w:p>
    <w:p w14:paraId="66E73634" w14:textId="77777777" w:rsidR="00000000" w:rsidRDefault="00E614A4">
      <w:pPr>
        <w:jc w:val="both"/>
        <w:divId w:val="1726904509"/>
        <w:rPr>
          <w:rFonts w:eastAsia="Times New Roman"/>
        </w:rPr>
      </w:pPr>
      <w:r>
        <w:rPr>
          <w:rFonts w:eastAsia="Times New Roman"/>
          <w:color w:val="000000"/>
          <w:sz w:val="20"/>
          <w:szCs w:val="20"/>
        </w:rPr>
        <w:t xml:space="preserve">of January 16, 2018, entered into </w:t>
      </w:r>
      <w:r>
        <w:rPr>
          <w:rFonts w:eastAsia="Times New Roman"/>
          <w:color w:val="000000"/>
          <w:sz w:val="20"/>
          <w:szCs w:val="20"/>
        </w:rPr>
        <w:t xml:space="preserve">by the Guarantors, and a Pledge and Security Agreement, dated as of January 16, 2018, among the Company, the Guarantors and Starboard Value and Opportunity Master Fund Ltd. as collateral agent. </w:t>
      </w:r>
    </w:p>
    <w:p w14:paraId="4F175862" w14:textId="77777777" w:rsidR="00000000" w:rsidRDefault="00E614A4">
      <w:pPr>
        <w:divId w:val="176310290"/>
        <w:rPr>
          <w:rFonts w:eastAsia="Times New Roman"/>
        </w:rPr>
      </w:pPr>
      <w:r>
        <w:rPr>
          <w:rFonts w:eastAsia="Times New Roman"/>
          <w:b/>
          <w:bCs/>
          <w:i/>
          <w:iCs/>
          <w:color w:val="000000"/>
          <w:sz w:val="20"/>
          <w:szCs w:val="20"/>
        </w:rPr>
        <w:t>Registration of Underlying Shares</w:t>
      </w:r>
    </w:p>
    <w:p w14:paraId="4DA68C3B" w14:textId="77777777" w:rsidR="00000000" w:rsidRDefault="00E614A4">
      <w:pPr>
        <w:jc w:val="both"/>
        <w:divId w:val="1815175711"/>
        <w:rPr>
          <w:rFonts w:eastAsia="Times New Roman"/>
        </w:rPr>
      </w:pPr>
      <w:r>
        <w:rPr>
          <w:rFonts w:eastAsia="Times New Roman"/>
          <w:color w:val="000000"/>
          <w:sz w:val="20"/>
          <w:szCs w:val="20"/>
        </w:rPr>
        <w:t>Pursuant to the Registratio</w:t>
      </w:r>
      <w:r>
        <w:rPr>
          <w:rFonts w:eastAsia="Times New Roman"/>
          <w:color w:val="000000"/>
          <w:sz w:val="20"/>
          <w:szCs w:val="20"/>
        </w:rPr>
        <w:t>n Rights Agreement with Starboard, the Company filed a registration statement on Form S-1 with the SEC allowing for the resale of the shares of Common Stock underlying the Notes, potential PIK Interest Shares, and warrants. In conjunction with this registr</w:t>
      </w:r>
      <w:r>
        <w:rPr>
          <w:rFonts w:eastAsia="Times New Roman"/>
          <w:color w:val="000000"/>
          <w:sz w:val="20"/>
          <w:szCs w:val="20"/>
        </w:rPr>
        <w:t xml:space="preserve">ation, WPP exercised its right to have its shares of Common Stock included in the registration statement. The registration statement on Form S-1 was declared effective as of October 16, 2018. For additional information, refer to </w:t>
      </w:r>
      <w:hyperlink w:anchor="ided6989bcc374020961c421c465250ee_181" w:history="1">
        <w:r>
          <w:rPr>
            <w:rStyle w:val="a3"/>
            <w:rFonts w:eastAsia="Times New Roman"/>
            <w:sz w:val="20"/>
            <w:szCs w:val="20"/>
          </w:rPr>
          <w:t>Footnote 13</w:t>
        </w:r>
      </w:hyperlink>
      <w:r>
        <w:rPr>
          <w:rFonts w:eastAsia="Times New Roman"/>
          <w:color w:val="000000"/>
          <w:sz w:val="20"/>
          <w:szCs w:val="20"/>
        </w:rPr>
        <w:t xml:space="preserve">, </w:t>
      </w:r>
      <w:r>
        <w:rPr>
          <w:rFonts w:eastAsia="Times New Roman"/>
          <w:i/>
          <w:iCs/>
          <w:color w:val="000000"/>
          <w:sz w:val="20"/>
          <w:szCs w:val="20"/>
        </w:rPr>
        <w:t>Related Party Transactions</w:t>
      </w:r>
      <w:r>
        <w:rPr>
          <w:rFonts w:eastAsia="Times New Roman"/>
          <w:color w:val="000000"/>
          <w:sz w:val="20"/>
          <w:szCs w:val="20"/>
        </w:rPr>
        <w:t>.</w:t>
      </w:r>
    </w:p>
    <w:p w14:paraId="095E8B1A" w14:textId="77777777" w:rsidR="00000000" w:rsidRDefault="00E614A4">
      <w:pPr>
        <w:jc w:val="both"/>
        <w:divId w:val="1628387562"/>
        <w:rPr>
          <w:rFonts w:eastAsia="Times New Roman"/>
        </w:rPr>
      </w:pPr>
      <w:r>
        <w:rPr>
          <w:rFonts w:eastAsia="Times New Roman"/>
          <w:color w:val="000000"/>
          <w:sz w:val="20"/>
          <w:szCs w:val="20"/>
        </w:rPr>
        <w:t>On May 28, 2019, the Company filed a registration statement on Form S-3 with the SEC allowing for the resale of additional shares of Common Stock underlying the Notes and potential P</w:t>
      </w:r>
      <w:r>
        <w:rPr>
          <w:rFonts w:eastAsia="Times New Roman"/>
          <w:color w:val="000000"/>
          <w:sz w:val="20"/>
          <w:szCs w:val="20"/>
        </w:rPr>
        <w:t>IK Interest Shares. The previously filed registration statement on Form S-1 was amended to convert into a registration statement on Form S-3, and the amendment was declared effective as of June 24, 2019.</w:t>
      </w:r>
    </w:p>
    <w:p w14:paraId="0B0B2BDB" w14:textId="77777777" w:rsidR="00000000" w:rsidRDefault="00E614A4">
      <w:pPr>
        <w:jc w:val="both"/>
        <w:divId w:val="110324663"/>
        <w:rPr>
          <w:rFonts w:eastAsia="Times New Roman"/>
        </w:rPr>
      </w:pPr>
      <w:r>
        <w:rPr>
          <w:rFonts w:eastAsia="Times New Roman"/>
          <w:b/>
          <w:bCs/>
          <w:i/>
          <w:iCs/>
          <w:color w:val="000000"/>
          <w:sz w:val="20"/>
          <w:szCs w:val="20"/>
        </w:rPr>
        <w:t>Issuance of Secured Term Note</w:t>
      </w:r>
    </w:p>
    <w:p w14:paraId="469E2801" w14:textId="77777777" w:rsidR="00000000" w:rsidRDefault="00E614A4">
      <w:pPr>
        <w:jc w:val="both"/>
        <w:divId w:val="1942373498"/>
        <w:rPr>
          <w:rFonts w:eastAsia="Times New Roman"/>
        </w:rPr>
      </w:pPr>
      <w:r>
        <w:rPr>
          <w:rFonts w:eastAsia="Times New Roman"/>
          <w:color w:val="000000"/>
          <w:sz w:val="20"/>
          <w:szCs w:val="20"/>
        </w:rPr>
        <w:t xml:space="preserve">On December 31, 2019, </w:t>
      </w:r>
      <w:r>
        <w:rPr>
          <w:rFonts w:eastAsia="Times New Roman"/>
          <w:color w:val="000000"/>
          <w:sz w:val="20"/>
          <w:szCs w:val="20"/>
        </w:rPr>
        <w:t>the Company's wholly owned subsidiary, Rentrak B.V., entered into an agreement with the Noteholder for the Secured Term Note for aggregate gross proceeds of $13.0 million. The Secured Term Note, which is cash collateralized, matures on December 31, 2021 an</w:t>
      </w:r>
      <w:r>
        <w:rPr>
          <w:rFonts w:eastAsia="Times New Roman"/>
          <w:color w:val="000000"/>
          <w:sz w:val="20"/>
          <w:szCs w:val="20"/>
        </w:rPr>
        <w:t xml:space="preserve">d has an annual interest rate of 9.75%. Interest is payable in arrears on the last business day of each calendar month commencing on January 31, 2020. As described in </w:t>
      </w:r>
      <w:hyperlink w:anchor="ided6989bcc374020961c421c465250ee_103" w:history="1">
        <w:r>
          <w:rPr>
            <w:rStyle w:val="a3"/>
            <w:rFonts w:eastAsia="Times New Roman"/>
            <w:sz w:val="20"/>
            <w:szCs w:val="20"/>
          </w:rPr>
          <w:t>Footnote 1</w:t>
        </w:r>
      </w:hyperlink>
      <w:r>
        <w:rPr>
          <w:rFonts w:eastAsia="Times New Roman"/>
          <w:color w:val="000000"/>
          <w:sz w:val="20"/>
          <w:szCs w:val="20"/>
        </w:rPr>
        <w:t xml:space="preserve">, </w:t>
      </w:r>
      <w:r>
        <w:rPr>
          <w:rFonts w:eastAsia="Times New Roman"/>
          <w:i/>
          <w:iCs/>
          <w:color w:val="000000"/>
          <w:sz w:val="20"/>
          <w:szCs w:val="20"/>
        </w:rPr>
        <w:t>Organization,</w:t>
      </w:r>
      <w:r>
        <w:rPr>
          <w:rFonts w:eastAsia="Times New Roman"/>
          <w:color w:val="000000"/>
          <w:sz w:val="20"/>
          <w:szCs w:val="20"/>
        </w:rPr>
        <w:t xml:space="preserve"> </w:t>
      </w:r>
      <w:r>
        <w:rPr>
          <w:rFonts w:eastAsia="Times New Roman"/>
          <w:color w:val="000000"/>
          <w:sz w:val="20"/>
          <w:szCs w:val="20"/>
        </w:rPr>
        <w:t xml:space="preserve">and </w:t>
      </w:r>
      <w:hyperlink w:anchor="ided6989bcc374020961c421c465250ee_277" w:history="1">
        <w:r>
          <w:rPr>
            <w:rStyle w:val="a3"/>
            <w:rFonts w:eastAsia="Times New Roman"/>
            <w:sz w:val="20"/>
            <w:szCs w:val="20"/>
          </w:rPr>
          <w:t>Footnote 16</w:t>
        </w:r>
      </w:hyperlink>
      <w:r>
        <w:rPr>
          <w:rFonts w:eastAsia="Times New Roman"/>
          <w:color w:val="000000"/>
          <w:sz w:val="20"/>
          <w:szCs w:val="20"/>
        </w:rPr>
        <w:t xml:space="preserve">, </w:t>
      </w:r>
      <w:r>
        <w:rPr>
          <w:rFonts w:eastAsia="Times New Roman"/>
          <w:i/>
          <w:iCs/>
          <w:color w:val="000000"/>
          <w:sz w:val="20"/>
          <w:szCs w:val="20"/>
        </w:rPr>
        <w:t>Subsequent Events,</w:t>
      </w:r>
      <w:r>
        <w:rPr>
          <w:rFonts w:eastAsia="Times New Roman"/>
          <w:color w:val="000000"/>
          <w:sz w:val="20"/>
          <w:szCs w:val="20"/>
        </w:rPr>
        <w:t xml:space="preserve"> on March 9, 2021, the Company's stockholders approved the Transactions, and upon closing of the Transactions, the Company expects to repay the Secured Term Note</w:t>
      </w:r>
      <w:r>
        <w:rPr>
          <w:rFonts w:eastAsia="Times New Roman"/>
          <w:color w:val="000000"/>
          <w:sz w:val="20"/>
          <w:szCs w:val="20"/>
        </w:rPr>
        <w:t xml:space="preserve"> prior to maturity.</w:t>
      </w:r>
    </w:p>
    <w:p w14:paraId="3C719816" w14:textId="77777777" w:rsidR="00000000" w:rsidRDefault="00E614A4">
      <w:pPr>
        <w:jc w:val="both"/>
        <w:divId w:val="576937589"/>
        <w:rPr>
          <w:rFonts w:eastAsia="Times New Roman"/>
        </w:rPr>
      </w:pPr>
      <w:r>
        <w:rPr>
          <w:rFonts w:eastAsia="Times New Roman"/>
          <w:color w:val="000000"/>
          <w:sz w:val="20"/>
          <w:szCs w:val="20"/>
        </w:rPr>
        <w:t>The Secured Term Note contains certain affirmative and restrictive covenants with which Rentrak B.V. must comply, including (i) maintenance of a minimum cash collateral balance of $14.8 million, (ii) provision of certain financial state</w:t>
      </w:r>
      <w:r>
        <w:rPr>
          <w:rFonts w:eastAsia="Times New Roman"/>
          <w:color w:val="000000"/>
          <w:sz w:val="20"/>
          <w:szCs w:val="20"/>
        </w:rPr>
        <w:t xml:space="preserve">ments, (iii) limitations on additional indebtedness and liens, (iv) limitations on repayment of debt, (v) limitations on repurchase of stock, and (vi) limitations on disposition of assets. Rentrak B.V. is in compliance with the Secured Term Note covenants </w:t>
      </w:r>
      <w:r>
        <w:rPr>
          <w:rFonts w:eastAsia="Times New Roman"/>
          <w:color w:val="000000"/>
          <w:sz w:val="20"/>
          <w:szCs w:val="20"/>
        </w:rPr>
        <w:t>as of December 31,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642"/>
        <w:gridCol w:w="36"/>
        <w:gridCol w:w="56"/>
        <w:gridCol w:w="689"/>
        <w:gridCol w:w="36"/>
        <w:gridCol w:w="36"/>
        <w:gridCol w:w="36"/>
        <w:gridCol w:w="36"/>
        <w:gridCol w:w="63"/>
        <w:gridCol w:w="682"/>
        <w:gridCol w:w="36"/>
        <w:gridCol w:w="36"/>
        <w:gridCol w:w="36"/>
        <w:gridCol w:w="36"/>
        <w:gridCol w:w="110"/>
        <w:gridCol w:w="718"/>
        <w:gridCol w:w="36"/>
        <w:gridCol w:w="36"/>
        <w:gridCol w:w="36"/>
        <w:gridCol w:w="36"/>
        <w:gridCol w:w="111"/>
        <w:gridCol w:w="719"/>
        <w:gridCol w:w="36"/>
        <w:gridCol w:w="36"/>
        <w:gridCol w:w="36"/>
        <w:gridCol w:w="36"/>
        <w:gridCol w:w="110"/>
        <w:gridCol w:w="721"/>
        <w:gridCol w:w="36"/>
      </w:tblGrid>
      <w:tr w:rsidR="00000000" w14:paraId="75697CBA" w14:textId="77777777">
        <w:trPr>
          <w:divId w:val="1595936120"/>
          <w:jc w:val="center"/>
        </w:trPr>
        <w:tc>
          <w:tcPr>
            <w:tcW w:w="50" w:type="pct"/>
            <w:vAlign w:val="center"/>
            <w:hideMark/>
          </w:tcPr>
          <w:p w14:paraId="6CE46925" w14:textId="77777777" w:rsidR="00000000" w:rsidRDefault="00E614A4">
            <w:pPr>
              <w:jc w:val="both"/>
              <w:rPr>
                <w:rFonts w:eastAsia="Times New Roman"/>
              </w:rPr>
            </w:pPr>
          </w:p>
        </w:tc>
        <w:tc>
          <w:tcPr>
            <w:tcW w:w="2229" w:type="pct"/>
            <w:vAlign w:val="center"/>
            <w:hideMark/>
          </w:tcPr>
          <w:p w14:paraId="11A29287" w14:textId="77777777" w:rsidR="00000000" w:rsidRDefault="00E614A4">
            <w:pPr>
              <w:rPr>
                <w:rFonts w:eastAsia="Times New Roman"/>
                <w:sz w:val="20"/>
                <w:szCs w:val="20"/>
              </w:rPr>
            </w:pPr>
          </w:p>
        </w:tc>
        <w:tc>
          <w:tcPr>
            <w:tcW w:w="5" w:type="pct"/>
            <w:vAlign w:val="center"/>
            <w:hideMark/>
          </w:tcPr>
          <w:p w14:paraId="24DBEFAE" w14:textId="77777777" w:rsidR="00000000" w:rsidRDefault="00E614A4">
            <w:pPr>
              <w:rPr>
                <w:rFonts w:eastAsia="Times New Roman"/>
                <w:sz w:val="20"/>
                <w:szCs w:val="20"/>
              </w:rPr>
            </w:pPr>
          </w:p>
        </w:tc>
        <w:tc>
          <w:tcPr>
            <w:tcW w:w="50" w:type="pct"/>
            <w:vAlign w:val="center"/>
            <w:hideMark/>
          </w:tcPr>
          <w:p w14:paraId="2486A740" w14:textId="77777777" w:rsidR="00000000" w:rsidRDefault="00E614A4">
            <w:pPr>
              <w:rPr>
                <w:rFonts w:eastAsia="Times New Roman"/>
                <w:sz w:val="20"/>
                <w:szCs w:val="20"/>
              </w:rPr>
            </w:pPr>
          </w:p>
        </w:tc>
        <w:tc>
          <w:tcPr>
            <w:tcW w:w="465" w:type="pct"/>
            <w:vAlign w:val="center"/>
            <w:hideMark/>
          </w:tcPr>
          <w:p w14:paraId="5CCB0F33" w14:textId="77777777" w:rsidR="00000000" w:rsidRDefault="00E614A4">
            <w:pPr>
              <w:rPr>
                <w:rFonts w:eastAsia="Times New Roman"/>
                <w:sz w:val="20"/>
                <w:szCs w:val="20"/>
              </w:rPr>
            </w:pPr>
          </w:p>
        </w:tc>
        <w:tc>
          <w:tcPr>
            <w:tcW w:w="5" w:type="pct"/>
            <w:vAlign w:val="center"/>
            <w:hideMark/>
          </w:tcPr>
          <w:p w14:paraId="75130645" w14:textId="77777777" w:rsidR="00000000" w:rsidRDefault="00E614A4">
            <w:pPr>
              <w:rPr>
                <w:rFonts w:eastAsia="Times New Roman"/>
                <w:sz w:val="20"/>
                <w:szCs w:val="20"/>
              </w:rPr>
            </w:pPr>
          </w:p>
        </w:tc>
        <w:tc>
          <w:tcPr>
            <w:tcW w:w="5" w:type="pct"/>
            <w:vAlign w:val="center"/>
            <w:hideMark/>
          </w:tcPr>
          <w:p w14:paraId="75E470BC" w14:textId="77777777" w:rsidR="00000000" w:rsidRDefault="00E614A4">
            <w:pPr>
              <w:rPr>
                <w:rFonts w:eastAsia="Times New Roman"/>
                <w:sz w:val="20"/>
                <w:szCs w:val="20"/>
              </w:rPr>
            </w:pPr>
          </w:p>
        </w:tc>
        <w:tc>
          <w:tcPr>
            <w:tcW w:w="17" w:type="pct"/>
            <w:vAlign w:val="center"/>
            <w:hideMark/>
          </w:tcPr>
          <w:p w14:paraId="57C5DD3F" w14:textId="77777777" w:rsidR="00000000" w:rsidRDefault="00E614A4">
            <w:pPr>
              <w:rPr>
                <w:rFonts w:eastAsia="Times New Roman"/>
                <w:sz w:val="20"/>
                <w:szCs w:val="20"/>
              </w:rPr>
            </w:pPr>
          </w:p>
        </w:tc>
        <w:tc>
          <w:tcPr>
            <w:tcW w:w="5" w:type="pct"/>
            <w:vAlign w:val="center"/>
            <w:hideMark/>
          </w:tcPr>
          <w:p w14:paraId="5CC5AAF4" w14:textId="77777777" w:rsidR="00000000" w:rsidRDefault="00E614A4">
            <w:pPr>
              <w:rPr>
                <w:rFonts w:eastAsia="Times New Roman"/>
                <w:sz w:val="20"/>
                <w:szCs w:val="20"/>
              </w:rPr>
            </w:pPr>
          </w:p>
        </w:tc>
        <w:tc>
          <w:tcPr>
            <w:tcW w:w="50" w:type="pct"/>
            <w:vAlign w:val="center"/>
            <w:hideMark/>
          </w:tcPr>
          <w:p w14:paraId="263C3027" w14:textId="77777777" w:rsidR="00000000" w:rsidRDefault="00E614A4">
            <w:pPr>
              <w:rPr>
                <w:rFonts w:eastAsia="Times New Roman"/>
                <w:sz w:val="20"/>
                <w:szCs w:val="20"/>
              </w:rPr>
            </w:pPr>
          </w:p>
        </w:tc>
        <w:tc>
          <w:tcPr>
            <w:tcW w:w="465" w:type="pct"/>
            <w:vAlign w:val="center"/>
            <w:hideMark/>
          </w:tcPr>
          <w:p w14:paraId="6E101604" w14:textId="77777777" w:rsidR="00000000" w:rsidRDefault="00E614A4">
            <w:pPr>
              <w:rPr>
                <w:rFonts w:eastAsia="Times New Roman"/>
                <w:sz w:val="20"/>
                <w:szCs w:val="20"/>
              </w:rPr>
            </w:pPr>
          </w:p>
        </w:tc>
        <w:tc>
          <w:tcPr>
            <w:tcW w:w="5" w:type="pct"/>
            <w:vAlign w:val="center"/>
            <w:hideMark/>
          </w:tcPr>
          <w:p w14:paraId="7A298D16" w14:textId="77777777" w:rsidR="00000000" w:rsidRDefault="00E614A4">
            <w:pPr>
              <w:rPr>
                <w:rFonts w:eastAsia="Times New Roman"/>
                <w:sz w:val="20"/>
                <w:szCs w:val="20"/>
              </w:rPr>
            </w:pPr>
          </w:p>
        </w:tc>
        <w:tc>
          <w:tcPr>
            <w:tcW w:w="5" w:type="pct"/>
            <w:vAlign w:val="center"/>
            <w:hideMark/>
          </w:tcPr>
          <w:p w14:paraId="27168C17" w14:textId="77777777" w:rsidR="00000000" w:rsidRDefault="00E614A4">
            <w:pPr>
              <w:rPr>
                <w:rFonts w:eastAsia="Times New Roman"/>
                <w:sz w:val="20"/>
                <w:szCs w:val="20"/>
              </w:rPr>
            </w:pPr>
          </w:p>
        </w:tc>
        <w:tc>
          <w:tcPr>
            <w:tcW w:w="17" w:type="pct"/>
            <w:vAlign w:val="center"/>
            <w:hideMark/>
          </w:tcPr>
          <w:p w14:paraId="27091504" w14:textId="77777777" w:rsidR="00000000" w:rsidRDefault="00E614A4">
            <w:pPr>
              <w:rPr>
                <w:rFonts w:eastAsia="Times New Roman"/>
                <w:sz w:val="20"/>
                <w:szCs w:val="20"/>
              </w:rPr>
            </w:pPr>
          </w:p>
        </w:tc>
        <w:tc>
          <w:tcPr>
            <w:tcW w:w="5" w:type="pct"/>
            <w:vAlign w:val="center"/>
            <w:hideMark/>
          </w:tcPr>
          <w:p w14:paraId="2277F8F2" w14:textId="77777777" w:rsidR="00000000" w:rsidRDefault="00E614A4">
            <w:pPr>
              <w:rPr>
                <w:rFonts w:eastAsia="Times New Roman"/>
                <w:sz w:val="20"/>
                <w:szCs w:val="20"/>
              </w:rPr>
            </w:pPr>
          </w:p>
        </w:tc>
        <w:tc>
          <w:tcPr>
            <w:tcW w:w="50" w:type="pct"/>
            <w:vAlign w:val="center"/>
            <w:hideMark/>
          </w:tcPr>
          <w:p w14:paraId="6F96221F" w14:textId="77777777" w:rsidR="00000000" w:rsidRDefault="00E614A4">
            <w:pPr>
              <w:rPr>
                <w:rFonts w:eastAsia="Times New Roman"/>
                <w:sz w:val="20"/>
                <w:szCs w:val="20"/>
              </w:rPr>
            </w:pPr>
          </w:p>
        </w:tc>
        <w:tc>
          <w:tcPr>
            <w:tcW w:w="465" w:type="pct"/>
            <w:vAlign w:val="center"/>
            <w:hideMark/>
          </w:tcPr>
          <w:p w14:paraId="6DA7E0AB" w14:textId="77777777" w:rsidR="00000000" w:rsidRDefault="00E614A4">
            <w:pPr>
              <w:rPr>
                <w:rFonts w:eastAsia="Times New Roman"/>
                <w:sz w:val="20"/>
                <w:szCs w:val="20"/>
              </w:rPr>
            </w:pPr>
          </w:p>
        </w:tc>
        <w:tc>
          <w:tcPr>
            <w:tcW w:w="5" w:type="pct"/>
            <w:vAlign w:val="center"/>
            <w:hideMark/>
          </w:tcPr>
          <w:p w14:paraId="5C62DF0E" w14:textId="77777777" w:rsidR="00000000" w:rsidRDefault="00E614A4">
            <w:pPr>
              <w:rPr>
                <w:rFonts w:eastAsia="Times New Roman"/>
                <w:sz w:val="20"/>
                <w:szCs w:val="20"/>
              </w:rPr>
            </w:pPr>
          </w:p>
        </w:tc>
        <w:tc>
          <w:tcPr>
            <w:tcW w:w="5" w:type="pct"/>
            <w:vAlign w:val="center"/>
            <w:hideMark/>
          </w:tcPr>
          <w:p w14:paraId="5813FB52" w14:textId="77777777" w:rsidR="00000000" w:rsidRDefault="00E614A4">
            <w:pPr>
              <w:rPr>
                <w:rFonts w:eastAsia="Times New Roman"/>
                <w:sz w:val="20"/>
                <w:szCs w:val="20"/>
              </w:rPr>
            </w:pPr>
          </w:p>
        </w:tc>
        <w:tc>
          <w:tcPr>
            <w:tcW w:w="17" w:type="pct"/>
            <w:vAlign w:val="center"/>
            <w:hideMark/>
          </w:tcPr>
          <w:p w14:paraId="119D4D76" w14:textId="77777777" w:rsidR="00000000" w:rsidRDefault="00E614A4">
            <w:pPr>
              <w:rPr>
                <w:rFonts w:eastAsia="Times New Roman"/>
                <w:sz w:val="20"/>
                <w:szCs w:val="20"/>
              </w:rPr>
            </w:pPr>
          </w:p>
        </w:tc>
        <w:tc>
          <w:tcPr>
            <w:tcW w:w="5" w:type="pct"/>
            <w:vAlign w:val="center"/>
            <w:hideMark/>
          </w:tcPr>
          <w:p w14:paraId="5AB16515" w14:textId="77777777" w:rsidR="00000000" w:rsidRDefault="00E614A4">
            <w:pPr>
              <w:rPr>
                <w:rFonts w:eastAsia="Times New Roman"/>
                <w:sz w:val="20"/>
                <w:szCs w:val="20"/>
              </w:rPr>
            </w:pPr>
          </w:p>
        </w:tc>
        <w:tc>
          <w:tcPr>
            <w:tcW w:w="50" w:type="pct"/>
            <w:vAlign w:val="center"/>
            <w:hideMark/>
          </w:tcPr>
          <w:p w14:paraId="627FBFD4" w14:textId="77777777" w:rsidR="00000000" w:rsidRDefault="00E614A4">
            <w:pPr>
              <w:rPr>
                <w:rFonts w:eastAsia="Times New Roman"/>
                <w:sz w:val="20"/>
                <w:szCs w:val="20"/>
              </w:rPr>
            </w:pPr>
          </w:p>
        </w:tc>
        <w:tc>
          <w:tcPr>
            <w:tcW w:w="465" w:type="pct"/>
            <w:vAlign w:val="center"/>
            <w:hideMark/>
          </w:tcPr>
          <w:p w14:paraId="59EF02C1" w14:textId="77777777" w:rsidR="00000000" w:rsidRDefault="00E614A4">
            <w:pPr>
              <w:rPr>
                <w:rFonts w:eastAsia="Times New Roman"/>
                <w:sz w:val="20"/>
                <w:szCs w:val="20"/>
              </w:rPr>
            </w:pPr>
          </w:p>
        </w:tc>
        <w:tc>
          <w:tcPr>
            <w:tcW w:w="5" w:type="pct"/>
            <w:vAlign w:val="center"/>
            <w:hideMark/>
          </w:tcPr>
          <w:p w14:paraId="41497EAE" w14:textId="77777777" w:rsidR="00000000" w:rsidRDefault="00E614A4">
            <w:pPr>
              <w:rPr>
                <w:rFonts w:eastAsia="Times New Roman"/>
                <w:sz w:val="20"/>
                <w:szCs w:val="20"/>
              </w:rPr>
            </w:pPr>
          </w:p>
        </w:tc>
        <w:tc>
          <w:tcPr>
            <w:tcW w:w="5" w:type="pct"/>
            <w:vAlign w:val="center"/>
            <w:hideMark/>
          </w:tcPr>
          <w:p w14:paraId="3B8DA783" w14:textId="77777777" w:rsidR="00000000" w:rsidRDefault="00E614A4">
            <w:pPr>
              <w:rPr>
                <w:rFonts w:eastAsia="Times New Roman"/>
                <w:sz w:val="20"/>
                <w:szCs w:val="20"/>
              </w:rPr>
            </w:pPr>
          </w:p>
        </w:tc>
        <w:tc>
          <w:tcPr>
            <w:tcW w:w="17" w:type="pct"/>
            <w:vAlign w:val="center"/>
            <w:hideMark/>
          </w:tcPr>
          <w:p w14:paraId="44601F50" w14:textId="77777777" w:rsidR="00000000" w:rsidRDefault="00E614A4">
            <w:pPr>
              <w:rPr>
                <w:rFonts w:eastAsia="Times New Roman"/>
                <w:sz w:val="20"/>
                <w:szCs w:val="20"/>
              </w:rPr>
            </w:pPr>
          </w:p>
        </w:tc>
        <w:tc>
          <w:tcPr>
            <w:tcW w:w="5" w:type="pct"/>
            <w:vAlign w:val="center"/>
            <w:hideMark/>
          </w:tcPr>
          <w:p w14:paraId="369E07EB" w14:textId="77777777" w:rsidR="00000000" w:rsidRDefault="00E614A4">
            <w:pPr>
              <w:rPr>
                <w:rFonts w:eastAsia="Times New Roman"/>
                <w:sz w:val="20"/>
                <w:szCs w:val="20"/>
              </w:rPr>
            </w:pPr>
          </w:p>
        </w:tc>
        <w:tc>
          <w:tcPr>
            <w:tcW w:w="50" w:type="pct"/>
            <w:vAlign w:val="center"/>
            <w:hideMark/>
          </w:tcPr>
          <w:p w14:paraId="67A2A3A0" w14:textId="77777777" w:rsidR="00000000" w:rsidRDefault="00E614A4">
            <w:pPr>
              <w:rPr>
                <w:rFonts w:eastAsia="Times New Roman"/>
                <w:sz w:val="20"/>
                <w:szCs w:val="20"/>
              </w:rPr>
            </w:pPr>
          </w:p>
        </w:tc>
        <w:tc>
          <w:tcPr>
            <w:tcW w:w="466" w:type="pct"/>
            <w:vAlign w:val="center"/>
            <w:hideMark/>
          </w:tcPr>
          <w:p w14:paraId="656C287C" w14:textId="77777777" w:rsidR="00000000" w:rsidRDefault="00E614A4">
            <w:pPr>
              <w:rPr>
                <w:rFonts w:eastAsia="Times New Roman"/>
                <w:sz w:val="20"/>
                <w:szCs w:val="20"/>
              </w:rPr>
            </w:pPr>
          </w:p>
        </w:tc>
        <w:tc>
          <w:tcPr>
            <w:tcW w:w="5" w:type="pct"/>
            <w:vAlign w:val="center"/>
            <w:hideMark/>
          </w:tcPr>
          <w:p w14:paraId="015A0474" w14:textId="77777777" w:rsidR="00000000" w:rsidRDefault="00E614A4">
            <w:pPr>
              <w:rPr>
                <w:rFonts w:eastAsia="Times New Roman"/>
                <w:sz w:val="20"/>
                <w:szCs w:val="20"/>
              </w:rPr>
            </w:pPr>
          </w:p>
        </w:tc>
      </w:tr>
      <w:tr w:rsidR="00000000" w14:paraId="4FAD218E" w14:textId="77777777">
        <w:trPr>
          <w:divId w:val="1595936120"/>
          <w:jc w:val="center"/>
        </w:trPr>
        <w:tc>
          <w:tcPr>
            <w:tcW w:w="0" w:type="auto"/>
            <w:gridSpan w:val="3"/>
            <w:tcMar>
              <w:top w:w="0" w:type="dxa"/>
              <w:left w:w="20" w:type="dxa"/>
              <w:bottom w:w="0" w:type="dxa"/>
              <w:right w:w="20" w:type="dxa"/>
            </w:tcMar>
            <w:vAlign w:val="center"/>
            <w:hideMark/>
          </w:tcPr>
          <w:p w14:paraId="6AE2DA5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BDE2647"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46F24F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6EA1A4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DFE197C"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18249D24" w14:textId="77777777" w:rsidR="00000000" w:rsidRDefault="00E614A4">
            <w:pPr>
              <w:jc w:val="center"/>
              <w:rPr>
                <w:rFonts w:eastAsia="Times New Roman"/>
              </w:rPr>
            </w:pPr>
            <w:r>
              <w:rPr>
                <w:rFonts w:eastAsia="Times New Roman"/>
                <w:b/>
                <w:bCs/>
                <w:color w:val="000000"/>
                <w:sz w:val="16"/>
                <w:szCs w:val="16"/>
              </w:rPr>
              <w:t>As of</w:t>
            </w:r>
          </w:p>
        </w:tc>
      </w:tr>
      <w:tr w:rsidR="00000000" w14:paraId="43C529F2" w14:textId="77777777">
        <w:trPr>
          <w:divId w:val="1595936120"/>
          <w:jc w:val="center"/>
        </w:trPr>
        <w:tc>
          <w:tcPr>
            <w:tcW w:w="0" w:type="auto"/>
            <w:gridSpan w:val="3"/>
            <w:tcMar>
              <w:top w:w="0" w:type="dxa"/>
              <w:left w:w="20" w:type="dxa"/>
              <w:bottom w:w="0" w:type="dxa"/>
              <w:right w:w="20" w:type="dxa"/>
            </w:tcMar>
            <w:vAlign w:val="center"/>
            <w:hideMark/>
          </w:tcPr>
          <w:p w14:paraId="3FED1642"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057BBB5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6CFD35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DECD5A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1CC4D8B"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35C78EFC" w14:textId="77777777" w:rsidR="00000000" w:rsidRDefault="00E614A4">
            <w:pPr>
              <w:jc w:val="center"/>
              <w:rPr>
                <w:rFonts w:eastAsia="Times New Roman"/>
              </w:rPr>
            </w:pPr>
            <w:r>
              <w:rPr>
                <w:rFonts w:eastAsia="Times New Roman"/>
                <w:b/>
                <w:bCs/>
                <w:color w:val="000000"/>
                <w:sz w:val="16"/>
                <w:szCs w:val="16"/>
              </w:rPr>
              <w:t>December 31, 2020</w:t>
            </w:r>
          </w:p>
        </w:tc>
      </w:tr>
      <w:tr w:rsidR="00000000" w14:paraId="73210C76" w14:textId="77777777">
        <w:trPr>
          <w:divId w:val="1595936120"/>
          <w:jc w:val="center"/>
        </w:trPr>
        <w:tc>
          <w:tcPr>
            <w:tcW w:w="0" w:type="auto"/>
            <w:gridSpan w:val="3"/>
            <w:tcMar>
              <w:top w:w="30" w:type="dxa"/>
              <w:left w:w="20" w:type="dxa"/>
              <w:bottom w:w="30" w:type="dxa"/>
              <w:right w:w="20" w:type="dxa"/>
            </w:tcMar>
            <w:vAlign w:val="bottom"/>
            <w:hideMark/>
          </w:tcPr>
          <w:p w14:paraId="7DE6FEEE" w14:textId="77777777" w:rsidR="00000000" w:rsidRDefault="00E614A4">
            <w:pPr>
              <w:rPr>
                <w:rFonts w:eastAsia="Times New Roman"/>
              </w:rPr>
            </w:pPr>
            <w:r>
              <w:rPr>
                <w:rFonts w:eastAsia="Times New Roman"/>
                <w:i/>
                <w:iCs/>
                <w:color w:val="000000"/>
                <w:sz w:val="16"/>
                <w:szCs w:val="16"/>
              </w:rPr>
              <w:t>(In thousands, except interest rates)</w:t>
            </w:r>
          </w:p>
        </w:tc>
        <w:tc>
          <w:tcPr>
            <w:tcW w:w="0" w:type="auto"/>
            <w:gridSpan w:val="3"/>
            <w:tcBorders>
              <w:top w:val="single" w:sz="8" w:space="0" w:color="000000"/>
            </w:tcBorders>
            <w:tcMar>
              <w:top w:w="30" w:type="dxa"/>
              <w:left w:w="20" w:type="dxa"/>
              <w:bottom w:w="30" w:type="dxa"/>
              <w:right w:w="20" w:type="dxa"/>
            </w:tcMar>
            <w:vAlign w:val="bottom"/>
            <w:hideMark/>
          </w:tcPr>
          <w:p w14:paraId="21CEDE62" w14:textId="77777777" w:rsidR="00000000" w:rsidRDefault="00E614A4">
            <w:pPr>
              <w:jc w:val="center"/>
              <w:rPr>
                <w:rFonts w:eastAsia="Times New Roman"/>
              </w:rPr>
            </w:pPr>
            <w:r>
              <w:rPr>
                <w:rFonts w:eastAsia="Times New Roman"/>
                <w:b/>
                <w:bCs/>
                <w:color w:val="000000"/>
                <w:sz w:val="16"/>
                <w:szCs w:val="16"/>
              </w:rPr>
              <w:t>Stated Interest Rate</w:t>
            </w:r>
          </w:p>
        </w:tc>
        <w:tc>
          <w:tcPr>
            <w:tcW w:w="0" w:type="auto"/>
            <w:gridSpan w:val="3"/>
            <w:tcBorders>
              <w:top w:val="single" w:sz="8" w:space="0" w:color="000000"/>
            </w:tcBorders>
            <w:tcMar>
              <w:top w:w="0" w:type="dxa"/>
              <w:left w:w="20" w:type="dxa"/>
              <w:bottom w:w="0" w:type="dxa"/>
              <w:right w:w="20" w:type="dxa"/>
            </w:tcMar>
            <w:vAlign w:val="center"/>
            <w:hideMark/>
          </w:tcPr>
          <w:p w14:paraId="18361B1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B8F6E6" w14:textId="77777777" w:rsidR="00000000" w:rsidRDefault="00E614A4">
            <w:pPr>
              <w:jc w:val="center"/>
              <w:rPr>
                <w:rFonts w:eastAsia="Times New Roman"/>
              </w:rPr>
            </w:pPr>
            <w:r>
              <w:rPr>
                <w:rFonts w:eastAsia="Times New Roman"/>
                <w:b/>
                <w:bCs/>
                <w:color w:val="000000"/>
                <w:sz w:val="16"/>
                <w:szCs w:val="16"/>
              </w:rPr>
              <w:t>Effective Interest Rate</w:t>
            </w:r>
          </w:p>
        </w:tc>
        <w:tc>
          <w:tcPr>
            <w:tcW w:w="0" w:type="auto"/>
            <w:gridSpan w:val="3"/>
            <w:tcBorders>
              <w:top w:val="single" w:sz="8" w:space="0" w:color="000000"/>
            </w:tcBorders>
            <w:tcMar>
              <w:top w:w="0" w:type="dxa"/>
              <w:left w:w="20" w:type="dxa"/>
              <w:bottom w:w="0" w:type="dxa"/>
              <w:right w:w="20" w:type="dxa"/>
            </w:tcMar>
            <w:vAlign w:val="center"/>
            <w:hideMark/>
          </w:tcPr>
          <w:p w14:paraId="48E4B75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5A39BC" w14:textId="77777777" w:rsidR="00000000" w:rsidRDefault="00E614A4">
            <w:pPr>
              <w:jc w:val="center"/>
              <w:rPr>
                <w:rFonts w:eastAsia="Times New Roman"/>
              </w:rPr>
            </w:pPr>
            <w:r>
              <w:rPr>
                <w:rFonts w:eastAsia="Times New Roman"/>
                <w:b/>
                <w:bCs/>
                <w:color w:val="000000"/>
                <w:sz w:val="16"/>
                <w:szCs w:val="16"/>
              </w:rPr>
              <w:t>Face Value</w:t>
            </w:r>
          </w:p>
        </w:tc>
        <w:tc>
          <w:tcPr>
            <w:tcW w:w="0" w:type="auto"/>
            <w:gridSpan w:val="3"/>
            <w:tcBorders>
              <w:top w:val="single" w:sz="8" w:space="0" w:color="000000"/>
            </w:tcBorders>
            <w:tcMar>
              <w:top w:w="0" w:type="dxa"/>
              <w:left w:w="20" w:type="dxa"/>
              <w:bottom w:w="0" w:type="dxa"/>
              <w:right w:w="20" w:type="dxa"/>
            </w:tcMar>
            <w:vAlign w:val="center"/>
            <w:hideMark/>
          </w:tcPr>
          <w:p w14:paraId="65658C74"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CA2FF6" w14:textId="77777777" w:rsidR="00000000" w:rsidRDefault="00E614A4">
            <w:pPr>
              <w:jc w:val="center"/>
              <w:rPr>
                <w:rFonts w:eastAsia="Times New Roman"/>
              </w:rPr>
            </w:pPr>
            <w:r>
              <w:rPr>
                <w:rFonts w:eastAsia="Times New Roman"/>
                <w:b/>
                <w:bCs/>
                <w:color w:val="000000"/>
                <w:sz w:val="16"/>
                <w:szCs w:val="16"/>
              </w:rPr>
              <w:t>Deferred Financing Costs</w:t>
            </w:r>
          </w:p>
        </w:tc>
        <w:tc>
          <w:tcPr>
            <w:tcW w:w="0" w:type="auto"/>
            <w:gridSpan w:val="3"/>
            <w:tcBorders>
              <w:top w:val="single" w:sz="8" w:space="0" w:color="000000"/>
            </w:tcBorders>
            <w:tcMar>
              <w:top w:w="0" w:type="dxa"/>
              <w:left w:w="20" w:type="dxa"/>
              <w:bottom w:w="0" w:type="dxa"/>
              <w:right w:w="20" w:type="dxa"/>
            </w:tcMar>
            <w:vAlign w:val="center"/>
            <w:hideMark/>
          </w:tcPr>
          <w:p w14:paraId="7E9EA078"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7F0CF6" w14:textId="77777777" w:rsidR="00000000" w:rsidRDefault="00E614A4">
            <w:pPr>
              <w:jc w:val="center"/>
              <w:rPr>
                <w:rFonts w:eastAsia="Times New Roman"/>
              </w:rPr>
            </w:pPr>
            <w:r>
              <w:rPr>
                <w:rFonts w:eastAsia="Times New Roman"/>
                <w:b/>
                <w:bCs/>
                <w:color w:val="000000"/>
                <w:sz w:val="16"/>
                <w:szCs w:val="16"/>
              </w:rPr>
              <w:t>Net Carrying Value</w:t>
            </w:r>
          </w:p>
        </w:tc>
      </w:tr>
      <w:tr w:rsidR="00000000" w14:paraId="0B4CEFD7" w14:textId="77777777">
        <w:trPr>
          <w:divId w:val="1595936120"/>
          <w:jc w:val="center"/>
        </w:trPr>
        <w:tc>
          <w:tcPr>
            <w:tcW w:w="0" w:type="auto"/>
            <w:gridSpan w:val="3"/>
            <w:shd w:val="clear" w:color="auto" w:fill="CCEEFF"/>
            <w:tcMar>
              <w:top w:w="30" w:type="dxa"/>
              <w:left w:w="20" w:type="dxa"/>
              <w:bottom w:w="30" w:type="dxa"/>
              <w:right w:w="20" w:type="dxa"/>
            </w:tcMar>
            <w:vAlign w:val="bottom"/>
            <w:hideMark/>
          </w:tcPr>
          <w:p w14:paraId="55E7F590" w14:textId="77777777" w:rsidR="00000000" w:rsidRDefault="00E614A4">
            <w:pPr>
              <w:rPr>
                <w:rFonts w:eastAsia="Times New Roman"/>
              </w:rPr>
            </w:pPr>
            <w:r>
              <w:rPr>
                <w:rFonts w:eastAsia="Times New Roman"/>
                <w:color w:val="000000"/>
                <w:sz w:val="18"/>
                <w:szCs w:val="18"/>
              </w:rPr>
              <w:t>Secured Term Note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C48854" w14:textId="77777777" w:rsidR="00000000" w:rsidRDefault="00E614A4">
            <w:pPr>
              <w:jc w:val="center"/>
              <w:rPr>
                <w:rFonts w:eastAsia="Times New Roman"/>
              </w:rPr>
            </w:pPr>
            <w:r>
              <w:rPr>
                <w:rFonts w:eastAsia="Times New Roman"/>
                <w:color w:val="000000"/>
                <w:sz w:val="18"/>
                <w:szCs w:val="18"/>
              </w:rPr>
              <w:t>9.75%</w:t>
            </w:r>
          </w:p>
        </w:tc>
        <w:tc>
          <w:tcPr>
            <w:tcW w:w="0" w:type="auto"/>
            <w:gridSpan w:val="3"/>
            <w:shd w:val="clear" w:color="auto" w:fill="CCEEFF"/>
            <w:tcMar>
              <w:top w:w="0" w:type="dxa"/>
              <w:left w:w="20" w:type="dxa"/>
              <w:bottom w:w="0" w:type="dxa"/>
              <w:right w:w="20" w:type="dxa"/>
            </w:tcMar>
            <w:vAlign w:val="center"/>
            <w:hideMark/>
          </w:tcPr>
          <w:p w14:paraId="14AED164" w14:textId="77777777" w:rsidR="00000000" w:rsidRDefault="00E614A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A398C3" w14:textId="77777777" w:rsidR="00000000" w:rsidRDefault="00E614A4">
            <w:pPr>
              <w:jc w:val="center"/>
              <w:rPr>
                <w:rFonts w:eastAsia="Times New Roman"/>
              </w:rPr>
            </w:pPr>
            <w:r>
              <w:rPr>
                <w:rFonts w:eastAsia="Times New Roman"/>
                <w:color w:val="000000"/>
                <w:sz w:val="18"/>
                <w:szCs w:val="18"/>
              </w:rPr>
              <w:t>12.8%</w:t>
            </w:r>
          </w:p>
        </w:tc>
        <w:tc>
          <w:tcPr>
            <w:tcW w:w="0" w:type="auto"/>
            <w:gridSpan w:val="3"/>
            <w:shd w:val="clear" w:color="auto" w:fill="CCEEFF"/>
            <w:tcMar>
              <w:top w:w="0" w:type="dxa"/>
              <w:left w:w="20" w:type="dxa"/>
              <w:bottom w:w="0" w:type="dxa"/>
              <w:right w:w="20" w:type="dxa"/>
            </w:tcMar>
            <w:vAlign w:val="center"/>
            <w:hideMark/>
          </w:tcPr>
          <w:p w14:paraId="4C28237E" w14:textId="77777777" w:rsidR="00000000" w:rsidRDefault="00E614A4">
            <w:pPr>
              <w:jc w:val="center"/>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3AE66A8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349150AD" w14:textId="77777777" w:rsidR="00000000" w:rsidRDefault="00E614A4">
            <w:pPr>
              <w:jc w:val="right"/>
              <w:rPr>
                <w:rFonts w:eastAsia="Times New Roman"/>
              </w:rPr>
            </w:pPr>
            <w:r>
              <w:rPr>
                <w:rFonts w:eastAsia="Times New Roman"/>
                <w:color w:val="000000"/>
                <w:sz w:val="18"/>
                <w:szCs w:val="18"/>
              </w:rPr>
              <w:t>13,000 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45D0C6F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D4AC4" w14:textId="77777777" w:rsidR="00000000" w:rsidRDefault="00E614A4">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7CDA300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59712288" w14:textId="77777777" w:rsidR="00000000" w:rsidRDefault="00E614A4">
            <w:pPr>
              <w:jc w:val="right"/>
              <w:rPr>
                <w:rFonts w:eastAsia="Times New Roman"/>
              </w:rPr>
            </w:pPr>
            <w:r>
              <w:rPr>
                <w:rFonts w:eastAsia="Times New Roman"/>
                <w:color w:val="000000"/>
                <w:sz w:val="18"/>
                <w:szCs w:val="18"/>
              </w:rPr>
              <w:t>(356)</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644698D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25D5B" w14:textId="77777777" w:rsidR="00000000" w:rsidRDefault="00E614A4">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6FA4191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05636791" w14:textId="77777777" w:rsidR="00000000" w:rsidRDefault="00E614A4">
            <w:pPr>
              <w:jc w:val="right"/>
              <w:rPr>
                <w:rFonts w:eastAsia="Times New Roman"/>
              </w:rPr>
            </w:pPr>
            <w:r>
              <w:rPr>
                <w:rFonts w:eastAsia="Times New Roman"/>
                <w:color w:val="000000"/>
                <w:sz w:val="18"/>
                <w:szCs w:val="18"/>
              </w:rPr>
              <w:t>12,644 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5188E1D8" w14:textId="77777777" w:rsidR="00000000" w:rsidRDefault="00E614A4">
            <w:pPr>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702"/>
        <w:gridCol w:w="144"/>
        <w:gridCol w:w="144"/>
        <w:gridCol w:w="772"/>
        <w:gridCol w:w="144"/>
        <w:gridCol w:w="144"/>
        <w:gridCol w:w="144"/>
        <w:gridCol w:w="144"/>
        <w:gridCol w:w="144"/>
        <w:gridCol w:w="772"/>
        <w:gridCol w:w="144"/>
        <w:gridCol w:w="144"/>
        <w:gridCol w:w="144"/>
        <w:gridCol w:w="144"/>
        <w:gridCol w:w="144"/>
        <w:gridCol w:w="772"/>
        <w:gridCol w:w="144"/>
        <w:gridCol w:w="144"/>
        <w:gridCol w:w="144"/>
        <w:gridCol w:w="144"/>
        <w:gridCol w:w="144"/>
        <w:gridCol w:w="772"/>
        <w:gridCol w:w="144"/>
        <w:gridCol w:w="144"/>
        <w:gridCol w:w="144"/>
        <w:gridCol w:w="144"/>
        <w:gridCol w:w="144"/>
        <w:gridCol w:w="774"/>
        <w:gridCol w:w="144"/>
        <w:gridCol w:w="480"/>
        <w:gridCol w:w="1440"/>
        <w:gridCol w:w="1440"/>
        <w:gridCol w:w="1440"/>
        <w:gridCol w:w="1440"/>
      </w:tblGrid>
      <w:tr w:rsidR="00000000" w14:paraId="3B1000AE" w14:textId="77777777">
        <w:trPr>
          <w:jc w:val="center"/>
        </w:trPr>
        <w:tc>
          <w:tcPr>
            <w:tcW w:w="50" w:type="pct"/>
            <w:vAlign w:val="center"/>
            <w:hideMark/>
          </w:tcPr>
          <w:p w14:paraId="2199D2D0" w14:textId="77777777" w:rsidR="00000000" w:rsidRDefault="00E614A4">
            <w:pPr>
              <w:jc w:val="center"/>
              <w:rPr>
                <w:rFonts w:eastAsia="Times New Roman"/>
              </w:rPr>
            </w:pPr>
          </w:p>
        </w:tc>
        <w:tc>
          <w:tcPr>
            <w:tcW w:w="2229" w:type="pct"/>
            <w:vAlign w:val="center"/>
            <w:hideMark/>
          </w:tcPr>
          <w:p w14:paraId="253948E2" w14:textId="77777777" w:rsidR="00000000" w:rsidRDefault="00E614A4">
            <w:pPr>
              <w:rPr>
                <w:rFonts w:eastAsia="Times New Roman"/>
                <w:sz w:val="20"/>
                <w:szCs w:val="20"/>
              </w:rPr>
            </w:pPr>
          </w:p>
        </w:tc>
        <w:tc>
          <w:tcPr>
            <w:tcW w:w="5" w:type="pct"/>
            <w:vAlign w:val="center"/>
            <w:hideMark/>
          </w:tcPr>
          <w:p w14:paraId="21ADDF58" w14:textId="77777777" w:rsidR="00000000" w:rsidRDefault="00E614A4">
            <w:pPr>
              <w:rPr>
                <w:rFonts w:eastAsia="Times New Roman"/>
                <w:sz w:val="20"/>
                <w:szCs w:val="20"/>
              </w:rPr>
            </w:pPr>
          </w:p>
        </w:tc>
        <w:tc>
          <w:tcPr>
            <w:tcW w:w="50" w:type="pct"/>
            <w:vAlign w:val="center"/>
            <w:hideMark/>
          </w:tcPr>
          <w:p w14:paraId="265DF342" w14:textId="77777777" w:rsidR="00000000" w:rsidRDefault="00E614A4">
            <w:pPr>
              <w:rPr>
                <w:rFonts w:eastAsia="Times New Roman"/>
                <w:sz w:val="20"/>
                <w:szCs w:val="20"/>
              </w:rPr>
            </w:pPr>
          </w:p>
        </w:tc>
        <w:tc>
          <w:tcPr>
            <w:tcW w:w="465" w:type="pct"/>
            <w:vAlign w:val="center"/>
            <w:hideMark/>
          </w:tcPr>
          <w:p w14:paraId="7D49FEF8" w14:textId="77777777" w:rsidR="00000000" w:rsidRDefault="00E614A4">
            <w:pPr>
              <w:rPr>
                <w:rFonts w:eastAsia="Times New Roman"/>
                <w:sz w:val="20"/>
                <w:szCs w:val="20"/>
              </w:rPr>
            </w:pPr>
          </w:p>
        </w:tc>
        <w:tc>
          <w:tcPr>
            <w:tcW w:w="5" w:type="pct"/>
            <w:vAlign w:val="center"/>
            <w:hideMark/>
          </w:tcPr>
          <w:p w14:paraId="1AC761B0" w14:textId="77777777" w:rsidR="00000000" w:rsidRDefault="00E614A4">
            <w:pPr>
              <w:rPr>
                <w:rFonts w:eastAsia="Times New Roman"/>
                <w:sz w:val="20"/>
                <w:szCs w:val="20"/>
              </w:rPr>
            </w:pPr>
          </w:p>
        </w:tc>
        <w:tc>
          <w:tcPr>
            <w:tcW w:w="5" w:type="pct"/>
            <w:vAlign w:val="center"/>
            <w:hideMark/>
          </w:tcPr>
          <w:p w14:paraId="6DFB5E7F" w14:textId="77777777" w:rsidR="00000000" w:rsidRDefault="00E614A4">
            <w:pPr>
              <w:rPr>
                <w:rFonts w:eastAsia="Times New Roman"/>
                <w:sz w:val="20"/>
                <w:szCs w:val="20"/>
              </w:rPr>
            </w:pPr>
          </w:p>
        </w:tc>
        <w:tc>
          <w:tcPr>
            <w:tcW w:w="17" w:type="pct"/>
            <w:vAlign w:val="center"/>
            <w:hideMark/>
          </w:tcPr>
          <w:p w14:paraId="5F652BDD" w14:textId="77777777" w:rsidR="00000000" w:rsidRDefault="00E614A4">
            <w:pPr>
              <w:rPr>
                <w:rFonts w:eastAsia="Times New Roman"/>
                <w:sz w:val="20"/>
                <w:szCs w:val="20"/>
              </w:rPr>
            </w:pPr>
          </w:p>
        </w:tc>
        <w:tc>
          <w:tcPr>
            <w:tcW w:w="5" w:type="pct"/>
            <w:vAlign w:val="center"/>
            <w:hideMark/>
          </w:tcPr>
          <w:p w14:paraId="4750B5B2" w14:textId="77777777" w:rsidR="00000000" w:rsidRDefault="00E614A4">
            <w:pPr>
              <w:rPr>
                <w:rFonts w:eastAsia="Times New Roman"/>
                <w:sz w:val="20"/>
                <w:szCs w:val="20"/>
              </w:rPr>
            </w:pPr>
          </w:p>
        </w:tc>
        <w:tc>
          <w:tcPr>
            <w:tcW w:w="50" w:type="pct"/>
            <w:vAlign w:val="center"/>
            <w:hideMark/>
          </w:tcPr>
          <w:p w14:paraId="7E574387" w14:textId="77777777" w:rsidR="00000000" w:rsidRDefault="00E614A4">
            <w:pPr>
              <w:rPr>
                <w:rFonts w:eastAsia="Times New Roman"/>
                <w:sz w:val="20"/>
                <w:szCs w:val="20"/>
              </w:rPr>
            </w:pPr>
          </w:p>
        </w:tc>
        <w:tc>
          <w:tcPr>
            <w:tcW w:w="465" w:type="pct"/>
            <w:vAlign w:val="center"/>
            <w:hideMark/>
          </w:tcPr>
          <w:p w14:paraId="74C69863" w14:textId="77777777" w:rsidR="00000000" w:rsidRDefault="00E614A4">
            <w:pPr>
              <w:rPr>
                <w:rFonts w:eastAsia="Times New Roman"/>
                <w:sz w:val="20"/>
                <w:szCs w:val="20"/>
              </w:rPr>
            </w:pPr>
          </w:p>
        </w:tc>
        <w:tc>
          <w:tcPr>
            <w:tcW w:w="5" w:type="pct"/>
            <w:vAlign w:val="center"/>
            <w:hideMark/>
          </w:tcPr>
          <w:p w14:paraId="01D10208" w14:textId="77777777" w:rsidR="00000000" w:rsidRDefault="00E614A4">
            <w:pPr>
              <w:rPr>
                <w:rFonts w:eastAsia="Times New Roman"/>
                <w:sz w:val="20"/>
                <w:szCs w:val="20"/>
              </w:rPr>
            </w:pPr>
          </w:p>
        </w:tc>
        <w:tc>
          <w:tcPr>
            <w:tcW w:w="5" w:type="pct"/>
            <w:vAlign w:val="center"/>
            <w:hideMark/>
          </w:tcPr>
          <w:p w14:paraId="4A47AE51" w14:textId="77777777" w:rsidR="00000000" w:rsidRDefault="00E614A4">
            <w:pPr>
              <w:rPr>
                <w:rFonts w:eastAsia="Times New Roman"/>
                <w:sz w:val="20"/>
                <w:szCs w:val="20"/>
              </w:rPr>
            </w:pPr>
          </w:p>
        </w:tc>
        <w:tc>
          <w:tcPr>
            <w:tcW w:w="17" w:type="pct"/>
            <w:vAlign w:val="center"/>
            <w:hideMark/>
          </w:tcPr>
          <w:p w14:paraId="3AF74939" w14:textId="77777777" w:rsidR="00000000" w:rsidRDefault="00E614A4">
            <w:pPr>
              <w:rPr>
                <w:rFonts w:eastAsia="Times New Roman"/>
                <w:sz w:val="20"/>
                <w:szCs w:val="20"/>
              </w:rPr>
            </w:pPr>
          </w:p>
        </w:tc>
        <w:tc>
          <w:tcPr>
            <w:tcW w:w="5" w:type="pct"/>
            <w:vAlign w:val="center"/>
            <w:hideMark/>
          </w:tcPr>
          <w:p w14:paraId="3BC0DA7C" w14:textId="77777777" w:rsidR="00000000" w:rsidRDefault="00E614A4">
            <w:pPr>
              <w:rPr>
                <w:rFonts w:eastAsia="Times New Roman"/>
                <w:sz w:val="20"/>
                <w:szCs w:val="20"/>
              </w:rPr>
            </w:pPr>
          </w:p>
        </w:tc>
        <w:tc>
          <w:tcPr>
            <w:tcW w:w="50" w:type="pct"/>
            <w:vAlign w:val="center"/>
            <w:hideMark/>
          </w:tcPr>
          <w:p w14:paraId="708AAB86" w14:textId="77777777" w:rsidR="00000000" w:rsidRDefault="00E614A4">
            <w:pPr>
              <w:rPr>
                <w:rFonts w:eastAsia="Times New Roman"/>
                <w:sz w:val="20"/>
                <w:szCs w:val="20"/>
              </w:rPr>
            </w:pPr>
          </w:p>
        </w:tc>
        <w:tc>
          <w:tcPr>
            <w:tcW w:w="465" w:type="pct"/>
            <w:vAlign w:val="center"/>
            <w:hideMark/>
          </w:tcPr>
          <w:p w14:paraId="12E323C7" w14:textId="77777777" w:rsidR="00000000" w:rsidRDefault="00E614A4">
            <w:pPr>
              <w:rPr>
                <w:rFonts w:eastAsia="Times New Roman"/>
                <w:sz w:val="20"/>
                <w:szCs w:val="20"/>
              </w:rPr>
            </w:pPr>
          </w:p>
        </w:tc>
        <w:tc>
          <w:tcPr>
            <w:tcW w:w="5" w:type="pct"/>
            <w:vAlign w:val="center"/>
            <w:hideMark/>
          </w:tcPr>
          <w:p w14:paraId="2EE03294" w14:textId="77777777" w:rsidR="00000000" w:rsidRDefault="00E614A4">
            <w:pPr>
              <w:rPr>
                <w:rFonts w:eastAsia="Times New Roman"/>
                <w:sz w:val="20"/>
                <w:szCs w:val="20"/>
              </w:rPr>
            </w:pPr>
          </w:p>
        </w:tc>
        <w:tc>
          <w:tcPr>
            <w:tcW w:w="5" w:type="pct"/>
            <w:vAlign w:val="center"/>
            <w:hideMark/>
          </w:tcPr>
          <w:p w14:paraId="6A0134D3" w14:textId="77777777" w:rsidR="00000000" w:rsidRDefault="00E614A4">
            <w:pPr>
              <w:rPr>
                <w:rFonts w:eastAsia="Times New Roman"/>
                <w:sz w:val="20"/>
                <w:szCs w:val="20"/>
              </w:rPr>
            </w:pPr>
          </w:p>
        </w:tc>
        <w:tc>
          <w:tcPr>
            <w:tcW w:w="17" w:type="pct"/>
            <w:vAlign w:val="center"/>
            <w:hideMark/>
          </w:tcPr>
          <w:p w14:paraId="4B54736B" w14:textId="77777777" w:rsidR="00000000" w:rsidRDefault="00E614A4">
            <w:pPr>
              <w:rPr>
                <w:rFonts w:eastAsia="Times New Roman"/>
                <w:sz w:val="20"/>
                <w:szCs w:val="20"/>
              </w:rPr>
            </w:pPr>
          </w:p>
        </w:tc>
        <w:tc>
          <w:tcPr>
            <w:tcW w:w="5" w:type="pct"/>
            <w:vAlign w:val="center"/>
            <w:hideMark/>
          </w:tcPr>
          <w:p w14:paraId="01DCB7E0" w14:textId="77777777" w:rsidR="00000000" w:rsidRDefault="00E614A4">
            <w:pPr>
              <w:rPr>
                <w:rFonts w:eastAsia="Times New Roman"/>
                <w:sz w:val="20"/>
                <w:szCs w:val="20"/>
              </w:rPr>
            </w:pPr>
          </w:p>
        </w:tc>
        <w:tc>
          <w:tcPr>
            <w:tcW w:w="50" w:type="pct"/>
            <w:vAlign w:val="center"/>
            <w:hideMark/>
          </w:tcPr>
          <w:p w14:paraId="0B86C45A" w14:textId="77777777" w:rsidR="00000000" w:rsidRDefault="00E614A4">
            <w:pPr>
              <w:rPr>
                <w:rFonts w:eastAsia="Times New Roman"/>
                <w:sz w:val="20"/>
                <w:szCs w:val="20"/>
              </w:rPr>
            </w:pPr>
          </w:p>
        </w:tc>
        <w:tc>
          <w:tcPr>
            <w:tcW w:w="465" w:type="pct"/>
            <w:vAlign w:val="center"/>
            <w:hideMark/>
          </w:tcPr>
          <w:p w14:paraId="4C27581C" w14:textId="77777777" w:rsidR="00000000" w:rsidRDefault="00E614A4">
            <w:pPr>
              <w:rPr>
                <w:rFonts w:eastAsia="Times New Roman"/>
                <w:sz w:val="20"/>
                <w:szCs w:val="20"/>
              </w:rPr>
            </w:pPr>
          </w:p>
        </w:tc>
        <w:tc>
          <w:tcPr>
            <w:tcW w:w="5" w:type="pct"/>
            <w:vAlign w:val="center"/>
            <w:hideMark/>
          </w:tcPr>
          <w:p w14:paraId="1C6C0979" w14:textId="77777777" w:rsidR="00000000" w:rsidRDefault="00E614A4">
            <w:pPr>
              <w:rPr>
                <w:rFonts w:eastAsia="Times New Roman"/>
                <w:sz w:val="20"/>
                <w:szCs w:val="20"/>
              </w:rPr>
            </w:pPr>
          </w:p>
        </w:tc>
        <w:tc>
          <w:tcPr>
            <w:tcW w:w="5" w:type="pct"/>
            <w:vAlign w:val="center"/>
            <w:hideMark/>
          </w:tcPr>
          <w:p w14:paraId="77B4334E" w14:textId="77777777" w:rsidR="00000000" w:rsidRDefault="00E614A4">
            <w:pPr>
              <w:rPr>
                <w:rFonts w:eastAsia="Times New Roman"/>
                <w:sz w:val="20"/>
                <w:szCs w:val="20"/>
              </w:rPr>
            </w:pPr>
          </w:p>
        </w:tc>
        <w:tc>
          <w:tcPr>
            <w:tcW w:w="17" w:type="pct"/>
            <w:vAlign w:val="center"/>
            <w:hideMark/>
          </w:tcPr>
          <w:p w14:paraId="57213B0F" w14:textId="77777777" w:rsidR="00000000" w:rsidRDefault="00E614A4">
            <w:pPr>
              <w:rPr>
                <w:rFonts w:eastAsia="Times New Roman"/>
                <w:sz w:val="20"/>
                <w:szCs w:val="20"/>
              </w:rPr>
            </w:pPr>
          </w:p>
        </w:tc>
        <w:tc>
          <w:tcPr>
            <w:tcW w:w="5" w:type="pct"/>
            <w:vAlign w:val="center"/>
            <w:hideMark/>
          </w:tcPr>
          <w:p w14:paraId="30E394E1" w14:textId="77777777" w:rsidR="00000000" w:rsidRDefault="00E614A4">
            <w:pPr>
              <w:rPr>
                <w:rFonts w:eastAsia="Times New Roman"/>
                <w:sz w:val="20"/>
                <w:szCs w:val="20"/>
              </w:rPr>
            </w:pPr>
          </w:p>
        </w:tc>
        <w:tc>
          <w:tcPr>
            <w:tcW w:w="50" w:type="pct"/>
            <w:vAlign w:val="center"/>
            <w:hideMark/>
          </w:tcPr>
          <w:p w14:paraId="25D33AD4" w14:textId="77777777" w:rsidR="00000000" w:rsidRDefault="00E614A4">
            <w:pPr>
              <w:rPr>
                <w:rFonts w:eastAsia="Times New Roman"/>
                <w:sz w:val="20"/>
                <w:szCs w:val="20"/>
              </w:rPr>
            </w:pPr>
          </w:p>
        </w:tc>
        <w:tc>
          <w:tcPr>
            <w:tcW w:w="466" w:type="pct"/>
            <w:vAlign w:val="center"/>
            <w:hideMark/>
          </w:tcPr>
          <w:p w14:paraId="3384AE9C" w14:textId="77777777" w:rsidR="00000000" w:rsidRDefault="00E614A4">
            <w:pPr>
              <w:rPr>
                <w:rFonts w:eastAsia="Times New Roman"/>
                <w:sz w:val="20"/>
                <w:szCs w:val="20"/>
              </w:rPr>
            </w:pPr>
          </w:p>
        </w:tc>
        <w:tc>
          <w:tcPr>
            <w:tcW w:w="5" w:type="pct"/>
            <w:vAlign w:val="center"/>
            <w:hideMark/>
          </w:tcPr>
          <w:p w14:paraId="042B571D" w14:textId="77777777" w:rsidR="00000000" w:rsidRDefault="00E614A4">
            <w:pPr>
              <w:rPr>
                <w:rFonts w:eastAsia="Times New Roman"/>
                <w:sz w:val="20"/>
                <w:szCs w:val="20"/>
              </w:rPr>
            </w:pPr>
          </w:p>
        </w:tc>
        <w:tc>
          <w:tcPr>
            <w:tcW w:w="0" w:type="auto"/>
            <w:vAlign w:val="center"/>
            <w:hideMark/>
          </w:tcPr>
          <w:p w14:paraId="0DB9AF1B" w14:textId="77777777" w:rsidR="00000000" w:rsidRDefault="00E614A4">
            <w:pPr>
              <w:rPr>
                <w:rFonts w:eastAsia="Times New Roman"/>
                <w:sz w:val="20"/>
                <w:szCs w:val="20"/>
              </w:rPr>
            </w:pPr>
          </w:p>
        </w:tc>
        <w:tc>
          <w:tcPr>
            <w:tcW w:w="0" w:type="auto"/>
            <w:vAlign w:val="center"/>
            <w:hideMark/>
          </w:tcPr>
          <w:p w14:paraId="277F61CC" w14:textId="77777777" w:rsidR="00000000" w:rsidRDefault="00E614A4">
            <w:pPr>
              <w:rPr>
                <w:rFonts w:eastAsia="Times New Roman"/>
                <w:sz w:val="20"/>
                <w:szCs w:val="20"/>
              </w:rPr>
            </w:pPr>
          </w:p>
        </w:tc>
        <w:tc>
          <w:tcPr>
            <w:tcW w:w="0" w:type="auto"/>
            <w:vAlign w:val="center"/>
            <w:hideMark/>
          </w:tcPr>
          <w:p w14:paraId="5CD7916B" w14:textId="77777777" w:rsidR="00000000" w:rsidRDefault="00E614A4">
            <w:pPr>
              <w:rPr>
                <w:rFonts w:eastAsia="Times New Roman"/>
                <w:sz w:val="20"/>
                <w:szCs w:val="20"/>
              </w:rPr>
            </w:pPr>
          </w:p>
        </w:tc>
        <w:tc>
          <w:tcPr>
            <w:tcW w:w="0" w:type="auto"/>
            <w:vAlign w:val="center"/>
            <w:hideMark/>
          </w:tcPr>
          <w:p w14:paraId="54F2AC8E" w14:textId="77777777" w:rsidR="00000000" w:rsidRDefault="00E614A4">
            <w:pPr>
              <w:rPr>
                <w:rFonts w:eastAsia="Times New Roman"/>
                <w:sz w:val="20"/>
                <w:szCs w:val="20"/>
              </w:rPr>
            </w:pPr>
          </w:p>
        </w:tc>
        <w:tc>
          <w:tcPr>
            <w:tcW w:w="0" w:type="auto"/>
            <w:vAlign w:val="center"/>
            <w:hideMark/>
          </w:tcPr>
          <w:p w14:paraId="7CD2B8FF" w14:textId="77777777" w:rsidR="00000000" w:rsidRDefault="00E614A4">
            <w:pPr>
              <w:rPr>
                <w:rFonts w:eastAsia="Times New Roman"/>
                <w:sz w:val="20"/>
                <w:szCs w:val="20"/>
              </w:rPr>
            </w:pPr>
          </w:p>
        </w:tc>
      </w:tr>
      <w:tr w:rsidR="00000000" w14:paraId="2108CB9E" w14:textId="77777777">
        <w:trPr>
          <w:jc w:val="center"/>
        </w:trPr>
        <w:tc>
          <w:tcPr>
            <w:tcW w:w="0" w:type="auto"/>
            <w:gridSpan w:val="3"/>
            <w:tcMar>
              <w:top w:w="0" w:type="dxa"/>
              <w:left w:w="20" w:type="dxa"/>
              <w:bottom w:w="0" w:type="dxa"/>
              <w:right w:w="20" w:type="dxa"/>
            </w:tcMar>
            <w:vAlign w:val="center"/>
            <w:hideMark/>
          </w:tcPr>
          <w:p w14:paraId="6FF6D85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BD78116"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5801B6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EA84CB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993931E"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2D7FDE29" w14:textId="77777777" w:rsidR="00000000" w:rsidRDefault="00E614A4">
            <w:pPr>
              <w:jc w:val="center"/>
              <w:rPr>
                <w:rFonts w:eastAsia="Times New Roman"/>
              </w:rPr>
            </w:pPr>
            <w:r>
              <w:rPr>
                <w:rFonts w:eastAsia="Times New Roman"/>
                <w:b/>
                <w:bCs/>
                <w:color w:val="000000"/>
                <w:sz w:val="16"/>
                <w:szCs w:val="16"/>
              </w:rPr>
              <w:t>As of</w:t>
            </w:r>
          </w:p>
        </w:tc>
        <w:tc>
          <w:tcPr>
            <w:tcW w:w="0" w:type="auto"/>
            <w:vAlign w:val="center"/>
            <w:hideMark/>
          </w:tcPr>
          <w:p w14:paraId="1D7A92E7" w14:textId="77777777" w:rsidR="00000000" w:rsidRDefault="00E614A4">
            <w:pPr>
              <w:jc w:val="center"/>
              <w:rPr>
                <w:rFonts w:eastAsia="Times New Roman"/>
              </w:rPr>
            </w:pPr>
          </w:p>
        </w:tc>
        <w:tc>
          <w:tcPr>
            <w:tcW w:w="0" w:type="auto"/>
            <w:vAlign w:val="center"/>
            <w:hideMark/>
          </w:tcPr>
          <w:p w14:paraId="026270C1" w14:textId="77777777" w:rsidR="00000000" w:rsidRDefault="00E614A4">
            <w:pPr>
              <w:rPr>
                <w:rFonts w:eastAsia="Times New Roman"/>
                <w:sz w:val="20"/>
                <w:szCs w:val="20"/>
              </w:rPr>
            </w:pPr>
          </w:p>
        </w:tc>
        <w:tc>
          <w:tcPr>
            <w:tcW w:w="0" w:type="auto"/>
            <w:vAlign w:val="center"/>
            <w:hideMark/>
          </w:tcPr>
          <w:p w14:paraId="158C3E82" w14:textId="77777777" w:rsidR="00000000" w:rsidRDefault="00E614A4">
            <w:pPr>
              <w:rPr>
                <w:rFonts w:eastAsia="Times New Roman"/>
                <w:sz w:val="20"/>
                <w:szCs w:val="20"/>
              </w:rPr>
            </w:pPr>
          </w:p>
        </w:tc>
        <w:tc>
          <w:tcPr>
            <w:tcW w:w="0" w:type="auto"/>
            <w:vAlign w:val="center"/>
            <w:hideMark/>
          </w:tcPr>
          <w:p w14:paraId="4046C304" w14:textId="77777777" w:rsidR="00000000" w:rsidRDefault="00E614A4">
            <w:pPr>
              <w:rPr>
                <w:rFonts w:eastAsia="Times New Roman"/>
                <w:sz w:val="20"/>
                <w:szCs w:val="20"/>
              </w:rPr>
            </w:pPr>
          </w:p>
        </w:tc>
        <w:tc>
          <w:tcPr>
            <w:tcW w:w="0" w:type="auto"/>
            <w:vAlign w:val="center"/>
            <w:hideMark/>
          </w:tcPr>
          <w:p w14:paraId="75B44D5C" w14:textId="77777777" w:rsidR="00000000" w:rsidRDefault="00E614A4">
            <w:pPr>
              <w:rPr>
                <w:rFonts w:eastAsia="Times New Roman"/>
                <w:sz w:val="20"/>
                <w:szCs w:val="20"/>
              </w:rPr>
            </w:pPr>
          </w:p>
        </w:tc>
      </w:tr>
      <w:tr w:rsidR="00000000" w14:paraId="639D59E8" w14:textId="77777777">
        <w:trPr>
          <w:jc w:val="center"/>
        </w:trPr>
        <w:tc>
          <w:tcPr>
            <w:tcW w:w="0" w:type="auto"/>
            <w:gridSpan w:val="3"/>
            <w:tcMar>
              <w:top w:w="0" w:type="dxa"/>
              <w:left w:w="20" w:type="dxa"/>
              <w:bottom w:w="0" w:type="dxa"/>
              <w:right w:w="20" w:type="dxa"/>
            </w:tcMar>
            <w:vAlign w:val="center"/>
            <w:hideMark/>
          </w:tcPr>
          <w:p w14:paraId="6978365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3C9FF4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7520AF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17AD7C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0B5D746"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1B105F50" w14:textId="77777777" w:rsidR="00000000" w:rsidRDefault="00E614A4">
            <w:pPr>
              <w:jc w:val="center"/>
              <w:rPr>
                <w:rFonts w:eastAsia="Times New Roman"/>
              </w:rPr>
            </w:pPr>
            <w:r>
              <w:rPr>
                <w:rFonts w:eastAsia="Times New Roman"/>
                <w:b/>
                <w:bCs/>
                <w:color w:val="000000"/>
                <w:sz w:val="16"/>
                <w:szCs w:val="16"/>
              </w:rPr>
              <w:t>December 31, 2019</w:t>
            </w:r>
          </w:p>
        </w:tc>
        <w:tc>
          <w:tcPr>
            <w:tcW w:w="0" w:type="auto"/>
            <w:vAlign w:val="center"/>
            <w:hideMark/>
          </w:tcPr>
          <w:p w14:paraId="5E255375" w14:textId="77777777" w:rsidR="00000000" w:rsidRDefault="00E614A4">
            <w:pPr>
              <w:jc w:val="center"/>
              <w:rPr>
                <w:rFonts w:eastAsia="Times New Roman"/>
              </w:rPr>
            </w:pPr>
          </w:p>
        </w:tc>
        <w:tc>
          <w:tcPr>
            <w:tcW w:w="0" w:type="auto"/>
            <w:vAlign w:val="center"/>
            <w:hideMark/>
          </w:tcPr>
          <w:p w14:paraId="58FF8FB6" w14:textId="77777777" w:rsidR="00000000" w:rsidRDefault="00E614A4">
            <w:pPr>
              <w:rPr>
                <w:rFonts w:eastAsia="Times New Roman"/>
                <w:sz w:val="20"/>
                <w:szCs w:val="20"/>
              </w:rPr>
            </w:pPr>
          </w:p>
        </w:tc>
        <w:tc>
          <w:tcPr>
            <w:tcW w:w="0" w:type="auto"/>
            <w:vAlign w:val="center"/>
            <w:hideMark/>
          </w:tcPr>
          <w:p w14:paraId="5F391BA5" w14:textId="77777777" w:rsidR="00000000" w:rsidRDefault="00E614A4">
            <w:pPr>
              <w:rPr>
                <w:rFonts w:eastAsia="Times New Roman"/>
                <w:sz w:val="20"/>
                <w:szCs w:val="20"/>
              </w:rPr>
            </w:pPr>
          </w:p>
        </w:tc>
        <w:tc>
          <w:tcPr>
            <w:tcW w:w="0" w:type="auto"/>
            <w:vAlign w:val="center"/>
            <w:hideMark/>
          </w:tcPr>
          <w:p w14:paraId="2CE683AD" w14:textId="77777777" w:rsidR="00000000" w:rsidRDefault="00E614A4">
            <w:pPr>
              <w:rPr>
                <w:rFonts w:eastAsia="Times New Roman"/>
                <w:sz w:val="20"/>
                <w:szCs w:val="20"/>
              </w:rPr>
            </w:pPr>
          </w:p>
        </w:tc>
        <w:tc>
          <w:tcPr>
            <w:tcW w:w="0" w:type="auto"/>
            <w:vAlign w:val="center"/>
            <w:hideMark/>
          </w:tcPr>
          <w:p w14:paraId="22564B8E" w14:textId="77777777" w:rsidR="00000000" w:rsidRDefault="00E614A4">
            <w:pPr>
              <w:rPr>
                <w:rFonts w:eastAsia="Times New Roman"/>
                <w:sz w:val="20"/>
                <w:szCs w:val="20"/>
              </w:rPr>
            </w:pPr>
          </w:p>
        </w:tc>
      </w:tr>
      <w:tr w:rsidR="00000000" w14:paraId="1C94949E" w14:textId="77777777">
        <w:trPr>
          <w:jc w:val="center"/>
        </w:trPr>
        <w:tc>
          <w:tcPr>
            <w:tcW w:w="0" w:type="auto"/>
            <w:gridSpan w:val="3"/>
            <w:tcMar>
              <w:top w:w="30" w:type="dxa"/>
              <w:left w:w="20" w:type="dxa"/>
              <w:bottom w:w="30" w:type="dxa"/>
              <w:right w:w="20" w:type="dxa"/>
            </w:tcMar>
            <w:vAlign w:val="bottom"/>
            <w:hideMark/>
          </w:tcPr>
          <w:p w14:paraId="268EF286" w14:textId="77777777" w:rsidR="00000000" w:rsidRDefault="00E614A4">
            <w:pPr>
              <w:rPr>
                <w:rFonts w:eastAsia="Times New Roman"/>
              </w:rPr>
            </w:pPr>
            <w:r>
              <w:rPr>
                <w:rFonts w:eastAsia="Times New Roman"/>
                <w:i/>
                <w:iCs/>
                <w:color w:val="000000"/>
                <w:sz w:val="16"/>
                <w:szCs w:val="16"/>
              </w:rPr>
              <w:t>(In thousands, except interest rates)</w:t>
            </w:r>
          </w:p>
        </w:tc>
        <w:tc>
          <w:tcPr>
            <w:tcW w:w="0" w:type="auto"/>
            <w:gridSpan w:val="3"/>
            <w:tcBorders>
              <w:top w:val="single" w:sz="8" w:space="0" w:color="000000"/>
            </w:tcBorders>
            <w:tcMar>
              <w:top w:w="30" w:type="dxa"/>
              <w:left w:w="20" w:type="dxa"/>
              <w:bottom w:w="30" w:type="dxa"/>
              <w:right w:w="20" w:type="dxa"/>
            </w:tcMar>
            <w:vAlign w:val="bottom"/>
            <w:hideMark/>
          </w:tcPr>
          <w:p w14:paraId="54FABEF8" w14:textId="77777777" w:rsidR="00000000" w:rsidRDefault="00E614A4">
            <w:pPr>
              <w:jc w:val="center"/>
              <w:rPr>
                <w:rFonts w:eastAsia="Times New Roman"/>
              </w:rPr>
            </w:pPr>
            <w:r>
              <w:rPr>
                <w:rFonts w:eastAsia="Times New Roman"/>
                <w:b/>
                <w:bCs/>
                <w:color w:val="000000"/>
                <w:sz w:val="16"/>
                <w:szCs w:val="16"/>
              </w:rPr>
              <w:t>Stated Interest Rate</w:t>
            </w:r>
          </w:p>
        </w:tc>
        <w:tc>
          <w:tcPr>
            <w:tcW w:w="0" w:type="auto"/>
            <w:gridSpan w:val="3"/>
            <w:tcBorders>
              <w:top w:val="single" w:sz="8" w:space="0" w:color="000000"/>
            </w:tcBorders>
            <w:tcMar>
              <w:top w:w="0" w:type="dxa"/>
              <w:left w:w="20" w:type="dxa"/>
              <w:bottom w:w="0" w:type="dxa"/>
              <w:right w:w="20" w:type="dxa"/>
            </w:tcMar>
            <w:vAlign w:val="center"/>
            <w:hideMark/>
          </w:tcPr>
          <w:p w14:paraId="327D0417"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12B196" w14:textId="77777777" w:rsidR="00000000" w:rsidRDefault="00E614A4">
            <w:pPr>
              <w:jc w:val="center"/>
              <w:rPr>
                <w:rFonts w:eastAsia="Times New Roman"/>
              </w:rPr>
            </w:pPr>
            <w:r>
              <w:rPr>
                <w:rFonts w:eastAsia="Times New Roman"/>
                <w:b/>
                <w:bCs/>
                <w:color w:val="000000"/>
                <w:sz w:val="16"/>
                <w:szCs w:val="16"/>
              </w:rPr>
              <w:t>Effective Interest Rate</w:t>
            </w:r>
          </w:p>
        </w:tc>
        <w:tc>
          <w:tcPr>
            <w:tcW w:w="0" w:type="auto"/>
            <w:gridSpan w:val="3"/>
            <w:tcBorders>
              <w:top w:val="single" w:sz="8" w:space="0" w:color="000000"/>
            </w:tcBorders>
            <w:tcMar>
              <w:top w:w="0" w:type="dxa"/>
              <w:left w:w="20" w:type="dxa"/>
              <w:bottom w:w="0" w:type="dxa"/>
              <w:right w:w="20" w:type="dxa"/>
            </w:tcMar>
            <w:vAlign w:val="center"/>
            <w:hideMark/>
          </w:tcPr>
          <w:p w14:paraId="4533890E"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1DB574" w14:textId="77777777" w:rsidR="00000000" w:rsidRDefault="00E614A4">
            <w:pPr>
              <w:jc w:val="center"/>
              <w:rPr>
                <w:rFonts w:eastAsia="Times New Roman"/>
              </w:rPr>
            </w:pPr>
            <w:r>
              <w:rPr>
                <w:rFonts w:eastAsia="Times New Roman"/>
                <w:b/>
                <w:bCs/>
                <w:color w:val="000000"/>
                <w:sz w:val="16"/>
                <w:szCs w:val="16"/>
              </w:rPr>
              <w:t>Face Value</w:t>
            </w:r>
          </w:p>
        </w:tc>
        <w:tc>
          <w:tcPr>
            <w:tcW w:w="0" w:type="auto"/>
            <w:gridSpan w:val="3"/>
            <w:tcBorders>
              <w:top w:val="single" w:sz="8" w:space="0" w:color="000000"/>
            </w:tcBorders>
            <w:tcMar>
              <w:top w:w="0" w:type="dxa"/>
              <w:left w:w="20" w:type="dxa"/>
              <w:bottom w:w="0" w:type="dxa"/>
              <w:right w:w="20" w:type="dxa"/>
            </w:tcMar>
            <w:vAlign w:val="center"/>
            <w:hideMark/>
          </w:tcPr>
          <w:p w14:paraId="3FC7008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6B14C7" w14:textId="77777777" w:rsidR="00000000" w:rsidRDefault="00E614A4">
            <w:pPr>
              <w:jc w:val="center"/>
              <w:rPr>
                <w:rFonts w:eastAsia="Times New Roman"/>
              </w:rPr>
            </w:pPr>
            <w:r>
              <w:rPr>
                <w:rFonts w:eastAsia="Times New Roman"/>
                <w:b/>
                <w:bCs/>
                <w:color w:val="000000"/>
                <w:sz w:val="16"/>
                <w:szCs w:val="16"/>
              </w:rPr>
              <w:t>Deferred Financing Costs</w:t>
            </w:r>
          </w:p>
        </w:tc>
        <w:tc>
          <w:tcPr>
            <w:tcW w:w="0" w:type="auto"/>
            <w:gridSpan w:val="3"/>
            <w:tcBorders>
              <w:top w:val="single" w:sz="8" w:space="0" w:color="000000"/>
            </w:tcBorders>
            <w:tcMar>
              <w:top w:w="0" w:type="dxa"/>
              <w:left w:w="20" w:type="dxa"/>
              <w:bottom w:w="0" w:type="dxa"/>
              <w:right w:w="20" w:type="dxa"/>
            </w:tcMar>
            <w:vAlign w:val="center"/>
            <w:hideMark/>
          </w:tcPr>
          <w:p w14:paraId="3708EDCF"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97FE08" w14:textId="77777777" w:rsidR="00000000" w:rsidRDefault="00E614A4">
            <w:pPr>
              <w:jc w:val="center"/>
              <w:rPr>
                <w:rFonts w:eastAsia="Times New Roman"/>
              </w:rPr>
            </w:pPr>
            <w:r>
              <w:rPr>
                <w:rFonts w:eastAsia="Times New Roman"/>
                <w:b/>
                <w:bCs/>
                <w:color w:val="000000"/>
                <w:sz w:val="16"/>
                <w:szCs w:val="16"/>
              </w:rPr>
              <w:t>Net Carrying Value</w:t>
            </w:r>
          </w:p>
        </w:tc>
        <w:tc>
          <w:tcPr>
            <w:tcW w:w="0" w:type="auto"/>
            <w:vAlign w:val="center"/>
            <w:hideMark/>
          </w:tcPr>
          <w:p w14:paraId="1DF95EF6" w14:textId="77777777" w:rsidR="00000000" w:rsidRDefault="00E614A4">
            <w:pPr>
              <w:jc w:val="center"/>
              <w:rPr>
                <w:rFonts w:eastAsia="Times New Roman"/>
              </w:rPr>
            </w:pPr>
          </w:p>
        </w:tc>
        <w:tc>
          <w:tcPr>
            <w:tcW w:w="0" w:type="auto"/>
            <w:vAlign w:val="center"/>
            <w:hideMark/>
          </w:tcPr>
          <w:p w14:paraId="02BCC622" w14:textId="77777777" w:rsidR="00000000" w:rsidRDefault="00E614A4">
            <w:pPr>
              <w:rPr>
                <w:rFonts w:eastAsia="Times New Roman"/>
                <w:sz w:val="20"/>
                <w:szCs w:val="20"/>
              </w:rPr>
            </w:pPr>
          </w:p>
        </w:tc>
        <w:tc>
          <w:tcPr>
            <w:tcW w:w="0" w:type="auto"/>
            <w:vAlign w:val="center"/>
            <w:hideMark/>
          </w:tcPr>
          <w:p w14:paraId="1F09B3C3" w14:textId="77777777" w:rsidR="00000000" w:rsidRDefault="00E614A4">
            <w:pPr>
              <w:rPr>
                <w:rFonts w:eastAsia="Times New Roman"/>
                <w:sz w:val="20"/>
                <w:szCs w:val="20"/>
              </w:rPr>
            </w:pPr>
          </w:p>
        </w:tc>
        <w:tc>
          <w:tcPr>
            <w:tcW w:w="0" w:type="auto"/>
            <w:vAlign w:val="center"/>
            <w:hideMark/>
          </w:tcPr>
          <w:p w14:paraId="5241F62A" w14:textId="77777777" w:rsidR="00000000" w:rsidRDefault="00E614A4">
            <w:pPr>
              <w:rPr>
                <w:rFonts w:eastAsia="Times New Roman"/>
                <w:sz w:val="20"/>
                <w:szCs w:val="20"/>
              </w:rPr>
            </w:pPr>
          </w:p>
        </w:tc>
        <w:tc>
          <w:tcPr>
            <w:tcW w:w="0" w:type="auto"/>
            <w:vAlign w:val="center"/>
            <w:hideMark/>
          </w:tcPr>
          <w:p w14:paraId="478D8E30" w14:textId="77777777" w:rsidR="00000000" w:rsidRDefault="00E614A4">
            <w:pPr>
              <w:rPr>
                <w:rFonts w:eastAsia="Times New Roman"/>
                <w:sz w:val="20"/>
                <w:szCs w:val="20"/>
              </w:rPr>
            </w:pPr>
          </w:p>
        </w:tc>
      </w:tr>
      <w:tr w:rsidR="00000000" w14:paraId="2B20C1BE" w14:textId="77777777">
        <w:trPr>
          <w:jc w:val="center"/>
        </w:trPr>
        <w:tc>
          <w:tcPr>
            <w:tcW w:w="0" w:type="auto"/>
            <w:gridSpan w:val="3"/>
            <w:shd w:val="clear" w:color="auto" w:fill="CCEEFF"/>
            <w:tcMar>
              <w:top w:w="30" w:type="dxa"/>
              <w:left w:w="20" w:type="dxa"/>
              <w:bottom w:w="30" w:type="dxa"/>
              <w:right w:w="20" w:type="dxa"/>
            </w:tcMar>
            <w:vAlign w:val="bottom"/>
            <w:hideMark/>
          </w:tcPr>
          <w:p w14:paraId="0B162853" w14:textId="77777777" w:rsidR="00000000" w:rsidRDefault="00E614A4">
            <w:pPr>
              <w:rPr>
                <w:rFonts w:eastAsia="Times New Roman"/>
              </w:rPr>
            </w:pPr>
            <w:r>
              <w:rPr>
                <w:rFonts w:eastAsia="Times New Roman"/>
                <w:color w:val="000000"/>
                <w:sz w:val="18"/>
                <w:szCs w:val="18"/>
              </w:rPr>
              <w:t>Secured Term Note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C15B118" w14:textId="77777777" w:rsidR="00000000" w:rsidRDefault="00E614A4">
            <w:pPr>
              <w:jc w:val="center"/>
              <w:rPr>
                <w:rFonts w:eastAsia="Times New Roman"/>
              </w:rPr>
            </w:pPr>
            <w:r>
              <w:rPr>
                <w:rFonts w:eastAsia="Times New Roman"/>
                <w:color w:val="000000"/>
                <w:sz w:val="18"/>
                <w:szCs w:val="18"/>
              </w:rPr>
              <w:t>9.75%</w:t>
            </w:r>
          </w:p>
        </w:tc>
        <w:tc>
          <w:tcPr>
            <w:tcW w:w="0" w:type="auto"/>
            <w:gridSpan w:val="3"/>
            <w:shd w:val="clear" w:color="auto" w:fill="CCEEFF"/>
            <w:tcMar>
              <w:top w:w="0" w:type="dxa"/>
              <w:left w:w="20" w:type="dxa"/>
              <w:bottom w:w="0" w:type="dxa"/>
              <w:right w:w="20" w:type="dxa"/>
            </w:tcMar>
            <w:vAlign w:val="center"/>
            <w:hideMark/>
          </w:tcPr>
          <w:p w14:paraId="1737E7B9" w14:textId="77777777" w:rsidR="00000000" w:rsidRDefault="00E614A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C15D60" w14:textId="77777777" w:rsidR="00000000" w:rsidRDefault="00E614A4">
            <w:pPr>
              <w:jc w:val="center"/>
              <w:rPr>
                <w:rFonts w:eastAsia="Times New Roman"/>
              </w:rPr>
            </w:pPr>
            <w:r>
              <w:rPr>
                <w:rFonts w:eastAsia="Times New Roman"/>
                <w:color w:val="000000"/>
                <w:sz w:val="18"/>
                <w:szCs w:val="18"/>
              </w:rPr>
              <w:t>12.2%</w:t>
            </w:r>
          </w:p>
        </w:tc>
        <w:tc>
          <w:tcPr>
            <w:tcW w:w="0" w:type="auto"/>
            <w:gridSpan w:val="3"/>
            <w:shd w:val="clear" w:color="auto" w:fill="CCEEFF"/>
            <w:tcMar>
              <w:top w:w="0" w:type="dxa"/>
              <w:left w:w="20" w:type="dxa"/>
              <w:bottom w:w="0" w:type="dxa"/>
              <w:right w:w="20" w:type="dxa"/>
            </w:tcMar>
            <w:vAlign w:val="center"/>
            <w:hideMark/>
          </w:tcPr>
          <w:p w14:paraId="53281C6B" w14:textId="77777777" w:rsidR="00000000" w:rsidRDefault="00E614A4">
            <w:pPr>
              <w:jc w:val="center"/>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44D707F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0859796F" w14:textId="77777777" w:rsidR="00000000" w:rsidRDefault="00E614A4">
            <w:pPr>
              <w:jc w:val="right"/>
              <w:rPr>
                <w:rFonts w:eastAsia="Times New Roman"/>
              </w:rPr>
            </w:pPr>
            <w:r>
              <w:rPr>
                <w:rFonts w:eastAsia="Times New Roman"/>
                <w:color w:val="000000"/>
                <w:sz w:val="18"/>
                <w:szCs w:val="18"/>
              </w:rPr>
              <w:t>13,000 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6B943D9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C82E8" w14:textId="77777777" w:rsidR="00000000" w:rsidRDefault="00E614A4">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4806D43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490875A9" w14:textId="77777777" w:rsidR="00000000" w:rsidRDefault="00E614A4">
            <w:pPr>
              <w:jc w:val="right"/>
              <w:rPr>
                <w:rFonts w:eastAsia="Times New Roman"/>
              </w:rPr>
            </w:pPr>
            <w:r>
              <w:rPr>
                <w:rFonts w:eastAsia="Times New Roman"/>
                <w:color w:val="000000"/>
                <w:sz w:val="18"/>
                <w:szCs w:val="18"/>
              </w:rPr>
              <w:t>(537)</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64969DE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461AA" w14:textId="77777777" w:rsidR="00000000" w:rsidRDefault="00E614A4">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519379D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21B53693" w14:textId="77777777" w:rsidR="00000000" w:rsidRDefault="00E614A4">
            <w:pPr>
              <w:jc w:val="right"/>
              <w:rPr>
                <w:rFonts w:eastAsia="Times New Roman"/>
              </w:rPr>
            </w:pPr>
            <w:r>
              <w:rPr>
                <w:rFonts w:eastAsia="Times New Roman"/>
                <w:color w:val="000000"/>
                <w:sz w:val="18"/>
                <w:szCs w:val="18"/>
              </w:rPr>
              <w:t>12,463 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3FFB56B5" w14:textId="77777777" w:rsidR="00000000" w:rsidRDefault="00E614A4">
            <w:pPr>
              <w:jc w:val="right"/>
              <w:rPr>
                <w:rFonts w:eastAsia="Times New Roman"/>
              </w:rPr>
            </w:pPr>
          </w:p>
        </w:tc>
        <w:tc>
          <w:tcPr>
            <w:tcW w:w="0" w:type="auto"/>
            <w:vAlign w:val="center"/>
            <w:hideMark/>
          </w:tcPr>
          <w:p w14:paraId="283A252A" w14:textId="77777777" w:rsidR="00000000" w:rsidRDefault="00E614A4">
            <w:pPr>
              <w:jc w:val="right"/>
              <w:rPr>
                <w:rFonts w:eastAsia="Times New Roman"/>
                <w:sz w:val="20"/>
                <w:szCs w:val="20"/>
              </w:rPr>
            </w:pPr>
          </w:p>
        </w:tc>
        <w:tc>
          <w:tcPr>
            <w:tcW w:w="0" w:type="auto"/>
            <w:vAlign w:val="center"/>
            <w:hideMark/>
          </w:tcPr>
          <w:p w14:paraId="59B073B4" w14:textId="77777777" w:rsidR="00000000" w:rsidRDefault="00E614A4">
            <w:pPr>
              <w:rPr>
                <w:rFonts w:eastAsia="Times New Roman"/>
                <w:sz w:val="20"/>
                <w:szCs w:val="20"/>
              </w:rPr>
            </w:pPr>
          </w:p>
        </w:tc>
        <w:tc>
          <w:tcPr>
            <w:tcW w:w="0" w:type="auto"/>
            <w:vAlign w:val="center"/>
            <w:hideMark/>
          </w:tcPr>
          <w:p w14:paraId="6153AA1D" w14:textId="77777777" w:rsidR="00000000" w:rsidRDefault="00E614A4">
            <w:pPr>
              <w:rPr>
                <w:rFonts w:eastAsia="Times New Roman"/>
                <w:sz w:val="20"/>
                <w:szCs w:val="20"/>
              </w:rPr>
            </w:pPr>
          </w:p>
        </w:tc>
        <w:tc>
          <w:tcPr>
            <w:tcW w:w="0" w:type="auto"/>
            <w:vAlign w:val="center"/>
            <w:hideMark/>
          </w:tcPr>
          <w:p w14:paraId="61B1FFB0" w14:textId="77777777" w:rsidR="00000000" w:rsidRDefault="00E614A4">
            <w:pPr>
              <w:rPr>
                <w:rFonts w:eastAsia="Times New Roman"/>
                <w:sz w:val="20"/>
                <w:szCs w:val="20"/>
              </w:rPr>
            </w:pPr>
          </w:p>
        </w:tc>
        <w:tc>
          <w:tcPr>
            <w:tcW w:w="0" w:type="auto"/>
            <w:vAlign w:val="center"/>
            <w:hideMark/>
          </w:tcPr>
          <w:p w14:paraId="04AAE506" w14:textId="77777777" w:rsidR="00000000" w:rsidRDefault="00E614A4">
            <w:pPr>
              <w:rPr>
                <w:rFonts w:eastAsia="Times New Roman"/>
                <w:sz w:val="20"/>
                <w:szCs w:val="20"/>
              </w:rPr>
            </w:pPr>
          </w:p>
        </w:tc>
      </w:tr>
    </w:tbl>
    <w:p w14:paraId="22B55018" w14:textId="77777777" w:rsidR="00000000" w:rsidRDefault="00E614A4">
      <w:pPr>
        <w:jc w:val="both"/>
        <w:divId w:val="671876732"/>
        <w:rPr>
          <w:rFonts w:eastAsia="Times New Roman"/>
        </w:rPr>
      </w:pPr>
      <w:r>
        <w:rPr>
          <w:rFonts w:eastAsia="Times New Roman"/>
          <w:color w:val="000000"/>
          <w:sz w:val="20"/>
          <w:szCs w:val="20"/>
        </w:rPr>
        <w:t>The Company amortized $0.3 million in deferred financing costs related to the Secured Term Note during the yea</w:t>
      </w:r>
      <w:r>
        <w:rPr>
          <w:rFonts w:eastAsia="Times New Roman"/>
          <w:color w:val="000000"/>
          <w:sz w:val="20"/>
          <w:szCs w:val="20"/>
        </w:rPr>
        <w:t xml:space="preserve">r ended December 31, 2020. </w:t>
      </w:r>
    </w:p>
    <w:p w14:paraId="20CE79CB" w14:textId="77777777" w:rsidR="00000000" w:rsidRDefault="00E614A4">
      <w:pPr>
        <w:jc w:val="both"/>
        <w:divId w:val="1249265025"/>
        <w:rPr>
          <w:rFonts w:eastAsia="Times New Roman"/>
        </w:rPr>
      </w:pPr>
      <w:r>
        <w:rPr>
          <w:rFonts w:eastAsia="Times New Roman"/>
          <w:color w:val="000000"/>
          <w:sz w:val="20"/>
          <w:szCs w:val="20"/>
        </w:rPr>
        <w:t>The estimated fair value of the Secured Term Note, using Level 2 inputs based on interest rates available for debt with terms and maturities similar to the Company's outstanding debt, was $13.4 million as of December 31, 2020.</w:t>
      </w:r>
    </w:p>
    <w:p w14:paraId="2C2328C1" w14:textId="77777777" w:rsidR="00000000" w:rsidRDefault="00E614A4">
      <w:pPr>
        <w:jc w:val="both"/>
        <w:divId w:val="2027780810"/>
        <w:rPr>
          <w:rFonts w:eastAsia="Times New Roman"/>
        </w:rPr>
      </w:pPr>
      <w:r>
        <w:rPr>
          <w:rFonts w:eastAsia="Times New Roman"/>
          <w:color w:val="000000"/>
          <w:sz w:val="20"/>
          <w:szCs w:val="20"/>
        </w:rPr>
        <w:t>T</w:t>
      </w:r>
      <w:r>
        <w:rPr>
          <w:rFonts w:eastAsia="Times New Roman"/>
          <w:color w:val="000000"/>
          <w:sz w:val="20"/>
          <w:szCs w:val="20"/>
        </w:rPr>
        <w:t>he Secured Term Note contains a redemption provision whereby, upon the occurrence of certain fundamental transactions, a holder would have the right to require the Company to redeem the Secured Term Note for cash at a price equal to (i) the entire outstand</w:t>
      </w:r>
      <w:r>
        <w:rPr>
          <w:rFonts w:eastAsia="Times New Roman"/>
          <w:color w:val="000000"/>
          <w:sz w:val="20"/>
          <w:szCs w:val="20"/>
        </w:rPr>
        <w:t>ing principal amount, (ii) any accrued and unpaid interest, and (iii) a premium equal to the remaining contractual interest cash flows (the "interest make-whole redemption"). Management evaluated this interest make-whole redemption feature and determined i</w:t>
      </w:r>
      <w:r>
        <w:rPr>
          <w:rFonts w:eastAsia="Times New Roman"/>
          <w:color w:val="000000"/>
          <w:sz w:val="20"/>
          <w:szCs w:val="20"/>
        </w:rPr>
        <w:t>t represented an embedded derivative that must be bifurcated and accounted for separately from the Secured Term Note. The interest make-whole derivative is treated as a liability, initially measured at fair value with subsequent changes in fair value recor</w:t>
      </w:r>
      <w:r>
        <w:rPr>
          <w:rFonts w:eastAsia="Times New Roman"/>
          <w:color w:val="000000"/>
          <w:sz w:val="20"/>
          <w:szCs w:val="20"/>
        </w:rPr>
        <w:t xml:space="preserve">ded in earnings. The estimated fair value of the interest make-whole derivative was determined to be negligible as of December 31, 2019. </w:t>
      </w:r>
    </w:p>
    <w:p w14:paraId="5BDF3CF1" w14:textId="77777777" w:rsidR="00000000" w:rsidRDefault="00E614A4">
      <w:pPr>
        <w:jc w:val="both"/>
        <w:divId w:val="1183468828"/>
        <w:rPr>
          <w:rFonts w:eastAsia="Times New Roman"/>
        </w:rPr>
      </w:pPr>
      <w:r>
        <w:rPr>
          <w:rFonts w:eastAsia="Times New Roman"/>
          <w:color w:val="000000"/>
          <w:sz w:val="20"/>
          <w:szCs w:val="20"/>
        </w:rPr>
        <w:t xml:space="preserve">The estimated fair value of the interest make-whole derivative as of December 31, 2020 was $0.9 million. Refer to </w:t>
      </w:r>
      <w:hyperlink w:anchor="ided6989bcc374020961c421c465250ee_139"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further information.</w:t>
      </w:r>
    </w:p>
    <w:p w14:paraId="1E31D8AC" w14:textId="77777777" w:rsidR="00000000" w:rsidRDefault="00E614A4">
      <w:pPr>
        <w:jc w:val="both"/>
        <w:divId w:val="1132289131"/>
        <w:rPr>
          <w:rFonts w:eastAsia="Times New Roman"/>
        </w:rPr>
      </w:pPr>
      <w:r>
        <w:rPr>
          <w:rFonts w:eastAsia="Times New Roman"/>
          <w:b/>
          <w:bCs/>
          <w:i/>
          <w:iCs/>
          <w:color w:val="000000"/>
          <w:sz w:val="20"/>
          <w:szCs w:val="20"/>
        </w:rPr>
        <w:t>Standby Letters of Credit</w:t>
      </w:r>
    </w:p>
    <w:p w14:paraId="79520045" w14:textId="77777777" w:rsidR="00000000" w:rsidRDefault="00E614A4">
      <w:pPr>
        <w:jc w:val="both"/>
        <w:divId w:val="152532996"/>
        <w:rPr>
          <w:rFonts w:eastAsia="Times New Roman"/>
        </w:rPr>
      </w:pPr>
      <w:r>
        <w:rPr>
          <w:rFonts w:eastAsia="Times New Roman"/>
          <w:color w:val="000000"/>
          <w:sz w:val="20"/>
          <w:szCs w:val="20"/>
        </w:rPr>
        <w:t>In 2018, the Company entered into a Security Agreement with Wells Fargo Bank, N.A. to issue standby letters of credit. As of December 31, 2020, $3.3 million in letters of credit are outstanding and are cash collateralized under the Security Agreement.</w:t>
      </w:r>
    </w:p>
    <w:p w14:paraId="59E14356" w14:textId="77777777" w:rsidR="00000000" w:rsidRDefault="00E614A4">
      <w:pPr>
        <w:jc w:val="center"/>
        <w:divId w:val="1644853307"/>
        <w:rPr>
          <w:rFonts w:eastAsia="Times New Roman"/>
        </w:rPr>
      </w:pPr>
      <w:r>
        <w:rPr>
          <w:rFonts w:eastAsia="Times New Roman"/>
          <w:color w:val="000000"/>
          <w:sz w:val="20"/>
          <w:szCs w:val="20"/>
        </w:rPr>
        <w:t>81</w:t>
      </w:r>
    </w:p>
    <w:p w14:paraId="31E12637" w14:textId="77777777" w:rsidR="00000000" w:rsidRDefault="00E614A4">
      <w:pPr>
        <w:rPr>
          <w:rFonts w:eastAsia="Times New Roman"/>
        </w:rPr>
      </w:pPr>
      <w:r>
        <w:rPr>
          <w:rFonts w:eastAsia="Times New Roman"/>
        </w:rPr>
        <w:pict w14:anchorId="391405F3">
          <v:rect id="_x0000_i1109" style="width:0;height:1.5pt" o:hralign="center" o:hrstd="t" o:hr="t" fillcolor="#a0a0a0" stroked="f"/>
        </w:pict>
      </w:r>
    </w:p>
    <w:p w14:paraId="2583DC01" w14:textId="77777777" w:rsidR="00000000" w:rsidRDefault="00E614A4">
      <w:pPr>
        <w:divId w:val="1186749956"/>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E9BEBE7" w14:textId="77777777" w:rsidR="00000000" w:rsidRDefault="00E614A4">
      <w:pPr>
        <w:divId w:val="1594195306"/>
        <w:rPr>
          <w:rFonts w:eastAsia="Times New Roman"/>
        </w:rPr>
      </w:pPr>
    </w:p>
    <w:p w14:paraId="4EB5D914" w14:textId="77777777" w:rsidR="00000000" w:rsidRDefault="00E614A4">
      <w:pPr>
        <w:jc w:val="both"/>
        <w:divId w:val="1577320721"/>
        <w:rPr>
          <w:rFonts w:eastAsia="Times New Roman"/>
        </w:rPr>
      </w:pPr>
      <w:r>
        <w:rPr>
          <w:rFonts w:eastAsia="Times New Roman"/>
          <w:b/>
          <w:bCs/>
          <w:i/>
          <w:iCs/>
          <w:color w:val="000000"/>
          <w:sz w:val="20"/>
          <w:szCs w:val="20"/>
        </w:rPr>
        <w:t>Failed Sale-Leaseback Transaction</w:t>
      </w:r>
    </w:p>
    <w:p w14:paraId="3155BE24" w14:textId="77777777" w:rsidR="00000000" w:rsidRDefault="00E614A4">
      <w:pPr>
        <w:jc w:val="both"/>
        <w:divId w:val="51856231"/>
        <w:rPr>
          <w:rFonts w:eastAsia="Times New Roman"/>
        </w:rPr>
      </w:pPr>
      <w:r>
        <w:rPr>
          <w:rFonts w:eastAsia="Times New Roman"/>
          <w:color w:val="000000"/>
          <w:sz w:val="20"/>
          <w:szCs w:val="20"/>
        </w:rPr>
        <w:t>In June 2019, the Company entered into a sale-leas</w:t>
      </w:r>
      <w:r>
        <w:rPr>
          <w:rFonts w:eastAsia="Times New Roman"/>
          <w:color w:val="000000"/>
          <w:sz w:val="20"/>
          <w:szCs w:val="20"/>
        </w:rPr>
        <w:t>eback arrangement with a vendor to provide $4.3 million in cash proceeds for previously acquired computer and other equipment. The arrangement is repayable over a 24-month term for total consideration of $4.8 million, with control of the equipment transfer</w:t>
      </w:r>
      <w:r>
        <w:rPr>
          <w:rFonts w:eastAsia="Times New Roman"/>
          <w:color w:val="000000"/>
          <w:sz w:val="20"/>
          <w:szCs w:val="20"/>
        </w:rPr>
        <w:t>ring to the vendor at the end of the leaseback term.</w:t>
      </w:r>
    </w:p>
    <w:p w14:paraId="416C37CE" w14:textId="77777777" w:rsidR="00000000" w:rsidRDefault="00E614A4">
      <w:pPr>
        <w:jc w:val="both"/>
        <w:divId w:val="1382940709"/>
        <w:rPr>
          <w:rFonts w:eastAsia="Times New Roman"/>
        </w:rPr>
      </w:pPr>
      <w:r>
        <w:rPr>
          <w:rFonts w:eastAsia="Times New Roman"/>
          <w:color w:val="000000"/>
          <w:sz w:val="20"/>
          <w:szCs w:val="20"/>
        </w:rPr>
        <w:t>The Company concluded the leaseback would be classified as a financing lease. Therefore, the transaction was deemed a failed sale-leaseback and was accounted for as a financing arrangement. The assets co</w:t>
      </w:r>
      <w:r>
        <w:rPr>
          <w:rFonts w:eastAsia="Times New Roman"/>
          <w:color w:val="000000"/>
          <w:sz w:val="20"/>
          <w:szCs w:val="20"/>
        </w:rPr>
        <w:t>ntinue to be depreciated over their useful lives, and payments are allocated between interest expense and repayment of the financing liability. The remaining financing obligation of $1.7 million is included within current liabilities on the Consolidated Ba</w:t>
      </w:r>
      <w:r>
        <w:rPr>
          <w:rFonts w:eastAsia="Times New Roman"/>
          <w:color w:val="000000"/>
          <w:sz w:val="20"/>
          <w:szCs w:val="20"/>
        </w:rPr>
        <w:t>lance Sheet.</w:t>
      </w:r>
    </w:p>
    <w:p w14:paraId="6FA5B3AC" w14:textId="77777777" w:rsidR="00000000" w:rsidRDefault="00E614A4">
      <w:pPr>
        <w:jc w:val="both"/>
        <w:divId w:val="254479686"/>
        <w:rPr>
          <w:rFonts w:eastAsia="Times New Roman"/>
        </w:rPr>
      </w:pPr>
      <w:r>
        <w:rPr>
          <w:rFonts w:eastAsia="Times New Roman"/>
          <w:color w:val="000000"/>
          <w:sz w:val="20"/>
          <w:szCs w:val="20"/>
        </w:rPr>
        <w:t>Remaining future minimum cash payments related to the financing obligations under the failed sale-leaseback transaction total $1.4 million as of December 31, 2020 and will be paid during the first half of 2021.</w:t>
      </w:r>
    </w:p>
    <w:p w14:paraId="42EAC585" w14:textId="77777777" w:rsidR="00000000" w:rsidRDefault="00E614A4">
      <w:pPr>
        <w:ind w:hanging="360"/>
        <w:divId w:val="1314799985"/>
        <w:rPr>
          <w:rFonts w:eastAsia="Times New Roman"/>
        </w:rPr>
      </w:pPr>
      <w:r>
        <w:rPr>
          <w:rFonts w:eastAsia="Times New Roman"/>
          <w:b/>
          <w:bCs/>
          <w:color w:val="000000"/>
          <w:sz w:val="20"/>
          <w:szCs w:val="20"/>
        </w:rPr>
        <w:t>5.Stockholders' Equity</w:t>
      </w:r>
    </w:p>
    <w:p w14:paraId="43A858DB" w14:textId="77777777" w:rsidR="00000000" w:rsidRDefault="00E614A4">
      <w:pPr>
        <w:jc w:val="both"/>
        <w:divId w:val="425620263"/>
        <w:rPr>
          <w:rFonts w:eastAsia="Times New Roman"/>
        </w:rPr>
      </w:pPr>
      <w:r>
        <w:rPr>
          <w:rFonts w:eastAsia="Times New Roman"/>
          <w:b/>
          <w:bCs/>
          <w:i/>
          <w:iCs/>
          <w:color w:val="000000"/>
          <w:sz w:val="20"/>
          <w:szCs w:val="20"/>
        </w:rPr>
        <w:t>2019 Issu</w:t>
      </w:r>
      <w:r>
        <w:rPr>
          <w:rFonts w:eastAsia="Times New Roman"/>
          <w:b/>
          <w:bCs/>
          <w:i/>
          <w:iCs/>
          <w:color w:val="000000"/>
          <w:sz w:val="20"/>
          <w:szCs w:val="20"/>
        </w:rPr>
        <w:t xml:space="preserve">ance and Sale of Common Stock and Warrants </w:t>
      </w:r>
    </w:p>
    <w:p w14:paraId="2C65A5B9" w14:textId="77777777" w:rsidR="00000000" w:rsidRDefault="00E614A4">
      <w:pPr>
        <w:jc w:val="both"/>
        <w:divId w:val="938030081"/>
        <w:rPr>
          <w:rFonts w:eastAsia="Times New Roman"/>
        </w:rPr>
      </w:pPr>
      <w:r>
        <w:rPr>
          <w:rFonts w:eastAsia="Times New Roman"/>
          <w:color w:val="000000"/>
          <w:sz w:val="20"/>
          <w:szCs w:val="20"/>
        </w:rPr>
        <w:t>On June 23, 2019, the Company entered into a Securities Purchase Agreement (the "Purchase Agreement") with CVI, pursuant to which CVI agreed to purchase (i) 2,728,513 shares of Common Stock (the "Initial Shares")</w:t>
      </w:r>
      <w:r>
        <w:rPr>
          <w:rFonts w:eastAsia="Times New Roman"/>
          <w:color w:val="000000"/>
          <w:sz w:val="20"/>
          <w:szCs w:val="20"/>
        </w:rPr>
        <w:t>, at a price of $7.33 per share and (ii) Series A Warrants, Series B-1 Warrants, Series B-2 Warrants and Series C Warrants, for aggregate gross proceeds of $20.0 million (the "Private Placement"). The Private Placement closed on June 26, 2019 (the "Closing</w:t>
      </w:r>
      <w:r>
        <w:rPr>
          <w:rFonts w:eastAsia="Times New Roman"/>
          <w:color w:val="000000"/>
          <w:sz w:val="20"/>
          <w:szCs w:val="20"/>
        </w:rPr>
        <w:t xml:space="preserve"> Date").</w:t>
      </w:r>
    </w:p>
    <w:p w14:paraId="52936DB7" w14:textId="77777777" w:rsidR="00000000" w:rsidRDefault="00E614A4">
      <w:pPr>
        <w:jc w:val="both"/>
        <w:divId w:val="542716828"/>
        <w:rPr>
          <w:rFonts w:eastAsia="Times New Roman"/>
        </w:rPr>
      </w:pPr>
      <w:r>
        <w:rPr>
          <w:rFonts w:eastAsia="Times New Roman"/>
          <w:color w:val="000000"/>
          <w:sz w:val="20"/>
          <w:szCs w:val="20"/>
        </w:rPr>
        <w:t>The Series B-1 Warrants were exercisable by the holders at any time prior to the six-month anniversary of the Closing Date, as adjusted pursuant to the terms of the Series B-1 Warrants. The Series B-1 Warrants provided the holders the right to pur</w:t>
      </w:r>
      <w:r>
        <w:rPr>
          <w:rFonts w:eastAsia="Times New Roman"/>
          <w:color w:val="000000"/>
          <w:sz w:val="20"/>
          <w:szCs w:val="20"/>
        </w:rPr>
        <w:t>chase an aggregate of up to 2,347,418 shares of Common Stock at an exercise price equal to $8.52 and could have been exercised for cash only. The Series B-1 Warrants expired on January 29, 2020.</w:t>
      </w:r>
    </w:p>
    <w:p w14:paraId="7CE4F891" w14:textId="77777777" w:rsidR="00000000" w:rsidRDefault="00E614A4">
      <w:pPr>
        <w:jc w:val="both"/>
        <w:divId w:val="247661270"/>
        <w:rPr>
          <w:rFonts w:eastAsia="Times New Roman"/>
        </w:rPr>
      </w:pPr>
      <w:r>
        <w:rPr>
          <w:rFonts w:eastAsia="Times New Roman"/>
          <w:color w:val="000000"/>
          <w:sz w:val="20"/>
          <w:szCs w:val="20"/>
        </w:rPr>
        <w:t>The Series B-2 Warrants were exercisable by the holders at any time prior to the 12-month anniversary of the Closing Date, as adjusted pursuant to the terms of the Series B-2 Warrants. The Series B-2 Warrants provided the holders the right to purchase an a</w:t>
      </w:r>
      <w:r>
        <w:rPr>
          <w:rFonts w:eastAsia="Times New Roman"/>
          <w:color w:val="000000"/>
          <w:sz w:val="20"/>
          <w:szCs w:val="20"/>
        </w:rPr>
        <w:t>ggregate of up to 1,121,076 shares of Common Stock at an exercise price equal to $8.92 and could have been exercised for cash only. The Series B-2 Warrants expired on August 3, 2020.</w:t>
      </w:r>
    </w:p>
    <w:p w14:paraId="7720D2E0" w14:textId="77777777" w:rsidR="00000000" w:rsidRDefault="00E614A4">
      <w:pPr>
        <w:jc w:val="both"/>
        <w:divId w:val="1304966220"/>
        <w:rPr>
          <w:rFonts w:eastAsia="Times New Roman"/>
        </w:rPr>
      </w:pPr>
      <w:r>
        <w:rPr>
          <w:rFonts w:eastAsia="Times New Roman"/>
          <w:color w:val="000000"/>
          <w:sz w:val="20"/>
          <w:szCs w:val="20"/>
        </w:rPr>
        <w:t>The Series C Warrants were partially prepaid warrants (with a nominal rem</w:t>
      </w:r>
      <w:r>
        <w:rPr>
          <w:rFonts w:eastAsia="Times New Roman"/>
          <w:color w:val="000000"/>
          <w:sz w:val="20"/>
          <w:szCs w:val="20"/>
        </w:rPr>
        <w:t>aining exercise price) that were not exercisable before September 21, 2019 and expire 90 days after the first anniversary of the Closing Date. CVI exercised the Series C Warrants on October 10, 2019. Because the VWAP of the Common Stock as of the date of e</w:t>
      </w:r>
      <w:r>
        <w:rPr>
          <w:rFonts w:eastAsia="Times New Roman"/>
          <w:color w:val="000000"/>
          <w:sz w:val="20"/>
          <w:szCs w:val="20"/>
        </w:rPr>
        <w:t>xercise, discounted by 7.5%, was less than CVI's purchase price for the Initial Shares, the Company was required to issue to CVI a number of shares of Common Stock equal to (i) (x) CVI's purchase price for the Initial Shares divided by (y) 92.5% of the VWA</w:t>
      </w:r>
      <w:r>
        <w:rPr>
          <w:rFonts w:eastAsia="Times New Roman"/>
          <w:color w:val="000000"/>
          <w:sz w:val="20"/>
          <w:szCs w:val="20"/>
        </w:rPr>
        <w:t xml:space="preserve">P of the Common Stock leading up to September 21, 2019, subject to a floor of 50.0% of the price per Initial Share, less (ii) the number of Initial Shares issued to CVI on the Closing Date. As a result of this exercise, the Company issued 2,728,513 shares </w:t>
      </w:r>
      <w:r>
        <w:rPr>
          <w:rFonts w:eastAsia="Times New Roman"/>
          <w:color w:val="000000"/>
          <w:sz w:val="20"/>
          <w:szCs w:val="20"/>
        </w:rPr>
        <w:t>of Common Stock to CVI on October 14, 2019. In addition, the number of shares issuable under the Company's Series A Warrants was increased by 2,728,513.</w:t>
      </w:r>
    </w:p>
    <w:p w14:paraId="4146D37C" w14:textId="77777777" w:rsidR="00000000" w:rsidRDefault="00E614A4">
      <w:pPr>
        <w:jc w:val="both"/>
        <w:divId w:val="1336492508"/>
        <w:rPr>
          <w:rFonts w:eastAsia="Times New Roman"/>
        </w:rPr>
      </w:pPr>
      <w:r>
        <w:rPr>
          <w:rFonts w:eastAsia="Times New Roman"/>
          <w:color w:val="000000"/>
          <w:sz w:val="20"/>
          <w:szCs w:val="20"/>
        </w:rPr>
        <w:t>The Series A Warrants are exercisable for a period of five years from the Closing Date and are currentl</w:t>
      </w:r>
      <w:r>
        <w:rPr>
          <w:rFonts w:eastAsia="Times New Roman"/>
          <w:color w:val="000000"/>
          <w:sz w:val="20"/>
          <w:szCs w:val="20"/>
        </w:rPr>
        <w:t>y exercisable into 5,457,026 shares of Common Stock, which is equal to the Initial Shares plus the number of shares issued pursuant to the exercise of the Series C Warrants (described above). The exercise price for the Series A Warrants is $12.00. The Seri</w:t>
      </w:r>
      <w:r>
        <w:rPr>
          <w:rFonts w:eastAsia="Times New Roman"/>
          <w:color w:val="000000"/>
          <w:sz w:val="20"/>
          <w:szCs w:val="20"/>
        </w:rPr>
        <w:t>es A Warrants may be exercised for cash or through a net settlement feature under certain circumstances.</w:t>
      </w:r>
    </w:p>
    <w:p w14:paraId="552C1C7B" w14:textId="77777777" w:rsidR="00000000" w:rsidRDefault="00E614A4">
      <w:pPr>
        <w:jc w:val="both"/>
        <w:divId w:val="737747419"/>
        <w:rPr>
          <w:rFonts w:eastAsia="Times New Roman"/>
        </w:rPr>
      </w:pPr>
      <w:r>
        <w:rPr>
          <w:rFonts w:eastAsia="Times New Roman"/>
          <w:color w:val="000000"/>
          <w:sz w:val="20"/>
          <w:szCs w:val="20"/>
        </w:rPr>
        <w:t xml:space="preserve">The exercise price for the Series A Warrants is subject to anti-dilution adjustment in certain circumstances. Refer to </w:t>
      </w:r>
      <w:hyperlink w:anchor="ided6989bcc374020961c421c465250ee_277" w:history="1">
        <w:r>
          <w:rPr>
            <w:rStyle w:val="a3"/>
            <w:rFonts w:eastAsia="Times New Roman"/>
            <w:sz w:val="20"/>
            <w:szCs w:val="20"/>
          </w:rPr>
          <w:t>Footnote 16</w:t>
        </w:r>
      </w:hyperlink>
      <w:r>
        <w:rPr>
          <w:rFonts w:eastAsia="Times New Roman"/>
          <w:color w:val="000000"/>
          <w:sz w:val="20"/>
          <w:szCs w:val="20"/>
        </w:rPr>
        <w:t xml:space="preserve">, </w:t>
      </w:r>
      <w:r>
        <w:rPr>
          <w:rFonts w:eastAsia="Times New Roman"/>
          <w:i/>
          <w:iCs/>
          <w:color w:val="000000"/>
          <w:sz w:val="20"/>
          <w:szCs w:val="20"/>
        </w:rPr>
        <w:t>Subsequent Events</w:t>
      </w:r>
      <w:r>
        <w:rPr>
          <w:rFonts w:eastAsia="Times New Roman"/>
          <w:color w:val="000000"/>
          <w:sz w:val="20"/>
          <w:szCs w:val="20"/>
        </w:rPr>
        <w:t>, for further information. In addition, if and to the extent the exercise of any warrants would, together with the issuances of the Initial Shares and the shares issued pursuant to the exercise of a</w:t>
      </w:r>
      <w:r>
        <w:rPr>
          <w:rFonts w:eastAsia="Times New Roman"/>
          <w:color w:val="000000"/>
          <w:sz w:val="20"/>
          <w:szCs w:val="20"/>
        </w:rPr>
        <w:t>ny other warrants, result in the issuance of 20.0% or more of the outstanding Common Stock of the Company on the Closing Date (the "Exchange Cap"), the Company intends to, in lieu of issuing such shares, settle the obligation to issue such shares in cash.</w:t>
      </w:r>
    </w:p>
    <w:p w14:paraId="184D6BC2" w14:textId="77777777" w:rsidR="00000000" w:rsidRDefault="00E614A4">
      <w:pPr>
        <w:jc w:val="both"/>
        <w:divId w:val="1920796175"/>
        <w:rPr>
          <w:rFonts w:eastAsia="Times New Roman"/>
        </w:rPr>
      </w:pPr>
      <w:r>
        <w:rPr>
          <w:rFonts w:eastAsia="Times New Roman"/>
          <w:color w:val="000000"/>
          <w:sz w:val="20"/>
          <w:szCs w:val="20"/>
        </w:rPr>
        <w:t>In addition, CVI will not have the right to exercise any warrants that would result in CVI beneficially owning more than 4.99% of the outstanding Common Stock after giving effect to such exercise. CVI has the right, in its discretion, to raise this thresho</w:t>
      </w:r>
      <w:r>
        <w:rPr>
          <w:rFonts w:eastAsia="Times New Roman"/>
          <w:color w:val="000000"/>
          <w:sz w:val="20"/>
          <w:szCs w:val="20"/>
        </w:rPr>
        <w:t>ld up to 9.99% with 60 days' notice to the Company.</w:t>
      </w:r>
    </w:p>
    <w:p w14:paraId="6D2BB97B" w14:textId="77777777" w:rsidR="00000000" w:rsidRDefault="00E614A4">
      <w:pPr>
        <w:jc w:val="both"/>
        <w:divId w:val="1835876166"/>
        <w:rPr>
          <w:rFonts w:eastAsia="Times New Roman"/>
        </w:rPr>
      </w:pPr>
      <w:r>
        <w:rPr>
          <w:rFonts w:eastAsia="Times New Roman"/>
          <w:color w:val="000000"/>
          <w:sz w:val="20"/>
          <w:szCs w:val="20"/>
        </w:rPr>
        <w:t>Pursuant to the transactions described above, the Company agreed to provide CVI with registration rights relating to the Initial Shares and any shares issuable upon the exercise of the warrants. On June 2</w:t>
      </w:r>
      <w:r>
        <w:rPr>
          <w:rFonts w:eastAsia="Times New Roman"/>
          <w:color w:val="000000"/>
          <w:sz w:val="20"/>
          <w:szCs w:val="20"/>
        </w:rPr>
        <w:t>6, 2019, the Company filed a prospectus supplement to its effective registration statement on Form S-3 to permit the resale of such shares.</w:t>
      </w:r>
    </w:p>
    <w:p w14:paraId="417792E1" w14:textId="77777777" w:rsidR="00000000" w:rsidRDefault="00E614A4">
      <w:pPr>
        <w:jc w:val="both"/>
        <w:divId w:val="1797329612"/>
        <w:rPr>
          <w:rFonts w:eastAsia="Times New Roman"/>
        </w:rPr>
      </w:pPr>
      <w:r>
        <w:rPr>
          <w:rFonts w:eastAsia="Times New Roman"/>
          <w:color w:val="000000"/>
          <w:sz w:val="20"/>
          <w:szCs w:val="20"/>
        </w:rPr>
        <w:t xml:space="preserve">Management determined each warrant to be a freestanding financial instrument that qualifies for liability treatment </w:t>
      </w:r>
      <w:r>
        <w:rPr>
          <w:rFonts w:eastAsia="Times New Roman"/>
          <w:color w:val="000000"/>
          <w:sz w:val="20"/>
          <w:szCs w:val="20"/>
        </w:rPr>
        <w:t>as a result of the net cash settlement feature associated with the Exchange Cap provision. Each warrant is initially measured at fair value and classified as a current liability on the Consolidated Balance Sheets, with subsequent changes in fair value reco</w:t>
      </w:r>
      <w:r>
        <w:rPr>
          <w:rFonts w:eastAsia="Times New Roman"/>
          <w:color w:val="000000"/>
          <w:sz w:val="20"/>
          <w:szCs w:val="20"/>
        </w:rPr>
        <w:t>rded in earnings. To determine the fair value of each warrant, management utilized a Monte Carlo simulation analysis within an option pricing model using the following key assumptions as of the Closing Date:</w:t>
      </w:r>
    </w:p>
    <w:p w14:paraId="234A8A7F" w14:textId="77777777" w:rsidR="00000000" w:rsidRDefault="00E614A4">
      <w:pPr>
        <w:jc w:val="center"/>
        <w:divId w:val="851726043"/>
        <w:rPr>
          <w:rFonts w:eastAsia="Times New Roman"/>
        </w:rPr>
      </w:pPr>
      <w:r>
        <w:rPr>
          <w:rFonts w:eastAsia="Times New Roman"/>
          <w:color w:val="000000"/>
          <w:sz w:val="20"/>
          <w:szCs w:val="20"/>
        </w:rPr>
        <w:t>82</w:t>
      </w:r>
    </w:p>
    <w:p w14:paraId="7DAFEBEC" w14:textId="77777777" w:rsidR="00000000" w:rsidRDefault="00E614A4">
      <w:pPr>
        <w:rPr>
          <w:rFonts w:eastAsia="Times New Roman"/>
        </w:rPr>
      </w:pPr>
      <w:r>
        <w:rPr>
          <w:rFonts w:eastAsia="Times New Roman"/>
        </w:rPr>
        <w:pict w14:anchorId="5034FD5D">
          <v:rect id="_x0000_i1110" style="width:0;height:1.5pt" o:hralign="center" o:hrstd="t" o:hr="t" fillcolor="#a0a0a0" stroked="f"/>
        </w:pict>
      </w:r>
    </w:p>
    <w:p w14:paraId="60FAA901" w14:textId="77777777" w:rsidR="00000000" w:rsidRDefault="00E614A4">
      <w:pPr>
        <w:divId w:val="157681660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B327757" w14:textId="77777777" w:rsidR="00000000" w:rsidRDefault="00E614A4">
      <w:pPr>
        <w:divId w:val="1415281729"/>
        <w:rPr>
          <w:rFonts w:eastAsia="Times New Roman"/>
        </w:rPr>
      </w:pPr>
    </w:p>
    <w:p w14:paraId="2A18EE44" w14:textId="77777777" w:rsidR="00000000" w:rsidRDefault="00E614A4">
      <w:pPr>
        <w:ind w:hanging="360"/>
        <w:jc w:val="both"/>
        <w:divId w:val="1318606734"/>
        <w:rPr>
          <w:rFonts w:eastAsia="Times New Roman"/>
        </w:rPr>
      </w:pPr>
      <w:r>
        <w:rPr>
          <w:rFonts w:eastAsia="Times New Roman"/>
          <w:color w:val="000000"/>
          <w:sz w:val="20"/>
          <w:szCs w:val="20"/>
        </w:rPr>
        <w:t>•</w:t>
      </w:r>
      <w:r>
        <w:rPr>
          <w:rFonts w:eastAsia="Times New Roman"/>
          <w:i/>
          <w:iCs/>
          <w:color w:val="000000"/>
          <w:sz w:val="20"/>
          <w:szCs w:val="20"/>
        </w:rPr>
        <w:t>Stock price</w:t>
      </w:r>
      <w:r>
        <w:rPr>
          <w:rFonts w:eastAsia="Times New Roman"/>
          <w:color w:val="000000"/>
          <w:sz w:val="20"/>
          <w:szCs w:val="20"/>
        </w:rPr>
        <w:t>: Measured using the fair value of the Common Stock on the Closing Date, which was $5.57 per share.</w:t>
      </w:r>
    </w:p>
    <w:p w14:paraId="1979803F" w14:textId="77777777" w:rsidR="00000000" w:rsidRDefault="00E614A4">
      <w:pPr>
        <w:ind w:hanging="360"/>
        <w:jc w:val="both"/>
        <w:divId w:val="1914196716"/>
        <w:rPr>
          <w:rFonts w:eastAsia="Times New Roman"/>
        </w:rPr>
      </w:pPr>
      <w:r>
        <w:rPr>
          <w:rFonts w:eastAsia="Times New Roman"/>
          <w:color w:val="000000"/>
          <w:sz w:val="20"/>
          <w:szCs w:val="20"/>
        </w:rPr>
        <w:t>•</w:t>
      </w:r>
      <w:r>
        <w:rPr>
          <w:rFonts w:eastAsia="Times New Roman"/>
          <w:i/>
          <w:iCs/>
          <w:color w:val="000000"/>
          <w:sz w:val="20"/>
          <w:szCs w:val="20"/>
        </w:rPr>
        <w:t>Volatility</w:t>
      </w:r>
      <w:r>
        <w:rPr>
          <w:rFonts w:eastAsia="Times New Roman"/>
          <w:color w:val="000000"/>
          <w:sz w:val="20"/>
          <w:szCs w:val="20"/>
        </w:rPr>
        <w:t>: The Company determined volatility to be 50.0% based on (i) the historical volatility of the Common Stock daily volume weighted average price with a look-back period commensurate with the term of the warrants and (ii) options-based implied volat</w:t>
      </w:r>
      <w:r>
        <w:rPr>
          <w:rFonts w:eastAsia="Times New Roman"/>
          <w:color w:val="000000"/>
          <w:sz w:val="20"/>
          <w:szCs w:val="20"/>
        </w:rPr>
        <w:t xml:space="preserve">ility. </w:t>
      </w:r>
    </w:p>
    <w:p w14:paraId="6539A6AF" w14:textId="77777777" w:rsidR="00000000" w:rsidRDefault="00E614A4">
      <w:pPr>
        <w:ind w:hanging="360"/>
        <w:jc w:val="both"/>
        <w:divId w:val="1064253732"/>
        <w:rPr>
          <w:rFonts w:eastAsia="Times New Roman"/>
        </w:rPr>
      </w:pPr>
      <w:r>
        <w:rPr>
          <w:rFonts w:eastAsia="Times New Roman"/>
          <w:color w:val="000000"/>
          <w:sz w:val="20"/>
          <w:szCs w:val="20"/>
        </w:rPr>
        <w:t>•</w:t>
      </w:r>
      <w:r>
        <w:rPr>
          <w:rFonts w:eastAsia="Times New Roman"/>
          <w:i/>
          <w:iCs/>
          <w:color w:val="000000"/>
          <w:sz w:val="20"/>
          <w:szCs w:val="20"/>
        </w:rPr>
        <w:t>Term</w:t>
      </w:r>
      <w:r>
        <w:rPr>
          <w:rFonts w:eastAsia="Times New Roman"/>
          <w:color w:val="000000"/>
          <w:sz w:val="20"/>
          <w:szCs w:val="20"/>
        </w:rPr>
        <w:t>: Management determined the term based on the time period of each warrant's maturity, between six months and five years from the Closing Date.</w:t>
      </w:r>
    </w:p>
    <w:p w14:paraId="6FBC7172" w14:textId="77777777" w:rsidR="00000000" w:rsidRDefault="00E614A4">
      <w:pPr>
        <w:ind w:hanging="360"/>
        <w:jc w:val="both"/>
        <w:divId w:val="1150438451"/>
        <w:rPr>
          <w:rFonts w:eastAsia="Times New Roman"/>
        </w:rPr>
      </w:pPr>
      <w:r>
        <w:rPr>
          <w:rFonts w:eastAsia="Times New Roman"/>
          <w:color w:val="000000"/>
          <w:sz w:val="20"/>
          <w:szCs w:val="20"/>
        </w:rPr>
        <w:t>•</w:t>
      </w:r>
      <w:r>
        <w:rPr>
          <w:rFonts w:eastAsia="Times New Roman"/>
          <w:i/>
          <w:iCs/>
          <w:color w:val="000000"/>
          <w:sz w:val="20"/>
          <w:szCs w:val="20"/>
        </w:rPr>
        <w:t>Change of control probability</w:t>
      </w:r>
      <w:r>
        <w:rPr>
          <w:rFonts w:eastAsia="Times New Roman"/>
          <w:color w:val="000000"/>
          <w:sz w:val="20"/>
          <w:szCs w:val="20"/>
        </w:rPr>
        <w:t xml:space="preserve">: The Company utilized a range between 0.0% and 10.0% to estimate the </w:t>
      </w:r>
      <w:r>
        <w:rPr>
          <w:rFonts w:eastAsia="Times New Roman"/>
          <w:color w:val="000000"/>
          <w:sz w:val="20"/>
          <w:szCs w:val="20"/>
        </w:rPr>
        <w:t xml:space="preserve">likelihood of occurrence. </w:t>
      </w:r>
    </w:p>
    <w:p w14:paraId="2B591581" w14:textId="77777777" w:rsidR="00000000" w:rsidRDefault="00E614A4">
      <w:pPr>
        <w:ind w:hanging="360"/>
        <w:jc w:val="both"/>
        <w:divId w:val="1689986913"/>
        <w:rPr>
          <w:rFonts w:eastAsia="Times New Roman"/>
        </w:rPr>
      </w:pPr>
      <w:r>
        <w:rPr>
          <w:rFonts w:eastAsia="Times New Roman"/>
          <w:color w:val="000000"/>
          <w:sz w:val="20"/>
          <w:szCs w:val="20"/>
        </w:rPr>
        <w:t>•</w:t>
      </w:r>
      <w:r>
        <w:rPr>
          <w:rFonts w:eastAsia="Times New Roman"/>
          <w:i/>
          <w:iCs/>
          <w:color w:val="000000"/>
          <w:sz w:val="20"/>
          <w:szCs w:val="20"/>
        </w:rPr>
        <w:t>Risk-free rate</w:t>
      </w:r>
      <w:r>
        <w:rPr>
          <w:rFonts w:eastAsia="Times New Roman"/>
          <w:color w:val="000000"/>
          <w:sz w:val="20"/>
          <w:szCs w:val="20"/>
        </w:rPr>
        <w:t>: Management assumed the risk-free rate to be between 1.7% and 2.1</w:t>
      </w:r>
      <w:r>
        <w:rPr>
          <w:rFonts w:eastAsia="Times New Roman"/>
          <w:color w:val="000000"/>
          <w:sz w:val="20"/>
          <w:szCs w:val="20"/>
        </w:rPr>
        <w:t>%, based on the U.S. Treasury bonds on the valuation date with terms commensurate with the terms of each warrant.</w:t>
      </w:r>
    </w:p>
    <w:p w14:paraId="139ACFB5" w14:textId="77777777" w:rsidR="00000000" w:rsidRDefault="00E614A4">
      <w:pPr>
        <w:ind w:hanging="360"/>
        <w:jc w:val="both"/>
        <w:divId w:val="1226333503"/>
        <w:rPr>
          <w:rFonts w:eastAsia="Times New Roman"/>
        </w:rPr>
      </w:pPr>
      <w:r>
        <w:rPr>
          <w:rFonts w:eastAsia="Times New Roman"/>
          <w:color w:val="000000"/>
          <w:sz w:val="20"/>
          <w:szCs w:val="20"/>
        </w:rPr>
        <w:t>•</w:t>
      </w:r>
      <w:r>
        <w:rPr>
          <w:rFonts w:eastAsia="Times New Roman"/>
          <w:i/>
          <w:iCs/>
          <w:color w:val="000000"/>
          <w:sz w:val="20"/>
          <w:szCs w:val="20"/>
        </w:rPr>
        <w:t>Cost of debt</w:t>
      </w:r>
      <w:r>
        <w:rPr>
          <w:rFonts w:eastAsia="Times New Roman"/>
          <w:color w:val="000000"/>
          <w:sz w:val="20"/>
          <w:szCs w:val="20"/>
        </w:rPr>
        <w:t>: Management assumed the cost of debt to be between 16.7% and 18.7% based on a synthetic credit rating analysis.</w:t>
      </w:r>
    </w:p>
    <w:p w14:paraId="351EFE10" w14:textId="77777777" w:rsidR="00000000" w:rsidRDefault="00E614A4">
      <w:pPr>
        <w:ind w:hanging="360"/>
        <w:jc w:val="both"/>
        <w:divId w:val="1843467001"/>
        <w:rPr>
          <w:rFonts w:eastAsia="Times New Roman"/>
        </w:rPr>
      </w:pPr>
      <w:r>
        <w:rPr>
          <w:rFonts w:eastAsia="Times New Roman"/>
          <w:color w:val="000000"/>
          <w:sz w:val="20"/>
          <w:szCs w:val="20"/>
        </w:rPr>
        <w:t>•</w:t>
      </w:r>
      <w:r>
        <w:rPr>
          <w:rFonts w:eastAsia="Times New Roman"/>
          <w:i/>
          <w:iCs/>
          <w:color w:val="000000"/>
          <w:sz w:val="20"/>
          <w:szCs w:val="20"/>
        </w:rPr>
        <w:t>Dividend yield</w:t>
      </w:r>
      <w:r>
        <w:rPr>
          <w:rFonts w:eastAsia="Times New Roman"/>
          <w:color w:val="000000"/>
          <w:sz w:val="20"/>
          <w:szCs w:val="20"/>
        </w:rPr>
        <w:t>:</w:t>
      </w:r>
      <w:r>
        <w:rPr>
          <w:rFonts w:eastAsia="Times New Roman"/>
          <w:color w:val="000000"/>
          <w:sz w:val="20"/>
          <w:szCs w:val="20"/>
        </w:rPr>
        <w:t xml:space="preserve"> Management assumed the dividend yield to be zero based on the historical payout of the Company.</w:t>
      </w:r>
    </w:p>
    <w:p w14:paraId="01058535" w14:textId="77777777" w:rsidR="00000000" w:rsidRDefault="00E614A4">
      <w:pPr>
        <w:jc w:val="both"/>
        <w:divId w:val="1565943948"/>
        <w:rPr>
          <w:rFonts w:eastAsia="Times New Roman"/>
        </w:rPr>
      </w:pPr>
      <w:r>
        <w:rPr>
          <w:rFonts w:eastAsia="Times New Roman"/>
          <w:color w:val="000000"/>
          <w:sz w:val="20"/>
          <w:szCs w:val="20"/>
        </w:rPr>
        <w:t xml:space="preserve">Certain estimates above represent Level 3 inputs within the fair value hierarchy. Based on the option pricing valuation model, the Company determined the fair </w:t>
      </w:r>
      <w:r>
        <w:rPr>
          <w:rFonts w:eastAsia="Times New Roman"/>
          <w:color w:val="000000"/>
          <w:sz w:val="20"/>
          <w:szCs w:val="20"/>
        </w:rPr>
        <w:t>value of the warrants as of the Closing Date to be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7069"/>
        <w:gridCol w:w="36"/>
        <w:gridCol w:w="111"/>
        <w:gridCol w:w="999"/>
        <w:gridCol w:w="36"/>
      </w:tblGrid>
      <w:tr w:rsidR="00000000" w14:paraId="69E55705" w14:textId="77777777">
        <w:trPr>
          <w:divId w:val="546796589"/>
          <w:jc w:val="center"/>
        </w:trPr>
        <w:tc>
          <w:tcPr>
            <w:tcW w:w="50" w:type="pct"/>
            <w:vAlign w:val="center"/>
            <w:hideMark/>
          </w:tcPr>
          <w:p w14:paraId="4BD3EA1E" w14:textId="77777777" w:rsidR="00000000" w:rsidRDefault="00E614A4">
            <w:pPr>
              <w:jc w:val="both"/>
              <w:rPr>
                <w:rFonts w:eastAsia="Times New Roman"/>
              </w:rPr>
            </w:pPr>
          </w:p>
        </w:tc>
        <w:tc>
          <w:tcPr>
            <w:tcW w:w="4271" w:type="pct"/>
            <w:vAlign w:val="center"/>
            <w:hideMark/>
          </w:tcPr>
          <w:p w14:paraId="1BC94CA8" w14:textId="77777777" w:rsidR="00000000" w:rsidRDefault="00E614A4">
            <w:pPr>
              <w:rPr>
                <w:rFonts w:eastAsia="Times New Roman"/>
                <w:sz w:val="20"/>
                <w:szCs w:val="20"/>
              </w:rPr>
            </w:pPr>
          </w:p>
        </w:tc>
        <w:tc>
          <w:tcPr>
            <w:tcW w:w="5" w:type="pct"/>
            <w:vAlign w:val="center"/>
            <w:hideMark/>
          </w:tcPr>
          <w:p w14:paraId="148E7A1D" w14:textId="77777777" w:rsidR="00000000" w:rsidRDefault="00E614A4">
            <w:pPr>
              <w:rPr>
                <w:rFonts w:eastAsia="Times New Roman"/>
                <w:sz w:val="20"/>
                <w:szCs w:val="20"/>
              </w:rPr>
            </w:pPr>
          </w:p>
        </w:tc>
        <w:tc>
          <w:tcPr>
            <w:tcW w:w="50" w:type="pct"/>
            <w:vAlign w:val="center"/>
            <w:hideMark/>
          </w:tcPr>
          <w:p w14:paraId="38EF5D0A" w14:textId="77777777" w:rsidR="00000000" w:rsidRDefault="00E614A4">
            <w:pPr>
              <w:rPr>
                <w:rFonts w:eastAsia="Times New Roman"/>
                <w:sz w:val="20"/>
                <w:szCs w:val="20"/>
              </w:rPr>
            </w:pPr>
          </w:p>
        </w:tc>
        <w:tc>
          <w:tcPr>
            <w:tcW w:w="618" w:type="pct"/>
            <w:vAlign w:val="center"/>
            <w:hideMark/>
          </w:tcPr>
          <w:p w14:paraId="51D10C71" w14:textId="77777777" w:rsidR="00000000" w:rsidRDefault="00E614A4">
            <w:pPr>
              <w:rPr>
                <w:rFonts w:eastAsia="Times New Roman"/>
                <w:sz w:val="20"/>
                <w:szCs w:val="20"/>
              </w:rPr>
            </w:pPr>
          </w:p>
        </w:tc>
        <w:tc>
          <w:tcPr>
            <w:tcW w:w="5" w:type="pct"/>
            <w:vAlign w:val="center"/>
            <w:hideMark/>
          </w:tcPr>
          <w:p w14:paraId="5BD733A6" w14:textId="77777777" w:rsidR="00000000" w:rsidRDefault="00E614A4">
            <w:pPr>
              <w:rPr>
                <w:rFonts w:eastAsia="Times New Roman"/>
                <w:sz w:val="20"/>
                <w:szCs w:val="20"/>
              </w:rPr>
            </w:pPr>
          </w:p>
        </w:tc>
      </w:tr>
      <w:tr w:rsidR="00000000" w14:paraId="3316E488" w14:textId="77777777">
        <w:trPr>
          <w:divId w:val="546796589"/>
          <w:jc w:val="center"/>
        </w:trPr>
        <w:tc>
          <w:tcPr>
            <w:tcW w:w="0" w:type="auto"/>
            <w:gridSpan w:val="3"/>
            <w:tcMar>
              <w:top w:w="30" w:type="dxa"/>
              <w:left w:w="20" w:type="dxa"/>
              <w:bottom w:w="30" w:type="dxa"/>
              <w:right w:w="20" w:type="dxa"/>
            </w:tcMar>
            <w:vAlign w:val="bottom"/>
            <w:hideMark/>
          </w:tcPr>
          <w:p w14:paraId="1E48545A"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57D8CBFF" w14:textId="77777777" w:rsidR="00000000" w:rsidRDefault="00E614A4">
            <w:pPr>
              <w:jc w:val="center"/>
              <w:rPr>
                <w:rFonts w:eastAsia="Times New Roman"/>
              </w:rPr>
            </w:pPr>
            <w:r>
              <w:rPr>
                <w:rFonts w:eastAsia="Times New Roman"/>
                <w:b/>
                <w:bCs/>
                <w:color w:val="000000"/>
                <w:sz w:val="16"/>
                <w:szCs w:val="16"/>
              </w:rPr>
              <w:t>Warrants Liability</w:t>
            </w:r>
          </w:p>
        </w:tc>
      </w:tr>
      <w:tr w:rsidR="00000000" w14:paraId="610328A8" w14:textId="77777777">
        <w:trPr>
          <w:divId w:val="546796589"/>
          <w:jc w:val="center"/>
        </w:trPr>
        <w:tc>
          <w:tcPr>
            <w:tcW w:w="0" w:type="auto"/>
            <w:gridSpan w:val="3"/>
            <w:shd w:val="clear" w:color="auto" w:fill="CCEEFF"/>
            <w:tcMar>
              <w:top w:w="30" w:type="dxa"/>
              <w:left w:w="20" w:type="dxa"/>
              <w:bottom w:w="30" w:type="dxa"/>
              <w:right w:w="20" w:type="dxa"/>
            </w:tcMar>
            <w:vAlign w:val="bottom"/>
            <w:hideMark/>
          </w:tcPr>
          <w:p w14:paraId="104A08A8" w14:textId="77777777" w:rsidR="00000000" w:rsidRDefault="00E614A4">
            <w:pPr>
              <w:rPr>
                <w:rFonts w:eastAsia="Times New Roman"/>
              </w:rPr>
            </w:pPr>
            <w:r>
              <w:rPr>
                <w:rFonts w:eastAsia="Times New Roman"/>
                <w:color w:val="000000"/>
                <w:sz w:val="18"/>
                <w:szCs w:val="18"/>
              </w:rPr>
              <w:t>Series A Warrants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3AC0F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08A1F7" w14:textId="77777777" w:rsidR="00000000" w:rsidRDefault="00E614A4">
            <w:pPr>
              <w:jc w:val="right"/>
              <w:rPr>
                <w:rFonts w:eastAsia="Times New Roman"/>
              </w:rPr>
            </w:pPr>
            <w:r>
              <w:rPr>
                <w:rFonts w:eastAsia="Times New Roman"/>
                <w:color w:val="000000"/>
                <w:sz w:val="18"/>
                <w:szCs w:val="18"/>
              </w:rPr>
              <w:t>3,862 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3A2DFD" w14:textId="77777777" w:rsidR="00000000" w:rsidRDefault="00E614A4">
            <w:pPr>
              <w:jc w:val="right"/>
              <w:rPr>
                <w:rFonts w:eastAsia="Times New Roman"/>
              </w:rPr>
            </w:pPr>
          </w:p>
        </w:tc>
      </w:tr>
      <w:tr w:rsidR="00000000" w14:paraId="2856958E" w14:textId="77777777">
        <w:trPr>
          <w:divId w:val="546796589"/>
          <w:jc w:val="center"/>
        </w:trPr>
        <w:tc>
          <w:tcPr>
            <w:tcW w:w="0" w:type="auto"/>
            <w:gridSpan w:val="3"/>
            <w:tcMar>
              <w:top w:w="30" w:type="dxa"/>
              <w:left w:w="20" w:type="dxa"/>
              <w:bottom w:w="30" w:type="dxa"/>
              <w:right w:w="20" w:type="dxa"/>
            </w:tcMar>
            <w:vAlign w:val="bottom"/>
            <w:hideMark/>
          </w:tcPr>
          <w:p w14:paraId="513B9790" w14:textId="77777777" w:rsidR="00000000" w:rsidRDefault="00E614A4">
            <w:pPr>
              <w:divId w:val="1624265982"/>
              <w:rPr>
                <w:rFonts w:eastAsia="Times New Roman"/>
              </w:rPr>
            </w:pPr>
            <w:r>
              <w:rPr>
                <w:rFonts w:eastAsia="Times New Roman"/>
                <w:color w:val="000000"/>
                <w:sz w:val="18"/>
                <w:szCs w:val="18"/>
              </w:rPr>
              <w:t>Series B-1 Warrants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tcMar>
              <w:top w:w="30" w:type="dxa"/>
              <w:left w:w="20" w:type="dxa"/>
              <w:bottom w:w="30" w:type="dxa"/>
              <w:right w:w="0" w:type="dxa"/>
            </w:tcMar>
            <w:vAlign w:val="bottom"/>
            <w:hideMark/>
          </w:tcPr>
          <w:p w14:paraId="763243AE" w14:textId="77777777" w:rsidR="00000000" w:rsidRDefault="00E614A4">
            <w:pPr>
              <w:jc w:val="right"/>
              <w:rPr>
                <w:rFonts w:eastAsia="Times New Roman"/>
              </w:rPr>
            </w:pPr>
            <w:r>
              <w:rPr>
                <w:rFonts w:eastAsia="Times New Roman"/>
                <w:color w:val="000000"/>
                <w:sz w:val="18"/>
                <w:szCs w:val="18"/>
              </w:rPr>
              <w:t>328 </w:t>
            </w:r>
          </w:p>
        </w:tc>
        <w:tc>
          <w:tcPr>
            <w:tcW w:w="0" w:type="auto"/>
            <w:tcMar>
              <w:top w:w="30" w:type="dxa"/>
              <w:left w:w="0" w:type="dxa"/>
              <w:bottom w:w="30" w:type="dxa"/>
              <w:right w:w="20" w:type="dxa"/>
            </w:tcMar>
            <w:vAlign w:val="bottom"/>
            <w:hideMark/>
          </w:tcPr>
          <w:p w14:paraId="015B5849" w14:textId="77777777" w:rsidR="00000000" w:rsidRDefault="00E614A4">
            <w:pPr>
              <w:jc w:val="right"/>
              <w:rPr>
                <w:rFonts w:eastAsia="Times New Roman"/>
              </w:rPr>
            </w:pPr>
          </w:p>
        </w:tc>
      </w:tr>
      <w:tr w:rsidR="00000000" w14:paraId="345D6754" w14:textId="77777777">
        <w:trPr>
          <w:divId w:val="546796589"/>
          <w:jc w:val="center"/>
        </w:trPr>
        <w:tc>
          <w:tcPr>
            <w:tcW w:w="0" w:type="auto"/>
            <w:gridSpan w:val="3"/>
            <w:shd w:val="clear" w:color="auto" w:fill="CCEEFF"/>
            <w:tcMar>
              <w:top w:w="30" w:type="dxa"/>
              <w:left w:w="20" w:type="dxa"/>
              <w:bottom w:w="30" w:type="dxa"/>
              <w:right w:w="20" w:type="dxa"/>
            </w:tcMar>
            <w:vAlign w:val="bottom"/>
            <w:hideMark/>
          </w:tcPr>
          <w:p w14:paraId="1CB4226F" w14:textId="77777777" w:rsidR="00000000" w:rsidRDefault="00E614A4">
            <w:pPr>
              <w:divId w:val="1026714938"/>
              <w:rPr>
                <w:rFonts w:eastAsia="Times New Roman"/>
              </w:rPr>
            </w:pPr>
            <w:r>
              <w:rPr>
                <w:rFonts w:eastAsia="Times New Roman"/>
                <w:color w:val="000000"/>
                <w:sz w:val="18"/>
                <w:szCs w:val="18"/>
              </w:rPr>
              <w:t>Series B-2 Warrants</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4599C3FE" w14:textId="77777777" w:rsidR="00000000" w:rsidRDefault="00E614A4">
            <w:pPr>
              <w:jc w:val="right"/>
              <w:rPr>
                <w:rFonts w:eastAsia="Times New Roman"/>
              </w:rPr>
            </w:pPr>
            <w:r>
              <w:rPr>
                <w:rFonts w:eastAsia="Times New Roman"/>
                <w:color w:val="000000"/>
                <w:sz w:val="18"/>
                <w:szCs w:val="18"/>
              </w:rPr>
              <w:t>376 </w:t>
            </w:r>
          </w:p>
        </w:tc>
        <w:tc>
          <w:tcPr>
            <w:tcW w:w="0" w:type="auto"/>
            <w:shd w:val="clear" w:color="auto" w:fill="CCEEFF"/>
            <w:tcMar>
              <w:top w:w="30" w:type="dxa"/>
              <w:left w:w="0" w:type="dxa"/>
              <w:bottom w:w="30" w:type="dxa"/>
              <w:right w:w="20" w:type="dxa"/>
            </w:tcMar>
            <w:vAlign w:val="bottom"/>
            <w:hideMark/>
          </w:tcPr>
          <w:p w14:paraId="3700CA4B" w14:textId="77777777" w:rsidR="00000000" w:rsidRDefault="00E614A4">
            <w:pPr>
              <w:jc w:val="right"/>
              <w:rPr>
                <w:rFonts w:eastAsia="Times New Roman"/>
              </w:rPr>
            </w:pPr>
          </w:p>
        </w:tc>
      </w:tr>
      <w:tr w:rsidR="00000000" w14:paraId="1734A136" w14:textId="77777777">
        <w:trPr>
          <w:divId w:val="546796589"/>
          <w:jc w:val="center"/>
        </w:trPr>
        <w:tc>
          <w:tcPr>
            <w:tcW w:w="0" w:type="auto"/>
            <w:gridSpan w:val="3"/>
            <w:tcMar>
              <w:top w:w="30" w:type="dxa"/>
              <w:left w:w="20" w:type="dxa"/>
              <w:bottom w:w="30" w:type="dxa"/>
              <w:right w:w="20" w:type="dxa"/>
            </w:tcMar>
            <w:vAlign w:val="bottom"/>
            <w:hideMark/>
          </w:tcPr>
          <w:p w14:paraId="7E51D150" w14:textId="77777777" w:rsidR="00000000" w:rsidRDefault="00E614A4">
            <w:pPr>
              <w:divId w:val="2126608712"/>
              <w:rPr>
                <w:rFonts w:eastAsia="Times New Roman"/>
              </w:rPr>
            </w:pPr>
            <w:r>
              <w:rPr>
                <w:rFonts w:eastAsia="Times New Roman"/>
                <w:color w:val="000000"/>
                <w:sz w:val="18"/>
                <w:szCs w:val="18"/>
              </w:rPr>
              <w:t>Series C Warrants</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2"/>
            <w:tcMar>
              <w:top w:w="30" w:type="dxa"/>
              <w:left w:w="20" w:type="dxa"/>
              <w:bottom w:w="30" w:type="dxa"/>
              <w:right w:w="0" w:type="dxa"/>
            </w:tcMar>
            <w:vAlign w:val="bottom"/>
            <w:hideMark/>
          </w:tcPr>
          <w:p w14:paraId="23D7D510" w14:textId="77777777" w:rsidR="00000000" w:rsidRDefault="00E614A4">
            <w:pPr>
              <w:jc w:val="right"/>
              <w:rPr>
                <w:rFonts w:eastAsia="Times New Roman"/>
              </w:rPr>
            </w:pPr>
            <w:r>
              <w:rPr>
                <w:rFonts w:eastAsia="Times New Roman"/>
                <w:color w:val="000000"/>
                <w:sz w:val="18"/>
                <w:szCs w:val="18"/>
              </w:rPr>
              <w:t>6,232 </w:t>
            </w:r>
          </w:p>
        </w:tc>
        <w:tc>
          <w:tcPr>
            <w:tcW w:w="0" w:type="auto"/>
            <w:tcMar>
              <w:top w:w="30" w:type="dxa"/>
              <w:left w:w="0" w:type="dxa"/>
              <w:bottom w:w="30" w:type="dxa"/>
              <w:right w:w="20" w:type="dxa"/>
            </w:tcMar>
            <w:vAlign w:val="bottom"/>
            <w:hideMark/>
          </w:tcPr>
          <w:p w14:paraId="2A1588FA" w14:textId="77777777" w:rsidR="00000000" w:rsidRDefault="00E614A4">
            <w:pPr>
              <w:jc w:val="right"/>
              <w:rPr>
                <w:rFonts w:eastAsia="Times New Roman"/>
              </w:rPr>
            </w:pPr>
          </w:p>
        </w:tc>
      </w:tr>
      <w:tr w:rsidR="00000000" w14:paraId="779D37BE" w14:textId="77777777">
        <w:trPr>
          <w:divId w:val="546796589"/>
          <w:jc w:val="center"/>
        </w:trPr>
        <w:tc>
          <w:tcPr>
            <w:tcW w:w="0" w:type="auto"/>
            <w:gridSpan w:val="3"/>
            <w:shd w:val="clear" w:color="auto" w:fill="CCEEFF"/>
            <w:tcMar>
              <w:top w:w="30" w:type="dxa"/>
              <w:left w:w="20" w:type="dxa"/>
              <w:bottom w:w="30" w:type="dxa"/>
              <w:right w:w="20" w:type="dxa"/>
            </w:tcMar>
            <w:vAlign w:val="bottom"/>
            <w:hideMark/>
          </w:tcPr>
          <w:p w14:paraId="5919458B" w14:textId="77777777" w:rsidR="00000000" w:rsidRDefault="00E614A4">
            <w:pPr>
              <w:rPr>
                <w:rFonts w:eastAsia="Times New Roman"/>
              </w:rPr>
            </w:pPr>
            <w:r>
              <w:rPr>
                <w:rFonts w:eastAsia="Times New Roman"/>
                <w:b/>
                <w:bCs/>
                <w:color w:val="000000"/>
                <w:sz w:val="18"/>
                <w:szCs w:val="18"/>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8DD6C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75CF70" w14:textId="77777777" w:rsidR="00000000" w:rsidRDefault="00E614A4">
            <w:pPr>
              <w:jc w:val="right"/>
              <w:rPr>
                <w:rFonts w:eastAsia="Times New Roman"/>
              </w:rPr>
            </w:pPr>
            <w:r>
              <w:rPr>
                <w:rFonts w:eastAsia="Times New Roman"/>
                <w:color w:val="000000"/>
                <w:sz w:val="18"/>
                <w:szCs w:val="18"/>
              </w:rPr>
              <w:t>10,798 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A3BD2C" w14:textId="77777777" w:rsidR="00000000" w:rsidRDefault="00E614A4">
            <w:pPr>
              <w:jc w:val="right"/>
              <w:rPr>
                <w:rFonts w:eastAsia="Times New Roman"/>
              </w:rPr>
            </w:pPr>
          </w:p>
        </w:tc>
      </w:tr>
      <w:tr w:rsidR="00000000" w14:paraId="7C08C7CD" w14:textId="77777777">
        <w:trPr>
          <w:divId w:val="546796589"/>
          <w:jc w:val="center"/>
        </w:trPr>
        <w:tc>
          <w:tcPr>
            <w:tcW w:w="0" w:type="auto"/>
            <w:gridSpan w:val="3"/>
            <w:tcMar>
              <w:top w:w="30" w:type="dxa"/>
              <w:left w:w="20" w:type="dxa"/>
              <w:bottom w:w="30" w:type="dxa"/>
              <w:right w:w="20" w:type="dxa"/>
            </w:tcMar>
            <w:hideMark/>
          </w:tcPr>
          <w:p w14:paraId="6570707A" w14:textId="77777777" w:rsidR="00000000" w:rsidRDefault="00E614A4">
            <w:pPr>
              <w:divId w:val="1768816785"/>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Series B-1 Warrants expired on January 29, 2020.</w:t>
            </w:r>
          </w:p>
          <w:p w14:paraId="2597ED49" w14:textId="77777777" w:rsidR="00000000" w:rsidRDefault="00E614A4">
            <w:pPr>
              <w:divId w:val="843015565"/>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Series B-2 Warrants expired on August 3, 2020. </w:t>
            </w:r>
          </w:p>
          <w:p w14:paraId="5076D1C0" w14:textId="77777777" w:rsidR="00000000" w:rsidRDefault="00E614A4">
            <w:pPr>
              <w:divId w:val="46955414"/>
              <w:rPr>
                <w:rFonts w:eastAsia="Times New Roman"/>
              </w:rPr>
            </w:pPr>
            <w:r>
              <w:rPr>
                <w:rFonts w:eastAsia="Times New Roman"/>
                <w:i/>
                <w:iCs/>
                <w:color w:val="000000"/>
                <w:sz w:val="10"/>
                <w:szCs w:val="10"/>
              </w:rPr>
              <w:t>3</w:t>
            </w:r>
            <w:r>
              <w:rPr>
                <w:rFonts w:eastAsia="Times New Roman"/>
                <w:i/>
                <w:iCs/>
                <w:color w:val="000000"/>
                <w:sz w:val="10"/>
                <w:szCs w:val="10"/>
              </w:rPr>
              <w:t>)</w:t>
            </w:r>
            <w:r>
              <w:rPr>
                <w:rFonts w:eastAsia="Times New Roman"/>
                <w:i/>
                <w:iCs/>
                <w:color w:val="000000"/>
                <w:sz w:val="16"/>
                <w:szCs w:val="16"/>
              </w:rPr>
              <w:t xml:space="preserve"> Series C Warrants were exercised on October 10, 2019.</w:t>
            </w:r>
          </w:p>
        </w:tc>
        <w:tc>
          <w:tcPr>
            <w:tcW w:w="0" w:type="auto"/>
            <w:gridSpan w:val="3"/>
            <w:tcBorders>
              <w:top w:val="double" w:sz="6" w:space="0" w:color="000000"/>
            </w:tcBorders>
            <w:tcMar>
              <w:top w:w="0" w:type="dxa"/>
              <w:left w:w="20" w:type="dxa"/>
              <w:bottom w:w="0" w:type="dxa"/>
              <w:right w:w="20" w:type="dxa"/>
            </w:tcMar>
            <w:vAlign w:val="center"/>
            <w:hideMark/>
          </w:tcPr>
          <w:p w14:paraId="7959907B" w14:textId="77777777" w:rsidR="00000000" w:rsidRDefault="00E614A4">
            <w:pPr>
              <w:rPr>
                <w:rFonts w:eastAsia="Times New Roman"/>
              </w:rPr>
            </w:pPr>
          </w:p>
        </w:tc>
      </w:tr>
    </w:tbl>
    <w:p w14:paraId="77E5ECE5" w14:textId="77777777" w:rsidR="00000000" w:rsidRDefault="00E614A4">
      <w:pPr>
        <w:jc w:val="both"/>
        <w:divId w:val="494300479"/>
        <w:rPr>
          <w:rFonts w:eastAsia="Times New Roman"/>
        </w:rPr>
      </w:pPr>
      <w:r>
        <w:rPr>
          <w:rFonts w:eastAsia="Times New Roman"/>
          <w:color w:val="000000"/>
          <w:sz w:val="20"/>
          <w:szCs w:val="20"/>
        </w:rPr>
        <w:t xml:space="preserve">The Company recorded $1.8 </w:t>
      </w:r>
      <w:r>
        <w:rPr>
          <w:rFonts w:eastAsia="Times New Roman"/>
          <w:color w:val="000000"/>
          <w:sz w:val="20"/>
          <w:szCs w:val="20"/>
        </w:rPr>
        <w:t>million in accrued transaction costs in 2019, of which approximately $0.8 million was allocated to the warrants liability and recorded in general and administrative expenses in the Consolidated Statements of Operations and Comprehensive Loss. The remaining</w:t>
      </w:r>
      <w:r>
        <w:rPr>
          <w:rFonts w:eastAsia="Times New Roman"/>
          <w:color w:val="000000"/>
          <w:sz w:val="20"/>
          <w:szCs w:val="20"/>
        </w:rPr>
        <w:t xml:space="preserve"> transaction costs of $1.0 million were recorded in additional paid-in capital in the Consolidated Balance Sheets. </w:t>
      </w:r>
    </w:p>
    <w:p w14:paraId="4ABDFCE9" w14:textId="77777777" w:rsidR="00000000" w:rsidRDefault="00E614A4">
      <w:pPr>
        <w:jc w:val="both"/>
        <w:divId w:val="1075975964"/>
        <w:rPr>
          <w:rFonts w:eastAsia="Times New Roman"/>
        </w:rPr>
      </w:pPr>
      <w:r>
        <w:rPr>
          <w:rFonts w:eastAsia="Times New Roman"/>
          <w:color w:val="000000"/>
          <w:sz w:val="20"/>
          <w:szCs w:val="20"/>
        </w:rPr>
        <w:t xml:space="preserve">The estimated fair value of the warrants as of December 31, 2020 was $2.8 million. Refer to </w:t>
      </w:r>
      <w:hyperlink w:anchor="ided6989bcc374020961c421c465250ee_139"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further information.</w:t>
      </w:r>
    </w:p>
    <w:p w14:paraId="759C49E3" w14:textId="77777777" w:rsidR="00000000" w:rsidRDefault="00E614A4">
      <w:pPr>
        <w:jc w:val="both"/>
        <w:divId w:val="676078803"/>
        <w:rPr>
          <w:rFonts w:eastAsia="Times New Roman"/>
        </w:rPr>
      </w:pPr>
      <w:r>
        <w:rPr>
          <w:rFonts w:eastAsia="Times New Roman"/>
          <w:b/>
          <w:bCs/>
          <w:i/>
          <w:iCs/>
          <w:color w:val="000000"/>
          <w:sz w:val="20"/>
          <w:szCs w:val="20"/>
        </w:rPr>
        <w:t>2018 Equity and Incentive Compensation Plan</w:t>
      </w:r>
    </w:p>
    <w:p w14:paraId="07CB821A" w14:textId="77777777" w:rsidR="00000000" w:rsidRDefault="00E614A4">
      <w:pPr>
        <w:jc w:val="both"/>
        <w:divId w:val="1037706877"/>
        <w:rPr>
          <w:rFonts w:eastAsia="Times New Roman"/>
        </w:rPr>
      </w:pPr>
      <w:r>
        <w:rPr>
          <w:rFonts w:eastAsia="Times New Roman"/>
          <w:color w:val="000000"/>
          <w:sz w:val="20"/>
          <w:szCs w:val="20"/>
        </w:rPr>
        <w:t>The Company's stockholders approved the 2018 Equity and Incentive Compensation Plan (the "2018 Plan") at the Company's 2018 Annual Meeting</w:t>
      </w:r>
      <w:r>
        <w:rPr>
          <w:rFonts w:eastAsia="Times New Roman"/>
          <w:color w:val="000000"/>
          <w:sz w:val="20"/>
          <w:szCs w:val="20"/>
        </w:rPr>
        <w:t xml:space="preserve"> and approved an amendment and restatement of the 2018 Plan at the Company's 2020 Annual Meeting. Under the 2018 Plan, as amended and restated, the Company may grant option rights, appreciation rights, restricted stock awards, restricted stock units, perfo</w:t>
      </w:r>
      <w:r>
        <w:rPr>
          <w:rFonts w:eastAsia="Times New Roman"/>
          <w:color w:val="000000"/>
          <w:sz w:val="20"/>
          <w:szCs w:val="20"/>
        </w:rPr>
        <w:t>rmance shares and performance units up to 20,250,000 shares of Common Stock. The aggregate number of shares of Common Stock available will be reduced by: (i) one share of Common Stock for every one share of Common Stock subject to an award of option rights</w:t>
      </w:r>
      <w:r>
        <w:rPr>
          <w:rFonts w:eastAsia="Times New Roman"/>
          <w:color w:val="000000"/>
          <w:sz w:val="20"/>
          <w:szCs w:val="20"/>
        </w:rPr>
        <w:t xml:space="preserve"> or appreciation rights granted under the 2018 Plan and (ii) two shares of Common Stock for every one share of Common Stock subject to an award other than option rights or appreciation rights granted under the 2018 Plan. If any award granted under the 2018</w:t>
      </w:r>
      <w:r>
        <w:rPr>
          <w:rFonts w:eastAsia="Times New Roman"/>
          <w:color w:val="000000"/>
          <w:sz w:val="20"/>
          <w:szCs w:val="20"/>
        </w:rPr>
        <w:t xml:space="preserve"> Plan (in whole or in part) is canceled or forfeited, expires, is settled in cash, or is unearned, the shares of Common Stock subject to such award will, to the extent of such cancellation, forfeiture, expiration, cash settlement, or unearned amount, again</w:t>
      </w:r>
      <w:r>
        <w:rPr>
          <w:rFonts w:eastAsia="Times New Roman"/>
          <w:color w:val="000000"/>
          <w:sz w:val="20"/>
          <w:szCs w:val="20"/>
        </w:rPr>
        <w:t xml:space="preserve"> be available at a rate of one share of Common Stock for every one share of Common Stock subject to awards of option rights or appreciation rights and two shares of Common Stock for every one share of Common Stock subject to awards other than of option rig</w:t>
      </w:r>
      <w:r>
        <w:rPr>
          <w:rFonts w:eastAsia="Times New Roman"/>
          <w:color w:val="000000"/>
          <w:sz w:val="20"/>
          <w:szCs w:val="20"/>
        </w:rPr>
        <w:t>hts or appreciation rights. The Company registered the securities under the 2018 Plan with the SEC effective June 1, 2018. The maximum number of shares available for future issuance under the 2018 Plan as of December 31, 2020 (excluding outstanding awards)</w:t>
      </w:r>
      <w:r>
        <w:rPr>
          <w:rFonts w:eastAsia="Times New Roman"/>
          <w:color w:val="000000"/>
          <w:sz w:val="20"/>
          <w:szCs w:val="20"/>
        </w:rPr>
        <w:t xml:space="preserve"> is 10,746,533. </w:t>
      </w:r>
    </w:p>
    <w:p w14:paraId="254AE402" w14:textId="77777777" w:rsidR="00000000" w:rsidRDefault="00E614A4">
      <w:pPr>
        <w:divId w:val="670564509"/>
        <w:rPr>
          <w:rFonts w:eastAsia="Times New Roman"/>
        </w:rPr>
      </w:pPr>
      <w:r>
        <w:rPr>
          <w:rFonts w:eastAsia="Times New Roman"/>
          <w:b/>
          <w:bCs/>
          <w:i/>
          <w:iCs/>
          <w:color w:val="000000"/>
          <w:sz w:val="20"/>
          <w:szCs w:val="20"/>
        </w:rPr>
        <w:t>Stock Options</w:t>
      </w:r>
    </w:p>
    <w:p w14:paraId="4519DBEC" w14:textId="77777777" w:rsidR="00000000" w:rsidRDefault="00E614A4">
      <w:pPr>
        <w:jc w:val="both"/>
        <w:divId w:val="284310508"/>
        <w:rPr>
          <w:rFonts w:eastAsia="Times New Roman"/>
        </w:rPr>
      </w:pPr>
      <w:r>
        <w:rPr>
          <w:rFonts w:eastAsia="Times New Roman"/>
          <w:color w:val="000000"/>
          <w:sz w:val="20"/>
          <w:szCs w:val="20"/>
        </w:rPr>
        <w:t>The Company's Compensation Committee approved and awarded 50,000 and 925,000 options for the years ended December </w:t>
      </w:r>
      <w:r>
        <w:rPr>
          <w:rFonts w:eastAsia="Times New Roman"/>
          <w:color w:val="000000"/>
          <w:sz w:val="20"/>
          <w:szCs w:val="20"/>
        </w:rPr>
        <w:t>31, 2020 and 2019, respectively, under the 2018 Plan to employees and consultants. No options were approved and awarded for the year ended December 31, 2018. The fair value of options at date of grant was estimated using the Black-Scholes option pricing mo</w:t>
      </w:r>
      <w:r>
        <w:rPr>
          <w:rFonts w:eastAsia="Times New Roman"/>
          <w:color w:val="000000"/>
          <w:sz w:val="20"/>
          <w:szCs w:val="20"/>
        </w:rPr>
        <w:t>del utilizing the following assumptions:</w:t>
      </w:r>
    </w:p>
    <w:p w14:paraId="0C16B33F" w14:textId="77777777" w:rsidR="00000000" w:rsidRDefault="00E614A4">
      <w:pPr>
        <w:jc w:val="center"/>
        <w:divId w:val="1787768262"/>
        <w:rPr>
          <w:rFonts w:eastAsia="Times New Roman"/>
        </w:rPr>
      </w:pPr>
      <w:r>
        <w:rPr>
          <w:rFonts w:eastAsia="Times New Roman"/>
          <w:color w:val="000000"/>
          <w:sz w:val="20"/>
          <w:szCs w:val="20"/>
        </w:rPr>
        <w:t>83</w:t>
      </w:r>
    </w:p>
    <w:p w14:paraId="5DE72870" w14:textId="77777777" w:rsidR="00000000" w:rsidRDefault="00E614A4">
      <w:pPr>
        <w:rPr>
          <w:rFonts w:eastAsia="Times New Roman"/>
        </w:rPr>
      </w:pPr>
      <w:r>
        <w:rPr>
          <w:rFonts w:eastAsia="Times New Roman"/>
        </w:rPr>
        <w:pict w14:anchorId="1BE8BA92">
          <v:rect id="_x0000_i1111" style="width:0;height:1.5pt" o:hralign="center" o:hrstd="t" o:hr="t" fillcolor="#a0a0a0" stroked="f"/>
        </w:pict>
      </w:r>
    </w:p>
    <w:p w14:paraId="08074581" w14:textId="77777777" w:rsidR="00000000" w:rsidRDefault="00E614A4">
      <w:pPr>
        <w:divId w:val="182242595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A022029" w14:textId="77777777" w:rsidR="00000000" w:rsidRDefault="00E614A4">
      <w:pPr>
        <w:divId w:val="108726694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857"/>
        <w:gridCol w:w="36"/>
        <w:gridCol w:w="39"/>
        <w:gridCol w:w="973"/>
        <w:gridCol w:w="39"/>
        <w:gridCol w:w="37"/>
        <w:gridCol w:w="37"/>
        <w:gridCol w:w="37"/>
        <w:gridCol w:w="83"/>
        <w:gridCol w:w="414"/>
        <w:gridCol w:w="37"/>
        <w:gridCol w:w="36"/>
        <w:gridCol w:w="39"/>
        <w:gridCol w:w="36"/>
        <w:gridCol w:w="83"/>
        <w:gridCol w:w="414"/>
        <w:gridCol w:w="36"/>
        <w:gridCol w:w="36"/>
      </w:tblGrid>
      <w:tr w:rsidR="00000000" w14:paraId="671450A4" w14:textId="77777777">
        <w:trPr>
          <w:divId w:val="1695765878"/>
          <w:jc w:val="center"/>
        </w:trPr>
        <w:tc>
          <w:tcPr>
            <w:tcW w:w="50" w:type="pct"/>
            <w:vAlign w:val="center"/>
            <w:hideMark/>
          </w:tcPr>
          <w:p w14:paraId="5E988482" w14:textId="77777777" w:rsidR="00000000" w:rsidRDefault="00E614A4">
            <w:pPr>
              <w:rPr>
                <w:rFonts w:eastAsia="Times New Roman"/>
              </w:rPr>
            </w:pPr>
          </w:p>
        </w:tc>
        <w:tc>
          <w:tcPr>
            <w:tcW w:w="3570" w:type="pct"/>
            <w:vAlign w:val="center"/>
            <w:hideMark/>
          </w:tcPr>
          <w:p w14:paraId="1C20513C" w14:textId="77777777" w:rsidR="00000000" w:rsidRDefault="00E614A4">
            <w:pPr>
              <w:rPr>
                <w:rFonts w:eastAsia="Times New Roman"/>
                <w:sz w:val="20"/>
                <w:szCs w:val="20"/>
              </w:rPr>
            </w:pPr>
          </w:p>
        </w:tc>
        <w:tc>
          <w:tcPr>
            <w:tcW w:w="5" w:type="pct"/>
            <w:vAlign w:val="center"/>
            <w:hideMark/>
          </w:tcPr>
          <w:p w14:paraId="1ED934C1" w14:textId="77777777" w:rsidR="00000000" w:rsidRDefault="00E614A4">
            <w:pPr>
              <w:rPr>
                <w:rFonts w:eastAsia="Times New Roman"/>
                <w:sz w:val="20"/>
                <w:szCs w:val="20"/>
              </w:rPr>
            </w:pPr>
          </w:p>
        </w:tc>
        <w:tc>
          <w:tcPr>
            <w:tcW w:w="50" w:type="pct"/>
            <w:vAlign w:val="center"/>
            <w:hideMark/>
          </w:tcPr>
          <w:p w14:paraId="0DC98E4F" w14:textId="77777777" w:rsidR="00000000" w:rsidRDefault="00E614A4">
            <w:pPr>
              <w:rPr>
                <w:rFonts w:eastAsia="Times New Roman"/>
                <w:sz w:val="20"/>
                <w:szCs w:val="20"/>
              </w:rPr>
            </w:pPr>
          </w:p>
        </w:tc>
        <w:tc>
          <w:tcPr>
            <w:tcW w:w="618" w:type="pct"/>
            <w:vAlign w:val="center"/>
            <w:hideMark/>
          </w:tcPr>
          <w:p w14:paraId="0865170A" w14:textId="77777777" w:rsidR="00000000" w:rsidRDefault="00E614A4">
            <w:pPr>
              <w:rPr>
                <w:rFonts w:eastAsia="Times New Roman"/>
                <w:sz w:val="20"/>
                <w:szCs w:val="20"/>
              </w:rPr>
            </w:pPr>
          </w:p>
        </w:tc>
        <w:tc>
          <w:tcPr>
            <w:tcW w:w="5" w:type="pct"/>
            <w:vAlign w:val="center"/>
            <w:hideMark/>
          </w:tcPr>
          <w:p w14:paraId="29317FCD" w14:textId="77777777" w:rsidR="00000000" w:rsidRDefault="00E614A4">
            <w:pPr>
              <w:rPr>
                <w:rFonts w:eastAsia="Times New Roman"/>
                <w:sz w:val="20"/>
                <w:szCs w:val="20"/>
              </w:rPr>
            </w:pPr>
          </w:p>
        </w:tc>
        <w:tc>
          <w:tcPr>
            <w:tcW w:w="5" w:type="pct"/>
            <w:vAlign w:val="center"/>
            <w:hideMark/>
          </w:tcPr>
          <w:p w14:paraId="6B00928B" w14:textId="77777777" w:rsidR="00000000" w:rsidRDefault="00E614A4">
            <w:pPr>
              <w:rPr>
                <w:rFonts w:eastAsia="Times New Roman"/>
                <w:sz w:val="20"/>
                <w:szCs w:val="20"/>
              </w:rPr>
            </w:pPr>
          </w:p>
        </w:tc>
        <w:tc>
          <w:tcPr>
            <w:tcW w:w="17" w:type="pct"/>
            <w:vAlign w:val="center"/>
            <w:hideMark/>
          </w:tcPr>
          <w:p w14:paraId="1002CBBF" w14:textId="77777777" w:rsidR="00000000" w:rsidRDefault="00E614A4">
            <w:pPr>
              <w:rPr>
                <w:rFonts w:eastAsia="Times New Roman"/>
                <w:sz w:val="20"/>
                <w:szCs w:val="20"/>
              </w:rPr>
            </w:pPr>
          </w:p>
        </w:tc>
        <w:tc>
          <w:tcPr>
            <w:tcW w:w="5" w:type="pct"/>
            <w:vAlign w:val="center"/>
            <w:hideMark/>
          </w:tcPr>
          <w:p w14:paraId="564F0B91" w14:textId="77777777" w:rsidR="00000000" w:rsidRDefault="00E614A4">
            <w:pPr>
              <w:rPr>
                <w:rFonts w:eastAsia="Times New Roman"/>
                <w:sz w:val="20"/>
                <w:szCs w:val="20"/>
              </w:rPr>
            </w:pPr>
          </w:p>
        </w:tc>
        <w:tc>
          <w:tcPr>
            <w:tcW w:w="50" w:type="pct"/>
            <w:vAlign w:val="center"/>
            <w:hideMark/>
          </w:tcPr>
          <w:p w14:paraId="317BA7D2" w14:textId="77777777" w:rsidR="00000000" w:rsidRDefault="00E614A4">
            <w:pPr>
              <w:rPr>
                <w:rFonts w:eastAsia="Times New Roman"/>
                <w:sz w:val="20"/>
                <w:szCs w:val="20"/>
              </w:rPr>
            </w:pPr>
          </w:p>
        </w:tc>
        <w:tc>
          <w:tcPr>
            <w:tcW w:w="250" w:type="pct"/>
            <w:vAlign w:val="center"/>
            <w:hideMark/>
          </w:tcPr>
          <w:p w14:paraId="6FE1FD93" w14:textId="77777777" w:rsidR="00000000" w:rsidRDefault="00E614A4">
            <w:pPr>
              <w:rPr>
                <w:rFonts w:eastAsia="Times New Roman"/>
                <w:sz w:val="20"/>
                <w:szCs w:val="20"/>
              </w:rPr>
            </w:pPr>
          </w:p>
        </w:tc>
        <w:tc>
          <w:tcPr>
            <w:tcW w:w="5" w:type="pct"/>
            <w:vAlign w:val="center"/>
            <w:hideMark/>
          </w:tcPr>
          <w:p w14:paraId="4BC9EBE2" w14:textId="77777777" w:rsidR="00000000" w:rsidRDefault="00E614A4">
            <w:pPr>
              <w:rPr>
                <w:rFonts w:eastAsia="Times New Roman"/>
                <w:sz w:val="20"/>
                <w:szCs w:val="20"/>
              </w:rPr>
            </w:pPr>
          </w:p>
        </w:tc>
        <w:tc>
          <w:tcPr>
            <w:tcW w:w="5" w:type="pct"/>
            <w:vAlign w:val="center"/>
            <w:hideMark/>
          </w:tcPr>
          <w:p w14:paraId="1C6B2421" w14:textId="77777777" w:rsidR="00000000" w:rsidRDefault="00E614A4">
            <w:pPr>
              <w:rPr>
                <w:rFonts w:eastAsia="Times New Roman"/>
                <w:sz w:val="20"/>
                <w:szCs w:val="20"/>
              </w:rPr>
            </w:pPr>
          </w:p>
        </w:tc>
        <w:tc>
          <w:tcPr>
            <w:tcW w:w="52" w:type="pct"/>
            <w:vAlign w:val="center"/>
            <w:hideMark/>
          </w:tcPr>
          <w:p w14:paraId="5555D676" w14:textId="77777777" w:rsidR="00000000" w:rsidRDefault="00E614A4">
            <w:pPr>
              <w:rPr>
                <w:rFonts w:eastAsia="Times New Roman"/>
                <w:sz w:val="20"/>
                <w:szCs w:val="20"/>
              </w:rPr>
            </w:pPr>
          </w:p>
        </w:tc>
        <w:tc>
          <w:tcPr>
            <w:tcW w:w="5" w:type="pct"/>
            <w:vAlign w:val="center"/>
            <w:hideMark/>
          </w:tcPr>
          <w:p w14:paraId="591149DA" w14:textId="77777777" w:rsidR="00000000" w:rsidRDefault="00E614A4">
            <w:pPr>
              <w:rPr>
                <w:rFonts w:eastAsia="Times New Roman"/>
                <w:sz w:val="20"/>
                <w:szCs w:val="20"/>
              </w:rPr>
            </w:pPr>
          </w:p>
        </w:tc>
        <w:tc>
          <w:tcPr>
            <w:tcW w:w="50" w:type="pct"/>
            <w:vAlign w:val="center"/>
            <w:hideMark/>
          </w:tcPr>
          <w:p w14:paraId="074B19FF" w14:textId="77777777" w:rsidR="00000000" w:rsidRDefault="00E614A4">
            <w:pPr>
              <w:rPr>
                <w:rFonts w:eastAsia="Times New Roman"/>
                <w:sz w:val="20"/>
                <w:szCs w:val="20"/>
              </w:rPr>
            </w:pPr>
          </w:p>
        </w:tc>
        <w:tc>
          <w:tcPr>
            <w:tcW w:w="250" w:type="pct"/>
            <w:vAlign w:val="center"/>
            <w:hideMark/>
          </w:tcPr>
          <w:p w14:paraId="67311165" w14:textId="77777777" w:rsidR="00000000" w:rsidRDefault="00E614A4">
            <w:pPr>
              <w:rPr>
                <w:rFonts w:eastAsia="Times New Roman"/>
                <w:sz w:val="20"/>
                <w:szCs w:val="20"/>
              </w:rPr>
            </w:pPr>
          </w:p>
        </w:tc>
        <w:tc>
          <w:tcPr>
            <w:tcW w:w="5" w:type="pct"/>
            <w:vAlign w:val="center"/>
            <w:hideMark/>
          </w:tcPr>
          <w:p w14:paraId="60752DA6" w14:textId="77777777" w:rsidR="00000000" w:rsidRDefault="00E614A4">
            <w:pPr>
              <w:rPr>
                <w:rFonts w:eastAsia="Times New Roman"/>
                <w:sz w:val="20"/>
                <w:szCs w:val="20"/>
              </w:rPr>
            </w:pPr>
          </w:p>
        </w:tc>
        <w:tc>
          <w:tcPr>
            <w:tcW w:w="0" w:type="auto"/>
            <w:vAlign w:val="center"/>
            <w:hideMark/>
          </w:tcPr>
          <w:p w14:paraId="0A6530F8" w14:textId="77777777" w:rsidR="00000000" w:rsidRDefault="00E614A4">
            <w:pPr>
              <w:rPr>
                <w:rFonts w:eastAsia="Times New Roman"/>
                <w:sz w:val="20"/>
                <w:szCs w:val="20"/>
              </w:rPr>
            </w:pPr>
          </w:p>
        </w:tc>
      </w:tr>
      <w:tr w:rsidR="00000000" w14:paraId="2E1FDF06" w14:textId="77777777">
        <w:trPr>
          <w:divId w:val="1695765878"/>
          <w:jc w:val="center"/>
        </w:trPr>
        <w:tc>
          <w:tcPr>
            <w:tcW w:w="0" w:type="auto"/>
            <w:gridSpan w:val="3"/>
            <w:tcMar>
              <w:top w:w="0" w:type="dxa"/>
              <w:left w:w="20" w:type="dxa"/>
              <w:bottom w:w="0" w:type="dxa"/>
              <w:right w:w="20" w:type="dxa"/>
            </w:tcMar>
            <w:vAlign w:val="center"/>
            <w:hideMark/>
          </w:tcPr>
          <w:p w14:paraId="11668669" w14:textId="77777777" w:rsidR="00000000" w:rsidRDefault="00E614A4">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253F3407" w14:textId="77777777" w:rsidR="00000000" w:rsidRDefault="00E614A4">
            <w:pPr>
              <w:jc w:val="center"/>
              <w:rPr>
                <w:rFonts w:eastAsia="Times New Roman"/>
              </w:rPr>
            </w:pPr>
            <w:r>
              <w:rPr>
                <w:rFonts w:eastAsia="Times New Roman"/>
                <w:b/>
                <w:bCs/>
                <w:color w:val="000000"/>
                <w:sz w:val="16"/>
                <w:szCs w:val="16"/>
              </w:rPr>
              <w:t>Years Ended December 31,</w:t>
            </w:r>
          </w:p>
        </w:tc>
        <w:tc>
          <w:tcPr>
            <w:tcW w:w="0" w:type="auto"/>
            <w:vAlign w:val="center"/>
            <w:hideMark/>
          </w:tcPr>
          <w:p w14:paraId="04BBA7C5" w14:textId="77777777" w:rsidR="00000000" w:rsidRDefault="00E614A4">
            <w:pPr>
              <w:jc w:val="center"/>
              <w:rPr>
                <w:rFonts w:eastAsia="Times New Roman"/>
              </w:rPr>
            </w:pPr>
          </w:p>
        </w:tc>
      </w:tr>
      <w:tr w:rsidR="00000000" w14:paraId="1D81F30C" w14:textId="77777777">
        <w:trPr>
          <w:divId w:val="1695765878"/>
          <w:jc w:val="center"/>
        </w:trPr>
        <w:tc>
          <w:tcPr>
            <w:tcW w:w="0" w:type="auto"/>
            <w:gridSpan w:val="3"/>
            <w:tcMar>
              <w:top w:w="0" w:type="dxa"/>
              <w:left w:w="20" w:type="dxa"/>
              <w:bottom w:w="0" w:type="dxa"/>
              <w:right w:w="20" w:type="dxa"/>
            </w:tcMar>
            <w:vAlign w:val="center"/>
            <w:hideMark/>
          </w:tcPr>
          <w:p w14:paraId="17BBB456" w14:textId="77777777" w:rsidR="00000000" w:rsidRDefault="00E614A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70201D7"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30D4A3B" w14:textId="77777777" w:rsidR="00000000" w:rsidRDefault="00E614A4">
            <w:pPr>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6FE58AF4" w14:textId="77777777" w:rsidR="00000000" w:rsidRDefault="00E614A4">
            <w:pPr>
              <w:jc w:val="center"/>
              <w:rPr>
                <w:rFonts w:eastAsia="Times New Roman"/>
              </w:rPr>
            </w:pPr>
            <w:r>
              <w:rPr>
                <w:rFonts w:eastAsia="Times New Roman"/>
                <w:b/>
                <w:bCs/>
                <w:color w:val="000000"/>
                <w:sz w:val="16"/>
                <w:szCs w:val="16"/>
              </w:rPr>
              <w:t>2019</w:t>
            </w:r>
          </w:p>
        </w:tc>
        <w:tc>
          <w:tcPr>
            <w:tcW w:w="0" w:type="auto"/>
            <w:vAlign w:val="center"/>
            <w:hideMark/>
          </w:tcPr>
          <w:p w14:paraId="5410A475" w14:textId="77777777" w:rsidR="00000000" w:rsidRDefault="00E614A4">
            <w:pPr>
              <w:jc w:val="center"/>
              <w:rPr>
                <w:rFonts w:eastAsia="Times New Roman"/>
              </w:rPr>
            </w:pPr>
          </w:p>
        </w:tc>
      </w:tr>
      <w:tr w:rsidR="00000000" w14:paraId="1D44AC5E" w14:textId="77777777">
        <w:trPr>
          <w:divId w:val="1695765878"/>
          <w:jc w:val="center"/>
        </w:trPr>
        <w:tc>
          <w:tcPr>
            <w:tcW w:w="0" w:type="auto"/>
            <w:gridSpan w:val="3"/>
            <w:shd w:val="clear" w:color="auto" w:fill="CCEEFF"/>
            <w:tcMar>
              <w:top w:w="30" w:type="dxa"/>
              <w:left w:w="20" w:type="dxa"/>
              <w:bottom w:w="30" w:type="dxa"/>
              <w:right w:w="20" w:type="dxa"/>
            </w:tcMar>
            <w:hideMark/>
          </w:tcPr>
          <w:p w14:paraId="1D55E555" w14:textId="77777777" w:rsidR="00000000" w:rsidRDefault="00E614A4">
            <w:pPr>
              <w:rPr>
                <w:rFonts w:eastAsia="Times New Roman"/>
              </w:rPr>
            </w:pPr>
            <w:r>
              <w:rPr>
                <w:rFonts w:eastAsia="Times New Roman"/>
                <w:color w:val="000000"/>
                <w:sz w:val="18"/>
                <w:szCs w:val="18"/>
              </w:rPr>
              <w:t>Dividend yield</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34BBCC8" w14:textId="77777777" w:rsidR="00000000" w:rsidRDefault="00E614A4">
            <w:pPr>
              <w:jc w:val="center"/>
              <w:rPr>
                <w:rFonts w:eastAsia="Times New Roman"/>
              </w:rPr>
            </w:pPr>
            <w:r>
              <w:rPr>
                <w:rFonts w:eastAsia="Times New Roman"/>
                <w:color w:val="000000"/>
                <w:sz w:val="18"/>
                <w:szCs w:val="18"/>
              </w:rPr>
              <w:t>0.0%</w:t>
            </w:r>
          </w:p>
        </w:tc>
        <w:tc>
          <w:tcPr>
            <w:tcW w:w="0" w:type="auto"/>
            <w:gridSpan w:val="3"/>
            <w:shd w:val="clear" w:color="auto" w:fill="CCEEFF"/>
            <w:tcMar>
              <w:top w:w="0" w:type="dxa"/>
              <w:left w:w="20" w:type="dxa"/>
              <w:bottom w:w="0" w:type="dxa"/>
              <w:right w:w="20" w:type="dxa"/>
            </w:tcMar>
            <w:vAlign w:val="center"/>
            <w:hideMark/>
          </w:tcPr>
          <w:p w14:paraId="0B960267" w14:textId="77777777" w:rsidR="00000000" w:rsidRDefault="00E614A4">
            <w:pPr>
              <w:jc w:val="center"/>
              <w:rPr>
                <w:rFonts w:eastAsia="Times New Roman"/>
              </w:rPr>
            </w:pPr>
          </w:p>
        </w:tc>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14:paraId="14E6D050" w14:textId="77777777" w:rsidR="00000000" w:rsidRDefault="00E614A4">
            <w:pPr>
              <w:jc w:val="center"/>
              <w:rPr>
                <w:rFonts w:eastAsia="Times New Roman"/>
              </w:rPr>
            </w:pPr>
            <w:r>
              <w:rPr>
                <w:rFonts w:eastAsia="Times New Roman"/>
                <w:color w:val="000000"/>
                <w:sz w:val="18"/>
                <w:szCs w:val="18"/>
              </w:rPr>
              <w:t>0.0%</w:t>
            </w:r>
          </w:p>
        </w:tc>
        <w:tc>
          <w:tcPr>
            <w:tcW w:w="0" w:type="auto"/>
            <w:vAlign w:val="center"/>
            <w:hideMark/>
          </w:tcPr>
          <w:p w14:paraId="75D23B95" w14:textId="77777777" w:rsidR="00000000" w:rsidRDefault="00E614A4">
            <w:pPr>
              <w:jc w:val="center"/>
              <w:rPr>
                <w:rFonts w:eastAsia="Times New Roman"/>
              </w:rPr>
            </w:pPr>
          </w:p>
        </w:tc>
      </w:tr>
      <w:tr w:rsidR="00000000" w14:paraId="2B72146A" w14:textId="77777777">
        <w:trPr>
          <w:divId w:val="1695765878"/>
          <w:jc w:val="center"/>
        </w:trPr>
        <w:tc>
          <w:tcPr>
            <w:tcW w:w="0" w:type="auto"/>
            <w:gridSpan w:val="3"/>
            <w:shd w:val="clear" w:color="auto" w:fill="FFFFFF"/>
            <w:tcMar>
              <w:top w:w="30" w:type="dxa"/>
              <w:left w:w="20" w:type="dxa"/>
              <w:bottom w:w="30" w:type="dxa"/>
              <w:right w:w="20" w:type="dxa"/>
            </w:tcMar>
            <w:hideMark/>
          </w:tcPr>
          <w:p w14:paraId="6E955D4D" w14:textId="77777777" w:rsidR="00000000" w:rsidRDefault="00E614A4">
            <w:pPr>
              <w:rPr>
                <w:rFonts w:eastAsia="Times New Roman"/>
              </w:rPr>
            </w:pPr>
            <w:r>
              <w:rPr>
                <w:rFonts w:eastAsia="Times New Roman"/>
                <w:color w:val="000000"/>
                <w:sz w:val="18"/>
                <w:szCs w:val="18"/>
              </w:rPr>
              <w:t>Expected volatility</w:t>
            </w:r>
          </w:p>
        </w:tc>
        <w:tc>
          <w:tcPr>
            <w:tcW w:w="0" w:type="auto"/>
            <w:gridSpan w:val="3"/>
            <w:shd w:val="clear" w:color="auto" w:fill="FFFFFF"/>
            <w:tcMar>
              <w:top w:w="30" w:type="dxa"/>
              <w:left w:w="20" w:type="dxa"/>
              <w:bottom w:w="30" w:type="dxa"/>
              <w:right w:w="20" w:type="dxa"/>
            </w:tcMar>
            <w:vAlign w:val="bottom"/>
            <w:hideMark/>
          </w:tcPr>
          <w:p w14:paraId="732933ED" w14:textId="77777777" w:rsidR="00000000" w:rsidRDefault="00E614A4">
            <w:pPr>
              <w:jc w:val="center"/>
              <w:rPr>
                <w:rFonts w:eastAsia="Times New Roman"/>
              </w:rPr>
            </w:pPr>
            <w:r>
              <w:rPr>
                <w:rFonts w:eastAsia="Times New Roman"/>
                <w:color w:val="000000"/>
                <w:sz w:val="18"/>
                <w:szCs w:val="18"/>
              </w:rPr>
              <w:t>57.0%</w:t>
            </w:r>
          </w:p>
        </w:tc>
        <w:tc>
          <w:tcPr>
            <w:tcW w:w="0" w:type="auto"/>
            <w:gridSpan w:val="3"/>
            <w:shd w:val="clear" w:color="auto" w:fill="FFFFFF"/>
            <w:tcMar>
              <w:top w:w="0" w:type="dxa"/>
              <w:left w:w="20" w:type="dxa"/>
              <w:bottom w:w="0" w:type="dxa"/>
              <w:right w:w="20" w:type="dxa"/>
            </w:tcMar>
            <w:vAlign w:val="center"/>
            <w:hideMark/>
          </w:tcPr>
          <w:p w14:paraId="0EBA0D1A"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295579E" w14:textId="77777777" w:rsidR="00000000" w:rsidRDefault="00E614A4">
            <w:pPr>
              <w:jc w:val="center"/>
              <w:rPr>
                <w:rFonts w:eastAsia="Times New Roman"/>
              </w:rPr>
            </w:pPr>
            <w:r>
              <w:rPr>
                <w:rFonts w:eastAsia="Times New Roman"/>
                <w:color w:val="000000"/>
                <w:sz w:val="18"/>
                <w:szCs w:val="18"/>
              </w:rPr>
              <w:t>44.5%</w:t>
            </w:r>
          </w:p>
        </w:tc>
        <w:tc>
          <w:tcPr>
            <w:tcW w:w="0" w:type="auto"/>
            <w:gridSpan w:val="3"/>
            <w:shd w:val="clear" w:color="auto" w:fill="FFFFFF"/>
            <w:tcMar>
              <w:top w:w="30" w:type="dxa"/>
              <w:left w:w="20" w:type="dxa"/>
              <w:bottom w:w="30" w:type="dxa"/>
              <w:right w:w="20" w:type="dxa"/>
            </w:tcMar>
            <w:vAlign w:val="bottom"/>
            <w:hideMark/>
          </w:tcPr>
          <w:p w14:paraId="064F1295"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14:paraId="22888ADD" w14:textId="77777777" w:rsidR="00000000" w:rsidRDefault="00E614A4">
            <w:pPr>
              <w:jc w:val="center"/>
              <w:rPr>
                <w:rFonts w:eastAsia="Times New Roman"/>
              </w:rPr>
            </w:pPr>
            <w:r>
              <w:rPr>
                <w:rFonts w:eastAsia="Times New Roman"/>
                <w:color w:val="000000"/>
                <w:sz w:val="18"/>
                <w:szCs w:val="18"/>
              </w:rPr>
              <w:t>52.9%</w:t>
            </w:r>
          </w:p>
        </w:tc>
        <w:tc>
          <w:tcPr>
            <w:tcW w:w="0" w:type="auto"/>
            <w:vAlign w:val="center"/>
            <w:hideMark/>
          </w:tcPr>
          <w:p w14:paraId="6B44049E" w14:textId="77777777" w:rsidR="00000000" w:rsidRDefault="00E614A4">
            <w:pPr>
              <w:jc w:val="center"/>
              <w:rPr>
                <w:rFonts w:eastAsia="Times New Roman"/>
              </w:rPr>
            </w:pPr>
          </w:p>
        </w:tc>
      </w:tr>
      <w:tr w:rsidR="00000000" w14:paraId="76D4AE5A" w14:textId="77777777">
        <w:trPr>
          <w:divId w:val="1695765878"/>
          <w:jc w:val="center"/>
        </w:trPr>
        <w:tc>
          <w:tcPr>
            <w:tcW w:w="0" w:type="auto"/>
            <w:gridSpan w:val="3"/>
            <w:shd w:val="clear" w:color="auto" w:fill="CCEEFF"/>
            <w:tcMar>
              <w:top w:w="30" w:type="dxa"/>
              <w:left w:w="20" w:type="dxa"/>
              <w:bottom w:w="30" w:type="dxa"/>
              <w:right w:w="20" w:type="dxa"/>
            </w:tcMar>
            <w:hideMark/>
          </w:tcPr>
          <w:p w14:paraId="5285F974" w14:textId="77777777" w:rsidR="00000000" w:rsidRDefault="00E614A4">
            <w:pPr>
              <w:rPr>
                <w:rFonts w:eastAsia="Times New Roman"/>
              </w:rPr>
            </w:pPr>
            <w:r>
              <w:rPr>
                <w:rFonts w:eastAsia="Times New Roman"/>
                <w:color w:val="000000"/>
                <w:sz w:val="18"/>
                <w:szCs w:val="18"/>
              </w:rPr>
              <w:t>Risk-free interest rate</w:t>
            </w:r>
          </w:p>
        </w:tc>
        <w:tc>
          <w:tcPr>
            <w:tcW w:w="0" w:type="auto"/>
            <w:gridSpan w:val="3"/>
            <w:shd w:val="clear" w:color="auto" w:fill="CCEEFF"/>
            <w:tcMar>
              <w:top w:w="30" w:type="dxa"/>
              <w:left w:w="20" w:type="dxa"/>
              <w:bottom w:w="30" w:type="dxa"/>
              <w:right w:w="20" w:type="dxa"/>
            </w:tcMar>
            <w:vAlign w:val="bottom"/>
            <w:hideMark/>
          </w:tcPr>
          <w:p w14:paraId="78BFB3E6" w14:textId="77777777" w:rsidR="00000000" w:rsidRDefault="00E614A4">
            <w:pPr>
              <w:jc w:val="center"/>
              <w:rPr>
                <w:rFonts w:eastAsia="Times New Roman"/>
              </w:rPr>
            </w:pPr>
            <w:r>
              <w:rPr>
                <w:rFonts w:eastAsia="Times New Roman"/>
                <w:color w:val="000000"/>
                <w:sz w:val="18"/>
                <w:szCs w:val="18"/>
              </w:rPr>
              <w:t>1.0%</w:t>
            </w:r>
          </w:p>
        </w:tc>
        <w:tc>
          <w:tcPr>
            <w:tcW w:w="0" w:type="auto"/>
            <w:gridSpan w:val="3"/>
            <w:shd w:val="clear" w:color="auto" w:fill="CCEEFF"/>
            <w:tcMar>
              <w:top w:w="0" w:type="dxa"/>
              <w:left w:w="20" w:type="dxa"/>
              <w:bottom w:w="0" w:type="dxa"/>
              <w:right w:w="20" w:type="dxa"/>
            </w:tcMar>
            <w:vAlign w:val="center"/>
            <w:hideMark/>
          </w:tcPr>
          <w:p w14:paraId="6D6579CF"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FEF2C2" w14:textId="77777777" w:rsidR="00000000" w:rsidRDefault="00E614A4">
            <w:pPr>
              <w:jc w:val="center"/>
              <w:rPr>
                <w:rFonts w:eastAsia="Times New Roman"/>
              </w:rPr>
            </w:pPr>
            <w:r>
              <w:rPr>
                <w:rFonts w:eastAsia="Times New Roman"/>
                <w:color w:val="000000"/>
                <w:sz w:val="18"/>
                <w:szCs w:val="18"/>
              </w:rPr>
              <w:t>1.3%</w:t>
            </w:r>
          </w:p>
        </w:tc>
        <w:tc>
          <w:tcPr>
            <w:tcW w:w="0" w:type="auto"/>
            <w:gridSpan w:val="3"/>
            <w:shd w:val="clear" w:color="auto" w:fill="CCEEFF"/>
            <w:tcMar>
              <w:top w:w="30" w:type="dxa"/>
              <w:left w:w="20" w:type="dxa"/>
              <w:bottom w:w="30" w:type="dxa"/>
              <w:right w:w="20" w:type="dxa"/>
            </w:tcMar>
            <w:vAlign w:val="bottom"/>
            <w:hideMark/>
          </w:tcPr>
          <w:p w14:paraId="17B3E05C"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14:paraId="6AB2E1C4" w14:textId="77777777" w:rsidR="00000000" w:rsidRDefault="00E614A4">
            <w:pPr>
              <w:jc w:val="center"/>
              <w:rPr>
                <w:rFonts w:eastAsia="Times New Roman"/>
              </w:rPr>
            </w:pPr>
            <w:r>
              <w:rPr>
                <w:rFonts w:eastAsia="Times New Roman"/>
                <w:color w:val="000000"/>
                <w:sz w:val="18"/>
                <w:szCs w:val="18"/>
              </w:rPr>
              <w:t>2.7%</w:t>
            </w:r>
          </w:p>
        </w:tc>
        <w:tc>
          <w:tcPr>
            <w:tcW w:w="0" w:type="auto"/>
            <w:vAlign w:val="center"/>
            <w:hideMark/>
          </w:tcPr>
          <w:p w14:paraId="6B8C0CD1" w14:textId="77777777" w:rsidR="00000000" w:rsidRDefault="00E614A4">
            <w:pPr>
              <w:jc w:val="center"/>
              <w:rPr>
                <w:rFonts w:eastAsia="Times New Roman"/>
              </w:rPr>
            </w:pPr>
          </w:p>
        </w:tc>
      </w:tr>
      <w:tr w:rsidR="00000000" w14:paraId="740018D2" w14:textId="77777777">
        <w:trPr>
          <w:divId w:val="1695765878"/>
          <w:jc w:val="center"/>
        </w:trPr>
        <w:tc>
          <w:tcPr>
            <w:tcW w:w="0" w:type="auto"/>
            <w:gridSpan w:val="3"/>
            <w:shd w:val="clear" w:color="auto" w:fill="FFFFFF"/>
            <w:tcMar>
              <w:top w:w="30" w:type="dxa"/>
              <w:left w:w="20" w:type="dxa"/>
              <w:bottom w:w="30" w:type="dxa"/>
              <w:right w:w="20" w:type="dxa"/>
            </w:tcMar>
            <w:hideMark/>
          </w:tcPr>
          <w:p w14:paraId="5831996C" w14:textId="77777777" w:rsidR="00000000" w:rsidRDefault="00E614A4">
            <w:pPr>
              <w:rPr>
                <w:rFonts w:eastAsia="Times New Roman"/>
              </w:rPr>
            </w:pPr>
            <w:r>
              <w:rPr>
                <w:rFonts w:eastAsia="Times New Roman"/>
                <w:color w:val="000000"/>
                <w:sz w:val="18"/>
                <w:szCs w:val="18"/>
              </w:rPr>
              <w:t>Expected life of options (in years)</w:t>
            </w:r>
          </w:p>
        </w:tc>
        <w:tc>
          <w:tcPr>
            <w:tcW w:w="0" w:type="auto"/>
            <w:gridSpan w:val="3"/>
            <w:shd w:val="clear" w:color="auto" w:fill="FFFFFF"/>
            <w:tcMar>
              <w:top w:w="30" w:type="dxa"/>
              <w:left w:w="20" w:type="dxa"/>
              <w:bottom w:w="30" w:type="dxa"/>
              <w:right w:w="20" w:type="dxa"/>
            </w:tcMar>
            <w:vAlign w:val="bottom"/>
            <w:hideMark/>
          </w:tcPr>
          <w:p w14:paraId="01D79F47" w14:textId="77777777" w:rsidR="00000000" w:rsidRDefault="00E614A4">
            <w:pPr>
              <w:jc w:val="center"/>
              <w:rPr>
                <w:rFonts w:eastAsia="Times New Roman"/>
              </w:rPr>
            </w:pPr>
            <w:r>
              <w:rPr>
                <w:rFonts w:eastAsia="Times New Roman"/>
                <w:color w:val="000000"/>
                <w:sz w:val="18"/>
                <w:szCs w:val="18"/>
              </w:rPr>
              <w:t>6.00</w:t>
            </w:r>
          </w:p>
        </w:tc>
        <w:tc>
          <w:tcPr>
            <w:tcW w:w="0" w:type="auto"/>
            <w:gridSpan w:val="3"/>
            <w:shd w:val="clear" w:color="auto" w:fill="FFFFFF"/>
            <w:tcMar>
              <w:top w:w="0" w:type="dxa"/>
              <w:left w:w="20" w:type="dxa"/>
              <w:bottom w:w="0" w:type="dxa"/>
              <w:right w:w="20" w:type="dxa"/>
            </w:tcMar>
            <w:vAlign w:val="center"/>
            <w:hideMark/>
          </w:tcPr>
          <w:p w14:paraId="48060E81"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B674F0C" w14:textId="77777777" w:rsidR="00000000" w:rsidRDefault="00E614A4">
            <w:pPr>
              <w:jc w:val="center"/>
              <w:rPr>
                <w:rFonts w:eastAsia="Times New Roman"/>
              </w:rPr>
            </w:pPr>
            <w:r>
              <w:rPr>
                <w:rFonts w:eastAsia="Times New Roman"/>
                <w:color w:val="000000"/>
                <w:sz w:val="18"/>
                <w:szCs w:val="18"/>
              </w:rPr>
              <w:t>5.21</w:t>
            </w:r>
          </w:p>
        </w:tc>
        <w:tc>
          <w:tcPr>
            <w:tcW w:w="0" w:type="auto"/>
            <w:gridSpan w:val="3"/>
            <w:shd w:val="clear" w:color="auto" w:fill="FFFFFF"/>
            <w:tcMar>
              <w:top w:w="30" w:type="dxa"/>
              <w:left w:w="20" w:type="dxa"/>
              <w:bottom w:w="30" w:type="dxa"/>
              <w:right w:w="20" w:type="dxa"/>
            </w:tcMar>
            <w:vAlign w:val="bottom"/>
            <w:hideMark/>
          </w:tcPr>
          <w:p w14:paraId="35504438"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14:paraId="6355EF69" w14:textId="77777777" w:rsidR="00000000" w:rsidRDefault="00E614A4">
            <w:pPr>
              <w:jc w:val="center"/>
              <w:rPr>
                <w:rFonts w:eastAsia="Times New Roman"/>
              </w:rPr>
            </w:pPr>
            <w:r>
              <w:rPr>
                <w:rFonts w:eastAsia="Times New Roman"/>
                <w:color w:val="000000"/>
                <w:sz w:val="18"/>
                <w:szCs w:val="18"/>
              </w:rPr>
              <w:t>10.00</w:t>
            </w:r>
          </w:p>
        </w:tc>
        <w:tc>
          <w:tcPr>
            <w:tcW w:w="0" w:type="auto"/>
            <w:vAlign w:val="center"/>
            <w:hideMark/>
          </w:tcPr>
          <w:p w14:paraId="72CE6B87" w14:textId="77777777" w:rsidR="00000000" w:rsidRDefault="00E614A4">
            <w:pPr>
              <w:jc w:val="center"/>
              <w:rPr>
                <w:rFonts w:eastAsia="Times New Roman"/>
              </w:rPr>
            </w:pPr>
          </w:p>
        </w:tc>
      </w:tr>
    </w:tbl>
    <w:p w14:paraId="42C51704" w14:textId="77777777" w:rsidR="00000000" w:rsidRDefault="00E614A4">
      <w:pPr>
        <w:jc w:val="both"/>
        <w:divId w:val="1091201742"/>
        <w:rPr>
          <w:rFonts w:eastAsia="Times New Roman"/>
        </w:rPr>
      </w:pPr>
      <w:r>
        <w:rPr>
          <w:rFonts w:eastAsia="Times New Roman"/>
          <w:i/>
          <w:iCs/>
          <w:color w:val="000000"/>
          <w:sz w:val="20"/>
          <w:szCs w:val="20"/>
        </w:rPr>
        <w:t>Dividend yield</w:t>
      </w:r>
      <w:r>
        <w:rPr>
          <w:rFonts w:eastAsia="Times New Roman"/>
          <w:color w:val="000000"/>
          <w:sz w:val="20"/>
          <w:szCs w:val="20"/>
        </w:rPr>
        <w:t xml:space="preserve"> — </w:t>
      </w:r>
      <w:r>
        <w:rPr>
          <w:rFonts w:eastAsia="Times New Roman"/>
          <w:color w:val="000000"/>
          <w:sz w:val="20"/>
          <w:szCs w:val="20"/>
        </w:rPr>
        <w:t>The Company has never declared or paid a cash dividend on its Common Stock and has no plans to pay cash dividends in the foreseeable future.</w:t>
      </w:r>
    </w:p>
    <w:p w14:paraId="1E10CF7E" w14:textId="77777777" w:rsidR="00000000" w:rsidRDefault="00E614A4">
      <w:pPr>
        <w:jc w:val="both"/>
        <w:divId w:val="92752810"/>
        <w:rPr>
          <w:rFonts w:eastAsia="Times New Roman"/>
        </w:rPr>
      </w:pPr>
      <w:r>
        <w:rPr>
          <w:rFonts w:eastAsia="Times New Roman"/>
          <w:i/>
          <w:iCs/>
          <w:color w:val="000000"/>
          <w:sz w:val="20"/>
          <w:szCs w:val="20"/>
        </w:rPr>
        <w:t>Expected volatility —</w:t>
      </w:r>
      <w:r>
        <w:rPr>
          <w:rFonts w:eastAsia="Times New Roman"/>
          <w:color w:val="000000"/>
          <w:sz w:val="20"/>
          <w:szCs w:val="20"/>
        </w:rPr>
        <w:t xml:space="preserve"> Volatility is a measure of the amount by which a financial variable such as a share price has</w:t>
      </w:r>
      <w:r>
        <w:rPr>
          <w:rFonts w:eastAsia="Times New Roman"/>
          <w:color w:val="000000"/>
          <w:sz w:val="20"/>
          <w:szCs w:val="20"/>
        </w:rPr>
        <w:t xml:space="preserve"> fluctuated (historical volatility) or is expected to fluctuate (expected volatility) during a period. The Company considered the historical volatility of its stock price over a term similar to the expected life of the options in determining expected volat</w:t>
      </w:r>
      <w:r>
        <w:rPr>
          <w:rFonts w:eastAsia="Times New Roman"/>
          <w:color w:val="000000"/>
          <w:sz w:val="20"/>
          <w:szCs w:val="20"/>
        </w:rPr>
        <w:t xml:space="preserve">ility. </w:t>
      </w:r>
    </w:p>
    <w:p w14:paraId="05F4E2DA" w14:textId="77777777" w:rsidR="00000000" w:rsidRDefault="00E614A4">
      <w:pPr>
        <w:jc w:val="both"/>
        <w:divId w:val="1542086822"/>
        <w:rPr>
          <w:rFonts w:eastAsia="Times New Roman"/>
        </w:rPr>
      </w:pPr>
      <w:r>
        <w:rPr>
          <w:rFonts w:eastAsia="Times New Roman"/>
          <w:i/>
          <w:iCs/>
          <w:color w:val="000000"/>
          <w:sz w:val="20"/>
          <w:szCs w:val="20"/>
        </w:rPr>
        <w:t>Risk-free interest rate —</w:t>
      </w:r>
      <w:r>
        <w:rPr>
          <w:rFonts w:eastAsia="Times New Roman"/>
          <w:color w:val="000000"/>
          <w:sz w:val="20"/>
          <w:szCs w:val="20"/>
        </w:rPr>
        <w:t xml:space="preserve"> The Company used rates on the grant date of zero-coupon government bonds with maturities over periods covering the term of the awards, converted to continuously compounded forward rates.</w:t>
      </w:r>
    </w:p>
    <w:p w14:paraId="1EAF8303" w14:textId="77777777" w:rsidR="00000000" w:rsidRDefault="00E614A4">
      <w:pPr>
        <w:jc w:val="both"/>
        <w:divId w:val="1922834868"/>
        <w:rPr>
          <w:rFonts w:eastAsia="Times New Roman"/>
        </w:rPr>
      </w:pPr>
      <w:r>
        <w:rPr>
          <w:rFonts w:eastAsia="Times New Roman"/>
          <w:i/>
          <w:iCs/>
          <w:color w:val="000000"/>
          <w:sz w:val="20"/>
          <w:szCs w:val="20"/>
        </w:rPr>
        <w:t>Expected life of the options</w:t>
      </w:r>
      <w:r>
        <w:rPr>
          <w:rFonts w:eastAsia="Times New Roman"/>
          <w:color w:val="000000"/>
          <w:sz w:val="20"/>
          <w:szCs w:val="20"/>
        </w:rPr>
        <w:t xml:space="preserve"> — This</w:t>
      </w:r>
      <w:r>
        <w:rPr>
          <w:rFonts w:eastAsia="Times New Roman"/>
          <w:color w:val="000000"/>
          <w:sz w:val="20"/>
          <w:szCs w:val="20"/>
        </w:rPr>
        <w:t xml:space="preserve"> is the period of time that the options granted are expected to remain outstanding. Options under the Company's plans generally have a contractual term of 10 years and generally must be exercised within 90 days following employee termination.</w:t>
      </w:r>
    </w:p>
    <w:p w14:paraId="4E41DE4F" w14:textId="77777777" w:rsidR="00000000" w:rsidRDefault="00E614A4">
      <w:pPr>
        <w:jc w:val="both"/>
        <w:divId w:val="253444742"/>
        <w:rPr>
          <w:rFonts w:eastAsia="Times New Roman"/>
        </w:rPr>
      </w:pPr>
      <w:r>
        <w:rPr>
          <w:rFonts w:eastAsia="Times New Roman"/>
          <w:color w:val="000000"/>
          <w:sz w:val="20"/>
          <w:szCs w:val="20"/>
        </w:rPr>
        <w:t xml:space="preserve">A summary of </w:t>
      </w:r>
      <w:r>
        <w:rPr>
          <w:rFonts w:eastAsia="Times New Roman"/>
          <w:color w:val="000000"/>
          <w:sz w:val="20"/>
          <w:szCs w:val="20"/>
        </w:rPr>
        <w:t>the options granted, exercised, forfeited and expired during the years ended December 31, 2020, 2019 and 2018 is presented below:</w:t>
      </w:r>
    </w:p>
    <w:tbl>
      <w:tblPr>
        <w:tblW w:w="5000" w:type="pct"/>
        <w:tblCellMar>
          <w:top w:w="15" w:type="dxa"/>
          <w:left w:w="15" w:type="dxa"/>
          <w:bottom w:w="15" w:type="dxa"/>
          <w:right w:w="15" w:type="dxa"/>
        </w:tblCellMar>
        <w:tblLook w:val="04A0" w:firstRow="1" w:lastRow="0" w:firstColumn="1" w:lastColumn="0" w:noHBand="0" w:noVBand="1"/>
      </w:tblPr>
      <w:tblGrid>
        <w:gridCol w:w="48"/>
        <w:gridCol w:w="5897"/>
        <w:gridCol w:w="37"/>
        <w:gridCol w:w="65"/>
        <w:gridCol w:w="975"/>
        <w:gridCol w:w="36"/>
        <w:gridCol w:w="36"/>
        <w:gridCol w:w="36"/>
        <w:gridCol w:w="36"/>
        <w:gridCol w:w="111"/>
        <w:gridCol w:w="993"/>
        <w:gridCol w:w="36"/>
      </w:tblGrid>
      <w:tr w:rsidR="00000000" w14:paraId="2FD8869D" w14:textId="77777777">
        <w:trPr>
          <w:divId w:val="1133325050"/>
        </w:trPr>
        <w:tc>
          <w:tcPr>
            <w:tcW w:w="50" w:type="pct"/>
            <w:vAlign w:val="center"/>
            <w:hideMark/>
          </w:tcPr>
          <w:p w14:paraId="4FFA5CD5" w14:textId="77777777" w:rsidR="00000000" w:rsidRDefault="00E614A4">
            <w:pPr>
              <w:jc w:val="both"/>
              <w:rPr>
                <w:rFonts w:eastAsia="Times New Roman"/>
              </w:rPr>
            </w:pPr>
          </w:p>
        </w:tc>
        <w:tc>
          <w:tcPr>
            <w:tcW w:w="3570" w:type="pct"/>
            <w:vAlign w:val="center"/>
            <w:hideMark/>
          </w:tcPr>
          <w:p w14:paraId="52C832F1" w14:textId="77777777" w:rsidR="00000000" w:rsidRDefault="00E614A4">
            <w:pPr>
              <w:rPr>
                <w:rFonts w:eastAsia="Times New Roman"/>
                <w:sz w:val="20"/>
                <w:szCs w:val="20"/>
              </w:rPr>
            </w:pPr>
          </w:p>
        </w:tc>
        <w:tc>
          <w:tcPr>
            <w:tcW w:w="5" w:type="pct"/>
            <w:vAlign w:val="center"/>
            <w:hideMark/>
          </w:tcPr>
          <w:p w14:paraId="6557200A" w14:textId="77777777" w:rsidR="00000000" w:rsidRDefault="00E614A4">
            <w:pPr>
              <w:rPr>
                <w:rFonts w:eastAsia="Times New Roman"/>
                <w:sz w:val="20"/>
                <w:szCs w:val="20"/>
              </w:rPr>
            </w:pPr>
          </w:p>
        </w:tc>
        <w:tc>
          <w:tcPr>
            <w:tcW w:w="50" w:type="pct"/>
            <w:vAlign w:val="center"/>
            <w:hideMark/>
          </w:tcPr>
          <w:p w14:paraId="5A750D54" w14:textId="77777777" w:rsidR="00000000" w:rsidRDefault="00E614A4">
            <w:pPr>
              <w:rPr>
                <w:rFonts w:eastAsia="Times New Roman"/>
                <w:sz w:val="20"/>
                <w:szCs w:val="20"/>
              </w:rPr>
            </w:pPr>
          </w:p>
        </w:tc>
        <w:tc>
          <w:tcPr>
            <w:tcW w:w="618" w:type="pct"/>
            <w:vAlign w:val="center"/>
            <w:hideMark/>
          </w:tcPr>
          <w:p w14:paraId="578D265B" w14:textId="77777777" w:rsidR="00000000" w:rsidRDefault="00E614A4">
            <w:pPr>
              <w:rPr>
                <w:rFonts w:eastAsia="Times New Roman"/>
                <w:sz w:val="20"/>
                <w:szCs w:val="20"/>
              </w:rPr>
            </w:pPr>
          </w:p>
        </w:tc>
        <w:tc>
          <w:tcPr>
            <w:tcW w:w="5" w:type="pct"/>
            <w:vAlign w:val="center"/>
            <w:hideMark/>
          </w:tcPr>
          <w:p w14:paraId="5D055EE7" w14:textId="77777777" w:rsidR="00000000" w:rsidRDefault="00E614A4">
            <w:pPr>
              <w:rPr>
                <w:rFonts w:eastAsia="Times New Roman"/>
                <w:sz w:val="20"/>
                <w:szCs w:val="20"/>
              </w:rPr>
            </w:pPr>
          </w:p>
        </w:tc>
        <w:tc>
          <w:tcPr>
            <w:tcW w:w="5" w:type="pct"/>
            <w:vAlign w:val="center"/>
            <w:hideMark/>
          </w:tcPr>
          <w:p w14:paraId="3216A8B3" w14:textId="77777777" w:rsidR="00000000" w:rsidRDefault="00E614A4">
            <w:pPr>
              <w:rPr>
                <w:rFonts w:eastAsia="Times New Roman"/>
                <w:sz w:val="20"/>
                <w:szCs w:val="20"/>
              </w:rPr>
            </w:pPr>
          </w:p>
        </w:tc>
        <w:tc>
          <w:tcPr>
            <w:tcW w:w="17" w:type="pct"/>
            <w:vAlign w:val="center"/>
            <w:hideMark/>
          </w:tcPr>
          <w:p w14:paraId="2A529A45" w14:textId="77777777" w:rsidR="00000000" w:rsidRDefault="00E614A4">
            <w:pPr>
              <w:rPr>
                <w:rFonts w:eastAsia="Times New Roman"/>
                <w:sz w:val="20"/>
                <w:szCs w:val="20"/>
              </w:rPr>
            </w:pPr>
          </w:p>
        </w:tc>
        <w:tc>
          <w:tcPr>
            <w:tcW w:w="5" w:type="pct"/>
            <w:vAlign w:val="center"/>
            <w:hideMark/>
          </w:tcPr>
          <w:p w14:paraId="3DF5083B" w14:textId="77777777" w:rsidR="00000000" w:rsidRDefault="00E614A4">
            <w:pPr>
              <w:rPr>
                <w:rFonts w:eastAsia="Times New Roman"/>
                <w:sz w:val="20"/>
                <w:szCs w:val="20"/>
              </w:rPr>
            </w:pPr>
          </w:p>
        </w:tc>
        <w:tc>
          <w:tcPr>
            <w:tcW w:w="50" w:type="pct"/>
            <w:vAlign w:val="center"/>
            <w:hideMark/>
          </w:tcPr>
          <w:p w14:paraId="7C499DFD" w14:textId="77777777" w:rsidR="00000000" w:rsidRDefault="00E614A4">
            <w:pPr>
              <w:rPr>
                <w:rFonts w:eastAsia="Times New Roman"/>
                <w:sz w:val="20"/>
                <w:szCs w:val="20"/>
              </w:rPr>
            </w:pPr>
          </w:p>
        </w:tc>
        <w:tc>
          <w:tcPr>
            <w:tcW w:w="618" w:type="pct"/>
            <w:vAlign w:val="center"/>
            <w:hideMark/>
          </w:tcPr>
          <w:p w14:paraId="2F3EFBF5" w14:textId="77777777" w:rsidR="00000000" w:rsidRDefault="00E614A4">
            <w:pPr>
              <w:rPr>
                <w:rFonts w:eastAsia="Times New Roman"/>
                <w:sz w:val="20"/>
                <w:szCs w:val="20"/>
              </w:rPr>
            </w:pPr>
          </w:p>
        </w:tc>
        <w:tc>
          <w:tcPr>
            <w:tcW w:w="5" w:type="pct"/>
            <w:vAlign w:val="center"/>
            <w:hideMark/>
          </w:tcPr>
          <w:p w14:paraId="1E54A206" w14:textId="77777777" w:rsidR="00000000" w:rsidRDefault="00E614A4">
            <w:pPr>
              <w:rPr>
                <w:rFonts w:eastAsia="Times New Roman"/>
                <w:sz w:val="20"/>
                <w:szCs w:val="20"/>
              </w:rPr>
            </w:pPr>
          </w:p>
        </w:tc>
      </w:tr>
      <w:tr w:rsidR="00000000" w14:paraId="6EEE86DD" w14:textId="77777777">
        <w:trPr>
          <w:divId w:val="1133325050"/>
        </w:trPr>
        <w:tc>
          <w:tcPr>
            <w:tcW w:w="0" w:type="auto"/>
            <w:gridSpan w:val="3"/>
            <w:tcMar>
              <w:top w:w="0" w:type="dxa"/>
              <w:left w:w="20" w:type="dxa"/>
              <w:bottom w:w="0" w:type="dxa"/>
              <w:right w:w="20" w:type="dxa"/>
            </w:tcMar>
            <w:vAlign w:val="center"/>
            <w:hideMark/>
          </w:tcPr>
          <w:p w14:paraId="20B104FC" w14:textId="77777777" w:rsidR="00000000" w:rsidRDefault="00E614A4">
            <w:pPr>
              <w:rPr>
                <w:rFonts w:eastAsia="Times New Roman"/>
                <w:sz w:val="20"/>
                <w:szCs w:val="20"/>
              </w:rPr>
            </w:pPr>
          </w:p>
        </w:tc>
        <w:tc>
          <w:tcPr>
            <w:tcW w:w="0" w:type="auto"/>
            <w:gridSpan w:val="3"/>
            <w:tcMar>
              <w:top w:w="30" w:type="dxa"/>
              <w:left w:w="20" w:type="dxa"/>
              <w:bottom w:w="30" w:type="dxa"/>
              <w:right w:w="20" w:type="dxa"/>
            </w:tcMar>
            <w:vAlign w:val="bottom"/>
            <w:hideMark/>
          </w:tcPr>
          <w:p w14:paraId="42190A1E" w14:textId="77777777" w:rsidR="00000000" w:rsidRDefault="00E614A4">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14:paraId="55A6012E"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5C882B35" w14:textId="77777777" w:rsidR="00000000" w:rsidRDefault="00E614A4">
            <w:pPr>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Exercise Price</w:t>
            </w:r>
          </w:p>
        </w:tc>
      </w:tr>
      <w:tr w:rsidR="00000000" w14:paraId="7A508971" w14:textId="77777777">
        <w:trPr>
          <w:divId w:val="1133325050"/>
        </w:trPr>
        <w:tc>
          <w:tcPr>
            <w:tcW w:w="0" w:type="auto"/>
            <w:gridSpan w:val="3"/>
            <w:vAlign w:val="center"/>
            <w:hideMark/>
          </w:tcPr>
          <w:p w14:paraId="4FB8BABB" w14:textId="77777777" w:rsidR="00000000" w:rsidRDefault="00E614A4">
            <w:pPr>
              <w:jc w:val="center"/>
              <w:rPr>
                <w:rFonts w:eastAsia="Times New Roman"/>
              </w:rPr>
            </w:pPr>
          </w:p>
        </w:tc>
        <w:tc>
          <w:tcPr>
            <w:tcW w:w="0" w:type="auto"/>
            <w:gridSpan w:val="3"/>
            <w:vAlign w:val="center"/>
            <w:hideMark/>
          </w:tcPr>
          <w:p w14:paraId="7CE067E1" w14:textId="77777777" w:rsidR="00000000" w:rsidRDefault="00E614A4">
            <w:pPr>
              <w:rPr>
                <w:rFonts w:eastAsia="Times New Roman"/>
                <w:sz w:val="20"/>
                <w:szCs w:val="20"/>
              </w:rPr>
            </w:pPr>
          </w:p>
        </w:tc>
        <w:tc>
          <w:tcPr>
            <w:tcW w:w="0" w:type="auto"/>
            <w:gridSpan w:val="3"/>
            <w:vAlign w:val="center"/>
            <w:hideMark/>
          </w:tcPr>
          <w:p w14:paraId="47FE1BAC" w14:textId="77777777" w:rsidR="00000000" w:rsidRDefault="00E614A4">
            <w:pPr>
              <w:rPr>
                <w:rFonts w:eastAsia="Times New Roman"/>
                <w:sz w:val="20"/>
                <w:szCs w:val="20"/>
              </w:rPr>
            </w:pPr>
          </w:p>
        </w:tc>
        <w:tc>
          <w:tcPr>
            <w:tcW w:w="0" w:type="auto"/>
            <w:gridSpan w:val="3"/>
            <w:vAlign w:val="center"/>
            <w:hideMark/>
          </w:tcPr>
          <w:p w14:paraId="7A7875EA" w14:textId="77777777" w:rsidR="00000000" w:rsidRDefault="00E614A4">
            <w:pPr>
              <w:rPr>
                <w:rFonts w:eastAsia="Times New Roman"/>
                <w:sz w:val="20"/>
                <w:szCs w:val="20"/>
              </w:rPr>
            </w:pPr>
          </w:p>
        </w:tc>
      </w:tr>
      <w:tr w:rsidR="00000000" w14:paraId="441ECDC6" w14:textId="77777777">
        <w:trPr>
          <w:divId w:val="1133325050"/>
        </w:trPr>
        <w:tc>
          <w:tcPr>
            <w:tcW w:w="0" w:type="auto"/>
            <w:gridSpan w:val="3"/>
            <w:vAlign w:val="center"/>
            <w:hideMark/>
          </w:tcPr>
          <w:p w14:paraId="7EB5A291" w14:textId="77777777" w:rsidR="00000000" w:rsidRDefault="00E614A4">
            <w:pPr>
              <w:rPr>
                <w:rFonts w:eastAsia="Times New Roman"/>
                <w:sz w:val="20"/>
                <w:szCs w:val="20"/>
              </w:rPr>
            </w:pPr>
          </w:p>
        </w:tc>
        <w:tc>
          <w:tcPr>
            <w:tcW w:w="0" w:type="auto"/>
            <w:gridSpan w:val="3"/>
            <w:vAlign w:val="center"/>
            <w:hideMark/>
          </w:tcPr>
          <w:p w14:paraId="192A91E2" w14:textId="77777777" w:rsidR="00000000" w:rsidRDefault="00E614A4">
            <w:pPr>
              <w:rPr>
                <w:rFonts w:eastAsia="Times New Roman"/>
                <w:sz w:val="20"/>
                <w:szCs w:val="20"/>
              </w:rPr>
            </w:pPr>
          </w:p>
        </w:tc>
        <w:tc>
          <w:tcPr>
            <w:tcW w:w="0" w:type="auto"/>
            <w:gridSpan w:val="3"/>
            <w:vAlign w:val="center"/>
            <w:hideMark/>
          </w:tcPr>
          <w:p w14:paraId="112B52A9" w14:textId="77777777" w:rsidR="00000000" w:rsidRDefault="00E614A4">
            <w:pPr>
              <w:rPr>
                <w:rFonts w:eastAsia="Times New Roman"/>
                <w:sz w:val="20"/>
                <w:szCs w:val="20"/>
              </w:rPr>
            </w:pPr>
          </w:p>
        </w:tc>
        <w:tc>
          <w:tcPr>
            <w:tcW w:w="0" w:type="auto"/>
            <w:gridSpan w:val="3"/>
            <w:vAlign w:val="center"/>
            <w:hideMark/>
          </w:tcPr>
          <w:p w14:paraId="460EE2C7" w14:textId="77777777" w:rsidR="00000000" w:rsidRDefault="00E614A4">
            <w:pPr>
              <w:rPr>
                <w:rFonts w:eastAsia="Times New Roman"/>
                <w:sz w:val="20"/>
                <w:szCs w:val="20"/>
              </w:rPr>
            </w:pPr>
          </w:p>
        </w:tc>
      </w:tr>
      <w:tr w:rsidR="00000000" w14:paraId="1B7E4CC7" w14:textId="77777777">
        <w:trPr>
          <w:divId w:val="1133325050"/>
        </w:trPr>
        <w:tc>
          <w:tcPr>
            <w:tcW w:w="0" w:type="auto"/>
            <w:gridSpan w:val="3"/>
            <w:vAlign w:val="center"/>
            <w:hideMark/>
          </w:tcPr>
          <w:p w14:paraId="6CC90AD4" w14:textId="77777777" w:rsidR="00000000" w:rsidRDefault="00E614A4">
            <w:pPr>
              <w:rPr>
                <w:rFonts w:eastAsia="Times New Roman"/>
                <w:sz w:val="20"/>
                <w:szCs w:val="20"/>
              </w:rPr>
            </w:pPr>
          </w:p>
        </w:tc>
        <w:tc>
          <w:tcPr>
            <w:tcW w:w="0" w:type="auto"/>
            <w:gridSpan w:val="3"/>
            <w:vAlign w:val="center"/>
            <w:hideMark/>
          </w:tcPr>
          <w:p w14:paraId="77B1686A" w14:textId="77777777" w:rsidR="00000000" w:rsidRDefault="00E614A4">
            <w:pPr>
              <w:rPr>
                <w:rFonts w:eastAsia="Times New Roman"/>
                <w:sz w:val="20"/>
                <w:szCs w:val="20"/>
              </w:rPr>
            </w:pPr>
          </w:p>
        </w:tc>
        <w:tc>
          <w:tcPr>
            <w:tcW w:w="0" w:type="auto"/>
            <w:gridSpan w:val="3"/>
            <w:vAlign w:val="center"/>
            <w:hideMark/>
          </w:tcPr>
          <w:p w14:paraId="6BFF9F05" w14:textId="77777777" w:rsidR="00000000" w:rsidRDefault="00E614A4">
            <w:pPr>
              <w:rPr>
                <w:rFonts w:eastAsia="Times New Roman"/>
                <w:sz w:val="20"/>
                <w:szCs w:val="20"/>
              </w:rPr>
            </w:pPr>
          </w:p>
        </w:tc>
        <w:tc>
          <w:tcPr>
            <w:tcW w:w="0" w:type="auto"/>
            <w:gridSpan w:val="3"/>
            <w:vAlign w:val="center"/>
            <w:hideMark/>
          </w:tcPr>
          <w:p w14:paraId="48846E0A" w14:textId="77777777" w:rsidR="00000000" w:rsidRDefault="00E614A4">
            <w:pPr>
              <w:rPr>
                <w:rFonts w:eastAsia="Times New Roman"/>
                <w:sz w:val="20"/>
                <w:szCs w:val="20"/>
              </w:rPr>
            </w:pPr>
          </w:p>
        </w:tc>
      </w:tr>
      <w:tr w:rsidR="00000000" w14:paraId="2284FB65" w14:textId="77777777">
        <w:trPr>
          <w:divId w:val="1133325050"/>
        </w:trPr>
        <w:tc>
          <w:tcPr>
            <w:tcW w:w="0" w:type="auto"/>
            <w:gridSpan w:val="3"/>
            <w:vAlign w:val="center"/>
            <w:hideMark/>
          </w:tcPr>
          <w:p w14:paraId="57542B49" w14:textId="77777777" w:rsidR="00000000" w:rsidRDefault="00E614A4">
            <w:pPr>
              <w:rPr>
                <w:rFonts w:eastAsia="Times New Roman"/>
                <w:sz w:val="20"/>
                <w:szCs w:val="20"/>
              </w:rPr>
            </w:pPr>
          </w:p>
        </w:tc>
        <w:tc>
          <w:tcPr>
            <w:tcW w:w="0" w:type="auto"/>
            <w:gridSpan w:val="3"/>
            <w:vAlign w:val="center"/>
            <w:hideMark/>
          </w:tcPr>
          <w:p w14:paraId="530D63D0" w14:textId="77777777" w:rsidR="00000000" w:rsidRDefault="00E614A4">
            <w:pPr>
              <w:rPr>
                <w:rFonts w:eastAsia="Times New Roman"/>
                <w:sz w:val="20"/>
                <w:szCs w:val="20"/>
              </w:rPr>
            </w:pPr>
          </w:p>
        </w:tc>
        <w:tc>
          <w:tcPr>
            <w:tcW w:w="0" w:type="auto"/>
            <w:gridSpan w:val="3"/>
            <w:vAlign w:val="center"/>
            <w:hideMark/>
          </w:tcPr>
          <w:p w14:paraId="43BB09AA" w14:textId="77777777" w:rsidR="00000000" w:rsidRDefault="00E614A4">
            <w:pPr>
              <w:rPr>
                <w:rFonts w:eastAsia="Times New Roman"/>
                <w:sz w:val="20"/>
                <w:szCs w:val="20"/>
              </w:rPr>
            </w:pPr>
          </w:p>
        </w:tc>
        <w:tc>
          <w:tcPr>
            <w:tcW w:w="0" w:type="auto"/>
            <w:gridSpan w:val="3"/>
            <w:vAlign w:val="center"/>
            <w:hideMark/>
          </w:tcPr>
          <w:p w14:paraId="796E9632" w14:textId="77777777" w:rsidR="00000000" w:rsidRDefault="00E614A4">
            <w:pPr>
              <w:rPr>
                <w:rFonts w:eastAsia="Times New Roman"/>
                <w:sz w:val="20"/>
                <w:szCs w:val="20"/>
              </w:rPr>
            </w:pPr>
          </w:p>
        </w:tc>
      </w:tr>
      <w:tr w:rsidR="00000000" w14:paraId="41C2E8FC" w14:textId="77777777">
        <w:trPr>
          <w:divId w:val="1133325050"/>
        </w:trPr>
        <w:tc>
          <w:tcPr>
            <w:tcW w:w="0" w:type="auto"/>
            <w:gridSpan w:val="3"/>
            <w:vAlign w:val="center"/>
            <w:hideMark/>
          </w:tcPr>
          <w:p w14:paraId="62AD15A6" w14:textId="77777777" w:rsidR="00000000" w:rsidRDefault="00E614A4">
            <w:pPr>
              <w:rPr>
                <w:rFonts w:eastAsia="Times New Roman"/>
                <w:sz w:val="20"/>
                <w:szCs w:val="20"/>
              </w:rPr>
            </w:pPr>
          </w:p>
        </w:tc>
        <w:tc>
          <w:tcPr>
            <w:tcW w:w="0" w:type="auto"/>
            <w:gridSpan w:val="3"/>
            <w:vAlign w:val="center"/>
            <w:hideMark/>
          </w:tcPr>
          <w:p w14:paraId="252477D8" w14:textId="77777777" w:rsidR="00000000" w:rsidRDefault="00E614A4">
            <w:pPr>
              <w:rPr>
                <w:rFonts w:eastAsia="Times New Roman"/>
                <w:sz w:val="20"/>
                <w:szCs w:val="20"/>
              </w:rPr>
            </w:pPr>
          </w:p>
        </w:tc>
        <w:tc>
          <w:tcPr>
            <w:tcW w:w="0" w:type="auto"/>
            <w:gridSpan w:val="3"/>
            <w:vAlign w:val="center"/>
            <w:hideMark/>
          </w:tcPr>
          <w:p w14:paraId="03165A96" w14:textId="77777777" w:rsidR="00000000" w:rsidRDefault="00E614A4">
            <w:pPr>
              <w:rPr>
                <w:rFonts w:eastAsia="Times New Roman"/>
                <w:sz w:val="20"/>
                <w:szCs w:val="20"/>
              </w:rPr>
            </w:pPr>
          </w:p>
        </w:tc>
        <w:tc>
          <w:tcPr>
            <w:tcW w:w="0" w:type="auto"/>
            <w:gridSpan w:val="3"/>
            <w:vAlign w:val="center"/>
            <w:hideMark/>
          </w:tcPr>
          <w:p w14:paraId="0B9DDA0D" w14:textId="77777777" w:rsidR="00000000" w:rsidRDefault="00E614A4">
            <w:pPr>
              <w:rPr>
                <w:rFonts w:eastAsia="Times New Roman"/>
                <w:sz w:val="20"/>
                <w:szCs w:val="20"/>
              </w:rPr>
            </w:pPr>
          </w:p>
        </w:tc>
      </w:tr>
      <w:tr w:rsidR="00000000" w14:paraId="3579A88D" w14:textId="77777777">
        <w:trPr>
          <w:divId w:val="1133325050"/>
        </w:trPr>
        <w:tc>
          <w:tcPr>
            <w:tcW w:w="0" w:type="auto"/>
            <w:gridSpan w:val="3"/>
            <w:vAlign w:val="center"/>
            <w:hideMark/>
          </w:tcPr>
          <w:p w14:paraId="6D70E839" w14:textId="77777777" w:rsidR="00000000" w:rsidRDefault="00E614A4">
            <w:pPr>
              <w:rPr>
                <w:rFonts w:eastAsia="Times New Roman"/>
                <w:sz w:val="20"/>
                <w:szCs w:val="20"/>
              </w:rPr>
            </w:pPr>
          </w:p>
        </w:tc>
        <w:tc>
          <w:tcPr>
            <w:tcW w:w="0" w:type="auto"/>
            <w:gridSpan w:val="3"/>
            <w:vAlign w:val="center"/>
            <w:hideMark/>
          </w:tcPr>
          <w:p w14:paraId="1F89B7B6" w14:textId="77777777" w:rsidR="00000000" w:rsidRDefault="00E614A4">
            <w:pPr>
              <w:rPr>
                <w:rFonts w:eastAsia="Times New Roman"/>
                <w:sz w:val="20"/>
                <w:szCs w:val="20"/>
              </w:rPr>
            </w:pPr>
          </w:p>
        </w:tc>
        <w:tc>
          <w:tcPr>
            <w:tcW w:w="0" w:type="auto"/>
            <w:gridSpan w:val="3"/>
            <w:vAlign w:val="center"/>
            <w:hideMark/>
          </w:tcPr>
          <w:p w14:paraId="01599544" w14:textId="77777777" w:rsidR="00000000" w:rsidRDefault="00E614A4">
            <w:pPr>
              <w:rPr>
                <w:rFonts w:eastAsia="Times New Roman"/>
                <w:sz w:val="20"/>
                <w:szCs w:val="20"/>
              </w:rPr>
            </w:pPr>
          </w:p>
        </w:tc>
        <w:tc>
          <w:tcPr>
            <w:tcW w:w="0" w:type="auto"/>
            <w:gridSpan w:val="3"/>
            <w:vAlign w:val="center"/>
            <w:hideMark/>
          </w:tcPr>
          <w:p w14:paraId="64C00481" w14:textId="77777777" w:rsidR="00000000" w:rsidRDefault="00E614A4">
            <w:pPr>
              <w:rPr>
                <w:rFonts w:eastAsia="Times New Roman"/>
                <w:sz w:val="20"/>
                <w:szCs w:val="20"/>
              </w:rPr>
            </w:pPr>
          </w:p>
        </w:tc>
      </w:tr>
      <w:tr w:rsidR="00000000" w14:paraId="0214DFCF" w14:textId="77777777">
        <w:trPr>
          <w:divId w:val="1133325050"/>
        </w:trPr>
        <w:tc>
          <w:tcPr>
            <w:tcW w:w="0" w:type="auto"/>
            <w:gridSpan w:val="3"/>
            <w:vAlign w:val="center"/>
            <w:hideMark/>
          </w:tcPr>
          <w:p w14:paraId="1743E671" w14:textId="77777777" w:rsidR="00000000" w:rsidRDefault="00E614A4">
            <w:pPr>
              <w:rPr>
                <w:rFonts w:eastAsia="Times New Roman"/>
                <w:sz w:val="20"/>
                <w:szCs w:val="20"/>
              </w:rPr>
            </w:pPr>
          </w:p>
        </w:tc>
        <w:tc>
          <w:tcPr>
            <w:tcW w:w="0" w:type="auto"/>
            <w:gridSpan w:val="3"/>
            <w:vAlign w:val="center"/>
            <w:hideMark/>
          </w:tcPr>
          <w:p w14:paraId="22EC3FE4" w14:textId="77777777" w:rsidR="00000000" w:rsidRDefault="00E614A4">
            <w:pPr>
              <w:rPr>
                <w:rFonts w:eastAsia="Times New Roman"/>
                <w:sz w:val="20"/>
                <w:szCs w:val="20"/>
              </w:rPr>
            </w:pPr>
          </w:p>
        </w:tc>
        <w:tc>
          <w:tcPr>
            <w:tcW w:w="0" w:type="auto"/>
            <w:gridSpan w:val="3"/>
            <w:vAlign w:val="center"/>
            <w:hideMark/>
          </w:tcPr>
          <w:p w14:paraId="5C5BC234" w14:textId="77777777" w:rsidR="00000000" w:rsidRDefault="00E614A4">
            <w:pPr>
              <w:rPr>
                <w:rFonts w:eastAsia="Times New Roman"/>
                <w:sz w:val="20"/>
                <w:szCs w:val="20"/>
              </w:rPr>
            </w:pPr>
          </w:p>
        </w:tc>
        <w:tc>
          <w:tcPr>
            <w:tcW w:w="0" w:type="auto"/>
            <w:gridSpan w:val="3"/>
            <w:vAlign w:val="center"/>
            <w:hideMark/>
          </w:tcPr>
          <w:p w14:paraId="47361D75" w14:textId="77777777" w:rsidR="00000000" w:rsidRDefault="00E614A4">
            <w:pPr>
              <w:rPr>
                <w:rFonts w:eastAsia="Times New Roman"/>
                <w:sz w:val="20"/>
                <w:szCs w:val="20"/>
              </w:rPr>
            </w:pPr>
          </w:p>
        </w:tc>
      </w:tr>
      <w:tr w:rsidR="00000000" w14:paraId="264B3251" w14:textId="77777777">
        <w:trPr>
          <w:divId w:val="1133325050"/>
        </w:trPr>
        <w:tc>
          <w:tcPr>
            <w:tcW w:w="0" w:type="auto"/>
            <w:gridSpan w:val="3"/>
            <w:vAlign w:val="center"/>
            <w:hideMark/>
          </w:tcPr>
          <w:p w14:paraId="75DAB48E" w14:textId="77777777" w:rsidR="00000000" w:rsidRDefault="00E614A4">
            <w:pPr>
              <w:rPr>
                <w:rFonts w:eastAsia="Times New Roman"/>
                <w:sz w:val="20"/>
                <w:szCs w:val="20"/>
              </w:rPr>
            </w:pPr>
          </w:p>
        </w:tc>
        <w:tc>
          <w:tcPr>
            <w:tcW w:w="0" w:type="auto"/>
            <w:gridSpan w:val="3"/>
            <w:vAlign w:val="center"/>
            <w:hideMark/>
          </w:tcPr>
          <w:p w14:paraId="624D99CE" w14:textId="77777777" w:rsidR="00000000" w:rsidRDefault="00E614A4">
            <w:pPr>
              <w:rPr>
                <w:rFonts w:eastAsia="Times New Roman"/>
                <w:sz w:val="20"/>
                <w:szCs w:val="20"/>
              </w:rPr>
            </w:pPr>
          </w:p>
        </w:tc>
        <w:tc>
          <w:tcPr>
            <w:tcW w:w="0" w:type="auto"/>
            <w:gridSpan w:val="3"/>
            <w:vAlign w:val="center"/>
            <w:hideMark/>
          </w:tcPr>
          <w:p w14:paraId="56126C18" w14:textId="77777777" w:rsidR="00000000" w:rsidRDefault="00E614A4">
            <w:pPr>
              <w:rPr>
                <w:rFonts w:eastAsia="Times New Roman"/>
                <w:sz w:val="20"/>
                <w:szCs w:val="20"/>
              </w:rPr>
            </w:pPr>
          </w:p>
        </w:tc>
        <w:tc>
          <w:tcPr>
            <w:tcW w:w="0" w:type="auto"/>
            <w:gridSpan w:val="3"/>
            <w:vAlign w:val="center"/>
            <w:hideMark/>
          </w:tcPr>
          <w:p w14:paraId="1BC9C304" w14:textId="77777777" w:rsidR="00000000" w:rsidRDefault="00E614A4">
            <w:pPr>
              <w:rPr>
                <w:rFonts w:eastAsia="Times New Roman"/>
                <w:sz w:val="20"/>
                <w:szCs w:val="20"/>
              </w:rPr>
            </w:pPr>
          </w:p>
        </w:tc>
      </w:tr>
      <w:tr w:rsidR="00000000" w14:paraId="25C52E61" w14:textId="77777777">
        <w:trPr>
          <w:divId w:val="1133325050"/>
        </w:trPr>
        <w:tc>
          <w:tcPr>
            <w:tcW w:w="0" w:type="auto"/>
            <w:gridSpan w:val="3"/>
            <w:vAlign w:val="center"/>
            <w:hideMark/>
          </w:tcPr>
          <w:p w14:paraId="2DD61A4E" w14:textId="77777777" w:rsidR="00000000" w:rsidRDefault="00E614A4">
            <w:pPr>
              <w:rPr>
                <w:rFonts w:eastAsia="Times New Roman"/>
                <w:sz w:val="20"/>
                <w:szCs w:val="20"/>
              </w:rPr>
            </w:pPr>
          </w:p>
        </w:tc>
        <w:tc>
          <w:tcPr>
            <w:tcW w:w="0" w:type="auto"/>
            <w:gridSpan w:val="3"/>
            <w:vAlign w:val="center"/>
            <w:hideMark/>
          </w:tcPr>
          <w:p w14:paraId="09BBE3C1" w14:textId="77777777" w:rsidR="00000000" w:rsidRDefault="00E614A4">
            <w:pPr>
              <w:rPr>
                <w:rFonts w:eastAsia="Times New Roman"/>
                <w:sz w:val="20"/>
                <w:szCs w:val="20"/>
              </w:rPr>
            </w:pPr>
          </w:p>
        </w:tc>
        <w:tc>
          <w:tcPr>
            <w:tcW w:w="0" w:type="auto"/>
            <w:gridSpan w:val="3"/>
            <w:vAlign w:val="center"/>
            <w:hideMark/>
          </w:tcPr>
          <w:p w14:paraId="081D062F" w14:textId="77777777" w:rsidR="00000000" w:rsidRDefault="00E614A4">
            <w:pPr>
              <w:rPr>
                <w:rFonts w:eastAsia="Times New Roman"/>
                <w:sz w:val="20"/>
                <w:szCs w:val="20"/>
              </w:rPr>
            </w:pPr>
          </w:p>
        </w:tc>
        <w:tc>
          <w:tcPr>
            <w:tcW w:w="0" w:type="auto"/>
            <w:gridSpan w:val="3"/>
            <w:vAlign w:val="center"/>
            <w:hideMark/>
          </w:tcPr>
          <w:p w14:paraId="5C82ECD9" w14:textId="77777777" w:rsidR="00000000" w:rsidRDefault="00E614A4">
            <w:pPr>
              <w:rPr>
                <w:rFonts w:eastAsia="Times New Roman"/>
                <w:sz w:val="20"/>
                <w:szCs w:val="20"/>
              </w:rPr>
            </w:pPr>
          </w:p>
        </w:tc>
      </w:tr>
      <w:tr w:rsidR="00000000" w14:paraId="4262B2C8" w14:textId="77777777">
        <w:trPr>
          <w:divId w:val="1133325050"/>
        </w:trPr>
        <w:tc>
          <w:tcPr>
            <w:tcW w:w="0" w:type="auto"/>
            <w:gridSpan w:val="3"/>
            <w:vAlign w:val="center"/>
            <w:hideMark/>
          </w:tcPr>
          <w:p w14:paraId="18910825" w14:textId="77777777" w:rsidR="00000000" w:rsidRDefault="00E614A4">
            <w:pPr>
              <w:rPr>
                <w:rFonts w:eastAsia="Times New Roman"/>
                <w:sz w:val="20"/>
                <w:szCs w:val="20"/>
              </w:rPr>
            </w:pPr>
          </w:p>
        </w:tc>
        <w:tc>
          <w:tcPr>
            <w:tcW w:w="0" w:type="auto"/>
            <w:gridSpan w:val="3"/>
            <w:vAlign w:val="center"/>
            <w:hideMark/>
          </w:tcPr>
          <w:p w14:paraId="0EF2432B" w14:textId="77777777" w:rsidR="00000000" w:rsidRDefault="00E614A4">
            <w:pPr>
              <w:rPr>
                <w:rFonts w:eastAsia="Times New Roman"/>
                <w:sz w:val="20"/>
                <w:szCs w:val="20"/>
              </w:rPr>
            </w:pPr>
          </w:p>
        </w:tc>
        <w:tc>
          <w:tcPr>
            <w:tcW w:w="0" w:type="auto"/>
            <w:gridSpan w:val="3"/>
            <w:vAlign w:val="center"/>
            <w:hideMark/>
          </w:tcPr>
          <w:p w14:paraId="7F078649" w14:textId="77777777" w:rsidR="00000000" w:rsidRDefault="00E614A4">
            <w:pPr>
              <w:rPr>
                <w:rFonts w:eastAsia="Times New Roman"/>
                <w:sz w:val="20"/>
                <w:szCs w:val="20"/>
              </w:rPr>
            </w:pPr>
          </w:p>
        </w:tc>
        <w:tc>
          <w:tcPr>
            <w:tcW w:w="0" w:type="auto"/>
            <w:gridSpan w:val="3"/>
            <w:vAlign w:val="center"/>
            <w:hideMark/>
          </w:tcPr>
          <w:p w14:paraId="5EB78B2A" w14:textId="77777777" w:rsidR="00000000" w:rsidRDefault="00E614A4">
            <w:pPr>
              <w:rPr>
                <w:rFonts w:eastAsia="Times New Roman"/>
                <w:sz w:val="20"/>
                <w:szCs w:val="20"/>
              </w:rPr>
            </w:pPr>
          </w:p>
        </w:tc>
      </w:tr>
      <w:tr w:rsidR="00000000" w14:paraId="137975D1" w14:textId="77777777">
        <w:trPr>
          <w:divId w:val="1133325050"/>
        </w:trPr>
        <w:tc>
          <w:tcPr>
            <w:tcW w:w="0" w:type="auto"/>
            <w:gridSpan w:val="3"/>
            <w:vAlign w:val="center"/>
            <w:hideMark/>
          </w:tcPr>
          <w:p w14:paraId="5F718B68" w14:textId="77777777" w:rsidR="00000000" w:rsidRDefault="00E614A4">
            <w:pPr>
              <w:rPr>
                <w:rFonts w:eastAsia="Times New Roman"/>
                <w:sz w:val="20"/>
                <w:szCs w:val="20"/>
              </w:rPr>
            </w:pPr>
          </w:p>
        </w:tc>
        <w:tc>
          <w:tcPr>
            <w:tcW w:w="0" w:type="auto"/>
            <w:gridSpan w:val="3"/>
            <w:vAlign w:val="center"/>
            <w:hideMark/>
          </w:tcPr>
          <w:p w14:paraId="21FDEC13" w14:textId="77777777" w:rsidR="00000000" w:rsidRDefault="00E614A4">
            <w:pPr>
              <w:rPr>
                <w:rFonts w:eastAsia="Times New Roman"/>
                <w:sz w:val="20"/>
                <w:szCs w:val="20"/>
              </w:rPr>
            </w:pPr>
          </w:p>
        </w:tc>
        <w:tc>
          <w:tcPr>
            <w:tcW w:w="0" w:type="auto"/>
            <w:gridSpan w:val="3"/>
            <w:vAlign w:val="center"/>
            <w:hideMark/>
          </w:tcPr>
          <w:p w14:paraId="25565FD5" w14:textId="77777777" w:rsidR="00000000" w:rsidRDefault="00E614A4">
            <w:pPr>
              <w:rPr>
                <w:rFonts w:eastAsia="Times New Roman"/>
                <w:sz w:val="20"/>
                <w:szCs w:val="20"/>
              </w:rPr>
            </w:pPr>
          </w:p>
        </w:tc>
        <w:tc>
          <w:tcPr>
            <w:tcW w:w="0" w:type="auto"/>
            <w:gridSpan w:val="3"/>
            <w:vAlign w:val="center"/>
            <w:hideMark/>
          </w:tcPr>
          <w:p w14:paraId="7DA73A6D" w14:textId="77777777" w:rsidR="00000000" w:rsidRDefault="00E614A4">
            <w:pPr>
              <w:rPr>
                <w:rFonts w:eastAsia="Times New Roman"/>
                <w:sz w:val="20"/>
                <w:szCs w:val="20"/>
              </w:rPr>
            </w:pPr>
          </w:p>
        </w:tc>
      </w:tr>
      <w:tr w:rsidR="00000000" w14:paraId="17462809" w14:textId="77777777">
        <w:trPr>
          <w:divId w:val="1133325050"/>
        </w:trPr>
        <w:tc>
          <w:tcPr>
            <w:tcW w:w="0" w:type="auto"/>
            <w:gridSpan w:val="3"/>
            <w:vAlign w:val="center"/>
            <w:hideMark/>
          </w:tcPr>
          <w:p w14:paraId="35A97D1D" w14:textId="77777777" w:rsidR="00000000" w:rsidRDefault="00E614A4">
            <w:pPr>
              <w:rPr>
                <w:rFonts w:eastAsia="Times New Roman"/>
                <w:sz w:val="20"/>
                <w:szCs w:val="20"/>
              </w:rPr>
            </w:pPr>
          </w:p>
        </w:tc>
        <w:tc>
          <w:tcPr>
            <w:tcW w:w="0" w:type="auto"/>
            <w:gridSpan w:val="3"/>
            <w:vAlign w:val="center"/>
            <w:hideMark/>
          </w:tcPr>
          <w:p w14:paraId="42317F20" w14:textId="77777777" w:rsidR="00000000" w:rsidRDefault="00E614A4">
            <w:pPr>
              <w:rPr>
                <w:rFonts w:eastAsia="Times New Roman"/>
                <w:sz w:val="20"/>
                <w:szCs w:val="20"/>
              </w:rPr>
            </w:pPr>
          </w:p>
        </w:tc>
        <w:tc>
          <w:tcPr>
            <w:tcW w:w="0" w:type="auto"/>
            <w:gridSpan w:val="3"/>
            <w:vAlign w:val="center"/>
            <w:hideMark/>
          </w:tcPr>
          <w:p w14:paraId="7FE6D44D" w14:textId="77777777" w:rsidR="00000000" w:rsidRDefault="00E614A4">
            <w:pPr>
              <w:rPr>
                <w:rFonts w:eastAsia="Times New Roman"/>
                <w:sz w:val="20"/>
                <w:szCs w:val="20"/>
              </w:rPr>
            </w:pPr>
          </w:p>
        </w:tc>
        <w:tc>
          <w:tcPr>
            <w:tcW w:w="0" w:type="auto"/>
            <w:gridSpan w:val="3"/>
            <w:vAlign w:val="center"/>
            <w:hideMark/>
          </w:tcPr>
          <w:p w14:paraId="556B7A78" w14:textId="77777777" w:rsidR="00000000" w:rsidRDefault="00E614A4">
            <w:pPr>
              <w:rPr>
                <w:rFonts w:eastAsia="Times New Roman"/>
                <w:sz w:val="20"/>
                <w:szCs w:val="20"/>
              </w:rPr>
            </w:pPr>
          </w:p>
        </w:tc>
      </w:tr>
      <w:tr w:rsidR="00000000" w14:paraId="1C315BC8" w14:textId="77777777">
        <w:trPr>
          <w:divId w:val="1133325050"/>
        </w:trPr>
        <w:tc>
          <w:tcPr>
            <w:tcW w:w="0" w:type="auto"/>
            <w:gridSpan w:val="3"/>
            <w:vAlign w:val="center"/>
            <w:hideMark/>
          </w:tcPr>
          <w:p w14:paraId="797A9DF5" w14:textId="77777777" w:rsidR="00000000" w:rsidRDefault="00E614A4">
            <w:pPr>
              <w:rPr>
                <w:rFonts w:eastAsia="Times New Roman"/>
                <w:sz w:val="20"/>
                <w:szCs w:val="20"/>
              </w:rPr>
            </w:pPr>
          </w:p>
        </w:tc>
        <w:tc>
          <w:tcPr>
            <w:tcW w:w="0" w:type="auto"/>
            <w:gridSpan w:val="3"/>
            <w:vAlign w:val="center"/>
            <w:hideMark/>
          </w:tcPr>
          <w:p w14:paraId="700AC526" w14:textId="77777777" w:rsidR="00000000" w:rsidRDefault="00E614A4">
            <w:pPr>
              <w:rPr>
                <w:rFonts w:eastAsia="Times New Roman"/>
                <w:sz w:val="20"/>
                <w:szCs w:val="20"/>
              </w:rPr>
            </w:pPr>
          </w:p>
        </w:tc>
        <w:tc>
          <w:tcPr>
            <w:tcW w:w="0" w:type="auto"/>
            <w:gridSpan w:val="3"/>
            <w:vAlign w:val="center"/>
            <w:hideMark/>
          </w:tcPr>
          <w:p w14:paraId="683A3A77" w14:textId="77777777" w:rsidR="00000000" w:rsidRDefault="00E614A4">
            <w:pPr>
              <w:rPr>
                <w:rFonts w:eastAsia="Times New Roman"/>
                <w:sz w:val="20"/>
                <w:szCs w:val="20"/>
              </w:rPr>
            </w:pPr>
          </w:p>
        </w:tc>
        <w:tc>
          <w:tcPr>
            <w:tcW w:w="0" w:type="auto"/>
            <w:gridSpan w:val="3"/>
            <w:vAlign w:val="center"/>
            <w:hideMark/>
          </w:tcPr>
          <w:p w14:paraId="1CE1C438" w14:textId="77777777" w:rsidR="00000000" w:rsidRDefault="00E614A4">
            <w:pPr>
              <w:rPr>
                <w:rFonts w:eastAsia="Times New Roman"/>
                <w:sz w:val="20"/>
                <w:szCs w:val="20"/>
              </w:rPr>
            </w:pPr>
          </w:p>
        </w:tc>
      </w:tr>
      <w:tr w:rsidR="00000000" w14:paraId="427F097E" w14:textId="77777777">
        <w:trPr>
          <w:divId w:val="1133325050"/>
        </w:trPr>
        <w:tc>
          <w:tcPr>
            <w:tcW w:w="0" w:type="auto"/>
            <w:gridSpan w:val="3"/>
            <w:vAlign w:val="center"/>
            <w:hideMark/>
          </w:tcPr>
          <w:p w14:paraId="2C9ACD6A" w14:textId="77777777" w:rsidR="00000000" w:rsidRDefault="00E614A4">
            <w:pPr>
              <w:rPr>
                <w:rFonts w:eastAsia="Times New Roman"/>
                <w:sz w:val="20"/>
                <w:szCs w:val="20"/>
              </w:rPr>
            </w:pPr>
          </w:p>
        </w:tc>
        <w:tc>
          <w:tcPr>
            <w:tcW w:w="0" w:type="auto"/>
            <w:gridSpan w:val="3"/>
            <w:vAlign w:val="center"/>
            <w:hideMark/>
          </w:tcPr>
          <w:p w14:paraId="49C73978" w14:textId="77777777" w:rsidR="00000000" w:rsidRDefault="00E614A4">
            <w:pPr>
              <w:rPr>
                <w:rFonts w:eastAsia="Times New Roman"/>
                <w:sz w:val="20"/>
                <w:szCs w:val="20"/>
              </w:rPr>
            </w:pPr>
          </w:p>
        </w:tc>
        <w:tc>
          <w:tcPr>
            <w:tcW w:w="0" w:type="auto"/>
            <w:gridSpan w:val="3"/>
            <w:vAlign w:val="center"/>
            <w:hideMark/>
          </w:tcPr>
          <w:p w14:paraId="7AF481E3" w14:textId="77777777" w:rsidR="00000000" w:rsidRDefault="00E614A4">
            <w:pPr>
              <w:rPr>
                <w:rFonts w:eastAsia="Times New Roman"/>
                <w:sz w:val="20"/>
                <w:szCs w:val="20"/>
              </w:rPr>
            </w:pPr>
          </w:p>
        </w:tc>
        <w:tc>
          <w:tcPr>
            <w:tcW w:w="0" w:type="auto"/>
            <w:gridSpan w:val="3"/>
            <w:vAlign w:val="center"/>
            <w:hideMark/>
          </w:tcPr>
          <w:p w14:paraId="1127E4BE" w14:textId="77777777" w:rsidR="00000000" w:rsidRDefault="00E614A4">
            <w:pPr>
              <w:rPr>
                <w:rFonts w:eastAsia="Times New Roman"/>
                <w:sz w:val="20"/>
                <w:szCs w:val="20"/>
              </w:rPr>
            </w:pPr>
          </w:p>
        </w:tc>
      </w:tr>
      <w:tr w:rsidR="00000000" w14:paraId="783CC846" w14:textId="77777777">
        <w:trPr>
          <w:divId w:val="1133325050"/>
        </w:trPr>
        <w:tc>
          <w:tcPr>
            <w:tcW w:w="0" w:type="auto"/>
            <w:gridSpan w:val="3"/>
            <w:vAlign w:val="center"/>
            <w:hideMark/>
          </w:tcPr>
          <w:p w14:paraId="1E9BF0A8" w14:textId="77777777" w:rsidR="00000000" w:rsidRDefault="00E614A4">
            <w:pPr>
              <w:rPr>
                <w:rFonts w:eastAsia="Times New Roman"/>
                <w:sz w:val="20"/>
                <w:szCs w:val="20"/>
              </w:rPr>
            </w:pPr>
          </w:p>
        </w:tc>
        <w:tc>
          <w:tcPr>
            <w:tcW w:w="0" w:type="auto"/>
            <w:gridSpan w:val="3"/>
            <w:vAlign w:val="center"/>
            <w:hideMark/>
          </w:tcPr>
          <w:p w14:paraId="5F6C1440" w14:textId="77777777" w:rsidR="00000000" w:rsidRDefault="00E614A4">
            <w:pPr>
              <w:rPr>
                <w:rFonts w:eastAsia="Times New Roman"/>
                <w:sz w:val="20"/>
                <w:szCs w:val="20"/>
              </w:rPr>
            </w:pPr>
          </w:p>
        </w:tc>
        <w:tc>
          <w:tcPr>
            <w:tcW w:w="0" w:type="auto"/>
            <w:gridSpan w:val="3"/>
            <w:vAlign w:val="center"/>
            <w:hideMark/>
          </w:tcPr>
          <w:p w14:paraId="5051D66E" w14:textId="77777777" w:rsidR="00000000" w:rsidRDefault="00E614A4">
            <w:pPr>
              <w:rPr>
                <w:rFonts w:eastAsia="Times New Roman"/>
                <w:sz w:val="20"/>
                <w:szCs w:val="20"/>
              </w:rPr>
            </w:pPr>
          </w:p>
        </w:tc>
        <w:tc>
          <w:tcPr>
            <w:tcW w:w="0" w:type="auto"/>
            <w:gridSpan w:val="3"/>
            <w:vAlign w:val="center"/>
            <w:hideMark/>
          </w:tcPr>
          <w:p w14:paraId="6E9C2B7A" w14:textId="77777777" w:rsidR="00000000" w:rsidRDefault="00E614A4">
            <w:pPr>
              <w:rPr>
                <w:rFonts w:eastAsia="Times New Roman"/>
                <w:sz w:val="20"/>
                <w:szCs w:val="20"/>
              </w:rPr>
            </w:pPr>
          </w:p>
        </w:tc>
      </w:tr>
      <w:tr w:rsidR="00000000" w14:paraId="6CD976C1" w14:textId="77777777">
        <w:trPr>
          <w:divId w:val="1133325050"/>
        </w:trPr>
        <w:tc>
          <w:tcPr>
            <w:tcW w:w="0" w:type="auto"/>
            <w:gridSpan w:val="3"/>
            <w:vAlign w:val="center"/>
            <w:hideMark/>
          </w:tcPr>
          <w:p w14:paraId="4EDC276E" w14:textId="77777777" w:rsidR="00000000" w:rsidRDefault="00E614A4">
            <w:pPr>
              <w:rPr>
                <w:rFonts w:eastAsia="Times New Roman"/>
                <w:sz w:val="20"/>
                <w:szCs w:val="20"/>
              </w:rPr>
            </w:pPr>
          </w:p>
        </w:tc>
        <w:tc>
          <w:tcPr>
            <w:tcW w:w="0" w:type="auto"/>
            <w:gridSpan w:val="3"/>
            <w:vAlign w:val="center"/>
            <w:hideMark/>
          </w:tcPr>
          <w:p w14:paraId="6EE1867E" w14:textId="77777777" w:rsidR="00000000" w:rsidRDefault="00E614A4">
            <w:pPr>
              <w:rPr>
                <w:rFonts w:eastAsia="Times New Roman"/>
                <w:sz w:val="20"/>
                <w:szCs w:val="20"/>
              </w:rPr>
            </w:pPr>
          </w:p>
        </w:tc>
        <w:tc>
          <w:tcPr>
            <w:tcW w:w="0" w:type="auto"/>
            <w:gridSpan w:val="3"/>
            <w:vAlign w:val="center"/>
            <w:hideMark/>
          </w:tcPr>
          <w:p w14:paraId="5CF18050" w14:textId="77777777" w:rsidR="00000000" w:rsidRDefault="00E614A4">
            <w:pPr>
              <w:rPr>
                <w:rFonts w:eastAsia="Times New Roman"/>
                <w:sz w:val="20"/>
                <w:szCs w:val="20"/>
              </w:rPr>
            </w:pPr>
          </w:p>
        </w:tc>
        <w:tc>
          <w:tcPr>
            <w:tcW w:w="0" w:type="auto"/>
            <w:gridSpan w:val="3"/>
            <w:vAlign w:val="center"/>
            <w:hideMark/>
          </w:tcPr>
          <w:p w14:paraId="37D476AC" w14:textId="77777777" w:rsidR="00000000" w:rsidRDefault="00E614A4">
            <w:pPr>
              <w:rPr>
                <w:rFonts w:eastAsia="Times New Roman"/>
                <w:sz w:val="20"/>
                <w:szCs w:val="20"/>
              </w:rPr>
            </w:pPr>
          </w:p>
        </w:tc>
      </w:tr>
      <w:tr w:rsidR="00000000" w14:paraId="0418981C" w14:textId="77777777">
        <w:trPr>
          <w:divId w:val="1133325050"/>
        </w:trPr>
        <w:tc>
          <w:tcPr>
            <w:tcW w:w="0" w:type="auto"/>
            <w:gridSpan w:val="3"/>
            <w:shd w:val="clear" w:color="auto" w:fill="CCEEFF"/>
            <w:tcMar>
              <w:top w:w="30" w:type="dxa"/>
              <w:left w:w="20" w:type="dxa"/>
              <w:bottom w:w="30" w:type="dxa"/>
              <w:right w:w="20" w:type="dxa"/>
            </w:tcMar>
            <w:hideMark/>
          </w:tcPr>
          <w:p w14:paraId="6DADB4E2" w14:textId="77777777" w:rsidR="00000000" w:rsidRDefault="00E614A4">
            <w:pPr>
              <w:rPr>
                <w:rFonts w:eastAsia="Times New Roman"/>
              </w:rPr>
            </w:pPr>
            <w:r>
              <w:rPr>
                <w:rFonts w:eastAsia="Times New Roman"/>
                <w:color w:val="000000"/>
                <w:sz w:val="18"/>
                <w:szCs w:val="18"/>
              </w:rPr>
              <w:t>Options outstanding as of December 31, 2017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013C29" w14:textId="77777777" w:rsidR="00000000" w:rsidRDefault="00E614A4">
            <w:pPr>
              <w:jc w:val="right"/>
              <w:rPr>
                <w:rFonts w:eastAsia="Times New Roman"/>
              </w:rPr>
            </w:pPr>
            <w:r>
              <w:rPr>
                <w:rFonts w:eastAsia="Times New Roman"/>
                <w:color w:val="000000"/>
                <w:sz w:val="18"/>
                <w:szCs w:val="18"/>
              </w:rPr>
              <w:t>3,444,252 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6DC6B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C26F5"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1F306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902653" w14:textId="77777777" w:rsidR="00000000" w:rsidRDefault="00E614A4">
            <w:pPr>
              <w:jc w:val="right"/>
              <w:rPr>
                <w:rFonts w:eastAsia="Times New Roman"/>
              </w:rPr>
            </w:pPr>
            <w:r>
              <w:rPr>
                <w:rFonts w:eastAsia="Times New Roman"/>
                <w:color w:val="000000"/>
                <w:sz w:val="18"/>
                <w:szCs w:val="18"/>
              </w:rPr>
              <w:t>30.65 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1B0843" w14:textId="77777777" w:rsidR="00000000" w:rsidRDefault="00E614A4">
            <w:pPr>
              <w:jc w:val="right"/>
              <w:rPr>
                <w:rFonts w:eastAsia="Times New Roman"/>
              </w:rPr>
            </w:pPr>
          </w:p>
        </w:tc>
      </w:tr>
      <w:tr w:rsidR="00000000" w14:paraId="046CA9A0" w14:textId="77777777">
        <w:trPr>
          <w:divId w:val="1133325050"/>
        </w:trPr>
        <w:tc>
          <w:tcPr>
            <w:tcW w:w="0" w:type="auto"/>
            <w:gridSpan w:val="3"/>
            <w:shd w:val="clear" w:color="auto" w:fill="FFFFFF"/>
            <w:tcMar>
              <w:top w:w="30" w:type="dxa"/>
              <w:left w:w="20" w:type="dxa"/>
              <w:bottom w:w="30" w:type="dxa"/>
              <w:right w:w="20" w:type="dxa"/>
            </w:tcMar>
            <w:hideMark/>
          </w:tcPr>
          <w:p w14:paraId="3E900C44" w14:textId="77777777" w:rsidR="00000000" w:rsidRDefault="00E614A4">
            <w:pPr>
              <w:divId w:val="975842693"/>
              <w:rPr>
                <w:rFonts w:eastAsia="Times New Roman"/>
              </w:rPr>
            </w:pPr>
            <w:r>
              <w:rPr>
                <w:rFonts w:eastAsia="Times New Roman"/>
                <w:color w:val="000000"/>
                <w:sz w:val="18"/>
                <w:szCs w:val="18"/>
              </w:rPr>
              <w:t>Options exercised</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373358FB" w14:textId="77777777" w:rsidR="00000000" w:rsidRDefault="00E614A4">
            <w:pPr>
              <w:jc w:val="right"/>
              <w:rPr>
                <w:rFonts w:eastAsia="Times New Roman"/>
              </w:rPr>
            </w:pPr>
            <w:r>
              <w:rPr>
                <w:rFonts w:eastAsia="Times New Roman"/>
                <w:color w:val="000000"/>
                <w:sz w:val="18"/>
                <w:szCs w:val="18"/>
              </w:rPr>
              <w:t>(347,752)</w:t>
            </w:r>
          </w:p>
        </w:tc>
        <w:tc>
          <w:tcPr>
            <w:tcW w:w="0" w:type="auto"/>
            <w:shd w:val="clear" w:color="auto" w:fill="FFFFFF"/>
            <w:tcMar>
              <w:top w:w="30" w:type="dxa"/>
              <w:left w:w="0" w:type="dxa"/>
              <w:bottom w:w="30" w:type="dxa"/>
              <w:right w:w="20" w:type="dxa"/>
            </w:tcMar>
            <w:vAlign w:val="bottom"/>
            <w:hideMark/>
          </w:tcPr>
          <w:p w14:paraId="47E96B9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0D0C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E71F9D" w14:textId="77777777" w:rsidR="00000000" w:rsidRDefault="00E614A4">
            <w:pPr>
              <w:jc w:val="right"/>
              <w:rPr>
                <w:rFonts w:eastAsia="Times New Roman"/>
              </w:rPr>
            </w:pPr>
            <w:r>
              <w:rPr>
                <w:rFonts w:eastAsia="Times New Roman"/>
                <w:color w:val="000000"/>
                <w:sz w:val="18"/>
                <w:szCs w:val="18"/>
              </w:rPr>
              <w:t>15.45 </w:t>
            </w:r>
          </w:p>
        </w:tc>
        <w:tc>
          <w:tcPr>
            <w:tcW w:w="0" w:type="auto"/>
            <w:shd w:val="clear" w:color="auto" w:fill="FFFFFF"/>
            <w:tcMar>
              <w:top w:w="30" w:type="dxa"/>
              <w:left w:w="0" w:type="dxa"/>
              <w:bottom w:w="30" w:type="dxa"/>
              <w:right w:w="20" w:type="dxa"/>
            </w:tcMar>
            <w:vAlign w:val="bottom"/>
            <w:hideMark/>
          </w:tcPr>
          <w:p w14:paraId="4EB4AD64" w14:textId="77777777" w:rsidR="00000000" w:rsidRDefault="00E614A4">
            <w:pPr>
              <w:jc w:val="right"/>
              <w:rPr>
                <w:rFonts w:eastAsia="Times New Roman"/>
              </w:rPr>
            </w:pPr>
          </w:p>
        </w:tc>
      </w:tr>
      <w:tr w:rsidR="00000000" w14:paraId="06E0D4A1" w14:textId="77777777">
        <w:trPr>
          <w:divId w:val="1133325050"/>
        </w:trPr>
        <w:tc>
          <w:tcPr>
            <w:tcW w:w="0" w:type="auto"/>
            <w:gridSpan w:val="3"/>
            <w:shd w:val="clear" w:color="auto" w:fill="CCEEFF"/>
            <w:tcMar>
              <w:top w:w="30" w:type="dxa"/>
              <w:left w:w="245" w:type="dxa"/>
              <w:bottom w:w="30" w:type="dxa"/>
              <w:right w:w="20" w:type="dxa"/>
            </w:tcMar>
            <w:hideMark/>
          </w:tcPr>
          <w:p w14:paraId="57B41FDD" w14:textId="77777777" w:rsidR="00000000" w:rsidRDefault="00E614A4">
            <w:pPr>
              <w:rPr>
                <w:rFonts w:eastAsia="Times New Roman"/>
              </w:rPr>
            </w:pPr>
            <w:r>
              <w:rPr>
                <w:rFonts w:eastAsia="Times New Roman"/>
                <w:color w:val="000000"/>
                <w:sz w:val="18"/>
                <w:szCs w:val="18"/>
              </w:rPr>
              <w:t>Options expired</w:t>
            </w:r>
          </w:p>
        </w:tc>
        <w:tc>
          <w:tcPr>
            <w:tcW w:w="0" w:type="auto"/>
            <w:gridSpan w:val="2"/>
            <w:shd w:val="clear" w:color="auto" w:fill="CCEEFF"/>
            <w:tcMar>
              <w:top w:w="30" w:type="dxa"/>
              <w:left w:w="20" w:type="dxa"/>
              <w:bottom w:w="30" w:type="dxa"/>
              <w:right w:w="0" w:type="dxa"/>
            </w:tcMar>
            <w:vAlign w:val="bottom"/>
            <w:hideMark/>
          </w:tcPr>
          <w:p w14:paraId="343738BA" w14:textId="77777777" w:rsidR="00000000" w:rsidRDefault="00E614A4">
            <w:pPr>
              <w:jc w:val="right"/>
              <w:rPr>
                <w:rFonts w:eastAsia="Times New Roman"/>
              </w:rPr>
            </w:pPr>
            <w:r>
              <w:rPr>
                <w:rFonts w:eastAsia="Times New Roman"/>
                <w:color w:val="000000"/>
                <w:sz w:val="18"/>
                <w:szCs w:val="18"/>
              </w:rPr>
              <w:t>(2,050,587)</w:t>
            </w:r>
          </w:p>
        </w:tc>
        <w:tc>
          <w:tcPr>
            <w:tcW w:w="0" w:type="auto"/>
            <w:shd w:val="clear" w:color="auto" w:fill="CCEEFF"/>
            <w:tcMar>
              <w:top w:w="30" w:type="dxa"/>
              <w:left w:w="0" w:type="dxa"/>
              <w:bottom w:w="30" w:type="dxa"/>
              <w:right w:w="20" w:type="dxa"/>
            </w:tcMar>
            <w:vAlign w:val="bottom"/>
            <w:hideMark/>
          </w:tcPr>
          <w:p w14:paraId="4588106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B5C8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485CBC" w14:textId="77777777" w:rsidR="00000000" w:rsidRDefault="00E614A4">
            <w:pPr>
              <w:jc w:val="right"/>
              <w:rPr>
                <w:rFonts w:eastAsia="Times New Roman"/>
              </w:rPr>
            </w:pPr>
            <w:r>
              <w:rPr>
                <w:rFonts w:eastAsia="Times New Roman"/>
                <w:color w:val="000000"/>
                <w:sz w:val="18"/>
                <w:szCs w:val="18"/>
              </w:rPr>
              <w:t>39.74 </w:t>
            </w:r>
          </w:p>
        </w:tc>
        <w:tc>
          <w:tcPr>
            <w:tcW w:w="0" w:type="auto"/>
            <w:shd w:val="clear" w:color="auto" w:fill="CCEEFF"/>
            <w:tcMar>
              <w:top w:w="30" w:type="dxa"/>
              <w:left w:w="0" w:type="dxa"/>
              <w:bottom w:w="30" w:type="dxa"/>
              <w:right w:w="20" w:type="dxa"/>
            </w:tcMar>
            <w:vAlign w:val="bottom"/>
            <w:hideMark/>
          </w:tcPr>
          <w:p w14:paraId="1A1A8805" w14:textId="77777777" w:rsidR="00000000" w:rsidRDefault="00E614A4">
            <w:pPr>
              <w:jc w:val="right"/>
              <w:rPr>
                <w:rFonts w:eastAsia="Times New Roman"/>
              </w:rPr>
            </w:pPr>
          </w:p>
        </w:tc>
      </w:tr>
      <w:tr w:rsidR="00000000" w14:paraId="3770BDBD" w14:textId="77777777">
        <w:trPr>
          <w:divId w:val="1133325050"/>
        </w:trPr>
        <w:tc>
          <w:tcPr>
            <w:tcW w:w="0" w:type="auto"/>
            <w:gridSpan w:val="3"/>
            <w:shd w:val="clear" w:color="auto" w:fill="FFFFFF"/>
            <w:tcMar>
              <w:top w:w="30" w:type="dxa"/>
              <w:left w:w="20" w:type="dxa"/>
              <w:bottom w:w="30" w:type="dxa"/>
              <w:right w:w="20" w:type="dxa"/>
            </w:tcMar>
            <w:hideMark/>
          </w:tcPr>
          <w:p w14:paraId="7A49C96D" w14:textId="77777777" w:rsidR="00000000" w:rsidRDefault="00E614A4">
            <w:pPr>
              <w:rPr>
                <w:rFonts w:eastAsia="Times New Roman"/>
              </w:rPr>
            </w:pPr>
            <w:r>
              <w:rPr>
                <w:rFonts w:eastAsia="Times New Roman"/>
                <w:color w:val="000000"/>
                <w:sz w:val="18"/>
                <w:szCs w:val="18"/>
              </w:rPr>
              <w:t>Options outstanding as of December 31, 2018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C1497D" w14:textId="77777777" w:rsidR="00000000" w:rsidRDefault="00E614A4">
            <w:pPr>
              <w:jc w:val="right"/>
              <w:rPr>
                <w:rFonts w:eastAsia="Times New Roman"/>
              </w:rPr>
            </w:pPr>
            <w:r>
              <w:rPr>
                <w:rFonts w:eastAsia="Times New Roman"/>
                <w:color w:val="000000"/>
                <w:sz w:val="18"/>
                <w:szCs w:val="18"/>
              </w:rPr>
              <w:t>1,045,913 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2D3A0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7A429"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01AAA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FFBFEDD" w14:textId="77777777" w:rsidR="00000000" w:rsidRDefault="00E614A4">
            <w:pPr>
              <w:jc w:val="right"/>
              <w:rPr>
                <w:rFonts w:eastAsia="Times New Roman"/>
              </w:rPr>
            </w:pPr>
            <w:r>
              <w:rPr>
                <w:rFonts w:eastAsia="Times New Roman"/>
                <w:color w:val="000000"/>
                <w:sz w:val="18"/>
                <w:szCs w:val="18"/>
              </w:rPr>
              <w:t>17.89 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6D4158" w14:textId="77777777" w:rsidR="00000000" w:rsidRDefault="00E614A4">
            <w:pPr>
              <w:jc w:val="right"/>
              <w:rPr>
                <w:rFonts w:eastAsia="Times New Roman"/>
              </w:rPr>
            </w:pPr>
          </w:p>
        </w:tc>
      </w:tr>
      <w:tr w:rsidR="00000000" w14:paraId="77854739" w14:textId="77777777">
        <w:trPr>
          <w:divId w:val="1133325050"/>
        </w:trPr>
        <w:tc>
          <w:tcPr>
            <w:tcW w:w="0" w:type="auto"/>
            <w:gridSpan w:val="3"/>
            <w:shd w:val="clear" w:color="auto" w:fill="CCEEFF"/>
            <w:tcMar>
              <w:top w:w="30" w:type="dxa"/>
              <w:left w:w="290" w:type="dxa"/>
              <w:bottom w:w="30" w:type="dxa"/>
              <w:right w:w="20" w:type="dxa"/>
            </w:tcMar>
            <w:hideMark/>
          </w:tcPr>
          <w:p w14:paraId="7B2BBD4B" w14:textId="77777777" w:rsidR="00000000" w:rsidRDefault="00E614A4">
            <w:pPr>
              <w:rPr>
                <w:rFonts w:eastAsia="Times New Roman"/>
              </w:rPr>
            </w:pPr>
            <w:r>
              <w:rPr>
                <w:rFonts w:eastAsia="Times New Roman"/>
                <w:color w:val="000000"/>
                <w:sz w:val="18"/>
                <w:szCs w:val="18"/>
              </w:rPr>
              <w:t>Options granted</w:t>
            </w:r>
          </w:p>
        </w:tc>
        <w:tc>
          <w:tcPr>
            <w:tcW w:w="0" w:type="auto"/>
            <w:gridSpan w:val="2"/>
            <w:shd w:val="clear" w:color="auto" w:fill="CCEEFF"/>
            <w:tcMar>
              <w:top w:w="30" w:type="dxa"/>
              <w:left w:w="20" w:type="dxa"/>
              <w:bottom w:w="30" w:type="dxa"/>
              <w:right w:w="0" w:type="dxa"/>
            </w:tcMar>
            <w:vAlign w:val="bottom"/>
            <w:hideMark/>
          </w:tcPr>
          <w:p w14:paraId="5809EAF1" w14:textId="77777777" w:rsidR="00000000" w:rsidRDefault="00E614A4">
            <w:pPr>
              <w:jc w:val="right"/>
              <w:rPr>
                <w:rFonts w:eastAsia="Times New Roman"/>
              </w:rPr>
            </w:pPr>
            <w:r>
              <w:rPr>
                <w:rFonts w:eastAsia="Times New Roman"/>
                <w:color w:val="000000"/>
                <w:sz w:val="18"/>
                <w:szCs w:val="18"/>
              </w:rPr>
              <w:t>925,000 </w:t>
            </w:r>
          </w:p>
        </w:tc>
        <w:tc>
          <w:tcPr>
            <w:tcW w:w="0" w:type="auto"/>
            <w:shd w:val="clear" w:color="auto" w:fill="CCEEFF"/>
            <w:tcMar>
              <w:top w:w="30" w:type="dxa"/>
              <w:left w:w="0" w:type="dxa"/>
              <w:bottom w:w="30" w:type="dxa"/>
              <w:right w:w="20" w:type="dxa"/>
            </w:tcMar>
            <w:vAlign w:val="bottom"/>
            <w:hideMark/>
          </w:tcPr>
          <w:p w14:paraId="0F8713C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E157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5AC9E7" w14:textId="77777777" w:rsidR="00000000" w:rsidRDefault="00E614A4">
            <w:pPr>
              <w:jc w:val="right"/>
              <w:rPr>
                <w:rFonts w:eastAsia="Times New Roman"/>
              </w:rPr>
            </w:pPr>
            <w:r>
              <w:rPr>
                <w:rFonts w:eastAsia="Times New Roman"/>
                <w:color w:val="000000"/>
                <w:sz w:val="18"/>
                <w:szCs w:val="18"/>
              </w:rPr>
              <w:t>5.64 </w:t>
            </w:r>
          </w:p>
        </w:tc>
        <w:tc>
          <w:tcPr>
            <w:tcW w:w="0" w:type="auto"/>
            <w:shd w:val="clear" w:color="auto" w:fill="CCEEFF"/>
            <w:tcMar>
              <w:top w:w="30" w:type="dxa"/>
              <w:left w:w="0" w:type="dxa"/>
              <w:bottom w:w="30" w:type="dxa"/>
              <w:right w:w="20" w:type="dxa"/>
            </w:tcMar>
            <w:vAlign w:val="bottom"/>
            <w:hideMark/>
          </w:tcPr>
          <w:p w14:paraId="5D0081ED" w14:textId="77777777" w:rsidR="00000000" w:rsidRDefault="00E614A4">
            <w:pPr>
              <w:jc w:val="right"/>
              <w:rPr>
                <w:rFonts w:eastAsia="Times New Roman"/>
              </w:rPr>
            </w:pPr>
          </w:p>
        </w:tc>
      </w:tr>
      <w:tr w:rsidR="00000000" w14:paraId="53E5604B" w14:textId="77777777">
        <w:trPr>
          <w:divId w:val="1133325050"/>
        </w:trPr>
        <w:tc>
          <w:tcPr>
            <w:tcW w:w="0" w:type="auto"/>
            <w:gridSpan w:val="3"/>
            <w:shd w:val="clear" w:color="auto" w:fill="FFFFFF"/>
            <w:tcMar>
              <w:top w:w="30" w:type="dxa"/>
              <w:left w:w="290" w:type="dxa"/>
              <w:bottom w:w="30" w:type="dxa"/>
              <w:right w:w="20" w:type="dxa"/>
            </w:tcMar>
            <w:hideMark/>
          </w:tcPr>
          <w:p w14:paraId="4F0A45A6" w14:textId="77777777" w:rsidR="00000000" w:rsidRDefault="00E614A4">
            <w:pPr>
              <w:rPr>
                <w:rFonts w:eastAsia="Times New Roman"/>
              </w:rPr>
            </w:pPr>
            <w:r>
              <w:rPr>
                <w:rFonts w:eastAsia="Times New Roman"/>
                <w:color w:val="000000"/>
                <w:sz w:val="18"/>
                <w:szCs w:val="18"/>
              </w:rPr>
              <w:t>Options exercised</w:t>
            </w:r>
          </w:p>
        </w:tc>
        <w:tc>
          <w:tcPr>
            <w:tcW w:w="0" w:type="auto"/>
            <w:gridSpan w:val="2"/>
            <w:shd w:val="clear" w:color="auto" w:fill="FFFFFF"/>
            <w:tcMar>
              <w:top w:w="30" w:type="dxa"/>
              <w:left w:w="20" w:type="dxa"/>
              <w:bottom w:w="30" w:type="dxa"/>
              <w:right w:w="0" w:type="dxa"/>
            </w:tcMar>
            <w:vAlign w:val="bottom"/>
            <w:hideMark/>
          </w:tcPr>
          <w:p w14:paraId="581ED987" w14:textId="77777777" w:rsidR="00000000" w:rsidRDefault="00E614A4">
            <w:pPr>
              <w:jc w:val="right"/>
              <w:rPr>
                <w:rFonts w:eastAsia="Times New Roman"/>
              </w:rPr>
            </w:pPr>
            <w:r>
              <w:rPr>
                <w:rFonts w:eastAsia="Times New Roman"/>
                <w:color w:val="000000"/>
                <w:sz w:val="18"/>
                <w:szCs w:val="18"/>
              </w:rPr>
              <w:t>(68,259)</w:t>
            </w:r>
          </w:p>
        </w:tc>
        <w:tc>
          <w:tcPr>
            <w:tcW w:w="0" w:type="auto"/>
            <w:shd w:val="clear" w:color="auto" w:fill="FFFFFF"/>
            <w:tcMar>
              <w:top w:w="30" w:type="dxa"/>
              <w:left w:w="0" w:type="dxa"/>
              <w:bottom w:w="30" w:type="dxa"/>
              <w:right w:w="20" w:type="dxa"/>
            </w:tcMar>
            <w:vAlign w:val="bottom"/>
            <w:hideMark/>
          </w:tcPr>
          <w:p w14:paraId="328C034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6C8E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374241" w14:textId="77777777" w:rsidR="00000000" w:rsidRDefault="00E614A4">
            <w:pPr>
              <w:jc w:val="right"/>
              <w:rPr>
                <w:rFonts w:eastAsia="Times New Roman"/>
              </w:rPr>
            </w:pPr>
            <w:r>
              <w:rPr>
                <w:rFonts w:eastAsia="Times New Roman"/>
                <w:color w:val="000000"/>
                <w:sz w:val="18"/>
                <w:szCs w:val="18"/>
              </w:rPr>
              <w:t>17.44 </w:t>
            </w:r>
          </w:p>
        </w:tc>
        <w:tc>
          <w:tcPr>
            <w:tcW w:w="0" w:type="auto"/>
            <w:shd w:val="clear" w:color="auto" w:fill="FFFFFF"/>
            <w:tcMar>
              <w:top w:w="30" w:type="dxa"/>
              <w:left w:w="0" w:type="dxa"/>
              <w:bottom w:w="30" w:type="dxa"/>
              <w:right w:w="20" w:type="dxa"/>
            </w:tcMar>
            <w:vAlign w:val="bottom"/>
            <w:hideMark/>
          </w:tcPr>
          <w:p w14:paraId="5CF591C0" w14:textId="77777777" w:rsidR="00000000" w:rsidRDefault="00E614A4">
            <w:pPr>
              <w:jc w:val="right"/>
              <w:rPr>
                <w:rFonts w:eastAsia="Times New Roman"/>
              </w:rPr>
            </w:pPr>
          </w:p>
        </w:tc>
      </w:tr>
      <w:tr w:rsidR="00000000" w14:paraId="15FCB592" w14:textId="77777777">
        <w:trPr>
          <w:divId w:val="1133325050"/>
        </w:trPr>
        <w:tc>
          <w:tcPr>
            <w:tcW w:w="0" w:type="auto"/>
            <w:gridSpan w:val="3"/>
            <w:shd w:val="clear" w:color="auto" w:fill="CCEEFF"/>
            <w:tcMar>
              <w:top w:w="30" w:type="dxa"/>
              <w:left w:w="290" w:type="dxa"/>
              <w:bottom w:w="30" w:type="dxa"/>
              <w:right w:w="20" w:type="dxa"/>
            </w:tcMar>
            <w:hideMark/>
          </w:tcPr>
          <w:p w14:paraId="21AC0C84" w14:textId="77777777" w:rsidR="00000000" w:rsidRDefault="00E614A4">
            <w:pPr>
              <w:rPr>
                <w:rFonts w:eastAsia="Times New Roman"/>
              </w:rPr>
            </w:pPr>
            <w:r>
              <w:rPr>
                <w:rFonts w:eastAsia="Times New Roman"/>
                <w:color w:val="000000"/>
                <w:sz w:val="18"/>
                <w:szCs w:val="18"/>
              </w:rPr>
              <w:t>Options forfeited</w:t>
            </w:r>
          </w:p>
        </w:tc>
        <w:tc>
          <w:tcPr>
            <w:tcW w:w="0" w:type="auto"/>
            <w:gridSpan w:val="2"/>
            <w:shd w:val="clear" w:color="auto" w:fill="CCEEFF"/>
            <w:tcMar>
              <w:top w:w="30" w:type="dxa"/>
              <w:left w:w="20" w:type="dxa"/>
              <w:bottom w:w="30" w:type="dxa"/>
              <w:right w:w="0" w:type="dxa"/>
            </w:tcMar>
            <w:vAlign w:val="bottom"/>
            <w:hideMark/>
          </w:tcPr>
          <w:p w14:paraId="6068F3AD" w14:textId="77777777" w:rsidR="00000000" w:rsidRDefault="00E614A4">
            <w:pPr>
              <w:jc w:val="right"/>
              <w:rPr>
                <w:rFonts w:eastAsia="Times New Roman"/>
              </w:rPr>
            </w:pPr>
            <w:r>
              <w:rPr>
                <w:rFonts w:eastAsia="Times New Roman"/>
                <w:color w:val="000000"/>
                <w:sz w:val="18"/>
                <w:szCs w:val="18"/>
              </w:rPr>
              <w:t>(363,687)</w:t>
            </w:r>
          </w:p>
        </w:tc>
        <w:tc>
          <w:tcPr>
            <w:tcW w:w="0" w:type="auto"/>
            <w:shd w:val="clear" w:color="auto" w:fill="CCEEFF"/>
            <w:tcMar>
              <w:top w:w="30" w:type="dxa"/>
              <w:left w:w="0" w:type="dxa"/>
              <w:bottom w:w="30" w:type="dxa"/>
              <w:right w:w="20" w:type="dxa"/>
            </w:tcMar>
            <w:vAlign w:val="bottom"/>
            <w:hideMark/>
          </w:tcPr>
          <w:p w14:paraId="355917E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5D90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937D31" w14:textId="77777777" w:rsidR="00000000" w:rsidRDefault="00E614A4">
            <w:pPr>
              <w:jc w:val="right"/>
              <w:rPr>
                <w:rFonts w:eastAsia="Times New Roman"/>
              </w:rPr>
            </w:pPr>
            <w:r>
              <w:rPr>
                <w:rFonts w:eastAsia="Times New Roman"/>
                <w:color w:val="000000"/>
                <w:sz w:val="18"/>
                <w:szCs w:val="18"/>
              </w:rPr>
              <w:t>15.15 </w:t>
            </w:r>
          </w:p>
        </w:tc>
        <w:tc>
          <w:tcPr>
            <w:tcW w:w="0" w:type="auto"/>
            <w:shd w:val="clear" w:color="auto" w:fill="CCEEFF"/>
            <w:tcMar>
              <w:top w:w="30" w:type="dxa"/>
              <w:left w:w="0" w:type="dxa"/>
              <w:bottom w:w="30" w:type="dxa"/>
              <w:right w:w="20" w:type="dxa"/>
            </w:tcMar>
            <w:vAlign w:val="bottom"/>
            <w:hideMark/>
          </w:tcPr>
          <w:p w14:paraId="3C369B9D" w14:textId="77777777" w:rsidR="00000000" w:rsidRDefault="00E614A4">
            <w:pPr>
              <w:jc w:val="right"/>
              <w:rPr>
                <w:rFonts w:eastAsia="Times New Roman"/>
              </w:rPr>
            </w:pPr>
          </w:p>
        </w:tc>
      </w:tr>
      <w:tr w:rsidR="00000000" w14:paraId="76CE98EE" w14:textId="77777777">
        <w:trPr>
          <w:divId w:val="1133325050"/>
        </w:trPr>
        <w:tc>
          <w:tcPr>
            <w:tcW w:w="0" w:type="auto"/>
            <w:gridSpan w:val="3"/>
            <w:shd w:val="clear" w:color="auto" w:fill="FFFFFF"/>
            <w:tcMar>
              <w:top w:w="30" w:type="dxa"/>
              <w:left w:w="20" w:type="dxa"/>
              <w:bottom w:w="30" w:type="dxa"/>
              <w:right w:w="20" w:type="dxa"/>
            </w:tcMar>
            <w:hideMark/>
          </w:tcPr>
          <w:p w14:paraId="1ACE6C38" w14:textId="77777777" w:rsidR="00000000" w:rsidRDefault="00E614A4">
            <w:pPr>
              <w:rPr>
                <w:rFonts w:eastAsia="Times New Roman"/>
              </w:rPr>
            </w:pPr>
            <w:r>
              <w:rPr>
                <w:rFonts w:eastAsia="Times New Roman"/>
                <w:color w:val="000000"/>
                <w:sz w:val="18"/>
                <w:szCs w:val="18"/>
              </w:rPr>
              <w:t>Options outstanding as of December 31,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1A7370" w14:textId="77777777" w:rsidR="00000000" w:rsidRDefault="00E614A4">
            <w:pPr>
              <w:jc w:val="right"/>
              <w:rPr>
                <w:rFonts w:eastAsia="Times New Roman"/>
              </w:rPr>
            </w:pPr>
            <w:r>
              <w:rPr>
                <w:rFonts w:eastAsia="Times New Roman"/>
                <w:color w:val="000000"/>
                <w:sz w:val="18"/>
                <w:szCs w:val="18"/>
              </w:rPr>
              <w:t>1,538,967 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CB7A6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2F49E"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0F244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EF40DD" w14:textId="77777777" w:rsidR="00000000" w:rsidRDefault="00E614A4">
            <w:pPr>
              <w:jc w:val="right"/>
              <w:rPr>
                <w:rFonts w:eastAsia="Times New Roman"/>
              </w:rPr>
            </w:pPr>
            <w:r>
              <w:rPr>
                <w:rFonts w:eastAsia="Times New Roman"/>
                <w:color w:val="000000"/>
                <w:sz w:val="18"/>
                <w:szCs w:val="18"/>
              </w:rPr>
              <w:t>11.27 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9810F0" w14:textId="77777777" w:rsidR="00000000" w:rsidRDefault="00E614A4">
            <w:pPr>
              <w:jc w:val="right"/>
              <w:rPr>
                <w:rFonts w:eastAsia="Times New Roman"/>
              </w:rPr>
            </w:pPr>
          </w:p>
        </w:tc>
      </w:tr>
      <w:tr w:rsidR="00000000" w14:paraId="6F3145AB" w14:textId="77777777">
        <w:trPr>
          <w:divId w:val="1133325050"/>
        </w:trPr>
        <w:tc>
          <w:tcPr>
            <w:tcW w:w="0" w:type="auto"/>
            <w:gridSpan w:val="3"/>
            <w:shd w:val="clear" w:color="auto" w:fill="CCEEFF"/>
            <w:tcMar>
              <w:top w:w="30" w:type="dxa"/>
              <w:left w:w="290" w:type="dxa"/>
              <w:bottom w:w="30" w:type="dxa"/>
              <w:right w:w="20" w:type="dxa"/>
            </w:tcMar>
            <w:hideMark/>
          </w:tcPr>
          <w:p w14:paraId="6ECDE92E" w14:textId="77777777" w:rsidR="00000000" w:rsidRDefault="00E614A4">
            <w:pPr>
              <w:rPr>
                <w:rFonts w:eastAsia="Times New Roman"/>
              </w:rPr>
            </w:pPr>
            <w:r>
              <w:rPr>
                <w:rFonts w:eastAsia="Times New Roman"/>
                <w:color w:val="000000"/>
                <w:sz w:val="18"/>
                <w:szCs w:val="18"/>
              </w:rPr>
              <w:t>Options granted</w:t>
            </w:r>
          </w:p>
        </w:tc>
        <w:tc>
          <w:tcPr>
            <w:tcW w:w="0" w:type="auto"/>
            <w:gridSpan w:val="2"/>
            <w:shd w:val="clear" w:color="auto" w:fill="CCEEFF"/>
            <w:tcMar>
              <w:top w:w="30" w:type="dxa"/>
              <w:left w:w="20" w:type="dxa"/>
              <w:bottom w:w="30" w:type="dxa"/>
              <w:right w:w="0" w:type="dxa"/>
            </w:tcMar>
            <w:vAlign w:val="bottom"/>
            <w:hideMark/>
          </w:tcPr>
          <w:p w14:paraId="6C777A53" w14:textId="77777777" w:rsidR="00000000" w:rsidRDefault="00E614A4">
            <w:pPr>
              <w:jc w:val="right"/>
              <w:rPr>
                <w:rFonts w:eastAsia="Times New Roman"/>
              </w:rPr>
            </w:pPr>
            <w:r>
              <w:rPr>
                <w:rFonts w:eastAsia="Times New Roman"/>
                <w:color w:val="000000"/>
                <w:sz w:val="18"/>
                <w:szCs w:val="18"/>
              </w:rPr>
              <w:t>50,000 </w:t>
            </w:r>
          </w:p>
        </w:tc>
        <w:tc>
          <w:tcPr>
            <w:tcW w:w="0" w:type="auto"/>
            <w:shd w:val="clear" w:color="auto" w:fill="CCEEFF"/>
            <w:tcMar>
              <w:top w:w="30" w:type="dxa"/>
              <w:left w:w="0" w:type="dxa"/>
              <w:bottom w:w="30" w:type="dxa"/>
              <w:right w:w="20" w:type="dxa"/>
            </w:tcMar>
            <w:vAlign w:val="bottom"/>
            <w:hideMark/>
          </w:tcPr>
          <w:p w14:paraId="3E9CC2A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E46E4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67DCC2" w14:textId="77777777" w:rsidR="00000000" w:rsidRDefault="00E614A4">
            <w:pPr>
              <w:jc w:val="right"/>
              <w:rPr>
                <w:rFonts w:eastAsia="Times New Roman"/>
              </w:rPr>
            </w:pPr>
            <w:r>
              <w:rPr>
                <w:rFonts w:eastAsia="Times New Roman"/>
                <w:color w:val="000000"/>
                <w:sz w:val="18"/>
                <w:szCs w:val="18"/>
              </w:rPr>
              <w:t>3.67 </w:t>
            </w:r>
          </w:p>
        </w:tc>
        <w:tc>
          <w:tcPr>
            <w:tcW w:w="0" w:type="auto"/>
            <w:shd w:val="clear" w:color="auto" w:fill="CCEEFF"/>
            <w:tcMar>
              <w:top w:w="30" w:type="dxa"/>
              <w:left w:w="0" w:type="dxa"/>
              <w:bottom w:w="30" w:type="dxa"/>
              <w:right w:w="20" w:type="dxa"/>
            </w:tcMar>
            <w:vAlign w:val="bottom"/>
            <w:hideMark/>
          </w:tcPr>
          <w:p w14:paraId="778CCA13" w14:textId="77777777" w:rsidR="00000000" w:rsidRDefault="00E614A4">
            <w:pPr>
              <w:jc w:val="right"/>
              <w:rPr>
                <w:rFonts w:eastAsia="Times New Roman"/>
              </w:rPr>
            </w:pPr>
          </w:p>
        </w:tc>
      </w:tr>
      <w:tr w:rsidR="00000000" w14:paraId="2ABFDCB0" w14:textId="77777777">
        <w:trPr>
          <w:divId w:val="1133325050"/>
        </w:trPr>
        <w:tc>
          <w:tcPr>
            <w:tcW w:w="0" w:type="auto"/>
            <w:gridSpan w:val="3"/>
            <w:shd w:val="clear" w:color="auto" w:fill="FFFFFF"/>
            <w:tcMar>
              <w:top w:w="30" w:type="dxa"/>
              <w:left w:w="290" w:type="dxa"/>
              <w:bottom w:w="30" w:type="dxa"/>
              <w:right w:w="20" w:type="dxa"/>
            </w:tcMar>
            <w:hideMark/>
          </w:tcPr>
          <w:p w14:paraId="504A9A3F" w14:textId="77777777" w:rsidR="00000000" w:rsidRDefault="00E614A4">
            <w:pPr>
              <w:rPr>
                <w:rFonts w:eastAsia="Times New Roman"/>
              </w:rPr>
            </w:pPr>
            <w:r>
              <w:rPr>
                <w:rFonts w:eastAsia="Times New Roman"/>
                <w:color w:val="000000"/>
                <w:sz w:val="18"/>
                <w:szCs w:val="18"/>
              </w:rPr>
              <w:t>Options exercised</w:t>
            </w:r>
          </w:p>
        </w:tc>
        <w:tc>
          <w:tcPr>
            <w:tcW w:w="0" w:type="auto"/>
            <w:gridSpan w:val="2"/>
            <w:shd w:val="clear" w:color="auto" w:fill="FFFFFF"/>
            <w:tcMar>
              <w:top w:w="30" w:type="dxa"/>
              <w:left w:w="20" w:type="dxa"/>
              <w:bottom w:w="30" w:type="dxa"/>
              <w:right w:w="0" w:type="dxa"/>
            </w:tcMar>
            <w:vAlign w:val="bottom"/>
            <w:hideMark/>
          </w:tcPr>
          <w:p w14:paraId="590C36BB" w14:textId="77777777" w:rsidR="00000000" w:rsidRDefault="00E614A4">
            <w:pPr>
              <w:jc w:val="right"/>
              <w:rPr>
                <w:rFonts w:eastAsia="Times New Roman"/>
              </w:rPr>
            </w:pPr>
            <w:r>
              <w:rPr>
                <w:rFonts w:eastAsia="Times New Roman"/>
                <w:color w:val="000000"/>
                <w:sz w:val="18"/>
                <w:szCs w:val="18"/>
              </w:rPr>
              <w:t>(75,000)</w:t>
            </w:r>
          </w:p>
        </w:tc>
        <w:tc>
          <w:tcPr>
            <w:tcW w:w="0" w:type="auto"/>
            <w:shd w:val="clear" w:color="auto" w:fill="FFFFFF"/>
            <w:tcMar>
              <w:top w:w="30" w:type="dxa"/>
              <w:left w:w="0" w:type="dxa"/>
              <w:bottom w:w="30" w:type="dxa"/>
              <w:right w:w="20" w:type="dxa"/>
            </w:tcMar>
            <w:vAlign w:val="bottom"/>
            <w:hideMark/>
          </w:tcPr>
          <w:p w14:paraId="449C879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A75A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0AB03" w14:textId="77777777" w:rsidR="00000000" w:rsidRDefault="00E614A4">
            <w:pPr>
              <w:jc w:val="right"/>
              <w:rPr>
                <w:rFonts w:eastAsia="Times New Roman"/>
              </w:rPr>
            </w:pPr>
            <w:r>
              <w:rPr>
                <w:rFonts w:eastAsia="Times New Roman"/>
                <w:color w:val="000000"/>
                <w:sz w:val="18"/>
                <w:szCs w:val="18"/>
              </w:rPr>
              <w:t>1.89 </w:t>
            </w:r>
          </w:p>
        </w:tc>
        <w:tc>
          <w:tcPr>
            <w:tcW w:w="0" w:type="auto"/>
            <w:shd w:val="clear" w:color="auto" w:fill="FFFFFF"/>
            <w:tcMar>
              <w:top w:w="30" w:type="dxa"/>
              <w:left w:w="0" w:type="dxa"/>
              <w:bottom w:w="30" w:type="dxa"/>
              <w:right w:w="20" w:type="dxa"/>
            </w:tcMar>
            <w:vAlign w:val="bottom"/>
            <w:hideMark/>
          </w:tcPr>
          <w:p w14:paraId="11BD6B08" w14:textId="77777777" w:rsidR="00000000" w:rsidRDefault="00E614A4">
            <w:pPr>
              <w:jc w:val="right"/>
              <w:rPr>
                <w:rFonts w:eastAsia="Times New Roman"/>
              </w:rPr>
            </w:pPr>
          </w:p>
        </w:tc>
      </w:tr>
      <w:tr w:rsidR="00000000" w14:paraId="1C9FAF88" w14:textId="77777777">
        <w:trPr>
          <w:divId w:val="1133325050"/>
        </w:trPr>
        <w:tc>
          <w:tcPr>
            <w:tcW w:w="0" w:type="auto"/>
            <w:gridSpan w:val="3"/>
            <w:shd w:val="clear" w:color="auto" w:fill="CCEEFF"/>
            <w:tcMar>
              <w:top w:w="30" w:type="dxa"/>
              <w:left w:w="290" w:type="dxa"/>
              <w:bottom w:w="30" w:type="dxa"/>
              <w:right w:w="20" w:type="dxa"/>
            </w:tcMar>
            <w:hideMark/>
          </w:tcPr>
          <w:p w14:paraId="1D820A0E" w14:textId="77777777" w:rsidR="00000000" w:rsidRDefault="00E614A4">
            <w:pPr>
              <w:rPr>
                <w:rFonts w:eastAsia="Times New Roman"/>
              </w:rPr>
            </w:pPr>
            <w:r>
              <w:rPr>
                <w:rFonts w:eastAsia="Times New Roman"/>
                <w:color w:val="000000"/>
                <w:sz w:val="18"/>
                <w:szCs w:val="18"/>
              </w:rPr>
              <w:t>Options forfeited</w:t>
            </w:r>
          </w:p>
        </w:tc>
        <w:tc>
          <w:tcPr>
            <w:tcW w:w="0" w:type="auto"/>
            <w:gridSpan w:val="2"/>
            <w:shd w:val="clear" w:color="auto" w:fill="CCEEFF"/>
            <w:tcMar>
              <w:top w:w="30" w:type="dxa"/>
              <w:left w:w="20" w:type="dxa"/>
              <w:bottom w:w="30" w:type="dxa"/>
              <w:right w:w="0" w:type="dxa"/>
            </w:tcMar>
            <w:vAlign w:val="bottom"/>
            <w:hideMark/>
          </w:tcPr>
          <w:p w14:paraId="20C884D1" w14:textId="77777777" w:rsidR="00000000" w:rsidRDefault="00E614A4">
            <w:pPr>
              <w:jc w:val="right"/>
              <w:rPr>
                <w:rFonts w:eastAsia="Times New Roman"/>
              </w:rPr>
            </w:pPr>
            <w:r>
              <w:rPr>
                <w:rFonts w:eastAsia="Times New Roman"/>
                <w:color w:val="000000"/>
                <w:sz w:val="18"/>
                <w:szCs w:val="18"/>
              </w:rPr>
              <w:t>(60,000)</w:t>
            </w:r>
          </w:p>
        </w:tc>
        <w:tc>
          <w:tcPr>
            <w:tcW w:w="0" w:type="auto"/>
            <w:shd w:val="clear" w:color="auto" w:fill="CCEEFF"/>
            <w:tcMar>
              <w:top w:w="30" w:type="dxa"/>
              <w:left w:w="0" w:type="dxa"/>
              <w:bottom w:w="30" w:type="dxa"/>
              <w:right w:w="20" w:type="dxa"/>
            </w:tcMar>
            <w:vAlign w:val="bottom"/>
            <w:hideMark/>
          </w:tcPr>
          <w:p w14:paraId="479C159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4857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B0F0A2" w14:textId="77777777" w:rsidR="00000000" w:rsidRDefault="00E614A4">
            <w:pPr>
              <w:jc w:val="right"/>
              <w:rPr>
                <w:rFonts w:eastAsia="Times New Roman"/>
              </w:rPr>
            </w:pPr>
            <w:r>
              <w:rPr>
                <w:rFonts w:eastAsia="Times New Roman"/>
                <w:color w:val="000000"/>
                <w:sz w:val="18"/>
                <w:szCs w:val="18"/>
              </w:rPr>
              <w:t>5.38 </w:t>
            </w:r>
          </w:p>
        </w:tc>
        <w:tc>
          <w:tcPr>
            <w:tcW w:w="0" w:type="auto"/>
            <w:shd w:val="clear" w:color="auto" w:fill="CCEEFF"/>
            <w:tcMar>
              <w:top w:w="30" w:type="dxa"/>
              <w:left w:w="0" w:type="dxa"/>
              <w:bottom w:w="30" w:type="dxa"/>
              <w:right w:w="20" w:type="dxa"/>
            </w:tcMar>
            <w:vAlign w:val="bottom"/>
            <w:hideMark/>
          </w:tcPr>
          <w:p w14:paraId="530C5EDA" w14:textId="77777777" w:rsidR="00000000" w:rsidRDefault="00E614A4">
            <w:pPr>
              <w:jc w:val="right"/>
              <w:rPr>
                <w:rFonts w:eastAsia="Times New Roman"/>
              </w:rPr>
            </w:pPr>
          </w:p>
        </w:tc>
      </w:tr>
      <w:tr w:rsidR="00000000" w14:paraId="05FD8389" w14:textId="77777777">
        <w:trPr>
          <w:divId w:val="1133325050"/>
        </w:trPr>
        <w:tc>
          <w:tcPr>
            <w:tcW w:w="0" w:type="auto"/>
            <w:gridSpan w:val="3"/>
            <w:shd w:val="clear" w:color="auto" w:fill="FFFFFF"/>
            <w:tcMar>
              <w:top w:w="30" w:type="dxa"/>
              <w:left w:w="290" w:type="dxa"/>
              <w:bottom w:w="30" w:type="dxa"/>
              <w:right w:w="20" w:type="dxa"/>
            </w:tcMar>
            <w:hideMark/>
          </w:tcPr>
          <w:p w14:paraId="351DC22F" w14:textId="77777777" w:rsidR="00000000" w:rsidRDefault="00E614A4">
            <w:pPr>
              <w:rPr>
                <w:rFonts w:eastAsia="Times New Roman"/>
              </w:rPr>
            </w:pPr>
            <w:r>
              <w:rPr>
                <w:rFonts w:eastAsia="Times New Roman"/>
                <w:color w:val="000000"/>
                <w:sz w:val="18"/>
                <w:szCs w:val="18"/>
              </w:rPr>
              <w:t>Options expired</w:t>
            </w:r>
          </w:p>
        </w:tc>
        <w:tc>
          <w:tcPr>
            <w:tcW w:w="0" w:type="auto"/>
            <w:gridSpan w:val="2"/>
            <w:shd w:val="clear" w:color="auto" w:fill="FFFFFF"/>
            <w:tcMar>
              <w:top w:w="30" w:type="dxa"/>
              <w:left w:w="20" w:type="dxa"/>
              <w:bottom w:w="30" w:type="dxa"/>
              <w:right w:w="0" w:type="dxa"/>
            </w:tcMar>
            <w:vAlign w:val="bottom"/>
            <w:hideMark/>
          </w:tcPr>
          <w:p w14:paraId="51AF4D61" w14:textId="77777777" w:rsidR="00000000" w:rsidRDefault="00E614A4">
            <w:pPr>
              <w:jc w:val="right"/>
              <w:rPr>
                <w:rFonts w:eastAsia="Times New Roman"/>
              </w:rPr>
            </w:pPr>
            <w:r>
              <w:rPr>
                <w:rFonts w:eastAsia="Times New Roman"/>
                <w:color w:val="000000"/>
                <w:sz w:val="18"/>
                <w:szCs w:val="18"/>
              </w:rPr>
              <w:t>(456,775)</w:t>
            </w:r>
          </w:p>
        </w:tc>
        <w:tc>
          <w:tcPr>
            <w:tcW w:w="0" w:type="auto"/>
            <w:shd w:val="clear" w:color="auto" w:fill="FFFFFF"/>
            <w:tcMar>
              <w:top w:w="30" w:type="dxa"/>
              <w:left w:w="0" w:type="dxa"/>
              <w:bottom w:w="30" w:type="dxa"/>
              <w:right w:w="20" w:type="dxa"/>
            </w:tcMar>
            <w:vAlign w:val="bottom"/>
            <w:hideMark/>
          </w:tcPr>
          <w:p w14:paraId="4D3866F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20A3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DD96BA" w14:textId="77777777" w:rsidR="00000000" w:rsidRDefault="00E614A4">
            <w:pPr>
              <w:jc w:val="right"/>
              <w:rPr>
                <w:rFonts w:eastAsia="Times New Roman"/>
              </w:rPr>
            </w:pPr>
            <w:r>
              <w:rPr>
                <w:rFonts w:eastAsia="Times New Roman"/>
                <w:color w:val="000000"/>
                <w:sz w:val="18"/>
                <w:szCs w:val="18"/>
              </w:rPr>
              <w:t>15.92 </w:t>
            </w:r>
          </w:p>
        </w:tc>
        <w:tc>
          <w:tcPr>
            <w:tcW w:w="0" w:type="auto"/>
            <w:shd w:val="clear" w:color="auto" w:fill="FFFFFF"/>
            <w:tcMar>
              <w:top w:w="30" w:type="dxa"/>
              <w:left w:w="0" w:type="dxa"/>
              <w:bottom w:w="30" w:type="dxa"/>
              <w:right w:w="20" w:type="dxa"/>
            </w:tcMar>
            <w:vAlign w:val="bottom"/>
            <w:hideMark/>
          </w:tcPr>
          <w:p w14:paraId="12EC1565" w14:textId="77777777" w:rsidR="00000000" w:rsidRDefault="00E614A4">
            <w:pPr>
              <w:jc w:val="right"/>
              <w:rPr>
                <w:rFonts w:eastAsia="Times New Roman"/>
              </w:rPr>
            </w:pPr>
          </w:p>
        </w:tc>
      </w:tr>
      <w:tr w:rsidR="00000000" w14:paraId="6C72F27A" w14:textId="77777777">
        <w:trPr>
          <w:divId w:val="1133325050"/>
        </w:trPr>
        <w:tc>
          <w:tcPr>
            <w:tcW w:w="0" w:type="auto"/>
            <w:gridSpan w:val="3"/>
            <w:shd w:val="clear" w:color="auto" w:fill="CCEEFF"/>
            <w:tcMar>
              <w:top w:w="30" w:type="dxa"/>
              <w:left w:w="20" w:type="dxa"/>
              <w:bottom w:w="30" w:type="dxa"/>
              <w:right w:w="20" w:type="dxa"/>
            </w:tcMar>
            <w:hideMark/>
          </w:tcPr>
          <w:p w14:paraId="69ABC8F4" w14:textId="77777777" w:rsidR="00000000" w:rsidRDefault="00E614A4">
            <w:pPr>
              <w:rPr>
                <w:rFonts w:eastAsia="Times New Roman"/>
              </w:rPr>
            </w:pPr>
            <w:r>
              <w:rPr>
                <w:rFonts w:eastAsia="Times New Roman"/>
                <w:color w:val="000000"/>
                <w:sz w:val="18"/>
                <w:szCs w:val="18"/>
              </w:rPr>
              <w:t>Options outstanding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491C97" w14:textId="77777777" w:rsidR="00000000" w:rsidRDefault="00E614A4">
            <w:pPr>
              <w:jc w:val="right"/>
              <w:rPr>
                <w:rFonts w:eastAsia="Times New Roman"/>
              </w:rPr>
            </w:pPr>
            <w:r>
              <w:rPr>
                <w:rFonts w:eastAsia="Times New Roman"/>
                <w:color w:val="000000"/>
                <w:sz w:val="18"/>
                <w:szCs w:val="18"/>
              </w:rPr>
              <w:t>997,192 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DAD8E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FB5C3"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ACDB4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63DED3" w14:textId="77777777" w:rsidR="00000000" w:rsidRDefault="00E614A4">
            <w:pPr>
              <w:jc w:val="right"/>
              <w:rPr>
                <w:rFonts w:eastAsia="Times New Roman"/>
              </w:rPr>
            </w:pPr>
            <w:r>
              <w:rPr>
                <w:rFonts w:eastAsia="Times New Roman"/>
                <w:color w:val="000000"/>
                <w:sz w:val="18"/>
                <w:szCs w:val="18"/>
              </w:rPr>
              <w:t>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67FD72" w14:textId="77777777" w:rsidR="00000000" w:rsidRDefault="00E614A4">
            <w:pPr>
              <w:jc w:val="right"/>
              <w:rPr>
                <w:rFonts w:eastAsia="Times New Roman"/>
              </w:rPr>
            </w:pPr>
          </w:p>
        </w:tc>
      </w:tr>
      <w:tr w:rsidR="00000000" w14:paraId="2B7B379F" w14:textId="77777777">
        <w:trPr>
          <w:divId w:val="1133325050"/>
        </w:trPr>
        <w:tc>
          <w:tcPr>
            <w:tcW w:w="0" w:type="auto"/>
            <w:gridSpan w:val="3"/>
            <w:shd w:val="clear" w:color="auto" w:fill="FFFFFF"/>
            <w:tcMar>
              <w:top w:w="30" w:type="dxa"/>
              <w:left w:w="20" w:type="dxa"/>
              <w:bottom w:w="30" w:type="dxa"/>
              <w:right w:w="20" w:type="dxa"/>
            </w:tcMar>
            <w:hideMark/>
          </w:tcPr>
          <w:p w14:paraId="10CD1A19" w14:textId="77777777" w:rsidR="00000000" w:rsidRDefault="00E614A4">
            <w:pPr>
              <w:rPr>
                <w:rFonts w:eastAsia="Times New Roman"/>
              </w:rPr>
            </w:pPr>
            <w:r>
              <w:rPr>
                <w:rFonts w:eastAsia="Times New Roman"/>
                <w:color w:val="000000"/>
                <w:sz w:val="18"/>
                <w:szCs w:val="18"/>
              </w:rPr>
              <w:t>Options exercisable as of December 31, 2020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6EFA97" w14:textId="77777777" w:rsidR="00000000" w:rsidRDefault="00E614A4">
            <w:pPr>
              <w:jc w:val="right"/>
              <w:rPr>
                <w:rFonts w:eastAsia="Times New Roman"/>
              </w:rPr>
            </w:pPr>
            <w:r>
              <w:rPr>
                <w:rFonts w:eastAsia="Times New Roman"/>
                <w:color w:val="000000"/>
                <w:sz w:val="18"/>
                <w:szCs w:val="18"/>
              </w:rPr>
              <w:t>568,025 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902D9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23002"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68860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E9C6EE" w14:textId="77777777" w:rsidR="00000000" w:rsidRDefault="00E614A4">
            <w:pPr>
              <w:jc w:val="right"/>
              <w:rPr>
                <w:rFonts w:eastAsia="Times New Roman"/>
              </w:rPr>
            </w:pPr>
            <w:r>
              <w:rPr>
                <w:rFonts w:eastAsia="Times New Roman"/>
                <w:color w:val="000000"/>
                <w:sz w:val="18"/>
                <w:szCs w:val="18"/>
              </w:rPr>
              <w:t>16.10 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8167E3" w14:textId="77777777" w:rsidR="00000000" w:rsidRDefault="00E614A4">
            <w:pPr>
              <w:jc w:val="right"/>
              <w:rPr>
                <w:rFonts w:eastAsia="Times New Roman"/>
              </w:rPr>
            </w:pPr>
          </w:p>
        </w:tc>
      </w:tr>
      <w:tr w:rsidR="00000000" w14:paraId="0D0812EC" w14:textId="77777777">
        <w:trPr>
          <w:divId w:val="1133325050"/>
        </w:trPr>
        <w:tc>
          <w:tcPr>
            <w:tcW w:w="0" w:type="auto"/>
            <w:gridSpan w:val="12"/>
            <w:tcMar>
              <w:top w:w="30" w:type="dxa"/>
              <w:left w:w="20" w:type="dxa"/>
              <w:bottom w:w="30" w:type="dxa"/>
              <w:right w:w="20" w:type="dxa"/>
            </w:tcMar>
            <w:hideMark/>
          </w:tcPr>
          <w:p w14:paraId="3111A588" w14:textId="77777777" w:rsidR="00000000" w:rsidRDefault="00E614A4">
            <w:pPr>
              <w:jc w:val="both"/>
              <w:divId w:val="1783188439"/>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Includes 125,523 </w:t>
            </w:r>
            <w:r>
              <w:rPr>
                <w:rFonts w:eastAsia="Times New Roman"/>
                <w:i/>
                <w:iCs/>
                <w:color w:val="000000"/>
                <w:sz w:val="16"/>
                <w:szCs w:val="16"/>
              </w:rPr>
              <w:t>options withheld to pay the exercise price for certain exercises during the year ended December 31, 2018.</w:t>
            </w:r>
          </w:p>
        </w:tc>
      </w:tr>
    </w:tbl>
    <w:p w14:paraId="09CAAA46" w14:textId="77777777" w:rsidR="00000000" w:rsidRDefault="00E614A4">
      <w:pPr>
        <w:jc w:val="both"/>
        <w:divId w:val="1219364669"/>
        <w:rPr>
          <w:rFonts w:eastAsia="Times New Roman"/>
        </w:rPr>
      </w:pPr>
      <w:r>
        <w:rPr>
          <w:rFonts w:eastAsia="Times New Roman"/>
          <w:color w:val="000000"/>
          <w:sz w:val="20"/>
          <w:szCs w:val="20"/>
        </w:rPr>
        <w:t>The following table summarizes information about options outstanding, and exercisable,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1162"/>
        <w:gridCol w:w="36"/>
        <w:gridCol w:w="36"/>
        <w:gridCol w:w="36"/>
        <w:gridCol w:w="36"/>
        <w:gridCol w:w="67"/>
        <w:gridCol w:w="940"/>
        <w:gridCol w:w="36"/>
        <w:gridCol w:w="36"/>
        <w:gridCol w:w="36"/>
        <w:gridCol w:w="36"/>
        <w:gridCol w:w="111"/>
        <w:gridCol w:w="976"/>
        <w:gridCol w:w="37"/>
        <w:gridCol w:w="36"/>
        <w:gridCol w:w="36"/>
        <w:gridCol w:w="36"/>
        <w:gridCol w:w="65"/>
        <w:gridCol w:w="942"/>
        <w:gridCol w:w="36"/>
        <w:gridCol w:w="36"/>
        <w:gridCol w:w="36"/>
        <w:gridCol w:w="36"/>
        <w:gridCol w:w="62"/>
        <w:gridCol w:w="945"/>
        <w:gridCol w:w="36"/>
        <w:gridCol w:w="36"/>
        <w:gridCol w:w="36"/>
        <w:gridCol w:w="36"/>
        <w:gridCol w:w="111"/>
        <w:gridCol w:w="976"/>
        <w:gridCol w:w="37"/>
        <w:gridCol w:w="36"/>
        <w:gridCol w:w="36"/>
        <w:gridCol w:w="36"/>
        <w:gridCol w:w="65"/>
        <w:gridCol w:w="942"/>
        <w:gridCol w:w="36"/>
      </w:tblGrid>
      <w:tr w:rsidR="00000000" w14:paraId="45F59975" w14:textId="77777777">
        <w:trPr>
          <w:divId w:val="13850912"/>
        </w:trPr>
        <w:tc>
          <w:tcPr>
            <w:tcW w:w="50" w:type="pct"/>
            <w:vAlign w:val="center"/>
            <w:hideMark/>
          </w:tcPr>
          <w:p w14:paraId="3EF2FE4B" w14:textId="77777777" w:rsidR="00000000" w:rsidRDefault="00E614A4">
            <w:pPr>
              <w:jc w:val="both"/>
              <w:rPr>
                <w:rFonts w:eastAsia="Times New Roman"/>
              </w:rPr>
            </w:pPr>
          </w:p>
        </w:tc>
        <w:tc>
          <w:tcPr>
            <w:tcW w:w="736" w:type="pct"/>
            <w:vAlign w:val="center"/>
            <w:hideMark/>
          </w:tcPr>
          <w:p w14:paraId="0B126C4D" w14:textId="77777777" w:rsidR="00000000" w:rsidRDefault="00E614A4">
            <w:pPr>
              <w:rPr>
                <w:rFonts w:eastAsia="Times New Roman"/>
                <w:sz w:val="20"/>
                <w:szCs w:val="20"/>
              </w:rPr>
            </w:pPr>
          </w:p>
        </w:tc>
        <w:tc>
          <w:tcPr>
            <w:tcW w:w="5" w:type="pct"/>
            <w:vAlign w:val="center"/>
            <w:hideMark/>
          </w:tcPr>
          <w:p w14:paraId="5CD16C69" w14:textId="77777777" w:rsidR="00000000" w:rsidRDefault="00E614A4">
            <w:pPr>
              <w:rPr>
                <w:rFonts w:eastAsia="Times New Roman"/>
                <w:sz w:val="20"/>
                <w:szCs w:val="20"/>
              </w:rPr>
            </w:pPr>
          </w:p>
        </w:tc>
        <w:tc>
          <w:tcPr>
            <w:tcW w:w="5" w:type="pct"/>
            <w:vAlign w:val="center"/>
            <w:hideMark/>
          </w:tcPr>
          <w:p w14:paraId="6938D8F3" w14:textId="77777777" w:rsidR="00000000" w:rsidRDefault="00E614A4">
            <w:pPr>
              <w:rPr>
                <w:rFonts w:eastAsia="Times New Roman"/>
                <w:sz w:val="20"/>
                <w:szCs w:val="20"/>
              </w:rPr>
            </w:pPr>
          </w:p>
        </w:tc>
        <w:tc>
          <w:tcPr>
            <w:tcW w:w="17" w:type="pct"/>
            <w:vAlign w:val="center"/>
            <w:hideMark/>
          </w:tcPr>
          <w:p w14:paraId="44E7D631" w14:textId="77777777" w:rsidR="00000000" w:rsidRDefault="00E614A4">
            <w:pPr>
              <w:rPr>
                <w:rFonts w:eastAsia="Times New Roman"/>
                <w:sz w:val="20"/>
                <w:szCs w:val="20"/>
              </w:rPr>
            </w:pPr>
          </w:p>
        </w:tc>
        <w:tc>
          <w:tcPr>
            <w:tcW w:w="5" w:type="pct"/>
            <w:vAlign w:val="center"/>
            <w:hideMark/>
          </w:tcPr>
          <w:p w14:paraId="0D10EF91" w14:textId="77777777" w:rsidR="00000000" w:rsidRDefault="00E614A4">
            <w:pPr>
              <w:rPr>
                <w:rFonts w:eastAsia="Times New Roman"/>
                <w:sz w:val="20"/>
                <w:szCs w:val="20"/>
              </w:rPr>
            </w:pPr>
          </w:p>
        </w:tc>
        <w:tc>
          <w:tcPr>
            <w:tcW w:w="50" w:type="pct"/>
            <w:vAlign w:val="center"/>
            <w:hideMark/>
          </w:tcPr>
          <w:p w14:paraId="5DC35861" w14:textId="77777777" w:rsidR="00000000" w:rsidRDefault="00E614A4">
            <w:pPr>
              <w:rPr>
                <w:rFonts w:eastAsia="Times New Roman"/>
                <w:sz w:val="20"/>
                <w:szCs w:val="20"/>
              </w:rPr>
            </w:pPr>
          </w:p>
        </w:tc>
        <w:tc>
          <w:tcPr>
            <w:tcW w:w="618" w:type="pct"/>
            <w:vAlign w:val="center"/>
            <w:hideMark/>
          </w:tcPr>
          <w:p w14:paraId="2A225EC0" w14:textId="77777777" w:rsidR="00000000" w:rsidRDefault="00E614A4">
            <w:pPr>
              <w:rPr>
                <w:rFonts w:eastAsia="Times New Roman"/>
                <w:sz w:val="20"/>
                <w:szCs w:val="20"/>
              </w:rPr>
            </w:pPr>
          </w:p>
        </w:tc>
        <w:tc>
          <w:tcPr>
            <w:tcW w:w="5" w:type="pct"/>
            <w:vAlign w:val="center"/>
            <w:hideMark/>
          </w:tcPr>
          <w:p w14:paraId="0399B99B" w14:textId="77777777" w:rsidR="00000000" w:rsidRDefault="00E614A4">
            <w:pPr>
              <w:rPr>
                <w:rFonts w:eastAsia="Times New Roman"/>
                <w:sz w:val="20"/>
                <w:szCs w:val="20"/>
              </w:rPr>
            </w:pPr>
          </w:p>
        </w:tc>
        <w:tc>
          <w:tcPr>
            <w:tcW w:w="5" w:type="pct"/>
            <w:vAlign w:val="center"/>
            <w:hideMark/>
          </w:tcPr>
          <w:p w14:paraId="3B721838" w14:textId="77777777" w:rsidR="00000000" w:rsidRDefault="00E614A4">
            <w:pPr>
              <w:rPr>
                <w:rFonts w:eastAsia="Times New Roman"/>
                <w:sz w:val="20"/>
                <w:szCs w:val="20"/>
              </w:rPr>
            </w:pPr>
          </w:p>
        </w:tc>
        <w:tc>
          <w:tcPr>
            <w:tcW w:w="17" w:type="pct"/>
            <w:vAlign w:val="center"/>
            <w:hideMark/>
          </w:tcPr>
          <w:p w14:paraId="2317FCEE" w14:textId="77777777" w:rsidR="00000000" w:rsidRDefault="00E614A4">
            <w:pPr>
              <w:rPr>
                <w:rFonts w:eastAsia="Times New Roman"/>
                <w:sz w:val="20"/>
                <w:szCs w:val="20"/>
              </w:rPr>
            </w:pPr>
          </w:p>
        </w:tc>
        <w:tc>
          <w:tcPr>
            <w:tcW w:w="5" w:type="pct"/>
            <w:vAlign w:val="center"/>
            <w:hideMark/>
          </w:tcPr>
          <w:p w14:paraId="6A4EEF1B" w14:textId="77777777" w:rsidR="00000000" w:rsidRDefault="00E614A4">
            <w:pPr>
              <w:rPr>
                <w:rFonts w:eastAsia="Times New Roman"/>
                <w:sz w:val="20"/>
                <w:szCs w:val="20"/>
              </w:rPr>
            </w:pPr>
          </w:p>
        </w:tc>
        <w:tc>
          <w:tcPr>
            <w:tcW w:w="50" w:type="pct"/>
            <w:vAlign w:val="center"/>
            <w:hideMark/>
          </w:tcPr>
          <w:p w14:paraId="7137C4EF" w14:textId="77777777" w:rsidR="00000000" w:rsidRDefault="00E614A4">
            <w:pPr>
              <w:rPr>
                <w:rFonts w:eastAsia="Times New Roman"/>
                <w:sz w:val="20"/>
                <w:szCs w:val="20"/>
              </w:rPr>
            </w:pPr>
          </w:p>
        </w:tc>
        <w:tc>
          <w:tcPr>
            <w:tcW w:w="618" w:type="pct"/>
            <w:vAlign w:val="center"/>
            <w:hideMark/>
          </w:tcPr>
          <w:p w14:paraId="038AF4C5" w14:textId="77777777" w:rsidR="00000000" w:rsidRDefault="00E614A4">
            <w:pPr>
              <w:rPr>
                <w:rFonts w:eastAsia="Times New Roman"/>
                <w:sz w:val="20"/>
                <w:szCs w:val="20"/>
              </w:rPr>
            </w:pPr>
          </w:p>
        </w:tc>
        <w:tc>
          <w:tcPr>
            <w:tcW w:w="5" w:type="pct"/>
            <w:vAlign w:val="center"/>
            <w:hideMark/>
          </w:tcPr>
          <w:p w14:paraId="04DCEB6F" w14:textId="77777777" w:rsidR="00000000" w:rsidRDefault="00E614A4">
            <w:pPr>
              <w:rPr>
                <w:rFonts w:eastAsia="Times New Roman"/>
                <w:sz w:val="20"/>
                <w:szCs w:val="20"/>
              </w:rPr>
            </w:pPr>
          </w:p>
        </w:tc>
        <w:tc>
          <w:tcPr>
            <w:tcW w:w="5" w:type="pct"/>
            <w:vAlign w:val="center"/>
            <w:hideMark/>
          </w:tcPr>
          <w:p w14:paraId="2A40A7D7" w14:textId="77777777" w:rsidR="00000000" w:rsidRDefault="00E614A4">
            <w:pPr>
              <w:rPr>
                <w:rFonts w:eastAsia="Times New Roman"/>
                <w:sz w:val="20"/>
                <w:szCs w:val="20"/>
              </w:rPr>
            </w:pPr>
          </w:p>
        </w:tc>
        <w:tc>
          <w:tcPr>
            <w:tcW w:w="17" w:type="pct"/>
            <w:vAlign w:val="center"/>
            <w:hideMark/>
          </w:tcPr>
          <w:p w14:paraId="0D73A485" w14:textId="77777777" w:rsidR="00000000" w:rsidRDefault="00E614A4">
            <w:pPr>
              <w:rPr>
                <w:rFonts w:eastAsia="Times New Roman"/>
                <w:sz w:val="20"/>
                <w:szCs w:val="20"/>
              </w:rPr>
            </w:pPr>
          </w:p>
        </w:tc>
        <w:tc>
          <w:tcPr>
            <w:tcW w:w="5" w:type="pct"/>
            <w:vAlign w:val="center"/>
            <w:hideMark/>
          </w:tcPr>
          <w:p w14:paraId="287B4BBF" w14:textId="77777777" w:rsidR="00000000" w:rsidRDefault="00E614A4">
            <w:pPr>
              <w:rPr>
                <w:rFonts w:eastAsia="Times New Roman"/>
                <w:sz w:val="20"/>
                <w:szCs w:val="20"/>
              </w:rPr>
            </w:pPr>
          </w:p>
        </w:tc>
        <w:tc>
          <w:tcPr>
            <w:tcW w:w="50" w:type="pct"/>
            <w:vAlign w:val="center"/>
            <w:hideMark/>
          </w:tcPr>
          <w:p w14:paraId="1D15B887" w14:textId="77777777" w:rsidR="00000000" w:rsidRDefault="00E614A4">
            <w:pPr>
              <w:rPr>
                <w:rFonts w:eastAsia="Times New Roman"/>
                <w:sz w:val="20"/>
                <w:szCs w:val="20"/>
              </w:rPr>
            </w:pPr>
          </w:p>
        </w:tc>
        <w:tc>
          <w:tcPr>
            <w:tcW w:w="618" w:type="pct"/>
            <w:vAlign w:val="center"/>
            <w:hideMark/>
          </w:tcPr>
          <w:p w14:paraId="6554DA39" w14:textId="77777777" w:rsidR="00000000" w:rsidRDefault="00E614A4">
            <w:pPr>
              <w:rPr>
                <w:rFonts w:eastAsia="Times New Roman"/>
                <w:sz w:val="20"/>
                <w:szCs w:val="20"/>
              </w:rPr>
            </w:pPr>
          </w:p>
        </w:tc>
        <w:tc>
          <w:tcPr>
            <w:tcW w:w="5" w:type="pct"/>
            <w:vAlign w:val="center"/>
            <w:hideMark/>
          </w:tcPr>
          <w:p w14:paraId="0344ABFB" w14:textId="77777777" w:rsidR="00000000" w:rsidRDefault="00E614A4">
            <w:pPr>
              <w:rPr>
                <w:rFonts w:eastAsia="Times New Roman"/>
                <w:sz w:val="20"/>
                <w:szCs w:val="20"/>
              </w:rPr>
            </w:pPr>
          </w:p>
        </w:tc>
        <w:tc>
          <w:tcPr>
            <w:tcW w:w="5" w:type="pct"/>
            <w:vAlign w:val="center"/>
            <w:hideMark/>
          </w:tcPr>
          <w:p w14:paraId="7C86658A" w14:textId="77777777" w:rsidR="00000000" w:rsidRDefault="00E614A4">
            <w:pPr>
              <w:rPr>
                <w:rFonts w:eastAsia="Times New Roman"/>
                <w:sz w:val="20"/>
                <w:szCs w:val="20"/>
              </w:rPr>
            </w:pPr>
          </w:p>
        </w:tc>
        <w:tc>
          <w:tcPr>
            <w:tcW w:w="17" w:type="pct"/>
            <w:vAlign w:val="center"/>
            <w:hideMark/>
          </w:tcPr>
          <w:p w14:paraId="4AF26987" w14:textId="77777777" w:rsidR="00000000" w:rsidRDefault="00E614A4">
            <w:pPr>
              <w:rPr>
                <w:rFonts w:eastAsia="Times New Roman"/>
                <w:sz w:val="20"/>
                <w:szCs w:val="20"/>
              </w:rPr>
            </w:pPr>
          </w:p>
        </w:tc>
        <w:tc>
          <w:tcPr>
            <w:tcW w:w="5" w:type="pct"/>
            <w:vAlign w:val="center"/>
            <w:hideMark/>
          </w:tcPr>
          <w:p w14:paraId="50C73D54" w14:textId="77777777" w:rsidR="00000000" w:rsidRDefault="00E614A4">
            <w:pPr>
              <w:rPr>
                <w:rFonts w:eastAsia="Times New Roman"/>
                <w:sz w:val="20"/>
                <w:szCs w:val="20"/>
              </w:rPr>
            </w:pPr>
          </w:p>
        </w:tc>
        <w:tc>
          <w:tcPr>
            <w:tcW w:w="50" w:type="pct"/>
            <w:vAlign w:val="center"/>
            <w:hideMark/>
          </w:tcPr>
          <w:p w14:paraId="06889ED4" w14:textId="77777777" w:rsidR="00000000" w:rsidRDefault="00E614A4">
            <w:pPr>
              <w:rPr>
                <w:rFonts w:eastAsia="Times New Roman"/>
                <w:sz w:val="20"/>
                <w:szCs w:val="20"/>
              </w:rPr>
            </w:pPr>
          </w:p>
        </w:tc>
        <w:tc>
          <w:tcPr>
            <w:tcW w:w="618" w:type="pct"/>
            <w:vAlign w:val="center"/>
            <w:hideMark/>
          </w:tcPr>
          <w:p w14:paraId="4241E04A" w14:textId="77777777" w:rsidR="00000000" w:rsidRDefault="00E614A4">
            <w:pPr>
              <w:rPr>
                <w:rFonts w:eastAsia="Times New Roman"/>
                <w:sz w:val="20"/>
                <w:szCs w:val="20"/>
              </w:rPr>
            </w:pPr>
          </w:p>
        </w:tc>
        <w:tc>
          <w:tcPr>
            <w:tcW w:w="5" w:type="pct"/>
            <w:vAlign w:val="center"/>
            <w:hideMark/>
          </w:tcPr>
          <w:p w14:paraId="74465657" w14:textId="77777777" w:rsidR="00000000" w:rsidRDefault="00E614A4">
            <w:pPr>
              <w:rPr>
                <w:rFonts w:eastAsia="Times New Roman"/>
                <w:sz w:val="20"/>
                <w:szCs w:val="20"/>
              </w:rPr>
            </w:pPr>
          </w:p>
        </w:tc>
        <w:tc>
          <w:tcPr>
            <w:tcW w:w="5" w:type="pct"/>
            <w:vAlign w:val="center"/>
            <w:hideMark/>
          </w:tcPr>
          <w:p w14:paraId="496B312E" w14:textId="77777777" w:rsidR="00000000" w:rsidRDefault="00E614A4">
            <w:pPr>
              <w:rPr>
                <w:rFonts w:eastAsia="Times New Roman"/>
                <w:sz w:val="20"/>
                <w:szCs w:val="20"/>
              </w:rPr>
            </w:pPr>
          </w:p>
        </w:tc>
        <w:tc>
          <w:tcPr>
            <w:tcW w:w="17" w:type="pct"/>
            <w:vAlign w:val="center"/>
            <w:hideMark/>
          </w:tcPr>
          <w:p w14:paraId="304A8901" w14:textId="77777777" w:rsidR="00000000" w:rsidRDefault="00E614A4">
            <w:pPr>
              <w:rPr>
                <w:rFonts w:eastAsia="Times New Roman"/>
                <w:sz w:val="20"/>
                <w:szCs w:val="20"/>
              </w:rPr>
            </w:pPr>
          </w:p>
        </w:tc>
        <w:tc>
          <w:tcPr>
            <w:tcW w:w="5" w:type="pct"/>
            <w:vAlign w:val="center"/>
            <w:hideMark/>
          </w:tcPr>
          <w:p w14:paraId="3676B64B" w14:textId="77777777" w:rsidR="00000000" w:rsidRDefault="00E614A4">
            <w:pPr>
              <w:rPr>
                <w:rFonts w:eastAsia="Times New Roman"/>
                <w:sz w:val="20"/>
                <w:szCs w:val="20"/>
              </w:rPr>
            </w:pPr>
          </w:p>
        </w:tc>
        <w:tc>
          <w:tcPr>
            <w:tcW w:w="50" w:type="pct"/>
            <w:vAlign w:val="center"/>
            <w:hideMark/>
          </w:tcPr>
          <w:p w14:paraId="033C274D" w14:textId="77777777" w:rsidR="00000000" w:rsidRDefault="00E614A4">
            <w:pPr>
              <w:rPr>
                <w:rFonts w:eastAsia="Times New Roman"/>
                <w:sz w:val="20"/>
                <w:szCs w:val="20"/>
              </w:rPr>
            </w:pPr>
          </w:p>
        </w:tc>
        <w:tc>
          <w:tcPr>
            <w:tcW w:w="618" w:type="pct"/>
            <w:vAlign w:val="center"/>
            <w:hideMark/>
          </w:tcPr>
          <w:p w14:paraId="35BC7676" w14:textId="77777777" w:rsidR="00000000" w:rsidRDefault="00E614A4">
            <w:pPr>
              <w:rPr>
                <w:rFonts w:eastAsia="Times New Roman"/>
                <w:sz w:val="20"/>
                <w:szCs w:val="20"/>
              </w:rPr>
            </w:pPr>
          </w:p>
        </w:tc>
        <w:tc>
          <w:tcPr>
            <w:tcW w:w="5" w:type="pct"/>
            <w:vAlign w:val="center"/>
            <w:hideMark/>
          </w:tcPr>
          <w:p w14:paraId="1A195D45" w14:textId="77777777" w:rsidR="00000000" w:rsidRDefault="00E614A4">
            <w:pPr>
              <w:rPr>
                <w:rFonts w:eastAsia="Times New Roman"/>
                <w:sz w:val="20"/>
                <w:szCs w:val="20"/>
              </w:rPr>
            </w:pPr>
          </w:p>
        </w:tc>
        <w:tc>
          <w:tcPr>
            <w:tcW w:w="5" w:type="pct"/>
            <w:vAlign w:val="center"/>
            <w:hideMark/>
          </w:tcPr>
          <w:p w14:paraId="5A1BE6B9" w14:textId="77777777" w:rsidR="00000000" w:rsidRDefault="00E614A4">
            <w:pPr>
              <w:rPr>
                <w:rFonts w:eastAsia="Times New Roman"/>
                <w:sz w:val="20"/>
                <w:szCs w:val="20"/>
              </w:rPr>
            </w:pPr>
          </w:p>
        </w:tc>
        <w:tc>
          <w:tcPr>
            <w:tcW w:w="17" w:type="pct"/>
            <w:vAlign w:val="center"/>
            <w:hideMark/>
          </w:tcPr>
          <w:p w14:paraId="7B6F2C0F" w14:textId="77777777" w:rsidR="00000000" w:rsidRDefault="00E614A4">
            <w:pPr>
              <w:rPr>
                <w:rFonts w:eastAsia="Times New Roman"/>
                <w:sz w:val="20"/>
                <w:szCs w:val="20"/>
              </w:rPr>
            </w:pPr>
          </w:p>
        </w:tc>
        <w:tc>
          <w:tcPr>
            <w:tcW w:w="5" w:type="pct"/>
            <w:vAlign w:val="center"/>
            <w:hideMark/>
          </w:tcPr>
          <w:p w14:paraId="72FA2804" w14:textId="77777777" w:rsidR="00000000" w:rsidRDefault="00E614A4">
            <w:pPr>
              <w:rPr>
                <w:rFonts w:eastAsia="Times New Roman"/>
                <w:sz w:val="20"/>
                <w:szCs w:val="20"/>
              </w:rPr>
            </w:pPr>
          </w:p>
        </w:tc>
        <w:tc>
          <w:tcPr>
            <w:tcW w:w="50" w:type="pct"/>
            <w:vAlign w:val="center"/>
            <w:hideMark/>
          </w:tcPr>
          <w:p w14:paraId="01DE294D" w14:textId="77777777" w:rsidR="00000000" w:rsidRDefault="00E614A4">
            <w:pPr>
              <w:rPr>
                <w:rFonts w:eastAsia="Times New Roman"/>
                <w:sz w:val="20"/>
                <w:szCs w:val="20"/>
              </w:rPr>
            </w:pPr>
          </w:p>
        </w:tc>
        <w:tc>
          <w:tcPr>
            <w:tcW w:w="618" w:type="pct"/>
            <w:vAlign w:val="center"/>
            <w:hideMark/>
          </w:tcPr>
          <w:p w14:paraId="42E32E96" w14:textId="77777777" w:rsidR="00000000" w:rsidRDefault="00E614A4">
            <w:pPr>
              <w:rPr>
                <w:rFonts w:eastAsia="Times New Roman"/>
                <w:sz w:val="20"/>
                <w:szCs w:val="20"/>
              </w:rPr>
            </w:pPr>
          </w:p>
        </w:tc>
        <w:tc>
          <w:tcPr>
            <w:tcW w:w="5" w:type="pct"/>
            <w:vAlign w:val="center"/>
            <w:hideMark/>
          </w:tcPr>
          <w:p w14:paraId="207F1281" w14:textId="77777777" w:rsidR="00000000" w:rsidRDefault="00E614A4">
            <w:pPr>
              <w:rPr>
                <w:rFonts w:eastAsia="Times New Roman"/>
                <w:sz w:val="20"/>
                <w:szCs w:val="20"/>
              </w:rPr>
            </w:pPr>
          </w:p>
        </w:tc>
      </w:tr>
      <w:tr w:rsidR="00000000" w14:paraId="0FA11129" w14:textId="77777777">
        <w:trPr>
          <w:divId w:val="13850912"/>
        </w:trPr>
        <w:tc>
          <w:tcPr>
            <w:tcW w:w="0" w:type="auto"/>
            <w:gridSpan w:val="3"/>
            <w:tcMar>
              <w:top w:w="30" w:type="dxa"/>
              <w:left w:w="20" w:type="dxa"/>
              <w:bottom w:w="30" w:type="dxa"/>
              <w:right w:w="20" w:type="dxa"/>
            </w:tcMar>
            <w:vAlign w:val="bottom"/>
            <w:hideMark/>
          </w:tcPr>
          <w:p w14:paraId="7A0CF8FD"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EB8F9CB" w14:textId="77777777" w:rsidR="00000000" w:rsidRDefault="00E614A4">
            <w:pPr>
              <w:rPr>
                <w:rFonts w:eastAsia="Times New Roman"/>
              </w:rPr>
            </w:pPr>
          </w:p>
        </w:tc>
        <w:tc>
          <w:tcPr>
            <w:tcW w:w="0" w:type="auto"/>
            <w:gridSpan w:val="15"/>
            <w:tcMar>
              <w:top w:w="30" w:type="dxa"/>
              <w:left w:w="20" w:type="dxa"/>
              <w:bottom w:w="30" w:type="dxa"/>
              <w:right w:w="20" w:type="dxa"/>
            </w:tcMar>
            <w:vAlign w:val="bottom"/>
            <w:hideMark/>
          </w:tcPr>
          <w:p w14:paraId="7953D28F" w14:textId="77777777" w:rsidR="00000000" w:rsidRDefault="00E614A4">
            <w:pPr>
              <w:jc w:val="center"/>
              <w:rPr>
                <w:rFonts w:eastAsia="Times New Roman"/>
              </w:rPr>
            </w:pPr>
            <w:r>
              <w:rPr>
                <w:rFonts w:eastAsia="Times New Roman"/>
                <w:b/>
                <w:bCs/>
                <w:color w:val="000000"/>
                <w:sz w:val="16"/>
                <w:szCs w:val="16"/>
              </w:rPr>
              <w:t>Options Outstanding</w:t>
            </w:r>
          </w:p>
        </w:tc>
        <w:tc>
          <w:tcPr>
            <w:tcW w:w="0" w:type="auto"/>
            <w:gridSpan w:val="3"/>
            <w:tcMar>
              <w:top w:w="0" w:type="dxa"/>
              <w:left w:w="20" w:type="dxa"/>
              <w:bottom w:w="0" w:type="dxa"/>
              <w:right w:w="20" w:type="dxa"/>
            </w:tcMar>
            <w:vAlign w:val="center"/>
            <w:hideMark/>
          </w:tcPr>
          <w:p w14:paraId="1FC1B4C8" w14:textId="77777777" w:rsidR="00000000" w:rsidRDefault="00E614A4">
            <w:pPr>
              <w:jc w:val="center"/>
              <w:rPr>
                <w:rFonts w:eastAsia="Times New Roman"/>
              </w:rPr>
            </w:pPr>
          </w:p>
        </w:tc>
        <w:tc>
          <w:tcPr>
            <w:tcW w:w="0" w:type="auto"/>
            <w:gridSpan w:val="15"/>
            <w:tcMar>
              <w:top w:w="30" w:type="dxa"/>
              <w:left w:w="20" w:type="dxa"/>
              <w:bottom w:w="30" w:type="dxa"/>
              <w:right w:w="20" w:type="dxa"/>
            </w:tcMar>
            <w:vAlign w:val="bottom"/>
            <w:hideMark/>
          </w:tcPr>
          <w:p w14:paraId="654127CF" w14:textId="77777777" w:rsidR="00000000" w:rsidRDefault="00E614A4">
            <w:pPr>
              <w:jc w:val="center"/>
              <w:rPr>
                <w:rFonts w:eastAsia="Times New Roman"/>
              </w:rPr>
            </w:pPr>
            <w:r>
              <w:rPr>
                <w:rFonts w:eastAsia="Times New Roman"/>
                <w:b/>
                <w:bCs/>
                <w:color w:val="000000"/>
                <w:sz w:val="16"/>
                <w:szCs w:val="16"/>
              </w:rPr>
              <w:t>Options Exercisable</w:t>
            </w:r>
          </w:p>
        </w:tc>
      </w:tr>
      <w:tr w:rsidR="00000000" w14:paraId="10F4A145" w14:textId="77777777">
        <w:trPr>
          <w:divId w:val="13850912"/>
        </w:trPr>
        <w:tc>
          <w:tcPr>
            <w:tcW w:w="0" w:type="auto"/>
            <w:gridSpan w:val="3"/>
            <w:tcMar>
              <w:top w:w="30" w:type="dxa"/>
              <w:left w:w="20" w:type="dxa"/>
              <w:bottom w:w="30" w:type="dxa"/>
              <w:right w:w="20" w:type="dxa"/>
            </w:tcMar>
            <w:vAlign w:val="bottom"/>
            <w:hideMark/>
          </w:tcPr>
          <w:p w14:paraId="311C0705" w14:textId="77777777" w:rsidR="00000000" w:rsidRDefault="00E614A4">
            <w:pPr>
              <w:rPr>
                <w:rFonts w:eastAsia="Times New Roman"/>
              </w:rPr>
            </w:pPr>
            <w:r>
              <w:rPr>
                <w:rFonts w:eastAsia="Times New Roman"/>
                <w:b/>
                <w:bCs/>
                <w:color w:val="000000"/>
                <w:sz w:val="16"/>
                <w:szCs w:val="16"/>
              </w:rPr>
              <w:t>Range of Exercise Prices</w:t>
            </w:r>
          </w:p>
        </w:tc>
        <w:tc>
          <w:tcPr>
            <w:tcW w:w="0" w:type="auto"/>
            <w:gridSpan w:val="3"/>
            <w:tcMar>
              <w:top w:w="0" w:type="dxa"/>
              <w:left w:w="20" w:type="dxa"/>
              <w:bottom w:w="0" w:type="dxa"/>
              <w:right w:w="20" w:type="dxa"/>
            </w:tcMar>
            <w:vAlign w:val="center"/>
            <w:hideMark/>
          </w:tcPr>
          <w:p w14:paraId="1B461C57"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BA010E" w14:textId="77777777" w:rsidR="00000000" w:rsidRDefault="00E614A4">
            <w:pPr>
              <w:jc w:val="center"/>
              <w:rPr>
                <w:rFonts w:eastAsia="Times New Roman"/>
              </w:rPr>
            </w:pPr>
            <w:r>
              <w:rPr>
                <w:rFonts w:eastAsia="Times New Roman"/>
                <w:b/>
                <w:bCs/>
                <w:color w:val="000000"/>
                <w:sz w:val="16"/>
                <w:szCs w:val="16"/>
              </w:rPr>
              <w:t>Options Outstanding</w:t>
            </w:r>
          </w:p>
        </w:tc>
        <w:tc>
          <w:tcPr>
            <w:tcW w:w="0" w:type="auto"/>
            <w:gridSpan w:val="3"/>
            <w:tcBorders>
              <w:top w:val="single" w:sz="8" w:space="0" w:color="000000"/>
            </w:tcBorders>
            <w:tcMar>
              <w:top w:w="0" w:type="dxa"/>
              <w:left w:w="20" w:type="dxa"/>
              <w:bottom w:w="0" w:type="dxa"/>
              <w:right w:w="20" w:type="dxa"/>
            </w:tcMar>
            <w:vAlign w:val="center"/>
            <w:hideMark/>
          </w:tcPr>
          <w:p w14:paraId="59C772E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906C86" w14:textId="77777777" w:rsidR="00000000" w:rsidRDefault="00E614A4">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14:paraId="66A031A3"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9D15B4" w14:textId="77777777" w:rsidR="00000000" w:rsidRDefault="00E614A4">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Life (Years)</w:t>
            </w:r>
          </w:p>
        </w:tc>
        <w:tc>
          <w:tcPr>
            <w:tcW w:w="0" w:type="auto"/>
            <w:gridSpan w:val="3"/>
            <w:tcMar>
              <w:top w:w="0" w:type="dxa"/>
              <w:left w:w="20" w:type="dxa"/>
              <w:bottom w:w="0" w:type="dxa"/>
              <w:right w:w="20" w:type="dxa"/>
            </w:tcMar>
            <w:vAlign w:val="center"/>
            <w:hideMark/>
          </w:tcPr>
          <w:p w14:paraId="67566BE9"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76BB75" w14:textId="77777777" w:rsidR="00000000" w:rsidRDefault="00E614A4">
            <w:pPr>
              <w:jc w:val="center"/>
              <w:rPr>
                <w:rFonts w:eastAsia="Times New Roman"/>
              </w:rPr>
            </w:pPr>
            <w:r>
              <w:rPr>
                <w:rFonts w:eastAsia="Times New Roman"/>
                <w:b/>
                <w:bCs/>
                <w:color w:val="000000"/>
                <w:sz w:val="16"/>
                <w:szCs w:val="16"/>
              </w:rPr>
              <w:t>Options</w:t>
            </w:r>
            <w:r>
              <w:rPr>
                <w:rFonts w:eastAsia="Times New Roman"/>
                <w:b/>
                <w:bCs/>
                <w:color w:val="000000"/>
                <w:sz w:val="16"/>
                <w:szCs w:val="16"/>
              </w:rPr>
              <w:br/>
              <w:t>Exercisable</w:t>
            </w:r>
          </w:p>
        </w:tc>
        <w:tc>
          <w:tcPr>
            <w:tcW w:w="0" w:type="auto"/>
            <w:gridSpan w:val="3"/>
            <w:tcBorders>
              <w:top w:val="single" w:sz="8" w:space="0" w:color="000000"/>
            </w:tcBorders>
            <w:tcMar>
              <w:top w:w="0" w:type="dxa"/>
              <w:left w:w="20" w:type="dxa"/>
              <w:bottom w:w="0" w:type="dxa"/>
              <w:right w:w="20" w:type="dxa"/>
            </w:tcMar>
            <w:vAlign w:val="center"/>
            <w:hideMark/>
          </w:tcPr>
          <w:p w14:paraId="5B027455"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35D266" w14:textId="77777777" w:rsidR="00000000" w:rsidRDefault="00E614A4">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14:paraId="13D54DA7"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10B4CA" w14:textId="77777777" w:rsidR="00000000" w:rsidRDefault="00E614A4">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r>
            <w:r>
              <w:rPr>
                <w:rFonts w:eastAsia="Times New Roman"/>
                <w:b/>
                <w:bCs/>
                <w:color w:val="000000"/>
                <w:sz w:val="16"/>
                <w:szCs w:val="16"/>
              </w:rPr>
              <w:t>Contractual</w:t>
            </w:r>
            <w:r>
              <w:rPr>
                <w:rFonts w:eastAsia="Times New Roman"/>
                <w:b/>
                <w:bCs/>
                <w:color w:val="000000"/>
                <w:sz w:val="16"/>
                <w:szCs w:val="16"/>
              </w:rPr>
              <w:br/>
              <w:t>Life (Years)</w:t>
            </w:r>
          </w:p>
        </w:tc>
      </w:tr>
      <w:tr w:rsidR="00000000" w14:paraId="6B38C4F9" w14:textId="77777777">
        <w:trPr>
          <w:divId w:val="13850912"/>
        </w:trPr>
        <w:tc>
          <w:tcPr>
            <w:tcW w:w="0" w:type="auto"/>
            <w:gridSpan w:val="3"/>
            <w:shd w:val="clear" w:color="auto" w:fill="CCEEFF"/>
            <w:tcMar>
              <w:top w:w="30" w:type="dxa"/>
              <w:left w:w="20" w:type="dxa"/>
              <w:bottom w:w="30" w:type="dxa"/>
              <w:right w:w="20" w:type="dxa"/>
            </w:tcMar>
            <w:hideMark/>
          </w:tcPr>
          <w:p w14:paraId="13DB9F86" w14:textId="77777777" w:rsidR="00000000" w:rsidRDefault="00E614A4">
            <w:pPr>
              <w:divId w:val="930316032"/>
              <w:rPr>
                <w:rFonts w:eastAsia="Times New Roman"/>
              </w:rPr>
            </w:pPr>
            <w:r>
              <w:rPr>
                <w:rFonts w:eastAsia="Times New Roman"/>
                <w:color w:val="000000"/>
                <w:sz w:val="18"/>
                <w:szCs w:val="18"/>
              </w:rPr>
              <w:t>$3.21 - $5.38</w:t>
            </w:r>
          </w:p>
        </w:tc>
        <w:tc>
          <w:tcPr>
            <w:tcW w:w="0" w:type="auto"/>
            <w:gridSpan w:val="3"/>
            <w:shd w:val="clear" w:color="auto" w:fill="CCEEFF"/>
            <w:tcMar>
              <w:top w:w="0" w:type="dxa"/>
              <w:left w:w="20" w:type="dxa"/>
              <w:bottom w:w="0" w:type="dxa"/>
              <w:right w:w="20" w:type="dxa"/>
            </w:tcMar>
            <w:vAlign w:val="center"/>
            <w:hideMark/>
          </w:tcPr>
          <w:p w14:paraId="6B8387C8"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FCF506" w14:textId="77777777" w:rsidR="00000000" w:rsidRDefault="00E614A4">
            <w:pPr>
              <w:jc w:val="right"/>
              <w:rPr>
                <w:rFonts w:eastAsia="Times New Roman"/>
              </w:rPr>
            </w:pPr>
            <w:r>
              <w:rPr>
                <w:rFonts w:eastAsia="Times New Roman"/>
                <w:color w:val="000000"/>
                <w:sz w:val="18"/>
                <w:szCs w:val="18"/>
              </w:rPr>
              <w:t>450,000 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50BA4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6FA21"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B690A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D7B674" w14:textId="77777777" w:rsidR="00000000" w:rsidRDefault="00E614A4">
            <w:pPr>
              <w:jc w:val="right"/>
              <w:rPr>
                <w:rFonts w:eastAsia="Times New Roman"/>
              </w:rPr>
            </w:pPr>
            <w:r>
              <w:rPr>
                <w:rFonts w:eastAsia="Times New Roman"/>
                <w:color w:val="000000"/>
                <w:sz w:val="18"/>
                <w:szCs w:val="18"/>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7F2F9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0CD0E" w14:textId="77777777" w:rsidR="00000000" w:rsidRDefault="00E614A4">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D763D4" w14:textId="77777777" w:rsidR="00000000" w:rsidRDefault="00E614A4">
            <w:pPr>
              <w:jc w:val="right"/>
              <w:rPr>
                <w:rFonts w:eastAsia="Times New Roman"/>
              </w:rPr>
            </w:pPr>
            <w:r>
              <w:rPr>
                <w:rFonts w:eastAsia="Times New Roman"/>
                <w:color w:val="000000"/>
                <w:sz w:val="18"/>
                <w:szCs w:val="18"/>
              </w:rPr>
              <w:t>8.92</w:t>
            </w:r>
          </w:p>
        </w:tc>
        <w:tc>
          <w:tcPr>
            <w:tcW w:w="0" w:type="auto"/>
            <w:gridSpan w:val="3"/>
            <w:shd w:val="clear" w:color="auto" w:fill="CCEEFF"/>
            <w:tcMar>
              <w:top w:w="0" w:type="dxa"/>
              <w:left w:w="20" w:type="dxa"/>
              <w:bottom w:w="0" w:type="dxa"/>
              <w:right w:w="20" w:type="dxa"/>
            </w:tcMar>
            <w:vAlign w:val="center"/>
            <w:hideMark/>
          </w:tcPr>
          <w:p w14:paraId="061DC2BE" w14:textId="77777777" w:rsidR="00000000" w:rsidRDefault="00E614A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C496EA" w14:textId="77777777" w:rsidR="00000000" w:rsidRDefault="00E614A4">
            <w:pPr>
              <w:jc w:val="right"/>
              <w:rPr>
                <w:rFonts w:eastAsia="Times New Roman"/>
              </w:rPr>
            </w:pPr>
            <w:r>
              <w:rPr>
                <w:rFonts w:eastAsia="Times New Roman"/>
                <w:color w:val="000000"/>
                <w:sz w:val="18"/>
                <w:szCs w:val="18"/>
              </w:rPr>
              <w:t>133,333 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DE691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1BE1D"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9751E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2EC073" w14:textId="77777777" w:rsidR="00000000" w:rsidRDefault="00E614A4">
            <w:pPr>
              <w:jc w:val="right"/>
              <w:rPr>
                <w:rFonts w:eastAsia="Times New Roman"/>
              </w:rPr>
            </w:pPr>
            <w:r>
              <w:rPr>
                <w:rFonts w:eastAsia="Times New Roman"/>
                <w:color w:val="000000"/>
                <w:sz w:val="18"/>
                <w:szCs w:val="18"/>
              </w:rPr>
              <w:t>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99BCF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32A9F" w14:textId="77777777" w:rsidR="00000000" w:rsidRDefault="00E614A4">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B6D5E6" w14:textId="77777777" w:rsidR="00000000" w:rsidRDefault="00E614A4">
            <w:pPr>
              <w:jc w:val="right"/>
              <w:rPr>
                <w:rFonts w:eastAsia="Times New Roman"/>
              </w:rPr>
            </w:pPr>
            <w:r>
              <w:rPr>
                <w:rFonts w:eastAsia="Times New Roman"/>
                <w:color w:val="000000"/>
                <w:sz w:val="18"/>
                <w:szCs w:val="18"/>
              </w:rPr>
              <w:t>8.88</w:t>
            </w:r>
          </w:p>
        </w:tc>
      </w:tr>
      <w:tr w:rsidR="00000000" w14:paraId="129BAFE2" w14:textId="77777777">
        <w:trPr>
          <w:divId w:val="13850912"/>
        </w:trPr>
        <w:tc>
          <w:tcPr>
            <w:tcW w:w="0" w:type="auto"/>
            <w:gridSpan w:val="3"/>
            <w:shd w:val="clear" w:color="auto" w:fill="FFFFFF"/>
            <w:tcMar>
              <w:top w:w="30" w:type="dxa"/>
              <w:left w:w="20" w:type="dxa"/>
              <w:bottom w:w="30" w:type="dxa"/>
              <w:right w:w="20" w:type="dxa"/>
            </w:tcMar>
            <w:hideMark/>
          </w:tcPr>
          <w:p w14:paraId="7BE97E5D" w14:textId="77777777" w:rsidR="00000000" w:rsidRDefault="00E614A4">
            <w:pPr>
              <w:divId w:val="1305508074"/>
              <w:rPr>
                <w:rFonts w:eastAsia="Times New Roman"/>
              </w:rPr>
            </w:pPr>
            <w:r>
              <w:rPr>
                <w:rFonts w:eastAsia="Times New Roman"/>
                <w:color w:val="000000"/>
                <w:sz w:val="18"/>
                <w:szCs w:val="18"/>
              </w:rPr>
              <w:t>$10.35 - $19.31</w:t>
            </w:r>
          </w:p>
        </w:tc>
        <w:tc>
          <w:tcPr>
            <w:tcW w:w="0" w:type="auto"/>
            <w:gridSpan w:val="3"/>
            <w:shd w:val="clear" w:color="auto" w:fill="FFFFFF"/>
            <w:tcMar>
              <w:top w:w="0" w:type="dxa"/>
              <w:left w:w="20" w:type="dxa"/>
              <w:bottom w:w="0" w:type="dxa"/>
              <w:right w:w="20" w:type="dxa"/>
            </w:tcMar>
            <w:vAlign w:val="center"/>
            <w:hideMark/>
          </w:tcPr>
          <w:p w14:paraId="47A1A401"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1D9BB3" w14:textId="77777777" w:rsidR="00000000" w:rsidRDefault="00E614A4">
            <w:pPr>
              <w:jc w:val="right"/>
              <w:rPr>
                <w:rFonts w:eastAsia="Times New Roman"/>
              </w:rPr>
            </w:pPr>
            <w:r>
              <w:rPr>
                <w:rFonts w:eastAsia="Times New Roman"/>
                <w:color w:val="000000"/>
                <w:sz w:val="18"/>
                <w:szCs w:val="18"/>
              </w:rPr>
              <w:t>494,360 </w:t>
            </w:r>
          </w:p>
        </w:tc>
        <w:tc>
          <w:tcPr>
            <w:tcW w:w="0" w:type="auto"/>
            <w:shd w:val="clear" w:color="auto" w:fill="FFFFFF"/>
            <w:tcMar>
              <w:top w:w="30" w:type="dxa"/>
              <w:left w:w="0" w:type="dxa"/>
              <w:bottom w:w="30" w:type="dxa"/>
              <w:right w:w="20" w:type="dxa"/>
            </w:tcMar>
            <w:vAlign w:val="bottom"/>
            <w:hideMark/>
          </w:tcPr>
          <w:p w14:paraId="4DEAD3A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5AAC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3514E4" w14:textId="77777777" w:rsidR="00000000" w:rsidRDefault="00E614A4">
            <w:pPr>
              <w:jc w:val="right"/>
              <w:rPr>
                <w:rFonts w:eastAsia="Times New Roman"/>
              </w:rPr>
            </w:pPr>
            <w:r>
              <w:rPr>
                <w:rFonts w:eastAsia="Times New Roman"/>
                <w:color w:val="000000"/>
                <w:sz w:val="18"/>
                <w:szCs w:val="18"/>
              </w:rPr>
              <w:t>13.79 </w:t>
            </w:r>
          </w:p>
        </w:tc>
        <w:tc>
          <w:tcPr>
            <w:tcW w:w="0" w:type="auto"/>
            <w:shd w:val="clear" w:color="auto" w:fill="FFFFFF"/>
            <w:tcMar>
              <w:top w:w="30" w:type="dxa"/>
              <w:left w:w="0" w:type="dxa"/>
              <w:bottom w:w="30" w:type="dxa"/>
              <w:right w:w="20" w:type="dxa"/>
            </w:tcMar>
            <w:vAlign w:val="bottom"/>
            <w:hideMark/>
          </w:tcPr>
          <w:p w14:paraId="056F5A0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E7BDE" w14:textId="77777777" w:rsidR="00000000" w:rsidRDefault="00E614A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142B0A4" w14:textId="77777777" w:rsidR="00000000" w:rsidRDefault="00E614A4">
            <w:pPr>
              <w:jc w:val="right"/>
              <w:rPr>
                <w:rFonts w:eastAsia="Times New Roman"/>
              </w:rPr>
            </w:pPr>
            <w:r>
              <w:rPr>
                <w:rFonts w:eastAsia="Times New Roman"/>
                <w:color w:val="000000"/>
                <w:sz w:val="18"/>
                <w:szCs w:val="18"/>
              </w:rPr>
              <w:t>3.25</w:t>
            </w:r>
          </w:p>
        </w:tc>
        <w:tc>
          <w:tcPr>
            <w:tcW w:w="0" w:type="auto"/>
            <w:gridSpan w:val="3"/>
            <w:shd w:val="clear" w:color="auto" w:fill="FFFFFF"/>
            <w:tcMar>
              <w:top w:w="0" w:type="dxa"/>
              <w:left w:w="20" w:type="dxa"/>
              <w:bottom w:w="0" w:type="dxa"/>
              <w:right w:w="20" w:type="dxa"/>
            </w:tcMar>
            <w:vAlign w:val="center"/>
            <w:hideMark/>
          </w:tcPr>
          <w:p w14:paraId="367F57E0"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5AED1D" w14:textId="77777777" w:rsidR="00000000" w:rsidRDefault="00E614A4">
            <w:pPr>
              <w:jc w:val="right"/>
              <w:rPr>
                <w:rFonts w:eastAsia="Times New Roman"/>
              </w:rPr>
            </w:pPr>
            <w:r>
              <w:rPr>
                <w:rFonts w:eastAsia="Times New Roman"/>
                <w:color w:val="000000"/>
                <w:sz w:val="18"/>
                <w:szCs w:val="18"/>
              </w:rPr>
              <w:t>381,860 </w:t>
            </w:r>
          </w:p>
        </w:tc>
        <w:tc>
          <w:tcPr>
            <w:tcW w:w="0" w:type="auto"/>
            <w:shd w:val="clear" w:color="auto" w:fill="FFFFFF"/>
            <w:tcMar>
              <w:top w:w="30" w:type="dxa"/>
              <w:left w:w="0" w:type="dxa"/>
              <w:bottom w:w="30" w:type="dxa"/>
              <w:right w:w="20" w:type="dxa"/>
            </w:tcMar>
            <w:vAlign w:val="bottom"/>
            <w:hideMark/>
          </w:tcPr>
          <w:p w14:paraId="114748F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777A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75EBF" w14:textId="77777777" w:rsidR="00000000" w:rsidRDefault="00E614A4">
            <w:pPr>
              <w:jc w:val="right"/>
              <w:rPr>
                <w:rFonts w:eastAsia="Times New Roman"/>
              </w:rPr>
            </w:pPr>
            <w:r>
              <w:rPr>
                <w:rFonts w:eastAsia="Times New Roman"/>
                <w:color w:val="000000"/>
                <w:sz w:val="18"/>
                <w:szCs w:val="18"/>
              </w:rPr>
              <w:t>18.46 </w:t>
            </w:r>
          </w:p>
        </w:tc>
        <w:tc>
          <w:tcPr>
            <w:tcW w:w="0" w:type="auto"/>
            <w:shd w:val="clear" w:color="auto" w:fill="FFFFFF"/>
            <w:tcMar>
              <w:top w:w="30" w:type="dxa"/>
              <w:left w:w="0" w:type="dxa"/>
              <w:bottom w:w="30" w:type="dxa"/>
              <w:right w:w="20" w:type="dxa"/>
            </w:tcMar>
            <w:vAlign w:val="bottom"/>
            <w:hideMark/>
          </w:tcPr>
          <w:p w14:paraId="160AAE1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46C23" w14:textId="77777777" w:rsidR="00000000" w:rsidRDefault="00E614A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47549C4" w14:textId="77777777" w:rsidR="00000000" w:rsidRDefault="00E614A4">
            <w:pPr>
              <w:jc w:val="right"/>
              <w:rPr>
                <w:rFonts w:eastAsia="Times New Roman"/>
              </w:rPr>
            </w:pPr>
            <w:r>
              <w:rPr>
                <w:rFonts w:eastAsia="Times New Roman"/>
                <w:color w:val="000000"/>
                <w:sz w:val="18"/>
                <w:szCs w:val="18"/>
              </w:rPr>
              <w:t>1.73</w:t>
            </w:r>
          </w:p>
        </w:tc>
      </w:tr>
      <w:tr w:rsidR="00000000" w14:paraId="1C78479D" w14:textId="77777777">
        <w:trPr>
          <w:divId w:val="13850912"/>
        </w:trPr>
        <w:tc>
          <w:tcPr>
            <w:tcW w:w="0" w:type="auto"/>
            <w:gridSpan w:val="3"/>
            <w:shd w:val="clear" w:color="auto" w:fill="CCEEFF"/>
            <w:tcMar>
              <w:top w:w="30" w:type="dxa"/>
              <w:left w:w="20" w:type="dxa"/>
              <w:bottom w:w="30" w:type="dxa"/>
              <w:right w:w="20" w:type="dxa"/>
            </w:tcMar>
            <w:hideMark/>
          </w:tcPr>
          <w:p w14:paraId="79B7361B" w14:textId="77777777" w:rsidR="00000000" w:rsidRDefault="00E614A4">
            <w:pPr>
              <w:divId w:val="1315139136"/>
              <w:rPr>
                <w:rFonts w:eastAsia="Times New Roman"/>
              </w:rPr>
            </w:pPr>
            <w:r>
              <w:rPr>
                <w:rFonts w:eastAsia="Times New Roman"/>
                <w:color w:val="000000"/>
                <w:sz w:val="18"/>
                <w:szCs w:val="18"/>
              </w:rPr>
              <w:t>$20.11 - $23.22</w:t>
            </w:r>
          </w:p>
        </w:tc>
        <w:tc>
          <w:tcPr>
            <w:tcW w:w="0" w:type="auto"/>
            <w:gridSpan w:val="3"/>
            <w:shd w:val="clear" w:color="auto" w:fill="CCEEFF"/>
            <w:tcMar>
              <w:top w:w="0" w:type="dxa"/>
              <w:left w:w="20" w:type="dxa"/>
              <w:bottom w:w="0" w:type="dxa"/>
              <w:right w:w="20" w:type="dxa"/>
            </w:tcMar>
            <w:vAlign w:val="center"/>
            <w:hideMark/>
          </w:tcPr>
          <w:p w14:paraId="04A3B52E"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6A537F" w14:textId="77777777" w:rsidR="00000000" w:rsidRDefault="00E614A4">
            <w:pPr>
              <w:jc w:val="right"/>
              <w:rPr>
                <w:rFonts w:eastAsia="Times New Roman"/>
              </w:rPr>
            </w:pPr>
            <w:r>
              <w:rPr>
                <w:rFonts w:eastAsia="Times New Roman"/>
                <w:color w:val="000000"/>
                <w:sz w:val="18"/>
                <w:szCs w:val="18"/>
              </w:rPr>
              <w:t>46,775 </w:t>
            </w:r>
          </w:p>
        </w:tc>
        <w:tc>
          <w:tcPr>
            <w:tcW w:w="0" w:type="auto"/>
            <w:shd w:val="clear" w:color="auto" w:fill="CCEEFF"/>
            <w:tcMar>
              <w:top w:w="30" w:type="dxa"/>
              <w:left w:w="0" w:type="dxa"/>
              <w:bottom w:w="30" w:type="dxa"/>
              <w:right w:w="20" w:type="dxa"/>
            </w:tcMar>
            <w:vAlign w:val="bottom"/>
            <w:hideMark/>
          </w:tcPr>
          <w:p w14:paraId="6511E1F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593D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D6AA21" w14:textId="77777777" w:rsidR="00000000" w:rsidRDefault="00E614A4">
            <w:pPr>
              <w:jc w:val="right"/>
              <w:rPr>
                <w:rFonts w:eastAsia="Times New Roman"/>
              </w:rPr>
            </w:pPr>
            <w:r>
              <w:rPr>
                <w:rFonts w:eastAsia="Times New Roman"/>
                <w:color w:val="000000"/>
                <w:sz w:val="18"/>
                <w:szCs w:val="18"/>
              </w:rPr>
              <w:t>22.33 </w:t>
            </w:r>
          </w:p>
        </w:tc>
        <w:tc>
          <w:tcPr>
            <w:tcW w:w="0" w:type="auto"/>
            <w:shd w:val="clear" w:color="auto" w:fill="CCEEFF"/>
            <w:tcMar>
              <w:top w:w="30" w:type="dxa"/>
              <w:left w:w="0" w:type="dxa"/>
              <w:bottom w:w="30" w:type="dxa"/>
              <w:right w:w="20" w:type="dxa"/>
            </w:tcMar>
            <w:vAlign w:val="bottom"/>
            <w:hideMark/>
          </w:tcPr>
          <w:p w14:paraId="4E497ED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3E98D" w14:textId="77777777" w:rsidR="00000000" w:rsidRDefault="00E614A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973B231" w14:textId="77777777" w:rsidR="00000000" w:rsidRDefault="00E614A4">
            <w:pPr>
              <w:jc w:val="right"/>
              <w:rPr>
                <w:rFonts w:eastAsia="Times New Roman"/>
              </w:rPr>
            </w:pPr>
            <w:r>
              <w:rPr>
                <w:rFonts w:eastAsia="Times New Roman"/>
                <w:color w:val="000000"/>
                <w:sz w:val="18"/>
                <w:szCs w:val="18"/>
              </w:rPr>
              <w:t>0.94</w:t>
            </w:r>
          </w:p>
        </w:tc>
        <w:tc>
          <w:tcPr>
            <w:tcW w:w="0" w:type="auto"/>
            <w:gridSpan w:val="3"/>
            <w:shd w:val="clear" w:color="auto" w:fill="CCEEFF"/>
            <w:tcMar>
              <w:top w:w="0" w:type="dxa"/>
              <w:left w:w="20" w:type="dxa"/>
              <w:bottom w:w="0" w:type="dxa"/>
              <w:right w:w="20" w:type="dxa"/>
            </w:tcMar>
            <w:vAlign w:val="center"/>
            <w:hideMark/>
          </w:tcPr>
          <w:p w14:paraId="1687F844"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4C02D8" w14:textId="77777777" w:rsidR="00000000" w:rsidRDefault="00E614A4">
            <w:pPr>
              <w:jc w:val="right"/>
              <w:rPr>
                <w:rFonts w:eastAsia="Times New Roman"/>
              </w:rPr>
            </w:pPr>
            <w:r>
              <w:rPr>
                <w:rFonts w:eastAsia="Times New Roman"/>
                <w:color w:val="000000"/>
                <w:sz w:val="18"/>
                <w:szCs w:val="18"/>
              </w:rPr>
              <w:t>46,775 </w:t>
            </w:r>
          </w:p>
        </w:tc>
        <w:tc>
          <w:tcPr>
            <w:tcW w:w="0" w:type="auto"/>
            <w:shd w:val="clear" w:color="auto" w:fill="CCEEFF"/>
            <w:tcMar>
              <w:top w:w="30" w:type="dxa"/>
              <w:left w:w="0" w:type="dxa"/>
              <w:bottom w:w="30" w:type="dxa"/>
              <w:right w:w="20" w:type="dxa"/>
            </w:tcMar>
            <w:vAlign w:val="bottom"/>
            <w:hideMark/>
          </w:tcPr>
          <w:p w14:paraId="741616D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8535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21DA7E" w14:textId="77777777" w:rsidR="00000000" w:rsidRDefault="00E614A4">
            <w:pPr>
              <w:jc w:val="right"/>
              <w:rPr>
                <w:rFonts w:eastAsia="Times New Roman"/>
              </w:rPr>
            </w:pPr>
            <w:r>
              <w:rPr>
                <w:rFonts w:eastAsia="Times New Roman"/>
                <w:color w:val="000000"/>
                <w:sz w:val="18"/>
                <w:szCs w:val="18"/>
              </w:rPr>
              <w:t>22.33 </w:t>
            </w:r>
          </w:p>
        </w:tc>
        <w:tc>
          <w:tcPr>
            <w:tcW w:w="0" w:type="auto"/>
            <w:shd w:val="clear" w:color="auto" w:fill="CCEEFF"/>
            <w:tcMar>
              <w:top w:w="30" w:type="dxa"/>
              <w:left w:w="0" w:type="dxa"/>
              <w:bottom w:w="30" w:type="dxa"/>
              <w:right w:w="20" w:type="dxa"/>
            </w:tcMar>
            <w:vAlign w:val="bottom"/>
            <w:hideMark/>
          </w:tcPr>
          <w:p w14:paraId="62C7DBD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A305C" w14:textId="77777777" w:rsidR="00000000" w:rsidRDefault="00E614A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12DFE0E" w14:textId="77777777" w:rsidR="00000000" w:rsidRDefault="00E614A4">
            <w:pPr>
              <w:jc w:val="right"/>
              <w:rPr>
                <w:rFonts w:eastAsia="Times New Roman"/>
              </w:rPr>
            </w:pPr>
            <w:r>
              <w:rPr>
                <w:rFonts w:eastAsia="Times New Roman"/>
                <w:color w:val="000000"/>
                <w:sz w:val="18"/>
                <w:szCs w:val="18"/>
              </w:rPr>
              <w:t>0.94</w:t>
            </w:r>
          </w:p>
        </w:tc>
      </w:tr>
      <w:tr w:rsidR="00000000" w14:paraId="027DAD96" w14:textId="77777777">
        <w:trPr>
          <w:divId w:val="13850912"/>
        </w:trPr>
        <w:tc>
          <w:tcPr>
            <w:tcW w:w="0" w:type="auto"/>
            <w:gridSpan w:val="3"/>
            <w:shd w:val="clear" w:color="auto" w:fill="FFFFFF"/>
            <w:tcMar>
              <w:top w:w="30" w:type="dxa"/>
              <w:left w:w="20" w:type="dxa"/>
              <w:bottom w:w="30" w:type="dxa"/>
              <w:right w:w="20" w:type="dxa"/>
            </w:tcMar>
            <w:hideMark/>
          </w:tcPr>
          <w:p w14:paraId="4D60146C" w14:textId="77777777" w:rsidR="00000000" w:rsidRDefault="00E614A4">
            <w:pPr>
              <w:divId w:val="960305357"/>
              <w:rPr>
                <w:rFonts w:eastAsia="Times New Roman"/>
              </w:rPr>
            </w:pPr>
            <w:r>
              <w:rPr>
                <w:rFonts w:eastAsia="Times New Roman"/>
                <w:color w:val="000000"/>
                <w:sz w:val="18"/>
                <w:szCs w:val="18"/>
              </w:rPr>
              <w:t>$40.80</w:t>
            </w:r>
          </w:p>
        </w:tc>
        <w:tc>
          <w:tcPr>
            <w:tcW w:w="0" w:type="auto"/>
            <w:gridSpan w:val="3"/>
            <w:shd w:val="clear" w:color="auto" w:fill="FFFFFF"/>
            <w:tcMar>
              <w:top w:w="0" w:type="dxa"/>
              <w:left w:w="20" w:type="dxa"/>
              <w:bottom w:w="0" w:type="dxa"/>
              <w:right w:w="20" w:type="dxa"/>
            </w:tcMar>
            <w:vAlign w:val="center"/>
            <w:hideMark/>
          </w:tcPr>
          <w:p w14:paraId="79FC4A86"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C3E7F8" w14:textId="77777777" w:rsidR="00000000" w:rsidRDefault="00E614A4">
            <w:pPr>
              <w:jc w:val="right"/>
              <w:rPr>
                <w:rFonts w:eastAsia="Times New Roman"/>
              </w:rPr>
            </w:pPr>
            <w:r>
              <w:rPr>
                <w:rFonts w:eastAsia="Times New Roman"/>
                <w:color w:val="000000"/>
                <w:sz w:val="18"/>
                <w:szCs w:val="18"/>
              </w:rPr>
              <w:t>6,057 </w:t>
            </w:r>
          </w:p>
        </w:tc>
        <w:tc>
          <w:tcPr>
            <w:tcW w:w="0" w:type="auto"/>
            <w:shd w:val="clear" w:color="auto" w:fill="FFFFFF"/>
            <w:tcMar>
              <w:top w:w="30" w:type="dxa"/>
              <w:left w:w="0" w:type="dxa"/>
              <w:bottom w:w="30" w:type="dxa"/>
              <w:right w:w="20" w:type="dxa"/>
            </w:tcMar>
            <w:vAlign w:val="bottom"/>
            <w:hideMark/>
          </w:tcPr>
          <w:p w14:paraId="1CA7078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D7EE1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545AA" w14:textId="77777777" w:rsidR="00000000" w:rsidRDefault="00E614A4">
            <w:pPr>
              <w:jc w:val="right"/>
              <w:rPr>
                <w:rFonts w:eastAsia="Times New Roman"/>
              </w:rPr>
            </w:pPr>
            <w:r>
              <w:rPr>
                <w:rFonts w:eastAsia="Times New Roman"/>
                <w:color w:val="000000"/>
                <w:sz w:val="18"/>
                <w:szCs w:val="18"/>
              </w:rPr>
              <w:t>40.80 </w:t>
            </w:r>
          </w:p>
        </w:tc>
        <w:tc>
          <w:tcPr>
            <w:tcW w:w="0" w:type="auto"/>
            <w:shd w:val="clear" w:color="auto" w:fill="FFFFFF"/>
            <w:tcMar>
              <w:top w:w="30" w:type="dxa"/>
              <w:left w:w="0" w:type="dxa"/>
              <w:bottom w:w="30" w:type="dxa"/>
              <w:right w:w="20" w:type="dxa"/>
            </w:tcMar>
            <w:vAlign w:val="bottom"/>
            <w:hideMark/>
          </w:tcPr>
          <w:p w14:paraId="2CDE60C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3379D9" w14:textId="77777777" w:rsidR="00000000" w:rsidRDefault="00E614A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3D66594" w14:textId="77777777" w:rsidR="00000000" w:rsidRDefault="00E614A4">
            <w:pPr>
              <w:jc w:val="right"/>
              <w:rPr>
                <w:rFonts w:eastAsia="Times New Roman"/>
              </w:rPr>
            </w:pPr>
            <w:r>
              <w:rPr>
                <w:rFonts w:eastAsia="Times New Roman"/>
                <w:color w:val="000000"/>
                <w:sz w:val="18"/>
                <w:szCs w:val="18"/>
              </w:rPr>
              <w:t>3.62</w:t>
            </w:r>
          </w:p>
        </w:tc>
        <w:tc>
          <w:tcPr>
            <w:tcW w:w="0" w:type="auto"/>
            <w:gridSpan w:val="3"/>
            <w:shd w:val="clear" w:color="auto" w:fill="FFFFFF"/>
            <w:tcMar>
              <w:top w:w="0" w:type="dxa"/>
              <w:left w:w="20" w:type="dxa"/>
              <w:bottom w:w="0" w:type="dxa"/>
              <w:right w:w="20" w:type="dxa"/>
            </w:tcMar>
            <w:vAlign w:val="center"/>
            <w:hideMark/>
          </w:tcPr>
          <w:p w14:paraId="6303C03F"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F316CB" w14:textId="77777777" w:rsidR="00000000" w:rsidRDefault="00E614A4">
            <w:pPr>
              <w:jc w:val="right"/>
              <w:rPr>
                <w:rFonts w:eastAsia="Times New Roman"/>
              </w:rPr>
            </w:pPr>
            <w:r>
              <w:rPr>
                <w:rFonts w:eastAsia="Times New Roman"/>
                <w:color w:val="000000"/>
                <w:sz w:val="18"/>
                <w:szCs w:val="18"/>
              </w:rPr>
              <w:t>6,057 </w:t>
            </w:r>
          </w:p>
        </w:tc>
        <w:tc>
          <w:tcPr>
            <w:tcW w:w="0" w:type="auto"/>
            <w:shd w:val="clear" w:color="auto" w:fill="FFFFFF"/>
            <w:tcMar>
              <w:top w:w="30" w:type="dxa"/>
              <w:left w:w="0" w:type="dxa"/>
              <w:bottom w:w="30" w:type="dxa"/>
              <w:right w:w="20" w:type="dxa"/>
            </w:tcMar>
            <w:vAlign w:val="bottom"/>
            <w:hideMark/>
          </w:tcPr>
          <w:p w14:paraId="05BE1E6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1E34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9A31E2" w14:textId="77777777" w:rsidR="00000000" w:rsidRDefault="00E614A4">
            <w:pPr>
              <w:jc w:val="right"/>
              <w:rPr>
                <w:rFonts w:eastAsia="Times New Roman"/>
              </w:rPr>
            </w:pPr>
            <w:r>
              <w:rPr>
                <w:rFonts w:eastAsia="Times New Roman"/>
                <w:color w:val="000000"/>
                <w:sz w:val="18"/>
                <w:szCs w:val="18"/>
              </w:rPr>
              <w:t>40.80 </w:t>
            </w:r>
          </w:p>
        </w:tc>
        <w:tc>
          <w:tcPr>
            <w:tcW w:w="0" w:type="auto"/>
            <w:shd w:val="clear" w:color="auto" w:fill="FFFFFF"/>
            <w:tcMar>
              <w:top w:w="30" w:type="dxa"/>
              <w:left w:w="0" w:type="dxa"/>
              <w:bottom w:w="30" w:type="dxa"/>
              <w:right w:w="20" w:type="dxa"/>
            </w:tcMar>
            <w:vAlign w:val="bottom"/>
            <w:hideMark/>
          </w:tcPr>
          <w:p w14:paraId="707858F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98F23" w14:textId="77777777" w:rsidR="00000000" w:rsidRDefault="00E614A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7F52448" w14:textId="77777777" w:rsidR="00000000" w:rsidRDefault="00E614A4">
            <w:pPr>
              <w:jc w:val="right"/>
              <w:rPr>
                <w:rFonts w:eastAsia="Times New Roman"/>
              </w:rPr>
            </w:pPr>
            <w:r>
              <w:rPr>
                <w:rFonts w:eastAsia="Times New Roman"/>
                <w:color w:val="000000"/>
                <w:sz w:val="18"/>
                <w:szCs w:val="18"/>
              </w:rPr>
              <w:t>3.62</w:t>
            </w:r>
          </w:p>
        </w:tc>
      </w:tr>
      <w:tr w:rsidR="00000000" w14:paraId="70F0679A" w14:textId="77777777">
        <w:trPr>
          <w:divId w:val="13850912"/>
        </w:trPr>
        <w:tc>
          <w:tcPr>
            <w:tcW w:w="0" w:type="auto"/>
            <w:gridSpan w:val="3"/>
            <w:shd w:val="clear" w:color="auto" w:fill="CCEEFF"/>
            <w:tcMar>
              <w:top w:w="0" w:type="dxa"/>
              <w:left w:w="20" w:type="dxa"/>
              <w:bottom w:w="0" w:type="dxa"/>
              <w:right w:w="20" w:type="dxa"/>
            </w:tcMar>
            <w:vAlign w:val="center"/>
            <w:hideMark/>
          </w:tcPr>
          <w:p w14:paraId="2A78F54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6C849" w14:textId="77777777" w:rsidR="00000000" w:rsidRDefault="00E614A4">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1E9666" w14:textId="77777777" w:rsidR="00000000" w:rsidRDefault="00E614A4">
            <w:pPr>
              <w:jc w:val="right"/>
              <w:rPr>
                <w:rFonts w:eastAsia="Times New Roman"/>
              </w:rPr>
            </w:pPr>
            <w:r>
              <w:rPr>
                <w:rFonts w:eastAsia="Times New Roman"/>
                <w:color w:val="000000"/>
                <w:sz w:val="18"/>
                <w:szCs w:val="18"/>
              </w:rPr>
              <w:t>997,192 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7CA6E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1B3898"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56E8C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2DC22F" w14:textId="77777777" w:rsidR="00000000" w:rsidRDefault="00E614A4">
            <w:pPr>
              <w:jc w:val="right"/>
              <w:rPr>
                <w:rFonts w:eastAsia="Times New Roman"/>
              </w:rPr>
            </w:pPr>
            <w:r>
              <w:rPr>
                <w:rFonts w:eastAsia="Times New Roman"/>
                <w:color w:val="000000"/>
                <w:sz w:val="18"/>
                <w:szCs w:val="18"/>
              </w:rPr>
              <w:t>9.82 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7F6A7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23B4C3" w14:textId="77777777" w:rsidR="00000000" w:rsidRDefault="00E614A4">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31DA87C4" w14:textId="77777777" w:rsidR="00000000" w:rsidRDefault="00E614A4">
            <w:pPr>
              <w:jc w:val="right"/>
              <w:rPr>
                <w:rFonts w:eastAsia="Times New Roman"/>
              </w:rPr>
            </w:pPr>
            <w:r>
              <w:rPr>
                <w:rFonts w:eastAsia="Times New Roman"/>
                <w:color w:val="000000"/>
                <w:sz w:val="18"/>
                <w:szCs w:val="18"/>
              </w:rPr>
              <w:t>5.71</w:t>
            </w:r>
          </w:p>
        </w:tc>
        <w:tc>
          <w:tcPr>
            <w:tcW w:w="0" w:type="auto"/>
            <w:gridSpan w:val="3"/>
            <w:shd w:val="clear" w:color="auto" w:fill="CCEEFF"/>
            <w:tcMar>
              <w:top w:w="0" w:type="dxa"/>
              <w:left w:w="20" w:type="dxa"/>
              <w:bottom w:w="0" w:type="dxa"/>
              <w:right w:w="20" w:type="dxa"/>
            </w:tcMar>
            <w:vAlign w:val="center"/>
            <w:hideMark/>
          </w:tcPr>
          <w:p w14:paraId="27972566" w14:textId="77777777" w:rsidR="00000000" w:rsidRDefault="00E614A4">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82808F" w14:textId="77777777" w:rsidR="00000000" w:rsidRDefault="00E614A4">
            <w:pPr>
              <w:jc w:val="right"/>
              <w:rPr>
                <w:rFonts w:eastAsia="Times New Roman"/>
              </w:rPr>
            </w:pPr>
            <w:r>
              <w:rPr>
                <w:rFonts w:eastAsia="Times New Roman"/>
                <w:color w:val="000000"/>
                <w:sz w:val="18"/>
                <w:szCs w:val="18"/>
              </w:rPr>
              <w:t>568,025 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8AEB3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F04E3"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1B32C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772273" w14:textId="77777777" w:rsidR="00000000" w:rsidRDefault="00E614A4">
            <w:pPr>
              <w:jc w:val="right"/>
              <w:rPr>
                <w:rFonts w:eastAsia="Times New Roman"/>
              </w:rPr>
            </w:pPr>
            <w:r>
              <w:rPr>
                <w:rFonts w:eastAsia="Times New Roman"/>
                <w:color w:val="000000"/>
                <w:sz w:val="18"/>
                <w:szCs w:val="18"/>
              </w:rPr>
              <w:t>16.10 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719E2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CE1C3" w14:textId="77777777" w:rsidR="00000000" w:rsidRDefault="00E614A4">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05FDB409" w14:textId="77777777" w:rsidR="00000000" w:rsidRDefault="00E614A4">
            <w:pPr>
              <w:jc w:val="right"/>
              <w:rPr>
                <w:rFonts w:eastAsia="Times New Roman"/>
              </w:rPr>
            </w:pPr>
            <w:r>
              <w:rPr>
                <w:rFonts w:eastAsia="Times New Roman"/>
                <w:color w:val="000000"/>
                <w:sz w:val="18"/>
                <w:szCs w:val="18"/>
              </w:rPr>
              <w:t>3.37</w:t>
            </w:r>
          </w:p>
        </w:tc>
      </w:tr>
    </w:tbl>
    <w:p w14:paraId="51C370D6" w14:textId="77777777" w:rsidR="00000000" w:rsidRDefault="00E614A4">
      <w:pPr>
        <w:jc w:val="both"/>
        <w:divId w:val="1094860973"/>
        <w:rPr>
          <w:rFonts w:eastAsia="Times New Roman"/>
        </w:rPr>
      </w:pPr>
      <w:r>
        <w:rPr>
          <w:rFonts w:eastAsia="Times New Roman"/>
          <w:color w:val="000000"/>
          <w:sz w:val="20"/>
          <w:szCs w:val="20"/>
        </w:rPr>
        <w:t>The intrinsic value of exercised stock options is calculated based on the difference between the exercise price and the quot</w:t>
      </w:r>
      <w:r>
        <w:rPr>
          <w:rFonts w:eastAsia="Times New Roman"/>
          <w:color w:val="000000"/>
          <w:sz w:val="20"/>
          <w:szCs w:val="20"/>
        </w:rPr>
        <w:t>ed market price of the Company's Common Stock as of the close of the exercise date. The aggregate intrinsic value for options exercised was $0.1 million, $0.3 million and $1.5 million for the years ended December 31, 2020, 2019 and 2018, respectively. Ther</w:t>
      </w:r>
      <w:r>
        <w:rPr>
          <w:rFonts w:eastAsia="Times New Roman"/>
          <w:color w:val="000000"/>
          <w:sz w:val="20"/>
          <w:szCs w:val="20"/>
        </w:rPr>
        <w:t>e was no intrinsic value for options exercisable or outstanding as of December 31, 2020. The aggregate intrinsic value for all options exercisable was $0.2 million and $0.7 million under the Company's stock plans as of December 31, 2019 and 2018, respectiv</w:t>
      </w:r>
      <w:r>
        <w:rPr>
          <w:rFonts w:eastAsia="Times New Roman"/>
          <w:color w:val="000000"/>
          <w:sz w:val="20"/>
          <w:szCs w:val="20"/>
        </w:rPr>
        <w:t>ely. The aggregate intrinsic value for all options outstanding was $0.9 million and $0.7 million under the Company's stock plans as of December 31, 2019 and 2018, respectively.</w:t>
      </w:r>
    </w:p>
    <w:p w14:paraId="51CC9F2D" w14:textId="77777777" w:rsidR="00000000" w:rsidRDefault="00E614A4">
      <w:pPr>
        <w:jc w:val="center"/>
        <w:divId w:val="1004477203"/>
        <w:rPr>
          <w:rFonts w:eastAsia="Times New Roman"/>
        </w:rPr>
      </w:pPr>
      <w:r>
        <w:rPr>
          <w:rFonts w:eastAsia="Times New Roman"/>
          <w:color w:val="000000"/>
          <w:sz w:val="20"/>
          <w:szCs w:val="20"/>
        </w:rPr>
        <w:t>84</w:t>
      </w:r>
    </w:p>
    <w:p w14:paraId="32036E98" w14:textId="77777777" w:rsidR="00000000" w:rsidRDefault="00E614A4">
      <w:pPr>
        <w:rPr>
          <w:rFonts w:eastAsia="Times New Roman"/>
        </w:rPr>
      </w:pPr>
      <w:r>
        <w:rPr>
          <w:rFonts w:eastAsia="Times New Roman"/>
        </w:rPr>
        <w:pict w14:anchorId="4A4A2817">
          <v:rect id="_x0000_i1112" style="width:0;height:1.5pt" o:hralign="center" o:hrstd="t" o:hr="t" fillcolor="#a0a0a0" stroked="f"/>
        </w:pict>
      </w:r>
    </w:p>
    <w:p w14:paraId="48B6909D" w14:textId="77777777" w:rsidR="00000000" w:rsidRDefault="00E614A4">
      <w:pPr>
        <w:divId w:val="1072584783"/>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ED6B73F" w14:textId="77777777" w:rsidR="00000000" w:rsidRDefault="00E614A4">
      <w:pPr>
        <w:divId w:val="1742026317"/>
        <w:rPr>
          <w:rFonts w:eastAsia="Times New Roman"/>
        </w:rPr>
      </w:pPr>
    </w:p>
    <w:p w14:paraId="2E40A80E" w14:textId="77777777" w:rsidR="00000000" w:rsidRDefault="00E614A4">
      <w:pPr>
        <w:jc w:val="both"/>
        <w:divId w:val="1013722323"/>
        <w:rPr>
          <w:rFonts w:eastAsia="Times New Roman"/>
        </w:rPr>
      </w:pPr>
      <w:r>
        <w:rPr>
          <w:rFonts w:eastAsia="Times New Roman"/>
          <w:color w:val="000000"/>
          <w:sz w:val="20"/>
          <w:szCs w:val="20"/>
        </w:rPr>
        <w:t>As of December </w:t>
      </w:r>
      <w:r>
        <w:rPr>
          <w:rFonts w:eastAsia="Times New Roman"/>
          <w:color w:val="000000"/>
          <w:sz w:val="20"/>
          <w:szCs w:val="20"/>
        </w:rPr>
        <w:t>31, 2020, the total unrecognized compensation expense related to outstanding, but not yet exercisable, options is $0.9 million, which the Company expects to recognize over a weighted-average vesting period of approximately 2.1 years.</w:t>
      </w:r>
    </w:p>
    <w:p w14:paraId="017BF576" w14:textId="77777777" w:rsidR="00000000" w:rsidRDefault="00E614A4">
      <w:pPr>
        <w:divId w:val="1046681544"/>
        <w:rPr>
          <w:rFonts w:eastAsia="Times New Roman"/>
        </w:rPr>
      </w:pPr>
      <w:r>
        <w:rPr>
          <w:rFonts w:eastAsia="Times New Roman"/>
          <w:b/>
          <w:bCs/>
          <w:i/>
          <w:iCs/>
          <w:color w:val="000000"/>
          <w:sz w:val="20"/>
          <w:szCs w:val="20"/>
        </w:rPr>
        <w:t>Stock Awards</w:t>
      </w:r>
    </w:p>
    <w:p w14:paraId="0B845137" w14:textId="77777777" w:rsidR="00000000" w:rsidRDefault="00E614A4">
      <w:pPr>
        <w:jc w:val="both"/>
        <w:divId w:val="1858036668"/>
        <w:rPr>
          <w:rFonts w:eastAsia="Times New Roman"/>
        </w:rPr>
      </w:pPr>
      <w:r>
        <w:rPr>
          <w:rFonts w:eastAsia="Times New Roman"/>
          <w:color w:val="000000"/>
          <w:sz w:val="20"/>
          <w:szCs w:val="20"/>
        </w:rPr>
        <w:t>The Compa</w:t>
      </w:r>
      <w:r>
        <w:rPr>
          <w:rFonts w:eastAsia="Times New Roman"/>
          <w:color w:val="000000"/>
          <w:sz w:val="20"/>
          <w:szCs w:val="20"/>
        </w:rPr>
        <w:t>ny's outstanding stock awards are comprised of RSUs, including time-based, performance-based and market-based RSUs.</w:t>
      </w:r>
    </w:p>
    <w:p w14:paraId="6E2C57F0" w14:textId="77777777" w:rsidR="00000000" w:rsidRDefault="00E614A4">
      <w:pPr>
        <w:jc w:val="both"/>
        <w:divId w:val="1396703416"/>
        <w:rPr>
          <w:rFonts w:eastAsia="Times New Roman"/>
        </w:rPr>
      </w:pPr>
      <w:r>
        <w:rPr>
          <w:rFonts w:eastAsia="Times New Roman"/>
          <w:color w:val="000000"/>
          <w:sz w:val="20"/>
          <w:szCs w:val="20"/>
        </w:rPr>
        <w:t>During 2020, the Company's Compensation Committee approved and awarded 634,570 time-based RSUs (of which 610,590 RSUs related to the settlem</w:t>
      </w:r>
      <w:r>
        <w:rPr>
          <w:rFonts w:eastAsia="Times New Roman"/>
          <w:color w:val="000000"/>
          <w:sz w:val="20"/>
          <w:szCs w:val="20"/>
        </w:rPr>
        <w:t>ent of an accrued 2019 annual incentive plan liability and vested immediately).</w:t>
      </w:r>
    </w:p>
    <w:p w14:paraId="363676EE" w14:textId="77777777" w:rsidR="00000000" w:rsidRDefault="00E614A4">
      <w:pPr>
        <w:jc w:val="both"/>
        <w:divId w:val="151221462"/>
        <w:rPr>
          <w:rFonts w:eastAsia="Times New Roman"/>
        </w:rPr>
      </w:pPr>
      <w:r>
        <w:rPr>
          <w:rFonts w:eastAsia="Times New Roman"/>
          <w:color w:val="000000"/>
          <w:sz w:val="20"/>
          <w:szCs w:val="20"/>
        </w:rPr>
        <w:t>During 2019, the Company's Compensation Committee approved and awarded 1,603,866 time-based RSUs (of which 206,108 RSUs related to the settlement of an accrued 2018 annual ince</w:t>
      </w:r>
      <w:r>
        <w:rPr>
          <w:rFonts w:eastAsia="Times New Roman"/>
          <w:color w:val="000000"/>
          <w:sz w:val="20"/>
          <w:szCs w:val="20"/>
        </w:rPr>
        <w:t xml:space="preserve">ntive plan liability) and 975,000 market-based RSUs, which were valued using a Monte Carlo simulation analysis, to employees, directors and consultants of the Company. Of the time-based RSUs, 581,491 vested immediately upon grant. The remaining time-based </w:t>
      </w:r>
      <w:r>
        <w:rPr>
          <w:rFonts w:eastAsia="Times New Roman"/>
          <w:color w:val="000000"/>
          <w:sz w:val="20"/>
          <w:szCs w:val="20"/>
        </w:rPr>
        <w:t>RSUs generally vest after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 contingent on continued service. Market-based awards generally vest over up to ten years based on the achievement of certain stock price hurdles. </w:t>
      </w:r>
    </w:p>
    <w:p w14:paraId="627D5782" w14:textId="77777777" w:rsidR="00000000" w:rsidRDefault="00E614A4">
      <w:pPr>
        <w:jc w:val="both"/>
        <w:divId w:val="1802457606"/>
        <w:rPr>
          <w:rFonts w:eastAsia="Times New Roman"/>
        </w:rPr>
      </w:pPr>
      <w:r>
        <w:rPr>
          <w:rFonts w:eastAsia="Times New Roman"/>
          <w:color w:val="000000"/>
          <w:sz w:val="20"/>
          <w:szCs w:val="20"/>
        </w:rPr>
        <w:t>During 2018, the Company's Compensation Committee approved and a</w:t>
      </w:r>
      <w:r>
        <w:rPr>
          <w:rFonts w:eastAsia="Times New Roman"/>
          <w:color w:val="000000"/>
          <w:sz w:val="20"/>
          <w:szCs w:val="20"/>
        </w:rPr>
        <w:t>warded 2,612,457 time-based RSUs, 191,800 performance-based RSUs and 68,151 market-based RSUs under the 2018 Plan to employees, directors and consultants of the Company. Of the time-based RSUs, 1,493,288 vested immediately upon grant, including 165,086 sha</w:t>
      </w:r>
      <w:r>
        <w:rPr>
          <w:rFonts w:eastAsia="Times New Roman"/>
          <w:color w:val="000000"/>
          <w:sz w:val="20"/>
          <w:szCs w:val="20"/>
        </w:rPr>
        <w:t>res related to the compensation of the Company's former CEO as part of his retirement and transition services agreement. The remaining time-based RSUs generally vest after</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four years contingent on continued service, and performance-based RSUs gene</w:t>
      </w:r>
      <w:r>
        <w:rPr>
          <w:rFonts w:eastAsia="Times New Roman"/>
          <w:color w:val="000000"/>
          <w:sz w:val="20"/>
          <w:szCs w:val="20"/>
        </w:rPr>
        <w:t>rally vest after three years based on achievement of pre-established revenue and adjusted earnings before interest income, interest expense, income taxes, depreciation and amortization (Adjusted EBITDA) goals. Market-based awards generally vest after three</w:t>
      </w:r>
      <w:r>
        <w:rPr>
          <w:rFonts w:eastAsia="Times New Roman"/>
          <w:color w:val="000000"/>
          <w:sz w:val="20"/>
          <w:szCs w:val="20"/>
        </w:rPr>
        <w:t xml:space="preserve"> years based on the attainment of certain stock price hurdles.</w:t>
      </w:r>
    </w:p>
    <w:p w14:paraId="7D930844" w14:textId="77777777" w:rsidR="00000000" w:rsidRDefault="00E614A4">
      <w:pPr>
        <w:jc w:val="both"/>
        <w:divId w:val="1084568197"/>
        <w:rPr>
          <w:rFonts w:eastAsia="Times New Roman"/>
        </w:rPr>
      </w:pPr>
      <w:r>
        <w:rPr>
          <w:rFonts w:eastAsia="Times New Roman"/>
          <w:color w:val="000000"/>
          <w:sz w:val="20"/>
          <w:szCs w:val="20"/>
        </w:rPr>
        <w:t>The estimated forfeiture rate as of December 31, 2020, 2019 and 2018 was 10.0% for non-executive awards. Awards granted to senior executives have an estimated forfeiture rate of zero. Changes i</w:t>
      </w:r>
      <w:r>
        <w:rPr>
          <w:rFonts w:eastAsia="Times New Roman"/>
          <w:color w:val="000000"/>
          <w:sz w:val="20"/>
          <w:szCs w:val="20"/>
        </w:rPr>
        <w:t>n the estimates and assumptions relating to forfeitures and subsequent grants may result in material changes to stock-based compensation expense in the future.</w:t>
      </w:r>
    </w:p>
    <w:p w14:paraId="0CB10414" w14:textId="77777777" w:rsidR="00000000" w:rsidRDefault="00E614A4">
      <w:pPr>
        <w:jc w:val="both"/>
        <w:divId w:val="689142672"/>
        <w:rPr>
          <w:rFonts w:eastAsia="Times New Roman"/>
        </w:rPr>
      </w:pPr>
      <w:r>
        <w:rPr>
          <w:rFonts w:eastAsia="Times New Roman"/>
          <w:color w:val="000000"/>
          <w:sz w:val="20"/>
          <w:szCs w:val="20"/>
        </w:rPr>
        <w:t xml:space="preserve">A summary of the stock awards granted, vested and forfeited during the years ended December 31, </w:t>
      </w:r>
      <w:r>
        <w:rPr>
          <w:rFonts w:eastAsia="Times New Roman"/>
          <w:color w:val="000000"/>
          <w:sz w:val="20"/>
          <w:szCs w:val="20"/>
        </w:rPr>
        <w:t>2020, 2019 and 2018 is presented as follows. RSU awards with undelivered shares are classified as unvested until the date of delivery of the shares.</w:t>
      </w:r>
    </w:p>
    <w:tbl>
      <w:tblPr>
        <w:tblW w:w="5000" w:type="pct"/>
        <w:tblCellMar>
          <w:top w:w="15" w:type="dxa"/>
          <w:left w:w="15" w:type="dxa"/>
          <w:bottom w:w="15" w:type="dxa"/>
          <w:right w:w="15" w:type="dxa"/>
        </w:tblCellMar>
        <w:tblLook w:val="04A0" w:firstRow="1" w:lastRow="0" w:firstColumn="1" w:lastColumn="0" w:noHBand="0" w:noVBand="1"/>
      </w:tblPr>
      <w:tblGrid>
        <w:gridCol w:w="40"/>
        <w:gridCol w:w="5834"/>
        <w:gridCol w:w="39"/>
        <w:gridCol w:w="36"/>
        <w:gridCol w:w="36"/>
        <w:gridCol w:w="36"/>
        <w:gridCol w:w="65"/>
        <w:gridCol w:w="949"/>
        <w:gridCol w:w="36"/>
        <w:gridCol w:w="36"/>
        <w:gridCol w:w="36"/>
        <w:gridCol w:w="36"/>
        <w:gridCol w:w="111"/>
        <w:gridCol w:w="980"/>
        <w:gridCol w:w="36"/>
      </w:tblGrid>
      <w:tr w:rsidR="00000000" w14:paraId="2C3D69AE" w14:textId="77777777">
        <w:trPr>
          <w:divId w:val="953050698"/>
        </w:trPr>
        <w:tc>
          <w:tcPr>
            <w:tcW w:w="50" w:type="pct"/>
            <w:vAlign w:val="center"/>
            <w:hideMark/>
          </w:tcPr>
          <w:p w14:paraId="7DF631FA" w14:textId="77777777" w:rsidR="00000000" w:rsidRDefault="00E614A4">
            <w:pPr>
              <w:jc w:val="both"/>
              <w:rPr>
                <w:rFonts w:eastAsia="Times New Roman"/>
              </w:rPr>
            </w:pPr>
          </w:p>
        </w:tc>
        <w:tc>
          <w:tcPr>
            <w:tcW w:w="3542" w:type="pct"/>
            <w:vAlign w:val="center"/>
            <w:hideMark/>
          </w:tcPr>
          <w:p w14:paraId="68E8454B" w14:textId="77777777" w:rsidR="00000000" w:rsidRDefault="00E614A4">
            <w:pPr>
              <w:rPr>
                <w:rFonts w:eastAsia="Times New Roman"/>
                <w:sz w:val="20"/>
                <w:szCs w:val="20"/>
              </w:rPr>
            </w:pPr>
          </w:p>
        </w:tc>
        <w:tc>
          <w:tcPr>
            <w:tcW w:w="5" w:type="pct"/>
            <w:vAlign w:val="center"/>
            <w:hideMark/>
          </w:tcPr>
          <w:p w14:paraId="31B749A7" w14:textId="77777777" w:rsidR="00000000" w:rsidRDefault="00E614A4">
            <w:pPr>
              <w:rPr>
                <w:rFonts w:eastAsia="Times New Roman"/>
                <w:sz w:val="20"/>
                <w:szCs w:val="20"/>
              </w:rPr>
            </w:pPr>
          </w:p>
        </w:tc>
        <w:tc>
          <w:tcPr>
            <w:tcW w:w="5" w:type="pct"/>
            <w:vAlign w:val="center"/>
            <w:hideMark/>
          </w:tcPr>
          <w:p w14:paraId="5F916BB9" w14:textId="77777777" w:rsidR="00000000" w:rsidRDefault="00E614A4">
            <w:pPr>
              <w:rPr>
                <w:rFonts w:eastAsia="Times New Roman"/>
                <w:sz w:val="20"/>
                <w:szCs w:val="20"/>
              </w:rPr>
            </w:pPr>
          </w:p>
        </w:tc>
        <w:tc>
          <w:tcPr>
            <w:tcW w:w="17" w:type="pct"/>
            <w:vAlign w:val="center"/>
            <w:hideMark/>
          </w:tcPr>
          <w:p w14:paraId="68DE932A" w14:textId="77777777" w:rsidR="00000000" w:rsidRDefault="00E614A4">
            <w:pPr>
              <w:rPr>
                <w:rFonts w:eastAsia="Times New Roman"/>
                <w:sz w:val="20"/>
                <w:szCs w:val="20"/>
              </w:rPr>
            </w:pPr>
          </w:p>
        </w:tc>
        <w:tc>
          <w:tcPr>
            <w:tcW w:w="5" w:type="pct"/>
            <w:vAlign w:val="center"/>
            <w:hideMark/>
          </w:tcPr>
          <w:p w14:paraId="3DC08EDF" w14:textId="77777777" w:rsidR="00000000" w:rsidRDefault="00E614A4">
            <w:pPr>
              <w:rPr>
                <w:rFonts w:eastAsia="Times New Roman"/>
                <w:sz w:val="20"/>
                <w:szCs w:val="20"/>
              </w:rPr>
            </w:pPr>
          </w:p>
        </w:tc>
        <w:tc>
          <w:tcPr>
            <w:tcW w:w="50" w:type="pct"/>
            <w:vAlign w:val="center"/>
            <w:hideMark/>
          </w:tcPr>
          <w:p w14:paraId="1F35C7F9" w14:textId="77777777" w:rsidR="00000000" w:rsidRDefault="00E614A4">
            <w:pPr>
              <w:rPr>
                <w:rFonts w:eastAsia="Times New Roman"/>
                <w:sz w:val="20"/>
                <w:szCs w:val="20"/>
              </w:rPr>
            </w:pPr>
          </w:p>
        </w:tc>
        <w:tc>
          <w:tcPr>
            <w:tcW w:w="618" w:type="pct"/>
            <w:vAlign w:val="center"/>
            <w:hideMark/>
          </w:tcPr>
          <w:p w14:paraId="6D454F74" w14:textId="77777777" w:rsidR="00000000" w:rsidRDefault="00E614A4">
            <w:pPr>
              <w:rPr>
                <w:rFonts w:eastAsia="Times New Roman"/>
                <w:sz w:val="20"/>
                <w:szCs w:val="20"/>
              </w:rPr>
            </w:pPr>
          </w:p>
        </w:tc>
        <w:tc>
          <w:tcPr>
            <w:tcW w:w="5" w:type="pct"/>
            <w:vAlign w:val="center"/>
            <w:hideMark/>
          </w:tcPr>
          <w:p w14:paraId="17061798" w14:textId="77777777" w:rsidR="00000000" w:rsidRDefault="00E614A4">
            <w:pPr>
              <w:rPr>
                <w:rFonts w:eastAsia="Times New Roman"/>
                <w:sz w:val="20"/>
                <w:szCs w:val="20"/>
              </w:rPr>
            </w:pPr>
          </w:p>
        </w:tc>
        <w:tc>
          <w:tcPr>
            <w:tcW w:w="5" w:type="pct"/>
            <w:vAlign w:val="center"/>
            <w:hideMark/>
          </w:tcPr>
          <w:p w14:paraId="5FC3DED6" w14:textId="77777777" w:rsidR="00000000" w:rsidRDefault="00E614A4">
            <w:pPr>
              <w:rPr>
                <w:rFonts w:eastAsia="Times New Roman"/>
                <w:sz w:val="20"/>
                <w:szCs w:val="20"/>
              </w:rPr>
            </w:pPr>
          </w:p>
        </w:tc>
        <w:tc>
          <w:tcPr>
            <w:tcW w:w="17" w:type="pct"/>
            <w:vAlign w:val="center"/>
            <w:hideMark/>
          </w:tcPr>
          <w:p w14:paraId="78488F8E" w14:textId="77777777" w:rsidR="00000000" w:rsidRDefault="00E614A4">
            <w:pPr>
              <w:rPr>
                <w:rFonts w:eastAsia="Times New Roman"/>
                <w:sz w:val="20"/>
                <w:szCs w:val="20"/>
              </w:rPr>
            </w:pPr>
          </w:p>
        </w:tc>
        <w:tc>
          <w:tcPr>
            <w:tcW w:w="5" w:type="pct"/>
            <w:vAlign w:val="center"/>
            <w:hideMark/>
          </w:tcPr>
          <w:p w14:paraId="12B8364C" w14:textId="77777777" w:rsidR="00000000" w:rsidRDefault="00E614A4">
            <w:pPr>
              <w:rPr>
                <w:rFonts w:eastAsia="Times New Roman"/>
                <w:sz w:val="20"/>
                <w:szCs w:val="20"/>
              </w:rPr>
            </w:pPr>
          </w:p>
        </w:tc>
        <w:tc>
          <w:tcPr>
            <w:tcW w:w="50" w:type="pct"/>
            <w:vAlign w:val="center"/>
            <w:hideMark/>
          </w:tcPr>
          <w:p w14:paraId="4007B0E4" w14:textId="77777777" w:rsidR="00000000" w:rsidRDefault="00E614A4">
            <w:pPr>
              <w:rPr>
                <w:rFonts w:eastAsia="Times New Roman"/>
                <w:sz w:val="20"/>
                <w:szCs w:val="20"/>
              </w:rPr>
            </w:pPr>
          </w:p>
        </w:tc>
        <w:tc>
          <w:tcPr>
            <w:tcW w:w="618" w:type="pct"/>
            <w:vAlign w:val="center"/>
            <w:hideMark/>
          </w:tcPr>
          <w:p w14:paraId="0219E5E9" w14:textId="77777777" w:rsidR="00000000" w:rsidRDefault="00E614A4">
            <w:pPr>
              <w:rPr>
                <w:rFonts w:eastAsia="Times New Roman"/>
                <w:sz w:val="20"/>
                <w:szCs w:val="20"/>
              </w:rPr>
            </w:pPr>
          </w:p>
        </w:tc>
        <w:tc>
          <w:tcPr>
            <w:tcW w:w="5" w:type="pct"/>
            <w:vAlign w:val="center"/>
            <w:hideMark/>
          </w:tcPr>
          <w:p w14:paraId="3695CF45" w14:textId="77777777" w:rsidR="00000000" w:rsidRDefault="00E614A4">
            <w:pPr>
              <w:rPr>
                <w:rFonts w:eastAsia="Times New Roman"/>
                <w:sz w:val="20"/>
                <w:szCs w:val="20"/>
              </w:rPr>
            </w:pPr>
          </w:p>
        </w:tc>
      </w:tr>
      <w:tr w:rsidR="00000000" w14:paraId="7E665212" w14:textId="77777777">
        <w:trPr>
          <w:divId w:val="953050698"/>
        </w:trPr>
        <w:tc>
          <w:tcPr>
            <w:tcW w:w="0" w:type="auto"/>
            <w:gridSpan w:val="3"/>
            <w:tcMar>
              <w:top w:w="30" w:type="dxa"/>
              <w:left w:w="20" w:type="dxa"/>
              <w:bottom w:w="30" w:type="dxa"/>
              <w:right w:w="20" w:type="dxa"/>
            </w:tcMar>
            <w:vAlign w:val="bottom"/>
            <w:hideMark/>
          </w:tcPr>
          <w:p w14:paraId="4B0BF9FF" w14:textId="77777777" w:rsidR="00000000" w:rsidRDefault="00E614A4">
            <w:pPr>
              <w:rPr>
                <w:rFonts w:eastAsia="Times New Roman"/>
              </w:rPr>
            </w:pPr>
            <w:r>
              <w:rPr>
                <w:rFonts w:eastAsia="Times New Roman"/>
                <w:b/>
                <w:bCs/>
                <w:color w:val="000000"/>
                <w:sz w:val="16"/>
                <w:szCs w:val="16"/>
              </w:rPr>
              <w:t>Unvested Stock Awards</w:t>
            </w:r>
          </w:p>
        </w:tc>
        <w:tc>
          <w:tcPr>
            <w:tcW w:w="0" w:type="auto"/>
            <w:gridSpan w:val="3"/>
            <w:tcMar>
              <w:top w:w="0" w:type="dxa"/>
              <w:left w:w="20" w:type="dxa"/>
              <w:bottom w:w="0" w:type="dxa"/>
              <w:right w:w="20" w:type="dxa"/>
            </w:tcMar>
            <w:vAlign w:val="center"/>
            <w:hideMark/>
          </w:tcPr>
          <w:p w14:paraId="258297E9"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1E0A8B2E" w14:textId="77777777" w:rsidR="00000000" w:rsidRDefault="00E614A4">
            <w:pPr>
              <w:jc w:val="center"/>
              <w:rPr>
                <w:rFonts w:eastAsia="Times New Roman"/>
              </w:rPr>
            </w:pPr>
            <w:r>
              <w:rPr>
                <w:rFonts w:eastAsia="Times New Roman"/>
                <w:b/>
                <w:bCs/>
                <w:color w:val="000000"/>
                <w:sz w:val="16"/>
                <w:szCs w:val="16"/>
              </w:rPr>
              <w:t>Restricted</w:t>
            </w:r>
            <w:r>
              <w:rPr>
                <w:rFonts w:eastAsia="Times New Roman"/>
                <w:b/>
                <w:bCs/>
                <w:color w:val="000000"/>
                <w:sz w:val="16"/>
                <w:szCs w:val="16"/>
              </w:rPr>
              <w:br/>
              <w:t>Stock Units</w:t>
            </w:r>
          </w:p>
        </w:tc>
        <w:tc>
          <w:tcPr>
            <w:tcW w:w="0" w:type="auto"/>
            <w:gridSpan w:val="3"/>
            <w:tcMar>
              <w:top w:w="0" w:type="dxa"/>
              <w:left w:w="20" w:type="dxa"/>
              <w:bottom w:w="0" w:type="dxa"/>
              <w:right w:w="20" w:type="dxa"/>
            </w:tcMar>
            <w:vAlign w:val="center"/>
            <w:hideMark/>
          </w:tcPr>
          <w:p w14:paraId="158A2CC5"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70E438DC" w14:textId="77777777" w:rsidR="00000000" w:rsidRDefault="00E614A4">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r>
            <w:r>
              <w:rPr>
                <w:rFonts w:eastAsia="Times New Roman"/>
                <w:b/>
                <w:bCs/>
                <w:color w:val="000000"/>
                <w:sz w:val="16"/>
                <w:szCs w:val="16"/>
              </w:rPr>
              <w:t>Grant-Date Fair Value</w:t>
            </w:r>
          </w:p>
        </w:tc>
      </w:tr>
      <w:tr w:rsidR="00000000" w14:paraId="14AD79AA" w14:textId="77777777">
        <w:trPr>
          <w:divId w:val="953050698"/>
        </w:trPr>
        <w:tc>
          <w:tcPr>
            <w:tcW w:w="0" w:type="auto"/>
            <w:gridSpan w:val="3"/>
            <w:vAlign w:val="center"/>
            <w:hideMark/>
          </w:tcPr>
          <w:p w14:paraId="36676A03" w14:textId="77777777" w:rsidR="00000000" w:rsidRDefault="00E614A4">
            <w:pPr>
              <w:jc w:val="center"/>
              <w:rPr>
                <w:rFonts w:eastAsia="Times New Roman"/>
              </w:rPr>
            </w:pPr>
          </w:p>
        </w:tc>
        <w:tc>
          <w:tcPr>
            <w:tcW w:w="0" w:type="auto"/>
            <w:gridSpan w:val="3"/>
            <w:vAlign w:val="center"/>
            <w:hideMark/>
          </w:tcPr>
          <w:p w14:paraId="385AB71A" w14:textId="77777777" w:rsidR="00000000" w:rsidRDefault="00E614A4">
            <w:pPr>
              <w:rPr>
                <w:rFonts w:eastAsia="Times New Roman"/>
                <w:sz w:val="20"/>
                <w:szCs w:val="20"/>
              </w:rPr>
            </w:pPr>
          </w:p>
        </w:tc>
        <w:tc>
          <w:tcPr>
            <w:tcW w:w="0" w:type="auto"/>
            <w:gridSpan w:val="3"/>
            <w:vAlign w:val="center"/>
            <w:hideMark/>
          </w:tcPr>
          <w:p w14:paraId="0B2F3B43" w14:textId="77777777" w:rsidR="00000000" w:rsidRDefault="00E614A4">
            <w:pPr>
              <w:rPr>
                <w:rFonts w:eastAsia="Times New Roman"/>
                <w:sz w:val="20"/>
                <w:szCs w:val="20"/>
              </w:rPr>
            </w:pPr>
          </w:p>
        </w:tc>
        <w:tc>
          <w:tcPr>
            <w:tcW w:w="0" w:type="auto"/>
            <w:gridSpan w:val="3"/>
            <w:vAlign w:val="center"/>
            <w:hideMark/>
          </w:tcPr>
          <w:p w14:paraId="2E013283" w14:textId="77777777" w:rsidR="00000000" w:rsidRDefault="00E614A4">
            <w:pPr>
              <w:rPr>
                <w:rFonts w:eastAsia="Times New Roman"/>
                <w:sz w:val="20"/>
                <w:szCs w:val="20"/>
              </w:rPr>
            </w:pPr>
          </w:p>
        </w:tc>
        <w:tc>
          <w:tcPr>
            <w:tcW w:w="0" w:type="auto"/>
            <w:gridSpan w:val="3"/>
            <w:vAlign w:val="center"/>
            <w:hideMark/>
          </w:tcPr>
          <w:p w14:paraId="7EFB95C4" w14:textId="77777777" w:rsidR="00000000" w:rsidRDefault="00E614A4">
            <w:pPr>
              <w:rPr>
                <w:rFonts w:eastAsia="Times New Roman"/>
                <w:sz w:val="20"/>
                <w:szCs w:val="20"/>
              </w:rPr>
            </w:pPr>
          </w:p>
        </w:tc>
      </w:tr>
      <w:tr w:rsidR="00000000" w14:paraId="423BC769" w14:textId="77777777">
        <w:trPr>
          <w:divId w:val="953050698"/>
        </w:trPr>
        <w:tc>
          <w:tcPr>
            <w:tcW w:w="0" w:type="auto"/>
            <w:gridSpan w:val="3"/>
            <w:vAlign w:val="center"/>
            <w:hideMark/>
          </w:tcPr>
          <w:p w14:paraId="5E21332A" w14:textId="77777777" w:rsidR="00000000" w:rsidRDefault="00E614A4">
            <w:pPr>
              <w:rPr>
                <w:rFonts w:eastAsia="Times New Roman"/>
                <w:sz w:val="20"/>
                <w:szCs w:val="20"/>
              </w:rPr>
            </w:pPr>
          </w:p>
        </w:tc>
        <w:tc>
          <w:tcPr>
            <w:tcW w:w="0" w:type="auto"/>
            <w:gridSpan w:val="3"/>
            <w:vAlign w:val="center"/>
            <w:hideMark/>
          </w:tcPr>
          <w:p w14:paraId="3AB4CC3E" w14:textId="77777777" w:rsidR="00000000" w:rsidRDefault="00E614A4">
            <w:pPr>
              <w:rPr>
                <w:rFonts w:eastAsia="Times New Roman"/>
                <w:sz w:val="20"/>
                <w:szCs w:val="20"/>
              </w:rPr>
            </w:pPr>
          </w:p>
        </w:tc>
        <w:tc>
          <w:tcPr>
            <w:tcW w:w="0" w:type="auto"/>
            <w:gridSpan w:val="3"/>
            <w:vAlign w:val="center"/>
            <w:hideMark/>
          </w:tcPr>
          <w:p w14:paraId="450C3546" w14:textId="77777777" w:rsidR="00000000" w:rsidRDefault="00E614A4">
            <w:pPr>
              <w:rPr>
                <w:rFonts w:eastAsia="Times New Roman"/>
                <w:sz w:val="20"/>
                <w:szCs w:val="20"/>
              </w:rPr>
            </w:pPr>
          </w:p>
        </w:tc>
        <w:tc>
          <w:tcPr>
            <w:tcW w:w="0" w:type="auto"/>
            <w:gridSpan w:val="3"/>
            <w:vAlign w:val="center"/>
            <w:hideMark/>
          </w:tcPr>
          <w:p w14:paraId="0064949A" w14:textId="77777777" w:rsidR="00000000" w:rsidRDefault="00E614A4">
            <w:pPr>
              <w:rPr>
                <w:rFonts w:eastAsia="Times New Roman"/>
                <w:sz w:val="20"/>
                <w:szCs w:val="20"/>
              </w:rPr>
            </w:pPr>
          </w:p>
        </w:tc>
        <w:tc>
          <w:tcPr>
            <w:tcW w:w="0" w:type="auto"/>
            <w:gridSpan w:val="3"/>
            <w:vAlign w:val="center"/>
            <w:hideMark/>
          </w:tcPr>
          <w:p w14:paraId="2DA58714" w14:textId="77777777" w:rsidR="00000000" w:rsidRDefault="00E614A4">
            <w:pPr>
              <w:rPr>
                <w:rFonts w:eastAsia="Times New Roman"/>
                <w:sz w:val="20"/>
                <w:szCs w:val="20"/>
              </w:rPr>
            </w:pPr>
          </w:p>
        </w:tc>
      </w:tr>
      <w:tr w:rsidR="00000000" w14:paraId="7BAFF1D5" w14:textId="77777777">
        <w:trPr>
          <w:divId w:val="953050698"/>
        </w:trPr>
        <w:tc>
          <w:tcPr>
            <w:tcW w:w="0" w:type="auto"/>
            <w:gridSpan w:val="3"/>
            <w:vAlign w:val="center"/>
            <w:hideMark/>
          </w:tcPr>
          <w:p w14:paraId="0A5DD167" w14:textId="77777777" w:rsidR="00000000" w:rsidRDefault="00E614A4">
            <w:pPr>
              <w:rPr>
                <w:rFonts w:eastAsia="Times New Roman"/>
                <w:sz w:val="20"/>
                <w:szCs w:val="20"/>
              </w:rPr>
            </w:pPr>
          </w:p>
        </w:tc>
        <w:tc>
          <w:tcPr>
            <w:tcW w:w="0" w:type="auto"/>
            <w:gridSpan w:val="3"/>
            <w:vAlign w:val="center"/>
            <w:hideMark/>
          </w:tcPr>
          <w:p w14:paraId="4C37101E" w14:textId="77777777" w:rsidR="00000000" w:rsidRDefault="00E614A4">
            <w:pPr>
              <w:rPr>
                <w:rFonts w:eastAsia="Times New Roman"/>
                <w:sz w:val="20"/>
                <w:szCs w:val="20"/>
              </w:rPr>
            </w:pPr>
          </w:p>
        </w:tc>
        <w:tc>
          <w:tcPr>
            <w:tcW w:w="0" w:type="auto"/>
            <w:gridSpan w:val="3"/>
            <w:vAlign w:val="center"/>
            <w:hideMark/>
          </w:tcPr>
          <w:p w14:paraId="77723579" w14:textId="77777777" w:rsidR="00000000" w:rsidRDefault="00E614A4">
            <w:pPr>
              <w:rPr>
                <w:rFonts w:eastAsia="Times New Roman"/>
                <w:sz w:val="20"/>
                <w:szCs w:val="20"/>
              </w:rPr>
            </w:pPr>
          </w:p>
        </w:tc>
        <w:tc>
          <w:tcPr>
            <w:tcW w:w="0" w:type="auto"/>
            <w:gridSpan w:val="3"/>
            <w:vAlign w:val="center"/>
            <w:hideMark/>
          </w:tcPr>
          <w:p w14:paraId="737A5658" w14:textId="77777777" w:rsidR="00000000" w:rsidRDefault="00E614A4">
            <w:pPr>
              <w:rPr>
                <w:rFonts w:eastAsia="Times New Roman"/>
                <w:sz w:val="20"/>
                <w:szCs w:val="20"/>
              </w:rPr>
            </w:pPr>
          </w:p>
        </w:tc>
        <w:tc>
          <w:tcPr>
            <w:tcW w:w="0" w:type="auto"/>
            <w:gridSpan w:val="3"/>
            <w:vAlign w:val="center"/>
            <w:hideMark/>
          </w:tcPr>
          <w:p w14:paraId="374F63AF" w14:textId="77777777" w:rsidR="00000000" w:rsidRDefault="00E614A4">
            <w:pPr>
              <w:rPr>
                <w:rFonts w:eastAsia="Times New Roman"/>
                <w:sz w:val="20"/>
                <w:szCs w:val="20"/>
              </w:rPr>
            </w:pPr>
          </w:p>
        </w:tc>
      </w:tr>
      <w:tr w:rsidR="00000000" w14:paraId="60C47C74" w14:textId="77777777">
        <w:trPr>
          <w:divId w:val="953050698"/>
        </w:trPr>
        <w:tc>
          <w:tcPr>
            <w:tcW w:w="0" w:type="auto"/>
            <w:gridSpan w:val="3"/>
            <w:vAlign w:val="center"/>
            <w:hideMark/>
          </w:tcPr>
          <w:p w14:paraId="27DD809A" w14:textId="77777777" w:rsidR="00000000" w:rsidRDefault="00E614A4">
            <w:pPr>
              <w:rPr>
                <w:rFonts w:eastAsia="Times New Roman"/>
                <w:sz w:val="20"/>
                <w:szCs w:val="20"/>
              </w:rPr>
            </w:pPr>
          </w:p>
        </w:tc>
        <w:tc>
          <w:tcPr>
            <w:tcW w:w="0" w:type="auto"/>
            <w:gridSpan w:val="3"/>
            <w:vAlign w:val="center"/>
            <w:hideMark/>
          </w:tcPr>
          <w:p w14:paraId="779B501C" w14:textId="77777777" w:rsidR="00000000" w:rsidRDefault="00E614A4">
            <w:pPr>
              <w:rPr>
                <w:rFonts w:eastAsia="Times New Roman"/>
                <w:sz w:val="20"/>
                <w:szCs w:val="20"/>
              </w:rPr>
            </w:pPr>
          </w:p>
        </w:tc>
        <w:tc>
          <w:tcPr>
            <w:tcW w:w="0" w:type="auto"/>
            <w:gridSpan w:val="3"/>
            <w:vAlign w:val="center"/>
            <w:hideMark/>
          </w:tcPr>
          <w:p w14:paraId="1C5D3CE8" w14:textId="77777777" w:rsidR="00000000" w:rsidRDefault="00E614A4">
            <w:pPr>
              <w:rPr>
                <w:rFonts w:eastAsia="Times New Roman"/>
                <w:sz w:val="20"/>
                <w:szCs w:val="20"/>
              </w:rPr>
            </w:pPr>
          </w:p>
        </w:tc>
        <w:tc>
          <w:tcPr>
            <w:tcW w:w="0" w:type="auto"/>
            <w:gridSpan w:val="3"/>
            <w:vAlign w:val="center"/>
            <w:hideMark/>
          </w:tcPr>
          <w:p w14:paraId="3FF65823" w14:textId="77777777" w:rsidR="00000000" w:rsidRDefault="00E614A4">
            <w:pPr>
              <w:rPr>
                <w:rFonts w:eastAsia="Times New Roman"/>
                <w:sz w:val="20"/>
                <w:szCs w:val="20"/>
              </w:rPr>
            </w:pPr>
          </w:p>
        </w:tc>
        <w:tc>
          <w:tcPr>
            <w:tcW w:w="0" w:type="auto"/>
            <w:gridSpan w:val="3"/>
            <w:vAlign w:val="center"/>
            <w:hideMark/>
          </w:tcPr>
          <w:p w14:paraId="68A017F8" w14:textId="77777777" w:rsidR="00000000" w:rsidRDefault="00E614A4">
            <w:pPr>
              <w:rPr>
                <w:rFonts w:eastAsia="Times New Roman"/>
                <w:sz w:val="20"/>
                <w:szCs w:val="20"/>
              </w:rPr>
            </w:pPr>
          </w:p>
        </w:tc>
      </w:tr>
      <w:tr w:rsidR="00000000" w14:paraId="66FC02F0" w14:textId="77777777">
        <w:trPr>
          <w:divId w:val="953050698"/>
        </w:trPr>
        <w:tc>
          <w:tcPr>
            <w:tcW w:w="0" w:type="auto"/>
            <w:gridSpan w:val="3"/>
            <w:vAlign w:val="center"/>
            <w:hideMark/>
          </w:tcPr>
          <w:p w14:paraId="6CE7558A" w14:textId="77777777" w:rsidR="00000000" w:rsidRDefault="00E614A4">
            <w:pPr>
              <w:rPr>
                <w:rFonts w:eastAsia="Times New Roman"/>
                <w:sz w:val="20"/>
                <w:szCs w:val="20"/>
              </w:rPr>
            </w:pPr>
          </w:p>
        </w:tc>
        <w:tc>
          <w:tcPr>
            <w:tcW w:w="0" w:type="auto"/>
            <w:gridSpan w:val="3"/>
            <w:vAlign w:val="center"/>
            <w:hideMark/>
          </w:tcPr>
          <w:p w14:paraId="01C98274" w14:textId="77777777" w:rsidR="00000000" w:rsidRDefault="00E614A4">
            <w:pPr>
              <w:rPr>
                <w:rFonts w:eastAsia="Times New Roman"/>
                <w:sz w:val="20"/>
                <w:szCs w:val="20"/>
              </w:rPr>
            </w:pPr>
          </w:p>
        </w:tc>
        <w:tc>
          <w:tcPr>
            <w:tcW w:w="0" w:type="auto"/>
            <w:gridSpan w:val="3"/>
            <w:vAlign w:val="center"/>
            <w:hideMark/>
          </w:tcPr>
          <w:p w14:paraId="2A9E3E3C" w14:textId="77777777" w:rsidR="00000000" w:rsidRDefault="00E614A4">
            <w:pPr>
              <w:rPr>
                <w:rFonts w:eastAsia="Times New Roman"/>
                <w:sz w:val="20"/>
                <w:szCs w:val="20"/>
              </w:rPr>
            </w:pPr>
          </w:p>
        </w:tc>
        <w:tc>
          <w:tcPr>
            <w:tcW w:w="0" w:type="auto"/>
            <w:gridSpan w:val="3"/>
            <w:vAlign w:val="center"/>
            <w:hideMark/>
          </w:tcPr>
          <w:p w14:paraId="13C65014" w14:textId="77777777" w:rsidR="00000000" w:rsidRDefault="00E614A4">
            <w:pPr>
              <w:rPr>
                <w:rFonts w:eastAsia="Times New Roman"/>
                <w:sz w:val="20"/>
                <w:szCs w:val="20"/>
              </w:rPr>
            </w:pPr>
          </w:p>
        </w:tc>
        <w:tc>
          <w:tcPr>
            <w:tcW w:w="0" w:type="auto"/>
            <w:gridSpan w:val="3"/>
            <w:vAlign w:val="center"/>
            <w:hideMark/>
          </w:tcPr>
          <w:p w14:paraId="39FAD64C" w14:textId="77777777" w:rsidR="00000000" w:rsidRDefault="00E614A4">
            <w:pPr>
              <w:rPr>
                <w:rFonts w:eastAsia="Times New Roman"/>
                <w:sz w:val="20"/>
                <w:szCs w:val="20"/>
              </w:rPr>
            </w:pPr>
          </w:p>
        </w:tc>
      </w:tr>
      <w:tr w:rsidR="00000000" w14:paraId="54E26620" w14:textId="77777777">
        <w:trPr>
          <w:divId w:val="953050698"/>
        </w:trPr>
        <w:tc>
          <w:tcPr>
            <w:tcW w:w="0" w:type="auto"/>
            <w:gridSpan w:val="3"/>
            <w:vAlign w:val="center"/>
            <w:hideMark/>
          </w:tcPr>
          <w:p w14:paraId="6D09AF84" w14:textId="77777777" w:rsidR="00000000" w:rsidRDefault="00E614A4">
            <w:pPr>
              <w:rPr>
                <w:rFonts w:eastAsia="Times New Roman"/>
                <w:sz w:val="20"/>
                <w:szCs w:val="20"/>
              </w:rPr>
            </w:pPr>
          </w:p>
        </w:tc>
        <w:tc>
          <w:tcPr>
            <w:tcW w:w="0" w:type="auto"/>
            <w:gridSpan w:val="3"/>
            <w:vAlign w:val="center"/>
            <w:hideMark/>
          </w:tcPr>
          <w:p w14:paraId="279F3E3C" w14:textId="77777777" w:rsidR="00000000" w:rsidRDefault="00E614A4">
            <w:pPr>
              <w:rPr>
                <w:rFonts w:eastAsia="Times New Roman"/>
                <w:sz w:val="20"/>
                <w:szCs w:val="20"/>
              </w:rPr>
            </w:pPr>
          </w:p>
        </w:tc>
        <w:tc>
          <w:tcPr>
            <w:tcW w:w="0" w:type="auto"/>
            <w:gridSpan w:val="3"/>
            <w:vAlign w:val="center"/>
            <w:hideMark/>
          </w:tcPr>
          <w:p w14:paraId="23235133" w14:textId="77777777" w:rsidR="00000000" w:rsidRDefault="00E614A4">
            <w:pPr>
              <w:rPr>
                <w:rFonts w:eastAsia="Times New Roman"/>
                <w:sz w:val="20"/>
                <w:szCs w:val="20"/>
              </w:rPr>
            </w:pPr>
          </w:p>
        </w:tc>
        <w:tc>
          <w:tcPr>
            <w:tcW w:w="0" w:type="auto"/>
            <w:gridSpan w:val="3"/>
            <w:vAlign w:val="center"/>
            <w:hideMark/>
          </w:tcPr>
          <w:p w14:paraId="1CEEDD5B" w14:textId="77777777" w:rsidR="00000000" w:rsidRDefault="00E614A4">
            <w:pPr>
              <w:rPr>
                <w:rFonts w:eastAsia="Times New Roman"/>
                <w:sz w:val="20"/>
                <w:szCs w:val="20"/>
              </w:rPr>
            </w:pPr>
          </w:p>
        </w:tc>
        <w:tc>
          <w:tcPr>
            <w:tcW w:w="0" w:type="auto"/>
            <w:gridSpan w:val="3"/>
            <w:vAlign w:val="center"/>
            <w:hideMark/>
          </w:tcPr>
          <w:p w14:paraId="12AEBF02" w14:textId="77777777" w:rsidR="00000000" w:rsidRDefault="00E614A4">
            <w:pPr>
              <w:rPr>
                <w:rFonts w:eastAsia="Times New Roman"/>
                <w:sz w:val="20"/>
                <w:szCs w:val="20"/>
              </w:rPr>
            </w:pPr>
          </w:p>
        </w:tc>
      </w:tr>
      <w:tr w:rsidR="00000000" w14:paraId="0EFCA83E" w14:textId="77777777">
        <w:trPr>
          <w:divId w:val="953050698"/>
        </w:trPr>
        <w:tc>
          <w:tcPr>
            <w:tcW w:w="0" w:type="auto"/>
            <w:gridSpan w:val="3"/>
            <w:vAlign w:val="center"/>
            <w:hideMark/>
          </w:tcPr>
          <w:p w14:paraId="0C74AE86" w14:textId="77777777" w:rsidR="00000000" w:rsidRDefault="00E614A4">
            <w:pPr>
              <w:rPr>
                <w:rFonts w:eastAsia="Times New Roman"/>
                <w:sz w:val="20"/>
                <w:szCs w:val="20"/>
              </w:rPr>
            </w:pPr>
          </w:p>
        </w:tc>
        <w:tc>
          <w:tcPr>
            <w:tcW w:w="0" w:type="auto"/>
            <w:gridSpan w:val="3"/>
            <w:vAlign w:val="center"/>
            <w:hideMark/>
          </w:tcPr>
          <w:p w14:paraId="7357F66F" w14:textId="77777777" w:rsidR="00000000" w:rsidRDefault="00E614A4">
            <w:pPr>
              <w:rPr>
                <w:rFonts w:eastAsia="Times New Roman"/>
                <w:sz w:val="20"/>
                <w:szCs w:val="20"/>
              </w:rPr>
            </w:pPr>
          </w:p>
        </w:tc>
        <w:tc>
          <w:tcPr>
            <w:tcW w:w="0" w:type="auto"/>
            <w:gridSpan w:val="3"/>
            <w:vAlign w:val="center"/>
            <w:hideMark/>
          </w:tcPr>
          <w:p w14:paraId="10960387" w14:textId="77777777" w:rsidR="00000000" w:rsidRDefault="00E614A4">
            <w:pPr>
              <w:rPr>
                <w:rFonts w:eastAsia="Times New Roman"/>
                <w:sz w:val="20"/>
                <w:szCs w:val="20"/>
              </w:rPr>
            </w:pPr>
          </w:p>
        </w:tc>
        <w:tc>
          <w:tcPr>
            <w:tcW w:w="0" w:type="auto"/>
            <w:gridSpan w:val="3"/>
            <w:vAlign w:val="center"/>
            <w:hideMark/>
          </w:tcPr>
          <w:p w14:paraId="6612079D" w14:textId="77777777" w:rsidR="00000000" w:rsidRDefault="00E614A4">
            <w:pPr>
              <w:rPr>
                <w:rFonts w:eastAsia="Times New Roman"/>
                <w:sz w:val="20"/>
                <w:szCs w:val="20"/>
              </w:rPr>
            </w:pPr>
          </w:p>
        </w:tc>
        <w:tc>
          <w:tcPr>
            <w:tcW w:w="0" w:type="auto"/>
            <w:gridSpan w:val="3"/>
            <w:vAlign w:val="center"/>
            <w:hideMark/>
          </w:tcPr>
          <w:p w14:paraId="5CBB0D5E" w14:textId="77777777" w:rsidR="00000000" w:rsidRDefault="00E614A4">
            <w:pPr>
              <w:rPr>
                <w:rFonts w:eastAsia="Times New Roman"/>
                <w:sz w:val="20"/>
                <w:szCs w:val="20"/>
              </w:rPr>
            </w:pPr>
          </w:p>
        </w:tc>
      </w:tr>
      <w:tr w:rsidR="00000000" w14:paraId="046E9769" w14:textId="77777777">
        <w:trPr>
          <w:divId w:val="953050698"/>
        </w:trPr>
        <w:tc>
          <w:tcPr>
            <w:tcW w:w="0" w:type="auto"/>
            <w:gridSpan w:val="3"/>
            <w:vAlign w:val="center"/>
            <w:hideMark/>
          </w:tcPr>
          <w:p w14:paraId="0DCF04E1" w14:textId="77777777" w:rsidR="00000000" w:rsidRDefault="00E614A4">
            <w:pPr>
              <w:rPr>
                <w:rFonts w:eastAsia="Times New Roman"/>
                <w:sz w:val="20"/>
                <w:szCs w:val="20"/>
              </w:rPr>
            </w:pPr>
          </w:p>
        </w:tc>
        <w:tc>
          <w:tcPr>
            <w:tcW w:w="0" w:type="auto"/>
            <w:gridSpan w:val="3"/>
            <w:vAlign w:val="center"/>
            <w:hideMark/>
          </w:tcPr>
          <w:p w14:paraId="59FAE19C" w14:textId="77777777" w:rsidR="00000000" w:rsidRDefault="00E614A4">
            <w:pPr>
              <w:rPr>
                <w:rFonts w:eastAsia="Times New Roman"/>
                <w:sz w:val="20"/>
                <w:szCs w:val="20"/>
              </w:rPr>
            </w:pPr>
          </w:p>
        </w:tc>
        <w:tc>
          <w:tcPr>
            <w:tcW w:w="0" w:type="auto"/>
            <w:gridSpan w:val="3"/>
            <w:vAlign w:val="center"/>
            <w:hideMark/>
          </w:tcPr>
          <w:p w14:paraId="08AE0E85" w14:textId="77777777" w:rsidR="00000000" w:rsidRDefault="00E614A4">
            <w:pPr>
              <w:rPr>
                <w:rFonts w:eastAsia="Times New Roman"/>
                <w:sz w:val="20"/>
                <w:szCs w:val="20"/>
              </w:rPr>
            </w:pPr>
          </w:p>
        </w:tc>
        <w:tc>
          <w:tcPr>
            <w:tcW w:w="0" w:type="auto"/>
            <w:gridSpan w:val="3"/>
            <w:vAlign w:val="center"/>
            <w:hideMark/>
          </w:tcPr>
          <w:p w14:paraId="186FA690" w14:textId="77777777" w:rsidR="00000000" w:rsidRDefault="00E614A4">
            <w:pPr>
              <w:rPr>
                <w:rFonts w:eastAsia="Times New Roman"/>
                <w:sz w:val="20"/>
                <w:szCs w:val="20"/>
              </w:rPr>
            </w:pPr>
          </w:p>
        </w:tc>
        <w:tc>
          <w:tcPr>
            <w:tcW w:w="0" w:type="auto"/>
            <w:gridSpan w:val="3"/>
            <w:vAlign w:val="center"/>
            <w:hideMark/>
          </w:tcPr>
          <w:p w14:paraId="0E55962B" w14:textId="77777777" w:rsidR="00000000" w:rsidRDefault="00E614A4">
            <w:pPr>
              <w:rPr>
                <w:rFonts w:eastAsia="Times New Roman"/>
                <w:sz w:val="20"/>
                <w:szCs w:val="20"/>
              </w:rPr>
            </w:pPr>
          </w:p>
        </w:tc>
      </w:tr>
      <w:tr w:rsidR="00000000" w14:paraId="26800D8A" w14:textId="77777777">
        <w:trPr>
          <w:divId w:val="953050698"/>
        </w:trPr>
        <w:tc>
          <w:tcPr>
            <w:tcW w:w="0" w:type="auto"/>
            <w:gridSpan w:val="3"/>
            <w:vAlign w:val="center"/>
            <w:hideMark/>
          </w:tcPr>
          <w:p w14:paraId="21B35BEE" w14:textId="77777777" w:rsidR="00000000" w:rsidRDefault="00E614A4">
            <w:pPr>
              <w:rPr>
                <w:rFonts w:eastAsia="Times New Roman"/>
                <w:sz w:val="20"/>
                <w:szCs w:val="20"/>
              </w:rPr>
            </w:pPr>
          </w:p>
        </w:tc>
        <w:tc>
          <w:tcPr>
            <w:tcW w:w="0" w:type="auto"/>
            <w:gridSpan w:val="3"/>
            <w:vAlign w:val="center"/>
            <w:hideMark/>
          </w:tcPr>
          <w:p w14:paraId="78DA898E" w14:textId="77777777" w:rsidR="00000000" w:rsidRDefault="00E614A4">
            <w:pPr>
              <w:rPr>
                <w:rFonts w:eastAsia="Times New Roman"/>
                <w:sz w:val="20"/>
                <w:szCs w:val="20"/>
              </w:rPr>
            </w:pPr>
          </w:p>
        </w:tc>
        <w:tc>
          <w:tcPr>
            <w:tcW w:w="0" w:type="auto"/>
            <w:gridSpan w:val="3"/>
            <w:vAlign w:val="center"/>
            <w:hideMark/>
          </w:tcPr>
          <w:p w14:paraId="72DC1374" w14:textId="77777777" w:rsidR="00000000" w:rsidRDefault="00E614A4">
            <w:pPr>
              <w:rPr>
                <w:rFonts w:eastAsia="Times New Roman"/>
                <w:sz w:val="20"/>
                <w:szCs w:val="20"/>
              </w:rPr>
            </w:pPr>
          </w:p>
        </w:tc>
        <w:tc>
          <w:tcPr>
            <w:tcW w:w="0" w:type="auto"/>
            <w:gridSpan w:val="3"/>
            <w:vAlign w:val="center"/>
            <w:hideMark/>
          </w:tcPr>
          <w:p w14:paraId="7FE3478B" w14:textId="77777777" w:rsidR="00000000" w:rsidRDefault="00E614A4">
            <w:pPr>
              <w:rPr>
                <w:rFonts w:eastAsia="Times New Roman"/>
                <w:sz w:val="20"/>
                <w:szCs w:val="20"/>
              </w:rPr>
            </w:pPr>
          </w:p>
        </w:tc>
        <w:tc>
          <w:tcPr>
            <w:tcW w:w="0" w:type="auto"/>
            <w:gridSpan w:val="3"/>
            <w:vAlign w:val="center"/>
            <w:hideMark/>
          </w:tcPr>
          <w:p w14:paraId="4D3C89D2" w14:textId="77777777" w:rsidR="00000000" w:rsidRDefault="00E614A4">
            <w:pPr>
              <w:rPr>
                <w:rFonts w:eastAsia="Times New Roman"/>
                <w:sz w:val="20"/>
                <w:szCs w:val="20"/>
              </w:rPr>
            </w:pPr>
          </w:p>
        </w:tc>
      </w:tr>
      <w:tr w:rsidR="00000000" w14:paraId="46E506B3" w14:textId="77777777">
        <w:trPr>
          <w:divId w:val="953050698"/>
        </w:trPr>
        <w:tc>
          <w:tcPr>
            <w:tcW w:w="0" w:type="auto"/>
            <w:gridSpan w:val="3"/>
            <w:vAlign w:val="center"/>
            <w:hideMark/>
          </w:tcPr>
          <w:p w14:paraId="19942F37" w14:textId="77777777" w:rsidR="00000000" w:rsidRDefault="00E614A4">
            <w:pPr>
              <w:rPr>
                <w:rFonts w:eastAsia="Times New Roman"/>
                <w:sz w:val="20"/>
                <w:szCs w:val="20"/>
              </w:rPr>
            </w:pPr>
          </w:p>
        </w:tc>
        <w:tc>
          <w:tcPr>
            <w:tcW w:w="0" w:type="auto"/>
            <w:gridSpan w:val="3"/>
            <w:vAlign w:val="center"/>
            <w:hideMark/>
          </w:tcPr>
          <w:p w14:paraId="64E420C7" w14:textId="77777777" w:rsidR="00000000" w:rsidRDefault="00E614A4">
            <w:pPr>
              <w:rPr>
                <w:rFonts w:eastAsia="Times New Roman"/>
                <w:sz w:val="20"/>
                <w:szCs w:val="20"/>
              </w:rPr>
            </w:pPr>
          </w:p>
        </w:tc>
        <w:tc>
          <w:tcPr>
            <w:tcW w:w="0" w:type="auto"/>
            <w:gridSpan w:val="3"/>
            <w:vAlign w:val="center"/>
            <w:hideMark/>
          </w:tcPr>
          <w:p w14:paraId="1ECA5D4B" w14:textId="77777777" w:rsidR="00000000" w:rsidRDefault="00E614A4">
            <w:pPr>
              <w:rPr>
                <w:rFonts w:eastAsia="Times New Roman"/>
                <w:sz w:val="20"/>
                <w:szCs w:val="20"/>
              </w:rPr>
            </w:pPr>
          </w:p>
        </w:tc>
        <w:tc>
          <w:tcPr>
            <w:tcW w:w="0" w:type="auto"/>
            <w:gridSpan w:val="3"/>
            <w:vAlign w:val="center"/>
            <w:hideMark/>
          </w:tcPr>
          <w:p w14:paraId="5469C868" w14:textId="77777777" w:rsidR="00000000" w:rsidRDefault="00E614A4">
            <w:pPr>
              <w:rPr>
                <w:rFonts w:eastAsia="Times New Roman"/>
                <w:sz w:val="20"/>
                <w:szCs w:val="20"/>
              </w:rPr>
            </w:pPr>
          </w:p>
        </w:tc>
        <w:tc>
          <w:tcPr>
            <w:tcW w:w="0" w:type="auto"/>
            <w:gridSpan w:val="3"/>
            <w:vAlign w:val="center"/>
            <w:hideMark/>
          </w:tcPr>
          <w:p w14:paraId="793A2687" w14:textId="77777777" w:rsidR="00000000" w:rsidRDefault="00E614A4">
            <w:pPr>
              <w:rPr>
                <w:rFonts w:eastAsia="Times New Roman"/>
                <w:sz w:val="20"/>
                <w:szCs w:val="20"/>
              </w:rPr>
            </w:pPr>
          </w:p>
        </w:tc>
      </w:tr>
      <w:tr w:rsidR="00000000" w14:paraId="2113DD21" w14:textId="77777777">
        <w:trPr>
          <w:divId w:val="953050698"/>
        </w:trPr>
        <w:tc>
          <w:tcPr>
            <w:tcW w:w="0" w:type="auto"/>
            <w:gridSpan w:val="3"/>
            <w:vAlign w:val="center"/>
            <w:hideMark/>
          </w:tcPr>
          <w:p w14:paraId="5B3ECC07" w14:textId="77777777" w:rsidR="00000000" w:rsidRDefault="00E614A4">
            <w:pPr>
              <w:rPr>
                <w:rFonts w:eastAsia="Times New Roman"/>
                <w:sz w:val="20"/>
                <w:szCs w:val="20"/>
              </w:rPr>
            </w:pPr>
          </w:p>
        </w:tc>
        <w:tc>
          <w:tcPr>
            <w:tcW w:w="0" w:type="auto"/>
            <w:gridSpan w:val="3"/>
            <w:vAlign w:val="center"/>
            <w:hideMark/>
          </w:tcPr>
          <w:p w14:paraId="132621EE" w14:textId="77777777" w:rsidR="00000000" w:rsidRDefault="00E614A4">
            <w:pPr>
              <w:rPr>
                <w:rFonts w:eastAsia="Times New Roman"/>
                <w:sz w:val="20"/>
                <w:szCs w:val="20"/>
              </w:rPr>
            </w:pPr>
          </w:p>
        </w:tc>
        <w:tc>
          <w:tcPr>
            <w:tcW w:w="0" w:type="auto"/>
            <w:gridSpan w:val="3"/>
            <w:vAlign w:val="center"/>
            <w:hideMark/>
          </w:tcPr>
          <w:p w14:paraId="38F064D4" w14:textId="77777777" w:rsidR="00000000" w:rsidRDefault="00E614A4">
            <w:pPr>
              <w:rPr>
                <w:rFonts w:eastAsia="Times New Roman"/>
                <w:sz w:val="20"/>
                <w:szCs w:val="20"/>
              </w:rPr>
            </w:pPr>
          </w:p>
        </w:tc>
        <w:tc>
          <w:tcPr>
            <w:tcW w:w="0" w:type="auto"/>
            <w:gridSpan w:val="3"/>
            <w:vAlign w:val="center"/>
            <w:hideMark/>
          </w:tcPr>
          <w:p w14:paraId="7958E9C9" w14:textId="77777777" w:rsidR="00000000" w:rsidRDefault="00E614A4">
            <w:pPr>
              <w:rPr>
                <w:rFonts w:eastAsia="Times New Roman"/>
                <w:sz w:val="20"/>
                <w:szCs w:val="20"/>
              </w:rPr>
            </w:pPr>
          </w:p>
        </w:tc>
        <w:tc>
          <w:tcPr>
            <w:tcW w:w="0" w:type="auto"/>
            <w:gridSpan w:val="3"/>
            <w:vAlign w:val="center"/>
            <w:hideMark/>
          </w:tcPr>
          <w:p w14:paraId="630DBCE1" w14:textId="77777777" w:rsidR="00000000" w:rsidRDefault="00E614A4">
            <w:pPr>
              <w:rPr>
                <w:rFonts w:eastAsia="Times New Roman"/>
                <w:sz w:val="20"/>
                <w:szCs w:val="20"/>
              </w:rPr>
            </w:pPr>
          </w:p>
        </w:tc>
      </w:tr>
      <w:tr w:rsidR="00000000" w14:paraId="36364AA5" w14:textId="77777777">
        <w:trPr>
          <w:divId w:val="953050698"/>
        </w:trPr>
        <w:tc>
          <w:tcPr>
            <w:tcW w:w="0" w:type="auto"/>
            <w:gridSpan w:val="3"/>
            <w:vAlign w:val="center"/>
            <w:hideMark/>
          </w:tcPr>
          <w:p w14:paraId="12170937" w14:textId="77777777" w:rsidR="00000000" w:rsidRDefault="00E614A4">
            <w:pPr>
              <w:rPr>
                <w:rFonts w:eastAsia="Times New Roman"/>
                <w:sz w:val="20"/>
                <w:szCs w:val="20"/>
              </w:rPr>
            </w:pPr>
          </w:p>
        </w:tc>
        <w:tc>
          <w:tcPr>
            <w:tcW w:w="0" w:type="auto"/>
            <w:gridSpan w:val="3"/>
            <w:vAlign w:val="center"/>
            <w:hideMark/>
          </w:tcPr>
          <w:p w14:paraId="18C94EBC" w14:textId="77777777" w:rsidR="00000000" w:rsidRDefault="00E614A4">
            <w:pPr>
              <w:rPr>
                <w:rFonts w:eastAsia="Times New Roman"/>
                <w:sz w:val="20"/>
                <w:szCs w:val="20"/>
              </w:rPr>
            </w:pPr>
          </w:p>
        </w:tc>
        <w:tc>
          <w:tcPr>
            <w:tcW w:w="0" w:type="auto"/>
            <w:gridSpan w:val="3"/>
            <w:vAlign w:val="center"/>
            <w:hideMark/>
          </w:tcPr>
          <w:p w14:paraId="7DDE4E45" w14:textId="77777777" w:rsidR="00000000" w:rsidRDefault="00E614A4">
            <w:pPr>
              <w:rPr>
                <w:rFonts w:eastAsia="Times New Roman"/>
                <w:sz w:val="20"/>
                <w:szCs w:val="20"/>
              </w:rPr>
            </w:pPr>
          </w:p>
        </w:tc>
        <w:tc>
          <w:tcPr>
            <w:tcW w:w="0" w:type="auto"/>
            <w:gridSpan w:val="3"/>
            <w:vAlign w:val="center"/>
            <w:hideMark/>
          </w:tcPr>
          <w:p w14:paraId="546DB450" w14:textId="77777777" w:rsidR="00000000" w:rsidRDefault="00E614A4">
            <w:pPr>
              <w:rPr>
                <w:rFonts w:eastAsia="Times New Roman"/>
                <w:sz w:val="20"/>
                <w:szCs w:val="20"/>
              </w:rPr>
            </w:pPr>
          </w:p>
        </w:tc>
        <w:tc>
          <w:tcPr>
            <w:tcW w:w="0" w:type="auto"/>
            <w:gridSpan w:val="3"/>
            <w:vAlign w:val="center"/>
            <w:hideMark/>
          </w:tcPr>
          <w:p w14:paraId="0FAB35A9" w14:textId="77777777" w:rsidR="00000000" w:rsidRDefault="00E614A4">
            <w:pPr>
              <w:rPr>
                <w:rFonts w:eastAsia="Times New Roman"/>
                <w:sz w:val="20"/>
                <w:szCs w:val="20"/>
              </w:rPr>
            </w:pPr>
          </w:p>
        </w:tc>
      </w:tr>
      <w:tr w:rsidR="00000000" w14:paraId="666002BD" w14:textId="77777777">
        <w:trPr>
          <w:divId w:val="953050698"/>
        </w:trPr>
        <w:tc>
          <w:tcPr>
            <w:tcW w:w="0" w:type="auto"/>
            <w:gridSpan w:val="3"/>
            <w:vAlign w:val="center"/>
            <w:hideMark/>
          </w:tcPr>
          <w:p w14:paraId="5BDA62E6" w14:textId="77777777" w:rsidR="00000000" w:rsidRDefault="00E614A4">
            <w:pPr>
              <w:rPr>
                <w:rFonts w:eastAsia="Times New Roman"/>
                <w:sz w:val="20"/>
                <w:szCs w:val="20"/>
              </w:rPr>
            </w:pPr>
          </w:p>
        </w:tc>
        <w:tc>
          <w:tcPr>
            <w:tcW w:w="0" w:type="auto"/>
            <w:gridSpan w:val="3"/>
            <w:vAlign w:val="center"/>
            <w:hideMark/>
          </w:tcPr>
          <w:p w14:paraId="6410EBEB" w14:textId="77777777" w:rsidR="00000000" w:rsidRDefault="00E614A4">
            <w:pPr>
              <w:rPr>
                <w:rFonts w:eastAsia="Times New Roman"/>
                <w:sz w:val="20"/>
                <w:szCs w:val="20"/>
              </w:rPr>
            </w:pPr>
          </w:p>
        </w:tc>
        <w:tc>
          <w:tcPr>
            <w:tcW w:w="0" w:type="auto"/>
            <w:gridSpan w:val="3"/>
            <w:vAlign w:val="center"/>
            <w:hideMark/>
          </w:tcPr>
          <w:p w14:paraId="78377274" w14:textId="77777777" w:rsidR="00000000" w:rsidRDefault="00E614A4">
            <w:pPr>
              <w:rPr>
                <w:rFonts w:eastAsia="Times New Roman"/>
                <w:sz w:val="20"/>
                <w:szCs w:val="20"/>
              </w:rPr>
            </w:pPr>
          </w:p>
        </w:tc>
        <w:tc>
          <w:tcPr>
            <w:tcW w:w="0" w:type="auto"/>
            <w:gridSpan w:val="3"/>
            <w:vAlign w:val="center"/>
            <w:hideMark/>
          </w:tcPr>
          <w:p w14:paraId="022ED56A" w14:textId="77777777" w:rsidR="00000000" w:rsidRDefault="00E614A4">
            <w:pPr>
              <w:rPr>
                <w:rFonts w:eastAsia="Times New Roman"/>
                <w:sz w:val="20"/>
                <w:szCs w:val="20"/>
              </w:rPr>
            </w:pPr>
          </w:p>
        </w:tc>
        <w:tc>
          <w:tcPr>
            <w:tcW w:w="0" w:type="auto"/>
            <w:gridSpan w:val="3"/>
            <w:vAlign w:val="center"/>
            <w:hideMark/>
          </w:tcPr>
          <w:p w14:paraId="59BDEDFE" w14:textId="77777777" w:rsidR="00000000" w:rsidRDefault="00E614A4">
            <w:pPr>
              <w:rPr>
                <w:rFonts w:eastAsia="Times New Roman"/>
                <w:sz w:val="20"/>
                <w:szCs w:val="20"/>
              </w:rPr>
            </w:pPr>
          </w:p>
        </w:tc>
      </w:tr>
      <w:tr w:rsidR="00000000" w14:paraId="53094174" w14:textId="77777777">
        <w:trPr>
          <w:divId w:val="953050698"/>
        </w:trPr>
        <w:tc>
          <w:tcPr>
            <w:tcW w:w="0" w:type="auto"/>
            <w:gridSpan w:val="3"/>
            <w:vAlign w:val="center"/>
            <w:hideMark/>
          </w:tcPr>
          <w:p w14:paraId="0C55F8DC" w14:textId="77777777" w:rsidR="00000000" w:rsidRDefault="00E614A4">
            <w:pPr>
              <w:rPr>
                <w:rFonts w:eastAsia="Times New Roman"/>
                <w:sz w:val="20"/>
                <w:szCs w:val="20"/>
              </w:rPr>
            </w:pPr>
          </w:p>
        </w:tc>
        <w:tc>
          <w:tcPr>
            <w:tcW w:w="0" w:type="auto"/>
            <w:gridSpan w:val="3"/>
            <w:vAlign w:val="center"/>
            <w:hideMark/>
          </w:tcPr>
          <w:p w14:paraId="5938CE7C" w14:textId="77777777" w:rsidR="00000000" w:rsidRDefault="00E614A4">
            <w:pPr>
              <w:rPr>
                <w:rFonts w:eastAsia="Times New Roman"/>
                <w:sz w:val="20"/>
                <w:szCs w:val="20"/>
              </w:rPr>
            </w:pPr>
          </w:p>
        </w:tc>
        <w:tc>
          <w:tcPr>
            <w:tcW w:w="0" w:type="auto"/>
            <w:gridSpan w:val="3"/>
            <w:vAlign w:val="center"/>
            <w:hideMark/>
          </w:tcPr>
          <w:p w14:paraId="73565E95" w14:textId="77777777" w:rsidR="00000000" w:rsidRDefault="00E614A4">
            <w:pPr>
              <w:rPr>
                <w:rFonts w:eastAsia="Times New Roman"/>
                <w:sz w:val="20"/>
                <w:szCs w:val="20"/>
              </w:rPr>
            </w:pPr>
          </w:p>
        </w:tc>
        <w:tc>
          <w:tcPr>
            <w:tcW w:w="0" w:type="auto"/>
            <w:gridSpan w:val="3"/>
            <w:vAlign w:val="center"/>
            <w:hideMark/>
          </w:tcPr>
          <w:p w14:paraId="53777DC7" w14:textId="77777777" w:rsidR="00000000" w:rsidRDefault="00E614A4">
            <w:pPr>
              <w:rPr>
                <w:rFonts w:eastAsia="Times New Roman"/>
                <w:sz w:val="20"/>
                <w:szCs w:val="20"/>
              </w:rPr>
            </w:pPr>
          </w:p>
        </w:tc>
        <w:tc>
          <w:tcPr>
            <w:tcW w:w="0" w:type="auto"/>
            <w:gridSpan w:val="3"/>
            <w:vAlign w:val="center"/>
            <w:hideMark/>
          </w:tcPr>
          <w:p w14:paraId="2A211AAE" w14:textId="77777777" w:rsidR="00000000" w:rsidRDefault="00E614A4">
            <w:pPr>
              <w:rPr>
                <w:rFonts w:eastAsia="Times New Roman"/>
                <w:sz w:val="20"/>
                <w:szCs w:val="20"/>
              </w:rPr>
            </w:pPr>
          </w:p>
        </w:tc>
      </w:tr>
      <w:tr w:rsidR="00000000" w14:paraId="27FACD66" w14:textId="77777777">
        <w:trPr>
          <w:divId w:val="953050698"/>
        </w:trPr>
        <w:tc>
          <w:tcPr>
            <w:tcW w:w="0" w:type="auto"/>
            <w:gridSpan w:val="3"/>
            <w:vAlign w:val="center"/>
            <w:hideMark/>
          </w:tcPr>
          <w:p w14:paraId="2520DA7B" w14:textId="77777777" w:rsidR="00000000" w:rsidRDefault="00E614A4">
            <w:pPr>
              <w:rPr>
                <w:rFonts w:eastAsia="Times New Roman"/>
                <w:sz w:val="20"/>
                <w:szCs w:val="20"/>
              </w:rPr>
            </w:pPr>
          </w:p>
        </w:tc>
        <w:tc>
          <w:tcPr>
            <w:tcW w:w="0" w:type="auto"/>
            <w:gridSpan w:val="3"/>
            <w:vAlign w:val="center"/>
            <w:hideMark/>
          </w:tcPr>
          <w:p w14:paraId="786A6444" w14:textId="77777777" w:rsidR="00000000" w:rsidRDefault="00E614A4">
            <w:pPr>
              <w:rPr>
                <w:rFonts w:eastAsia="Times New Roman"/>
                <w:sz w:val="20"/>
                <w:szCs w:val="20"/>
              </w:rPr>
            </w:pPr>
          </w:p>
        </w:tc>
        <w:tc>
          <w:tcPr>
            <w:tcW w:w="0" w:type="auto"/>
            <w:gridSpan w:val="3"/>
            <w:vAlign w:val="center"/>
            <w:hideMark/>
          </w:tcPr>
          <w:p w14:paraId="24957EC3" w14:textId="77777777" w:rsidR="00000000" w:rsidRDefault="00E614A4">
            <w:pPr>
              <w:rPr>
                <w:rFonts w:eastAsia="Times New Roman"/>
                <w:sz w:val="20"/>
                <w:szCs w:val="20"/>
              </w:rPr>
            </w:pPr>
          </w:p>
        </w:tc>
        <w:tc>
          <w:tcPr>
            <w:tcW w:w="0" w:type="auto"/>
            <w:gridSpan w:val="3"/>
            <w:vAlign w:val="center"/>
            <w:hideMark/>
          </w:tcPr>
          <w:p w14:paraId="162CD4A3" w14:textId="77777777" w:rsidR="00000000" w:rsidRDefault="00E614A4">
            <w:pPr>
              <w:rPr>
                <w:rFonts w:eastAsia="Times New Roman"/>
                <w:sz w:val="20"/>
                <w:szCs w:val="20"/>
              </w:rPr>
            </w:pPr>
          </w:p>
        </w:tc>
        <w:tc>
          <w:tcPr>
            <w:tcW w:w="0" w:type="auto"/>
            <w:gridSpan w:val="3"/>
            <w:vAlign w:val="center"/>
            <w:hideMark/>
          </w:tcPr>
          <w:p w14:paraId="50E623DE" w14:textId="77777777" w:rsidR="00000000" w:rsidRDefault="00E614A4">
            <w:pPr>
              <w:rPr>
                <w:rFonts w:eastAsia="Times New Roman"/>
                <w:sz w:val="20"/>
                <w:szCs w:val="20"/>
              </w:rPr>
            </w:pPr>
          </w:p>
        </w:tc>
      </w:tr>
      <w:tr w:rsidR="00000000" w14:paraId="79F777C3" w14:textId="77777777">
        <w:trPr>
          <w:divId w:val="953050698"/>
        </w:trPr>
        <w:tc>
          <w:tcPr>
            <w:tcW w:w="0" w:type="auto"/>
            <w:gridSpan w:val="3"/>
            <w:vAlign w:val="center"/>
            <w:hideMark/>
          </w:tcPr>
          <w:p w14:paraId="5BA67C0C" w14:textId="77777777" w:rsidR="00000000" w:rsidRDefault="00E614A4">
            <w:pPr>
              <w:rPr>
                <w:rFonts w:eastAsia="Times New Roman"/>
                <w:sz w:val="20"/>
                <w:szCs w:val="20"/>
              </w:rPr>
            </w:pPr>
          </w:p>
        </w:tc>
        <w:tc>
          <w:tcPr>
            <w:tcW w:w="0" w:type="auto"/>
            <w:gridSpan w:val="3"/>
            <w:vAlign w:val="center"/>
            <w:hideMark/>
          </w:tcPr>
          <w:p w14:paraId="1CF1C8D4" w14:textId="77777777" w:rsidR="00000000" w:rsidRDefault="00E614A4">
            <w:pPr>
              <w:rPr>
                <w:rFonts w:eastAsia="Times New Roman"/>
                <w:sz w:val="20"/>
                <w:szCs w:val="20"/>
              </w:rPr>
            </w:pPr>
          </w:p>
        </w:tc>
        <w:tc>
          <w:tcPr>
            <w:tcW w:w="0" w:type="auto"/>
            <w:gridSpan w:val="3"/>
            <w:vAlign w:val="center"/>
            <w:hideMark/>
          </w:tcPr>
          <w:p w14:paraId="02B23926" w14:textId="77777777" w:rsidR="00000000" w:rsidRDefault="00E614A4">
            <w:pPr>
              <w:rPr>
                <w:rFonts w:eastAsia="Times New Roman"/>
                <w:sz w:val="20"/>
                <w:szCs w:val="20"/>
              </w:rPr>
            </w:pPr>
          </w:p>
        </w:tc>
        <w:tc>
          <w:tcPr>
            <w:tcW w:w="0" w:type="auto"/>
            <w:gridSpan w:val="3"/>
            <w:vAlign w:val="center"/>
            <w:hideMark/>
          </w:tcPr>
          <w:p w14:paraId="0A4708E7" w14:textId="77777777" w:rsidR="00000000" w:rsidRDefault="00E614A4">
            <w:pPr>
              <w:rPr>
                <w:rFonts w:eastAsia="Times New Roman"/>
                <w:sz w:val="20"/>
                <w:szCs w:val="20"/>
              </w:rPr>
            </w:pPr>
          </w:p>
        </w:tc>
        <w:tc>
          <w:tcPr>
            <w:tcW w:w="0" w:type="auto"/>
            <w:gridSpan w:val="3"/>
            <w:vAlign w:val="center"/>
            <w:hideMark/>
          </w:tcPr>
          <w:p w14:paraId="622D2BD5" w14:textId="77777777" w:rsidR="00000000" w:rsidRDefault="00E614A4">
            <w:pPr>
              <w:rPr>
                <w:rFonts w:eastAsia="Times New Roman"/>
                <w:sz w:val="20"/>
                <w:szCs w:val="20"/>
              </w:rPr>
            </w:pPr>
          </w:p>
        </w:tc>
      </w:tr>
      <w:tr w:rsidR="00000000" w14:paraId="5C4DF438" w14:textId="77777777">
        <w:trPr>
          <w:divId w:val="953050698"/>
        </w:trPr>
        <w:tc>
          <w:tcPr>
            <w:tcW w:w="0" w:type="auto"/>
            <w:gridSpan w:val="3"/>
            <w:vAlign w:val="center"/>
            <w:hideMark/>
          </w:tcPr>
          <w:p w14:paraId="25BA6C40" w14:textId="77777777" w:rsidR="00000000" w:rsidRDefault="00E614A4">
            <w:pPr>
              <w:rPr>
                <w:rFonts w:eastAsia="Times New Roman"/>
                <w:sz w:val="20"/>
                <w:szCs w:val="20"/>
              </w:rPr>
            </w:pPr>
          </w:p>
        </w:tc>
        <w:tc>
          <w:tcPr>
            <w:tcW w:w="0" w:type="auto"/>
            <w:gridSpan w:val="3"/>
            <w:vAlign w:val="center"/>
            <w:hideMark/>
          </w:tcPr>
          <w:p w14:paraId="7BD7A930" w14:textId="77777777" w:rsidR="00000000" w:rsidRDefault="00E614A4">
            <w:pPr>
              <w:rPr>
                <w:rFonts w:eastAsia="Times New Roman"/>
                <w:sz w:val="20"/>
                <w:szCs w:val="20"/>
              </w:rPr>
            </w:pPr>
          </w:p>
        </w:tc>
        <w:tc>
          <w:tcPr>
            <w:tcW w:w="0" w:type="auto"/>
            <w:gridSpan w:val="3"/>
            <w:vAlign w:val="center"/>
            <w:hideMark/>
          </w:tcPr>
          <w:p w14:paraId="1B82A3C1" w14:textId="77777777" w:rsidR="00000000" w:rsidRDefault="00E614A4">
            <w:pPr>
              <w:rPr>
                <w:rFonts w:eastAsia="Times New Roman"/>
                <w:sz w:val="20"/>
                <w:szCs w:val="20"/>
              </w:rPr>
            </w:pPr>
          </w:p>
        </w:tc>
        <w:tc>
          <w:tcPr>
            <w:tcW w:w="0" w:type="auto"/>
            <w:gridSpan w:val="3"/>
            <w:vAlign w:val="center"/>
            <w:hideMark/>
          </w:tcPr>
          <w:p w14:paraId="7DD0ECC4" w14:textId="77777777" w:rsidR="00000000" w:rsidRDefault="00E614A4">
            <w:pPr>
              <w:rPr>
                <w:rFonts w:eastAsia="Times New Roman"/>
                <w:sz w:val="20"/>
                <w:szCs w:val="20"/>
              </w:rPr>
            </w:pPr>
          </w:p>
        </w:tc>
        <w:tc>
          <w:tcPr>
            <w:tcW w:w="0" w:type="auto"/>
            <w:gridSpan w:val="3"/>
            <w:vAlign w:val="center"/>
            <w:hideMark/>
          </w:tcPr>
          <w:p w14:paraId="53180A3F" w14:textId="77777777" w:rsidR="00000000" w:rsidRDefault="00E614A4">
            <w:pPr>
              <w:rPr>
                <w:rFonts w:eastAsia="Times New Roman"/>
                <w:sz w:val="20"/>
                <w:szCs w:val="20"/>
              </w:rPr>
            </w:pPr>
          </w:p>
        </w:tc>
      </w:tr>
      <w:tr w:rsidR="00000000" w14:paraId="488355DB" w14:textId="77777777">
        <w:trPr>
          <w:divId w:val="953050698"/>
        </w:trPr>
        <w:tc>
          <w:tcPr>
            <w:tcW w:w="0" w:type="auto"/>
            <w:gridSpan w:val="3"/>
            <w:vAlign w:val="center"/>
            <w:hideMark/>
          </w:tcPr>
          <w:p w14:paraId="359EE04F" w14:textId="77777777" w:rsidR="00000000" w:rsidRDefault="00E614A4">
            <w:pPr>
              <w:rPr>
                <w:rFonts w:eastAsia="Times New Roman"/>
                <w:sz w:val="20"/>
                <w:szCs w:val="20"/>
              </w:rPr>
            </w:pPr>
          </w:p>
        </w:tc>
        <w:tc>
          <w:tcPr>
            <w:tcW w:w="0" w:type="auto"/>
            <w:gridSpan w:val="3"/>
            <w:vAlign w:val="center"/>
            <w:hideMark/>
          </w:tcPr>
          <w:p w14:paraId="2B1019FB" w14:textId="77777777" w:rsidR="00000000" w:rsidRDefault="00E614A4">
            <w:pPr>
              <w:rPr>
                <w:rFonts w:eastAsia="Times New Roman"/>
                <w:sz w:val="20"/>
                <w:szCs w:val="20"/>
              </w:rPr>
            </w:pPr>
          </w:p>
        </w:tc>
        <w:tc>
          <w:tcPr>
            <w:tcW w:w="0" w:type="auto"/>
            <w:gridSpan w:val="3"/>
            <w:vAlign w:val="center"/>
            <w:hideMark/>
          </w:tcPr>
          <w:p w14:paraId="23C17F83" w14:textId="77777777" w:rsidR="00000000" w:rsidRDefault="00E614A4">
            <w:pPr>
              <w:rPr>
                <w:rFonts w:eastAsia="Times New Roman"/>
                <w:sz w:val="20"/>
                <w:szCs w:val="20"/>
              </w:rPr>
            </w:pPr>
          </w:p>
        </w:tc>
        <w:tc>
          <w:tcPr>
            <w:tcW w:w="0" w:type="auto"/>
            <w:gridSpan w:val="3"/>
            <w:vAlign w:val="center"/>
            <w:hideMark/>
          </w:tcPr>
          <w:p w14:paraId="51458973" w14:textId="77777777" w:rsidR="00000000" w:rsidRDefault="00E614A4">
            <w:pPr>
              <w:rPr>
                <w:rFonts w:eastAsia="Times New Roman"/>
                <w:sz w:val="20"/>
                <w:szCs w:val="20"/>
              </w:rPr>
            </w:pPr>
          </w:p>
        </w:tc>
        <w:tc>
          <w:tcPr>
            <w:tcW w:w="0" w:type="auto"/>
            <w:gridSpan w:val="3"/>
            <w:vAlign w:val="center"/>
            <w:hideMark/>
          </w:tcPr>
          <w:p w14:paraId="73B6D7D7" w14:textId="77777777" w:rsidR="00000000" w:rsidRDefault="00E614A4">
            <w:pPr>
              <w:rPr>
                <w:rFonts w:eastAsia="Times New Roman"/>
                <w:sz w:val="20"/>
                <w:szCs w:val="20"/>
              </w:rPr>
            </w:pPr>
          </w:p>
        </w:tc>
      </w:tr>
      <w:tr w:rsidR="00000000" w14:paraId="11E7F837" w14:textId="77777777">
        <w:trPr>
          <w:divId w:val="953050698"/>
        </w:trPr>
        <w:tc>
          <w:tcPr>
            <w:tcW w:w="0" w:type="auto"/>
            <w:gridSpan w:val="3"/>
            <w:shd w:val="clear" w:color="auto" w:fill="CCEEFF"/>
            <w:tcMar>
              <w:top w:w="30" w:type="dxa"/>
              <w:left w:w="20" w:type="dxa"/>
              <w:bottom w:w="30" w:type="dxa"/>
              <w:right w:w="20" w:type="dxa"/>
            </w:tcMar>
            <w:hideMark/>
          </w:tcPr>
          <w:p w14:paraId="71818B0C" w14:textId="77777777" w:rsidR="00000000" w:rsidRDefault="00E614A4">
            <w:pPr>
              <w:rPr>
                <w:rFonts w:eastAsia="Times New Roman"/>
              </w:rPr>
            </w:pPr>
            <w:r>
              <w:rPr>
                <w:rFonts w:eastAsia="Times New Roman"/>
                <w:color w:val="000000"/>
                <w:sz w:val="18"/>
                <w:szCs w:val="18"/>
              </w:rPr>
              <w:t>Unvested as of December 31, 2017</w:t>
            </w:r>
          </w:p>
        </w:tc>
        <w:tc>
          <w:tcPr>
            <w:tcW w:w="0" w:type="auto"/>
            <w:gridSpan w:val="3"/>
            <w:shd w:val="clear" w:color="auto" w:fill="CCEEFF"/>
            <w:tcMar>
              <w:top w:w="0" w:type="dxa"/>
              <w:left w:w="20" w:type="dxa"/>
              <w:bottom w:w="0" w:type="dxa"/>
              <w:right w:w="20" w:type="dxa"/>
            </w:tcMar>
            <w:vAlign w:val="center"/>
            <w:hideMark/>
          </w:tcPr>
          <w:p w14:paraId="11C0390F"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59A4EE" w14:textId="77777777" w:rsidR="00000000" w:rsidRDefault="00E614A4">
            <w:pPr>
              <w:jc w:val="right"/>
              <w:rPr>
                <w:rFonts w:eastAsia="Times New Roman"/>
              </w:rPr>
            </w:pPr>
            <w:r>
              <w:rPr>
                <w:rFonts w:eastAsia="Times New Roman"/>
                <w:color w:val="000000"/>
                <w:sz w:val="18"/>
                <w:szCs w:val="18"/>
              </w:rPr>
              <w:t>779,912 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1905F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5D354"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89231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151B6E" w14:textId="77777777" w:rsidR="00000000" w:rsidRDefault="00E614A4">
            <w:pPr>
              <w:jc w:val="right"/>
              <w:rPr>
                <w:rFonts w:eastAsia="Times New Roman"/>
              </w:rPr>
            </w:pPr>
            <w:r>
              <w:rPr>
                <w:rFonts w:eastAsia="Times New Roman"/>
                <w:color w:val="000000"/>
                <w:sz w:val="18"/>
                <w:szCs w:val="18"/>
              </w:rPr>
              <w:t>37.22 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CA0328" w14:textId="77777777" w:rsidR="00000000" w:rsidRDefault="00E614A4">
            <w:pPr>
              <w:jc w:val="right"/>
              <w:rPr>
                <w:rFonts w:eastAsia="Times New Roman"/>
              </w:rPr>
            </w:pPr>
          </w:p>
        </w:tc>
      </w:tr>
      <w:tr w:rsidR="00000000" w14:paraId="56BC432F" w14:textId="77777777">
        <w:trPr>
          <w:divId w:val="953050698"/>
        </w:trPr>
        <w:tc>
          <w:tcPr>
            <w:tcW w:w="0" w:type="auto"/>
            <w:gridSpan w:val="3"/>
            <w:shd w:val="clear" w:color="auto" w:fill="FFFFFF"/>
            <w:tcMar>
              <w:top w:w="30" w:type="dxa"/>
              <w:left w:w="245" w:type="dxa"/>
              <w:bottom w:w="30" w:type="dxa"/>
              <w:right w:w="20" w:type="dxa"/>
            </w:tcMar>
            <w:hideMark/>
          </w:tcPr>
          <w:p w14:paraId="0B2A11ED" w14:textId="77777777" w:rsidR="00000000" w:rsidRDefault="00E614A4">
            <w:pPr>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14:paraId="67FE708F"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311862" w14:textId="77777777" w:rsidR="00000000" w:rsidRDefault="00E614A4">
            <w:pPr>
              <w:jc w:val="right"/>
              <w:rPr>
                <w:rFonts w:eastAsia="Times New Roman"/>
              </w:rPr>
            </w:pPr>
            <w:r>
              <w:rPr>
                <w:rFonts w:eastAsia="Times New Roman"/>
                <w:color w:val="000000"/>
                <w:sz w:val="18"/>
                <w:szCs w:val="18"/>
              </w:rPr>
              <w:t>2,872,408 </w:t>
            </w:r>
          </w:p>
        </w:tc>
        <w:tc>
          <w:tcPr>
            <w:tcW w:w="0" w:type="auto"/>
            <w:shd w:val="clear" w:color="auto" w:fill="FFFFFF"/>
            <w:tcMar>
              <w:top w:w="30" w:type="dxa"/>
              <w:left w:w="0" w:type="dxa"/>
              <w:bottom w:w="30" w:type="dxa"/>
              <w:right w:w="20" w:type="dxa"/>
            </w:tcMar>
            <w:vAlign w:val="bottom"/>
            <w:hideMark/>
          </w:tcPr>
          <w:p w14:paraId="218139C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32AE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E22AC0" w14:textId="77777777" w:rsidR="00000000" w:rsidRDefault="00E614A4">
            <w:pPr>
              <w:jc w:val="right"/>
              <w:rPr>
                <w:rFonts w:eastAsia="Times New Roman"/>
              </w:rPr>
            </w:pPr>
            <w:r>
              <w:rPr>
                <w:rFonts w:eastAsia="Times New Roman"/>
                <w:color w:val="000000"/>
                <w:sz w:val="18"/>
                <w:szCs w:val="18"/>
              </w:rPr>
              <w:t>22.53 </w:t>
            </w:r>
          </w:p>
        </w:tc>
        <w:tc>
          <w:tcPr>
            <w:tcW w:w="0" w:type="auto"/>
            <w:shd w:val="clear" w:color="auto" w:fill="FFFFFF"/>
            <w:tcMar>
              <w:top w:w="30" w:type="dxa"/>
              <w:left w:w="0" w:type="dxa"/>
              <w:bottom w:w="30" w:type="dxa"/>
              <w:right w:w="20" w:type="dxa"/>
            </w:tcMar>
            <w:vAlign w:val="bottom"/>
            <w:hideMark/>
          </w:tcPr>
          <w:p w14:paraId="648ED633" w14:textId="77777777" w:rsidR="00000000" w:rsidRDefault="00E614A4">
            <w:pPr>
              <w:jc w:val="right"/>
              <w:rPr>
                <w:rFonts w:eastAsia="Times New Roman"/>
              </w:rPr>
            </w:pPr>
          </w:p>
        </w:tc>
      </w:tr>
      <w:tr w:rsidR="00000000" w14:paraId="5EFCE2B7" w14:textId="77777777">
        <w:trPr>
          <w:divId w:val="953050698"/>
        </w:trPr>
        <w:tc>
          <w:tcPr>
            <w:tcW w:w="0" w:type="auto"/>
            <w:gridSpan w:val="3"/>
            <w:shd w:val="clear" w:color="auto" w:fill="CCEEFF"/>
            <w:tcMar>
              <w:top w:w="30" w:type="dxa"/>
              <w:left w:w="245" w:type="dxa"/>
              <w:bottom w:w="30" w:type="dxa"/>
              <w:right w:w="20" w:type="dxa"/>
            </w:tcMar>
            <w:hideMark/>
          </w:tcPr>
          <w:p w14:paraId="0F6A480E" w14:textId="77777777" w:rsidR="00000000" w:rsidRDefault="00E614A4">
            <w:pPr>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14:paraId="7B5AFCBA"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9E5BE3" w14:textId="77777777" w:rsidR="00000000" w:rsidRDefault="00E614A4">
            <w:pPr>
              <w:jc w:val="right"/>
              <w:rPr>
                <w:rFonts w:eastAsia="Times New Roman"/>
              </w:rPr>
            </w:pPr>
            <w:r>
              <w:rPr>
                <w:rFonts w:eastAsia="Times New Roman"/>
                <w:color w:val="000000"/>
                <w:sz w:val="18"/>
                <w:szCs w:val="18"/>
              </w:rPr>
              <w:t>(2,077,253)</w:t>
            </w:r>
          </w:p>
        </w:tc>
        <w:tc>
          <w:tcPr>
            <w:tcW w:w="0" w:type="auto"/>
            <w:shd w:val="clear" w:color="auto" w:fill="CCEEFF"/>
            <w:tcMar>
              <w:top w:w="30" w:type="dxa"/>
              <w:left w:w="0" w:type="dxa"/>
              <w:bottom w:w="30" w:type="dxa"/>
              <w:right w:w="20" w:type="dxa"/>
            </w:tcMar>
            <w:vAlign w:val="bottom"/>
            <w:hideMark/>
          </w:tcPr>
          <w:p w14:paraId="1237F81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5887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C0E53F" w14:textId="77777777" w:rsidR="00000000" w:rsidRDefault="00E614A4">
            <w:pPr>
              <w:jc w:val="right"/>
              <w:rPr>
                <w:rFonts w:eastAsia="Times New Roman"/>
              </w:rPr>
            </w:pPr>
            <w:r>
              <w:rPr>
                <w:rFonts w:eastAsia="Times New Roman"/>
                <w:color w:val="000000"/>
                <w:sz w:val="18"/>
                <w:szCs w:val="18"/>
              </w:rPr>
              <w:t>27.55 </w:t>
            </w:r>
          </w:p>
        </w:tc>
        <w:tc>
          <w:tcPr>
            <w:tcW w:w="0" w:type="auto"/>
            <w:shd w:val="clear" w:color="auto" w:fill="CCEEFF"/>
            <w:tcMar>
              <w:top w:w="30" w:type="dxa"/>
              <w:left w:w="0" w:type="dxa"/>
              <w:bottom w:w="30" w:type="dxa"/>
              <w:right w:w="20" w:type="dxa"/>
            </w:tcMar>
            <w:vAlign w:val="bottom"/>
            <w:hideMark/>
          </w:tcPr>
          <w:p w14:paraId="6B275536" w14:textId="77777777" w:rsidR="00000000" w:rsidRDefault="00E614A4">
            <w:pPr>
              <w:jc w:val="right"/>
              <w:rPr>
                <w:rFonts w:eastAsia="Times New Roman"/>
              </w:rPr>
            </w:pPr>
          </w:p>
        </w:tc>
      </w:tr>
      <w:tr w:rsidR="00000000" w14:paraId="7909A222" w14:textId="77777777">
        <w:trPr>
          <w:divId w:val="953050698"/>
        </w:trPr>
        <w:tc>
          <w:tcPr>
            <w:tcW w:w="0" w:type="auto"/>
            <w:gridSpan w:val="3"/>
            <w:shd w:val="clear" w:color="auto" w:fill="FFFFFF"/>
            <w:tcMar>
              <w:top w:w="30" w:type="dxa"/>
              <w:left w:w="245" w:type="dxa"/>
              <w:bottom w:w="30" w:type="dxa"/>
              <w:right w:w="20" w:type="dxa"/>
            </w:tcMar>
            <w:hideMark/>
          </w:tcPr>
          <w:p w14:paraId="2692681D" w14:textId="77777777" w:rsidR="00000000" w:rsidRDefault="00E614A4">
            <w:pPr>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14:paraId="59B0EE03"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A7BBE2" w14:textId="77777777" w:rsidR="00000000" w:rsidRDefault="00E614A4">
            <w:pPr>
              <w:jc w:val="right"/>
              <w:rPr>
                <w:rFonts w:eastAsia="Times New Roman"/>
              </w:rPr>
            </w:pPr>
            <w:r>
              <w:rPr>
                <w:rFonts w:eastAsia="Times New Roman"/>
                <w:color w:val="000000"/>
                <w:sz w:val="18"/>
                <w:szCs w:val="18"/>
              </w:rPr>
              <w:t>(108,932)</w:t>
            </w:r>
          </w:p>
        </w:tc>
        <w:tc>
          <w:tcPr>
            <w:tcW w:w="0" w:type="auto"/>
            <w:shd w:val="clear" w:color="auto" w:fill="FFFFFF"/>
            <w:tcMar>
              <w:top w:w="30" w:type="dxa"/>
              <w:left w:w="0" w:type="dxa"/>
              <w:bottom w:w="30" w:type="dxa"/>
              <w:right w:w="20" w:type="dxa"/>
            </w:tcMar>
            <w:vAlign w:val="bottom"/>
            <w:hideMark/>
          </w:tcPr>
          <w:p w14:paraId="04DFC24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2D6E0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28730" w14:textId="77777777" w:rsidR="00000000" w:rsidRDefault="00E614A4">
            <w:pPr>
              <w:jc w:val="right"/>
              <w:rPr>
                <w:rFonts w:eastAsia="Times New Roman"/>
              </w:rPr>
            </w:pPr>
            <w:r>
              <w:rPr>
                <w:rFonts w:eastAsia="Times New Roman"/>
                <w:color w:val="000000"/>
                <w:sz w:val="18"/>
                <w:szCs w:val="18"/>
              </w:rPr>
              <w:t>29.50 </w:t>
            </w:r>
          </w:p>
        </w:tc>
        <w:tc>
          <w:tcPr>
            <w:tcW w:w="0" w:type="auto"/>
            <w:shd w:val="clear" w:color="auto" w:fill="FFFFFF"/>
            <w:tcMar>
              <w:top w:w="30" w:type="dxa"/>
              <w:left w:w="0" w:type="dxa"/>
              <w:bottom w:w="30" w:type="dxa"/>
              <w:right w:w="20" w:type="dxa"/>
            </w:tcMar>
            <w:vAlign w:val="bottom"/>
            <w:hideMark/>
          </w:tcPr>
          <w:p w14:paraId="41692051" w14:textId="77777777" w:rsidR="00000000" w:rsidRDefault="00E614A4">
            <w:pPr>
              <w:jc w:val="right"/>
              <w:rPr>
                <w:rFonts w:eastAsia="Times New Roman"/>
              </w:rPr>
            </w:pPr>
          </w:p>
        </w:tc>
      </w:tr>
      <w:tr w:rsidR="00000000" w14:paraId="289CA087" w14:textId="77777777">
        <w:trPr>
          <w:divId w:val="953050698"/>
        </w:trPr>
        <w:tc>
          <w:tcPr>
            <w:tcW w:w="0" w:type="auto"/>
            <w:gridSpan w:val="3"/>
            <w:shd w:val="clear" w:color="auto" w:fill="CCEEFF"/>
            <w:tcMar>
              <w:top w:w="30" w:type="dxa"/>
              <w:left w:w="20" w:type="dxa"/>
              <w:bottom w:w="30" w:type="dxa"/>
              <w:right w:w="20" w:type="dxa"/>
            </w:tcMar>
            <w:hideMark/>
          </w:tcPr>
          <w:p w14:paraId="019DE2F9" w14:textId="77777777" w:rsidR="00000000" w:rsidRDefault="00E614A4">
            <w:pPr>
              <w:rPr>
                <w:rFonts w:eastAsia="Times New Roman"/>
              </w:rPr>
            </w:pPr>
            <w:r>
              <w:rPr>
                <w:rFonts w:eastAsia="Times New Roman"/>
                <w:color w:val="000000"/>
                <w:sz w:val="18"/>
                <w:szCs w:val="18"/>
              </w:rPr>
              <w:t>Unvested as of December 31, 2018</w:t>
            </w:r>
          </w:p>
        </w:tc>
        <w:tc>
          <w:tcPr>
            <w:tcW w:w="0" w:type="auto"/>
            <w:gridSpan w:val="3"/>
            <w:shd w:val="clear" w:color="auto" w:fill="CCEEFF"/>
            <w:tcMar>
              <w:top w:w="0" w:type="dxa"/>
              <w:left w:w="20" w:type="dxa"/>
              <w:bottom w:w="0" w:type="dxa"/>
              <w:right w:w="20" w:type="dxa"/>
            </w:tcMar>
            <w:vAlign w:val="center"/>
            <w:hideMark/>
          </w:tcPr>
          <w:p w14:paraId="21191E3C"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A9AAFB" w14:textId="77777777" w:rsidR="00000000" w:rsidRDefault="00E614A4">
            <w:pPr>
              <w:jc w:val="right"/>
              <w:rPr>
                <w:rFonts w:eastAsia="Times New Roman"/>
              </w:rPr>
            </w:pPr>
            <w:r>
              <w:rPr>
                <w:rFonts w:eastAsia="Times New Roman"/>
                <w:color w:val="000000"/>
                <w:sz w:val="18"/>
                <w:szCs w:val="18"/>
              </w:rPr>
              <w:t>1,466,135 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11339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50645"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FE337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0886F7" w14:textId="77777777" w:rsidR="00000000" w:rsidRDefault="00E614A4">
            <w:pPr>
              <w:jc w:val="right"/>
              <w:rPr>
                <w:rFonts w:eastAsia="Times New Roman"/>
              </w:rPr>
            </w:pPr>
            <w:r>
              <w:rPr>
                <w:rFonts w:eastAsia="Times New Roman"/>
                <w:color w:val="000000"/>
                <w:sz w:val="18"/>
                <w:szCs w:val="18"/>
              </w:rPr>
              <w:t>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2E7071" w14:textId="77777777" w:rsidR="00000000" w:rsidRDefault="00E614A4">
            <w:pPr>
              <w:jc w:val="right"/>
              <w:rPr>
                <w:rFonts w:eastAsia="Times New Roman"/>
              </w:rPr>
            </w:pPr>
          </w:p>
        </w:tc>
      </w:tr>
      <w:tr w:rsidR="00000000" w14:paraId="79AE06DD" w14:textId="77777777">
        <w:trPr>
          <w:divId w:val="953050698"/>
        </w:trPr>
        <w:tc>
          <w:tcPr>
            <w:tcW w:w="0" w:type="auto"/>
            <w:gridSpan w:val="3"/>
            <w:shd w:val="clear" w:color="auto" w:fill="FFFFFF"/>
            <w:tcMar>
              <w:top w:w="30" w:type="dxa"/>
              <w:left w:w="245" w:type="dxa"/>
              <w:bottom w:w="30" w:type="dxa"/>
              <w:right w:w="20" w:type="dxa"/>
            </w:tcMar>
            <w:hideMark/>
          </w:tcPr>
          <w:p w14:paraId="1BC73017" w14:textId="77777777" w:rsidR="00000000" w:rsidRDefault="00E614A4">
            <w:pPr>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14:paraId="438C9C0D"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4B7352" w14:textId="77777777" w:rsidR="00000000" w:rsidRDefault="00E614A4">
            <w:pPr>
              <w:jc w:val="right"/>
              <w:rPr>
                <w:rFonts w:eastAsia="Times New Roman"/>
              </w:rPr>
            </w:pPr>
            <w:r>
              <w:rPr>
                <w:rFonts w:eastAsia="Times New Roman"/>
                <w:color w:val="000000"/>
                <w:sz w:val="18"/>
                <w:szCs w:val="18"/>
              </w:rPr>
              <w:t>2,578,866 </w:t>
            </w:r>
          </w:p>
        </w:tc>
        <w:tc>
          <w:tcPr>
            <w:tcW w:w="0" w:type="auto"/>
            <w:shd w:val="clear" w:color="auto" w:fill="FFFFFF"/>
            <w:tcMar>
              <w:top w:w="30" w:type="dxa"/>
              <w:left w:w="0" w:type="dxa"/>
              <w:bottom w:w="30" w:type="dxa"/>
              <w:right w:w="20" w:type="dxa"/>
            </w:tcMar>
            <w:vAlign w:val="bottom"/>
            <w:hideMark/>
          </w:tcPr>
          <w:p w14:paraId="5D93C70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791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A92839" w14:textId="77777777" w:rsidR="00000000" w:rsidRDefault="00E614A4">
            <w:pPr>
              <w:jc w:val="right"/>
              <w:rPr>
                <w:rFonts w:eastAsia="Times New Roman"/>
              </w:rPr>
            </w:pPr>
            <w:r>
              <w:rPr>
                <w:rFonts w:eastAsia="Times New Roman"/>
                <w:color w:val="000000"/>
                <w:sz w:val="18"/>
                <w:szCs w:val="18"/>
              </w:rPr>
              <w:t>7.56 </w:t>
            </w:r>
          </w:p>
        </w:tc>
        <w:tc>
          <w:tcPr>
            <w:tcW w:w="0" w:type="auto"/>
            <w:shd w:val="clear" w:color="auto" w:fill="FFFFFF"/>
            <w:tcMar>
              <w:top w:w="30" w:type="dxa"/>
              <w:left w:w="0" w:type="dxa"/>
              <w:bottom w:w="30" w:type="dxa"/>
              <w:right w:w="20" w:type="dxa"/>
            </w:tcMar>
            <w:vAlign w:val="bottom"/>
            <w:hideMark/>
          </w:tcPr>
          <w:p w14:paraId="0978C86F" w14:textId="77777777" w:rsidR="00000000" w:rsidRDefault="00E614A4">
            <w:pPr>
              <w:jc w:val="right"/>
              <w:rPr>
                <w:rFonts w:eastAsia="Times New Roman"/>
              </w:rPr>
            </w:pPr>
          </w:p>
        </w:tc>
      </w:tr>
      <w:tr w:rsidR="00000000" w14:paraId="542B083E" w14:textId="77777777">
        <w:trPr>
          <w:divId w:val="953050698"/>
        </w:trPr>
        <w:tc>
          <w:tcPr>
            <w:tcW w:w="0" w:type="auto"/>
            <w:gridSpan w:val="3"/>
            <w:shd w:val="clear" w:color="auto" w:fill="CCEEFF"/>
            <w:tcMar>
              <w:top w:w="30" w:type="dxa"/>
              <w:left w:w="245" w:type="dxa"/>
              <w:bottom w:w="30" w:type="dxa"/>
              <w:right w:w="20" w:type="dxa"/>
            </w:tcMar>
            <w:hideMark/>
          </w:tcPr>
          <w:p w14:paraId="244A4380" w14:textId="77777777" w:rsidR="00000000" w:rsidRDefault="00E614A4">
            <w:pPr>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14:paraId="500C38AD"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E72102" w14:textId="77777777" w:rsidR="00000000" w:rsidRDefault="00E614A4">
            <w:pPr>
              <w:jc w:val="right"/>
              <w:rPr>
                <w:rFonts w:eastAsia="Times New Roman"/>
              </w:rPr>
            </w:pPr>
            <w:r>
              <w:rPr>
                <w:rFonts w:eastAsia="Times New Roman"/>
                <w:color w:val="000000"/>
                <w:sz w:val="18"/>
                <w:szCs w:val="18"/>
              </w:rPr>
              <w:t>(854,998)</w:t>
            </w:r>
          </w:p>
        </w:tc>
        <w:tc>
          <w:tcPr>
            <w:tcW w:w="0" w:type="auto"/>
            <w:shd w:val="clear" w:color="auto" w:fill="CCEEFF"/>
            <w:tcMar>
              <w:top w:w="30" w:type="dxa"/>
              <w:left w:w="0" w:type="dxa"/>
              <w:bottom w:w="30" w:type="dxa"/>
              <w:right w:w="20" w:type="dxa"/>
            </w:tcMar>
            <w:vAlign w:val="bottom"/>
            <w:hideMark/>
          </w:tcPr>
          <w:p w14:paraId="60EA339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A67C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FAEB31" w14:textId="77777777" w:rsidR="00000000" w:rsidRDefault="00E614A4">
            <w:pPr>
              <w:jc w:val="right"/>
              <w:rPr>
                <w:rFonts w:eastAsia="Times New Roman"/>
              </w:rPr>
            </w:pPr>
            <w:r>
              <w:rPr>
                <w:rFonts w:eastAsia="Times New Roman"/>
                <w:color w:val="000000"/>
                <w:sz w:val="18"/>
                <w:szCs w:val="18"/>
              </w:rPr>
              <w:t>23.96 </w:t>
            </w:r>
          </w:p>
        </w:tc>
        <w:tc>
          <w:tcPr>
            <w:tcW w:w="0" w:type="auto"/>
            <w:shd w:val="clear" w:color="auto" w:fill="CCEEFF"/>
            <w:tcMar>
              <w:top w:w="30" w:type="dxa"/>
              <w:left w:w="0" w:type="dxa"/>
              <w:bottom w:w="30" w:type="dxa"/>
              <w:right w:w="20" w:type="dxa"/>
            </w:tcMar>
            <w:vAlign w:val="bottom"/>
            <w:hideMark/>
          </w:tcPr>
          <w:p w14:paraId="731DAAB6" w14:textId="77777777" w:rsidR="00000000" w:rsidRDefault="00E614A4">
            <w:pPr>
              <w:jc w:val="right"/>
              <w:rPr>
                <w:rFonts w:eastAsia="Times New Roman"/>
              </w:rPr>
            </w:pPr>
          </w:p>
        </w:tc>
      </w:tr>
      <w:tr w:rsidR="00000000" w14:paraId="7C64A40A" w14:textId="77777777">
        <w:trPr>
          <w:divId w:val="953050698"/>
        </w:trPr>
        <w:tc>
          <w:tcPr>
            <w:tcW w:w="0" w:type="auto"/>
            <w:gridSpan w:val="3"/>
            <w:shd w:val="clear" w:color="auto" w:fill="FFFFFF"/>
            <w:tcMar>
              <w:top w:w="30" w:type="dxa"/>
              <w:left w:w="245" w:type="dxa"/>
              <w:bottom w:w="30" w:type="dxa"/>
              <w:right w:w="20" w:type="dxa"/>
            </w:tcMar>
            <w:hideMark/>
          </w:tcPr>
          <w:p w14:paraId="11E823BE" w14:textId="77777777" w:rsidR="00000000" w:rsidRDefault="00E614A4">
            <w:pPr>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14:paraId="11AFF51C"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5AF8C8" w14:textId="77777777" w:rsidR="00000000" w:rsidRDefault="00E614A4">
            <w:pPr>
              <w:jc w:val="right"/>
              <w:rPr>
                <w:rFonts w:eastAsia="Times New Roman"/>
              </w:rPr>
            </w:pPr>
            <w:r>
              <w:rPr>
                <w:rFonts w:eastAsia="Times New Roman"/>
                <w:color w:val="000000"/>
                <w:sz w:val="18"/>
                <w:szCs w:val="18"/>
              </w:rPr>
              <w:t>(529,767)</w:t>
            </w:r>
          </w:p>
        </w:tc>
        <w:tc>
          <w:tcPr>
            <w:tcW w:w="0" w:type="auto"/>
            <w:shd w:val="clear" w:color="auto" w:fill="FFFFFF"/>
            <w:tcMar>
              <w:top w:w="30" w:type="dxa"/>
              <w:left w:w="0" w:type="dxa"/>
              <w:bottom w:w="30" w:type="dxa"/>
              <w:right w:w="20" w:type="dxa"/>
            </w:tcMar>
            <w:vAlign w:val="bottom"/>
            <w:hideMark/>
          </w:tcPr>
          <w:p w14:paraId="0B06E0A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64CC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1B3DEA" w14:textId="77777777" w:rsidR="00000000" w:rsidRDefault="00E614A4">
            <w:pPr>
              <w:jc w:val="right"/>
              <w:rPr>
                <w:rFonts w:eastAsia="Times New Roman"/>
              </w:rPr>
            </w:pPr>
            <w:r>
              <w:rPr>
                <w:rFonts w:eastAsia="Times New Roman"/>
                <w:color w:val="000000"/>
                <w:sz w:val="18"/>
                <w:szCs w:val="18"/>
              </w:rPr>
              <w:t>18.47 </w:t>
            </w:r>
          </w:p>
        </w:tc>
        <w:tc>
          <w:tcPr>
            <w:tcW w:w="0" w:type="auto"/>
            <w:shd w:val="clear" w:color="auto" w:fill="FFFFFF"/>
            <w:tcMar>
              <w:top w:w="30" w:type="dxa"/>
              <w:left w:w="0" w:type="dxa"/>
              <w:bottom w:w="30" w:type="dxa"/>
              <w:right w:w="20" w:type="dxa"/>
            </w:tcMar>
            <w:vAlign w:val="bottom"/>
            <w:hideMark/>
          </w:tcPr>
          <w:p w14:paraId="7F22FD84" w14:textId="77777777" w:rsidR="00000000" w:rsidRDefault="00E614A4">
            <w:pPr>
              <w:jc w:val="right"/>
              <w:rPr>
                <w:rFonts w:eastAsia="Times New Roman"/>
              </w:rPr>
            </w:pPr>
          </w:p>
        </w:tc>
      </w:tr>
      <w:tr w:rsidR="00000000" w14:paraId="5F053AAC" w14:textId="77777777">
        <w:trPr>
          <w:divId w:val="953050698"/>
        </w:trPr>
        <w:tc>
          <w:tcPr>
            <w:tcW w:w="0" w:type="auto"/>
            <w:gridSpan w:val="3"/>
            <w:shd w:val="clear" w:color="auto" w:fill="CCEEFF"/>
            <w:tcMar>
              <w:top w:w="30" w:type="dxa"/>
              <w:left w:w="20" w:type="dxa"/>
              <w:bottom w:w="30" w:type="dxa"/>
              <w:right w:w="20" w:type="dxa"/>
            </w:tcMar>
            <w:hideMark/>
          </w:tcPr>
          <w:p w14:paraId="3BF613D6" w14:textId="77777777" w:rsidR="00000000" w:rsidRDefault="00E614A4">
            <w:pPr>
              <w:rPr>
                <w:rFonts w:eastAsia="Times New Roman"/>
              </w:rPr>
            </w:pPr>
            <w:r>
              <w:rPr>
                <w:rFonts w:eastAsia="Times New Roman"/>
                <w:color w:val="000000"/>
                <w:sz w:val="18"/>
                <w:szCs w:val="18"/>
              </w:rPr>
              <w:t>Unvested as of December 31, 2019</w:t>
            </w:r>
          </w:p>
        </w:tc>
        <w:tc>
          <w:tcPr>
            <w:tcW w:w="0" w:type="auto"/>
            <w:gridSpan w:val="3"/>
            <w:shd w:val="clear" w:color="auto" w:fill="CCEEFF"/>
            <w:tcMar>
              <w:top w:w="0" w:type="dxa"/>
              <w:left w:w="20" w:type="dxa"/>
              <w:bottom w:w="0" w:type="dxa"/>
              <w:right w:w="20" w:type="dxa"/>
            </w:tcMar>
            <w:vAlign w:val="center"/>
            <w:hideMark/>
          </w:tcPr>
          <w:p w14:paraId="6A63CA7D"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5BFDC5" w14:textId="77777777" w:rsidR="00000000" w:rsidRDefault="00E614A4">
            <w:pPr>
              <w:jc w:val="right"/>
              <w:rPr>
                <w:rFonts w:eastAsia="Times New Roman"/>
              </w:rPr>
            </w:pPr>
            <w:r>
              <w:rPr>
                <w:rFonts w:eastAsia="Times New Roman"/>
                <w:color w:val="000000"/>
                <w:sz w:val="18"/>
                <w:szCs w:val="18"/>
              </w:rPr>
              <w:t>2,660,236 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2338A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1EA9D"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D2517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8D1B0E" w14:textId="77777777" w:rsidR="00000000" w:rsidRDefault="00E614A4">
            <w:pPr>
              <w:jc w:val="right"/>
              <w:rPr>
                <w:rFonts w:eastAsia="Times New Roman"/>
              </w:rPr>
            </w:pPr>
            <w:r>
              <w:rPr>
                <w:rFonts w:eastAsia="Times New Roman"/>
                <w:color w:val="000000"/>
                <w:sz w:val="18"/>
                <w:szCs w:val="18"/>
              </w:rPr>
              <w:t>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539843" w14:textId="77777777" w:rsidR="00000000" w:rsidRDefault="00E614A4">
            <w:pPr>
              <w:jc w:val="right"/>
              <w:rPr>
                <w:rFonts w:eastAsia="Times New Roman"/>
              </w:rPr>
            </w:pPr>
          </w:p>
        </w:tc>
      </w:tr>
      <w:tr w:rsidR="00000000" w14:paraId="20587C72" w14:textId="77777777">
        <w:trPr>
          <w:divId w:val="953050698"/>
        </w:trPr>
        <w:tc>
          <w:tcPr>
            <w:tcW w:w="0" w:type="auto"/>
            <w:gridSpan w:val="3"/>
            <w:shd w:val="clear" w:color="auto" w:fill="FFFFFF"/>
            <w:tcMar>
              <w:top w:w="30" w:type="dxa"/>
              <w:left w:w="245" w:type="dxa"/>
              <w:bottom w:w="30" w:type="dxa"/>
              <w:right w:w="20" w:type="dxa"/>
            </w:tcMar>
            <w:hideMark/>
          </w:tcPr>
          <w:p w14:paraId="66A8CDBF" w14:textId="77777777" w:rsidR="00000000" w:rsidRDefault="00E614A4">
            <w:pPr>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14:paraId="74E9FC7D"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883B06" w14:textId="77777777" w:rsidR="00000000" w:rsidRDefault="00E614A4">
            <w:pPr>
              <w:jc w:val="right"/>
              <w:rPr>
                <w:rFonts w:eastAsia="Times New Roman"/>
              </w:rPr>
            </w:pPr>
            <w:r>
              <w:rPr>
                <w:rFonts w:eastAsia="Times New Roman"/>
                <w:color w:val="000000"/>
                <w:sz w:val="18"/>
                <w:szCs w:val="18"/>
              </w:rPr>
              <w:t>634,570 </w:t>
            </w:r>
          </w:p>
        </w:tc>
        <w:tc>
          <w:tcPr>
            <w:tcW w:w="0" w:type="auto"/>
            <w:shd w:val="clear" w:color="auto" w:fill="FFFFFF"/>
            <w:tcMar>
              <w:top w:w="30" w:type="dxa"/>
              <w:left w:w="0" w:type="dxa"/>
              <w:bottom w:w="30" w:type="dxa"/>
              <w:right w:w="20" w:type="dxa"/>
            </w:tcMar>
            <w:vAlign w:val="bottom"/>
            <w:hideMark/>
          </w:tcPr>
          <w:p w14:paraId="384D398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4126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62117F" w14:textId="77777777" w:rsidR="00000000" w:rsidRDefault="00E614A4">
            <w:pPr>
              <w:jc w:val="right"/>
              <w:rPr>
                <w:rFonts w:eastAsia="Times New Roman"/>
              </w:rPr>
            </w:pPr>
            <w:r>
              <w:rPr>
                <w:rFonts w:eastAsia="Times New Roman"/>
                <w:color w:val="000000"/>
                <w:sz w:val="18"/>
                <w:szCs w:val="18"/>
              </w:rPr>
              <w:t>3.66 </w:t>
            </w:r>
          </w:p>
        </w:tc>
        <w:tc>
          <w:tcPr>
            <w:tcW w:w="0" w:type="auto"/>
            <w:shd w:val="clear" w:color="auto" w:fill="FFFFFF"/>
            <w:tcMar>
              <w:top w:w="30" w:type="dxa"/>
              <w:left w:w="0" w:type="dxa"/>
              <w:bottom w:w="30" w:type="dxa"/>
              <w:right w:w="20" w:type="dxa"/>
            </w:tcMar>
            <w:vAlign w:val="bottom"/>
            <w:hideMark/>
          </w:tcPr>
          <w:p w14:paraId="0745EB17" w14:textId="77777777" w:rsidR="00000000" w:rsidRDefault="00E614A4">
            <w:pPr>
              <w:jc w:val="right"/>
              <w:rPr>
                <w:rFonts w:eastAsia="Times New Roman"/>
              </w:rPr>
            </w:pPr>
          </w:p>
        </w:tc>
      </w:tr>
      <w:tr w:rsidR="00000000" w14:paraId="7ADF4D11" w14:textId="77777777">
        <w:trPr>
          <w:divId w:val="953050698"/>
        </w:trPr>
        <w:tc>
          <w:tcPr>
            <w:tcW w:w="0" w:type="auto"/>
            <w:gridSpan w:val="3"/>
            <w:shd w:val="clear" w:color="auto" w:fill="CCEEFF"/>
            <w:tcMar>
              <w:top w:w="30" w:type="dxa"/>
              <w:left w:w="245" w:type="dxa"/>
              <w:bottom w:w="30" w:type="dxa"/>
              <w:right w:w="20" w:type="dxa"/>
            </w:tcMar>
            <w:hideMark/>
          </w:tcPr>
          <w:p w14:paraId="7DAAD687" w14:textId="77777777" w:rsidR="00000000" w:rsidRDefault="00E614A4">
            <w:pPr>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14:paraId="1DF4E1AF"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82B058" w14:textId="77777777" w:rsidR="00000000" w:rsidRDefault="00E614A4">
            <w:pPr>
              <w:jc w:val="right"/>
              <w:rPr>
                <w:rFonts w:eastAsia="Times New Roman"/>
              </w:rPr>
            </w:pPr>
            <w:r>
              <w:rPr>
                <w:rFonts w:eastAsia="Times New Roman"/>
                <w:color w:val="000000"/>
                <w:sz w:val="18"/>
                <w:szCs w:val="18"/>
              </w:rPr>
              <w:t>(1,363,152)</w:t>
            </w:r>
          </w:p>
        </w:tc>
        <w:tc>
          <w:tcPr>
            <w:tcW w:w="0" w:type="auto"/>
            <w:shd w:val="clear" w:color="auto" w:fill="CCEEFF"/>
            <w:tcMar>
              <w:top w:w="30" w:type="dxa"/>
              <w:left w:w="0" w:type="dxa"/>
              <w:bottom w:w="30" w:type="dxa"/>
              <w:right w:w="20" w:type="dxa"/>
            </w:tcMar>
            <w:vAlign w:val="bottom"/>
            <w:hideMark/>
          </w:tcPr>
          <w:p w14:paraId="6EB3FB8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568E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5606F5" w14:textId="77777777" w:rsidR="00000000" w:rsidRDefault="00E614A4">
            <w:pPr>
              <w:jc w:val="right"/>
              <w:rPr>
                <w:rFonts w:eastAsia="Times New Roman"/>
              </w:rPr>
            </w:pPr>
            <w:r>
              <w:rPr>
                <w:rFonts w:eastAsia="Times New Roman"/>
                <w:color w:val="000000"/>
                <w:sz w:val="18"/>
                <w:szCs w:val="18"/>
              </w:rPr>
              <w:t>7.22 </w:t>
            </w:r>
          </w:p>
        </w:tc>
        <w:tc>
          <w:tcPr>
            <w:tcW w:w="0" w:type="auto"/>
            <w:shd w:val="clear" w:color="auto" w:fill="CCEEFF"/>
            <w:tcMar>
              <w:top w:w="30" w:type="dxa"/>
              <w:left w:w="0" w:type="dxa"/>
              <w:bottom w:w="30" w:type="dxa"/>
              <w:right w:w="20" w:type="dxa"/>
            </w:tcMar>
            <w:vAlign w:val="bottom"/>
            <w:hideMark/>
          </w:tcPr>
          <w:p w14:paraId="0055E92E" w14:textId="77777777" w:rsidR="00000000" w:rsidRDefault="00E614A4">
            <w:pPr>
              <w:jc w:val="right"/>
              <w:rPr>
                <w:rFonts w:eastAsia="Times New Roman"/>
              </w:rPr>
            </w:pPr>
          </w:p>
        </w:tc>
      </w:tr>
      <w:tr w:rsidR="00000000" w14:paraId="223F2A69" w14:textId="77777777">
        <w:trPr>
          <w:divId w:val="953050698"/>
        </w:trPr>
        <w:tc>
          <w:tcPr>
            <w:tcW w:w="0" w:type="auto"/>
            <w:gridSpan w:val="3"/>
            <w:shd w:val="clear" w:color="auto" w:fill="FFFFFF"/>
            <w:tcMar>
              <w:top w:w="30" w:type="dxa"/>
              <w:left w:w="245" w:type="dxa"/>
              <w:bottom w:w="30" w:type="dxa"/>
              <w:right w:w="20" w:type="dxa"/>
            </w:tcMar>
            <w:hideMark/>
          </w:tcPr>
          <w:p w14:paraId="639C90B1" w14:textId="77777777" w:rsidR="00000000" w:rsidRDefault="00E614A4">
            <w:pPr>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14:paraId="0867C6C6"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413FB2" w14:textId="77777777" w:rsidR="00000000" w:rsidRDefault="00E614A4">
            <w:pPr>
              <w:jc w:val="right"/>
              <w:rPr>
                <w:rFonts w:eastAsia="Times New Roman"/>
              </w:rPr>
            </w:pPr>
            <w:r>
              <w:rPr>
                <w:rFonts w:eastAsia="Times New Roman"/>
                <w:color w:val="000000"/>
                <w:sz w:val="18"/>
                <w:szCs w:val="18"/>
              </w:rPr>
              <w:t>(106,417)</w:t>
            </w:r>
          </w:p>
        </w:tc>
        <w:tc>
          <w:tcPr>
            <w:tcW w:w="0" w:type="auto"/>
            <w:shd w:val="clear" w:color="auto" w:fill="FFFFFF"/>
            <w:tcMar>
              <w:top w:w="30" w:type="dxa"/>
              <w:left w:w="0" w:type="dxa"/>
              <w:bottom w:w="30" w:type="dxa"/>
              <w:right w:w="20" w:type="dxa"/>
            </w:tcMar>
            <w:vAlign w:val="bottom"/>
            <w:hideMark/>
          </w:tcPr>
          <w:p w14:paraId="3235581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2698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7A986" w14:textId="77777777" w:rsidR="00000000" w:rsidRDefault="00E614A4">
            <w:pPr>
              <w:jc w:val="right"/>
              <w:rPr>
                <w:rFonts w:eastAsia="Times New Roman"/>
              </w:rPr>
            </w:pPr>
            <w:r>
              <w:rPr>
                <w:rFonts w:eastAsia="Times New Roman"/>
                <w:color w:val="000000"/>
                <w:sz w:val="18"/>
                <w:szCs w:val="18"/>
              </w:rPr>
              <w:t>20.02 </w:t>
            </w:r>
          </w:p>
        </w:tc>
        <w:tc>
          <w:tcPr>
            <w:tcW w:w="0" w:type="auto"/>
            <w:shd w:val="clear" w:color="auto" w:fill="FFFFFF"/>
            <w:tcMar>
              <w:top w:w="30" w:type="dxa"/>
              <w:left w:w="0" w:type="dxa"/>
              <w:bottom w:w="30" w:type="dxa"/>
              <w:right w:w="20" w:type="dxa"/>
            </w:tcMar>
            <w:vAlign w:val="bottom"/>
            <w:hideMark/>
          </w:tcPr>
          <w:p w14:paraId="0FCF6415" w14:textId="77777777" w:rsidR="00000000" w:rsidRDefault="00E614A4">
            <w:pPr>
              <w:jc w:val="right"/>
              <w:rPr>
                <w:rFonts w:eastAsia="Times New Roman"/>
              </w:rPr>
            </w:pPr>
          </w:p>
        </w:tc>
      </w:tr>
      <w:tr w:rsidR="00000000" w14:paraId="21546F8E" w14:textId="77777777">
        <w:trPr>
          <w:divId w:val="953050698"/>
        </w:trPr>
        <w:tc>
          <w:tcPr>
            <w:tcW w:w="0" w:type="auto"/>
            <w:gridSpan w:val="3"/>
            <w:shd w:val="clear" w:color="auto" w:fill="CCEEFF"/>
            <w:tcMar>
              <w:top w:w="30" w:type="dxa"/>
              <w:left w:w="20" w:type="dxa"/>
              <w:bottom w:w="30" w:type="dxa"/>
              <w:right w:w="20" w:type="dxa"/>
            </w:tcMar>
            <w:hideMark/>
          </w:tcPr>
          <w:p w14:paraId="6C4ABB22" w14:textId="77777777" w:rsidR="00000000" w:rsidRDefault="00E614A4">
            <w:pPr>
              <w:rPr>
                <w:rFonts w:eastAsia="Times New Roman"/>
              </w:rPr>
            </w:pPr>
            <w:r>
              <w:rPr>
                <w:rFonts w:eastAsia="Times New Roman"/>
                <w:color w:val="000000"/>
                <w:sz w:val="18"/>
                <w:szCs w:val="18"/>
              </w:rPr>
              <w:t>Unvested as of December 31, 2020</w:t>
            </w:r>
          </w:p>
        </w:tc>
        <w:tc>
          <w:tcPr>
            <w:tcW w:w="0" w:type="auto"/>
            <w:gridSpan w:val="3"/>
            <w:shd w:val="clear" w:color="auto" w:fill="CCEEFF"/>
            <w:tcMar>
              <w:top w:w="0" w:type="dxa"/>
              <w:left w:w="20" w:type="dxa"/>
              <w:bottom w:w="0" w:type="dxa"/>
              <w:right w:w="20" w:type="dxa"/>
            </w:tcMar>
            <w:vAlign w:val="center"/>
            <w:hideMark/>
          </w:tcPr>
          <w:p w14:paraId="09FA0203" w14:textId="77777777" w:rsidR="00000000" w:rsidRDefault="00E614A4">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2BEDE7" w14:textId="77777777" w:rsidR="00000000" w:rsidRDefault="00E614A4">
            <w:pPr>
              <w:jc w:val="right"/>
              <w:rPr>
                <w:rFonts w:eastAsia="Times New Roman"/>
              </w:rPr>
            </w:pPr>
            <w:r>
              <w:rPr>
                <w:rFonts w:eastAsia="Times New Roman"/>
                <w:color w:val="000000"/>
                <w:sz w:val="18"/>
                <w:szCs w:val="18"/>
              </w:rPr>
              <w:t>1,825,237 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52955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78C43"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0CAA8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F6BBC3" w14:textId="77777777" w:rsidR="00000000" w:rsidRDefault="00E614A4">
            <w:pPr>
              <w:jc w:val="right"/>
              <w:rPr>
                <w:rFonts w:eastAsia="Times New Roman"/>
              </w:rPr>
            </w:pPr>
            <w:r>
              <w:rPr>
                <w:rFonts w:eastAsia="Times New Roman"/>
                <w:color w:val="000000"/>
                <w:sz w:val="18"/>
                <w:szCs w:val="18"/>
              </w:rPr>
              <w:t>6.99 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8DDC98" w14:textId="77777777" w:rsidR="00000000" w:rsidRDefault="00E614A4">
            <w:pPr>
              <w:jc w:val="right"/>
              <w:rPr>
                <w:rFonts w:eastAsia="Times New Roman"/>
              </w:rPr>
            </w:pPr>
          </w:p>
        </w:tc>
      </w:tr>
    </w:tbl>
    <w:p w14:paraId="3F48698B" w14:textId="77777777" w:rsidR="00000000" w:rsidRDefault="00E614A4">
      <w:pPr>
        <w:jc w:val="both"/>
        <w:divId w:val="1470980863"/>
        <w:rPr>
          <w:rFonts w:eastAsia="Times New Roman"/>
        </w:rPr>
      </w:pPr>
      <w:r>
        <w:rPr>
          <w:rFonts w:eastAsia="Times New Roman"/>
          <w:color w:val="000000"/>
          <w:sz w:val="20"/>
          <w:szCs w:val="20"/>
        </w:rPr>
        <w:t>The aggregate intrinsic value for all unvested RSUs outstanding was $4.5 million, $12.1 million, and $21.3 million as of December 31, 2020, 2019, and 2018, respectively.</w:t>
      </w:r>
    </w:p>
    <w:p w14:paraId="5805C612" w14:textId="77777777" w:rsidR="00000000" w:rsidRDefault="00E614A4">
      <w:pPr>
        <w:jc w:val="both"/>
        <w:divId w:val="144780122"/>
        <w:rPr>
          <w:rFonts w:eastAsia="Times New Roman"/>
        </w:rPr>
      </w:pPr>
      <w:r>
        <w:rPr>
          <w:rFonts w:eastAsia="Times New Roman"/>
          <w:color w:val="000000"/>
          <w:sz w:val="20"/>
          <w:szCs w:val="20"/>
        </w:rPr>
        <w:t>As of December </w:t>
      </w:r>
      <w:r>
        <w:rPr>
          <w:rFonts w:eastAsia="Times New Roman"/>
          <w:color w:val="000000"/>
          <w:sz w:val="20"/>
          <w:szCs w:val="20"/>
        </w:rPr>
        <w:t>31, 2020, total unrecognized compensation expense related to unvested RSUs was $5.5 million, which the Company expects to recognize over a weighted-average vesting period of approximately 4.4 years.</w:t>
      </w:r>
    </w:p>
    <w:p w14:paraId="708C92CD" w14:textId="77777777" w:rsidR="00000000" w:rsidRDefault="00E614A4">
      <w:pPr>
        <w:jc w:val="both"/>
        <w:divId w:val="749273227"/>
        <w:rPr>
          <w:rFonts w:eastAsia="Times New Roman"/>
        </w:rPr>
      </w:pPr>
      <w:r>
        <w:rPr>
          <w:rFonts w:eastAsia="Times New Roman"/>
          <w:b/>
          <w:bCs/>
          <w:i/>
          <w:iCs/>
          <w:color w:val="000000"/>
          <w:sz w:val="20"/>
          <w:szCs w:val="20"/>
        </w:rPr>
        <w:t>Preferred Stock</w:t>
      </w:r>
    </w:p>
    <w:p w14:paraId="5BE8C2C0" w14:textId="77777777" w:rsidR="00000000" w:rsidRDefault="00E614A4">
      <w:pPr>
        <w:jc w:val="both"/>
        <w:divId w:val="1397510876"/>
        <w:rPr>
          <w:rFonts w:eastAsia="Times New Roman"/>
        </w:rPr>
      </w:pPr>
      <w:r>
        <w:rPr>
          <w:rFonts w:eastAsia="Times New Roman"/>
          <w:color w:val="000000"/>
          <w:sz w:val="20"/>
          <w:szCs w:val="20"/>
        </w:rPr>
        <w:t>The Company has 5,000,000 shares of $0.00</w:t>
      </w:r>
      <w:r>
        <w:rPr>
          <w:rFonts w:eastAsia="Times New Roman"/>
          <w:color w:val="000000"/>
          <w:sz w:val="20"/>
          <w:szCs w:val="20"/>
        </w:rPr>
        <w:t xml:space="preserve">1 par value preferred stock authorized; no shares have been issued or were outstanding as of December 31, 2020 and 2019. Refer to </w:t>
      </w:r>
      <w:hyperlink w:anchor="ided6989bcc374020961c421c465250ee_277" w:history="1">
        <w:r>
          <w:rPr>
            <w:rStyle w:val="a3"/>
            <w:rFonts w:eastAsia="Times New Roman"/>
            <w:sz w:val="20"/>
            <w:szCs w:val="20"/>
          </w:rPr>
          <w:t>Footnote 16</w:t>
        </w:r>
      </w:hyperlink>
      <w:r>
        <w:rPr>
          <w:rFonts w:eastAsia="Times New Roman"/>
          <w:color w:val="000000"/>
          <w:sz w:val="20"/>
          <w:szCs w:val="20"/>
        </w:rPr>
        <w:t xml:space="preserve">, </w:t>
      </w:r>
      <w:r>
        <w:rPr>
          <w:rFonts w:eastAsia="Times New Roman"/>
          <w:i/>
          <w:iCs/>
          <w:color w:val="000000"/>
          <w:sz w:val="20"/>
          <w:szCs w:val="20"/>
        </w:rPr>
        <w:t>Subsequent Events</w:t>
      </w:r>
      <w:r>
        <w:rPr>
          <w:rFonts w:eastAsia="Times New Roman"/>
          <w:color w:val="000000"/>
          <w:sz w:val="20"/>
          <w:szCs w:val="20"/>
        </w:rPr>
        <w:t>.</w:t>
      </w:r>
    </w:p>
    <w:p w14:paraId="0B841865" w14:textId="77777777" w:rsidR="00000000" w:rsidRDefault="00E614A4">
      <w:pPr>
        <w:jc w:val="center"/>
        <w:divId w:val="1464812350"/>
        <w:rPr>
          <w:rFonts w:eastAsia="Times New Roman"/>
        </w:rPr>
      </w:pPr>
      <w:r>
        <w:rPr>
          <w:rFonts w:eastAsia="Times New Roman"/>
          <w:color w:val="000000"/>
          <w:sz w:val="20"/>
          <w:szCs w:val="20"/>
        </w:rPr>
        <w:t>85</w:t>
      </w:r>
    </w:p>
    <w:p w14:paraId="65A88998" w14:textId="77777777" w:rsidR="00000000" w:rsidRDefault="00E614A4">
      <w:pPr>
        <w:rPr>
          <w:rFonts w:eastAsia="Times New Roman"/>
        </w:rPr>
      </w:pPr>
      <w:r>
        <w:rPr>
          <w:rFonts w:eastAsia="Times New Roman"/>
        </w:rPr>
        <w:pict w14:anchorId="19F0C4E9">
          <v:rect id="_x0000_i1113" style="width:0;height:1.5pt" o:hralign="center" o:hrstd="t" o:hr="t" fillcolor="#a0a0a0" stroked="f"/>
        </w:pict>
      </w:r>
    </w:p>
    <w:p w14:paraId="0DB3812F" w14:textId="77777777" w:rsidR="00000000" w:rsidRDefault="00E614A4">
      <w:pPr>
        <w:divId w:val="121165102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A6FB04E" w14:textId="77777777" w:rsidR="00000000" w:rsidRDefault="00E614A4">
      <w:pPr>
        <w:divId w:val="2116823242"/>
        <w:rPr>
          <w:rFonts w:eastAsia="Times New Roman"/>
        </w:rPr>
      </w:pPr>
    </w:p>
    <w:p w14:paraId="69CB7E12" w14:textId="77777777" w:rsidR="00000000" w:rsidRDefault="00E614A4">
      <w:pPr>
        <w:ind w:hanging="360"/>
        <w:divId w:val="304510971"/>
        <w:rPr>
          <w:rFonts w:eastAsia="Times New Roman"/>
        </w:rPr>
      </w:pPr>
      <w:r>
        <w:rPr>
          <w:rFonts w:eastAsia="Times New Roman"/>
          <w:b/>
          <w:bCs/>
          <w:color w:val="000000"/>
          <w:sz w:val="20"/>
          <w:szCs w:val="20"/>
        </w:rPr>
        <w:t>6.Fair Value Measurements</w:t>
      </w:r>
    </w:p>
    <w:p w14:paraId="3EB05B4C" w14:textId="77777777" w:rsidR="00000000" w:rsidRDefault="00E614A4">
      <w:pPr>
        <w:divId w:val="371199739"/>
        <w:rPr>
          <w:rFonts w:eastAsia="Times New Roman"/>
        </w:rPr>
      </w:pPr>
      <w:r>
        <w:rPr>
          <w:rFonts w:eastAsia="Times New Roman"/>
          <w:color w:val="000000"/>
          <w:sz w:val="20"/>
          <w:szCs w:val="20"/>
        </w:rPr>
        <w:t>The Company's financial instruments measured at fair value in the accompanying Consolidated Balance Sheets on a recurring basis consist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177"/>
        <w:gridCol w:w="38"/>
        <w:gridCol w:w="110"/>
        <w:gridCol w:w="540"/>
        <w:gridCol w:w="36"/>
        <w:gridCol w:w="36"/>
        <w:gridCol w:w="36"/>
        <w:gridCol w:w="36"/>
        <w:gridCol w:w="111"/>
        <w:gridCol w:w="437"/>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540"/>
        <w:gridCol w:w="36"/>
        <w:gridCol w:w="36"/>
        <w:gridCol w:w="36"/>
        <w:gridCol w:w="36"/>
        <w:gridCol w:w="110"/>
        <w:gridCol w:w="540"/>
        <w:gridCol w:w="36"/>
      </w:tblGrid>
      <w:tr w:rsidR="00000000" w14:paraId="44BB49B2" w14:textId="77777777">
        <w:trPr>
          <w:divId w:val="306011345"/>
          <w:jc w:val="center"/>
        </w:trPr>
        <w:tc>
          <w:tcPr>
            <w:tcW w:w="50" w:type="pct"/>
            <w:vAlign w:val="center"/>
            <w:hideMark/>
          </w:tcPr>
          <w:p w14:paraId="0EAB3586" w14:textId="77777777" w:rsidR="00000000" w:rsidRDefault="00E614A4">
            <w:pPr>
              <w:rPr>
                <w:rFonts w:eastAsia="Times New Roman"/>
              </w:rPr>
            </w:pPr>
          </w:p>
        </w:tc>
        <w:tc>
          <w:tcPr>
            <w:tcW w:w="1417" w:type="pct"/>
            <w:vAlign w:val="center"/>
            <w:hideMark/>
          </w:tcPr>
          <w:p w14:paraId="59311106" w14:textId="77777777" w:rsidR="00000000" w:rsidRDefault="00E614A4">
            <w:pPr>
              <w:rPr>
                <w:rFonts w:eastAsia="Times New Roman"/>
                <w:sz w:val="20"/>
                <w:szCs w:val="20"/>
              </w:rPr>
            </w:pPr>
          </w:p>
        </w:tc>
        <w:tc>
          <w:tcPr>
            <w:tcW w:w="5" w:type="pct"/>
            <w:vAlign w:val="center"/>
            <w:hideMark/>
          </w:tcPr>
          <w:p w14:paraId="4A66E7A0" w14:textId="77777777" w:rsidR="00000000" w:rsidRDefault="00E614A4">
            <w:pPr>
              <w:rPr>
                <w:rFonts w:eastAsia="Times New Roman"/>
                <w:sz w:val="20"/>
                <w:szCs w:val="20"/>
              </w:rPr>
            </w:pPr>
          </w:p>
        </w:tc>
        <w:tc>
          <w:tcPr>
            <w:tcW w:w="50" w:type="pct"/>
            <w:vAlign w:val="center"/>
            <w:hideMark/>
          </w:tcPr>
          <w:p w14:paraId="68D0B3CC" w14:textId="77777777" w:rsidR="00000000" w:rsidRDefault="00E614A4">
            <w:pPr>
              <w:rPr>
                <w:rFonts w:eastAsia="Times New Roman"/>
                <w:sz w:val="20"/>
                <w:szCs w:val="20"/>
              </w:rPr>
            </w:pPr>
          </w:p>
        </w:tc>
        <w:tc>
          <w:tcPr>
            <w:tcW w:w="361" w:type="pct"/>
            <w:vAlign w:val="center"/>
            <w:hideMark/>
          </w:tcPr>
          <w:p w14:paraId="298E8EAC" w14:textId="77777777" w:rsidR="00000000" w:rsidRDefault="00E614A4">
            <w:pPr>
              <w:rPr>
                <w:rFonts w:eastAsia="Times New Roman"/>
                <w:sz w:val="20"/>
                <w:szCs w:val="20"/>
              </w:rPr>
            </w:pPr>
          </w:p>
        </w:tc>
        <w:tc>
          <w:tcPr>
            <w:tcW w:w="5" w:type="pct"/>
            <w:vAlign w:val="center"/>
            <w:hideMark/>
          </w:tcPr>
          <w:p w14:paraId="5D043619" w14:textId="77777777" w:rsidR="00000000" w:rsidRDefault="00E614A4">
            <w:pPr>
              <w:rPr>
                <w:rFonts w:eastAsia="Times New Roman"/>
                <w:sz w:val="20"/>
                <w:szCs w:val="20"/>
              </w:rPr>
            </w:pPr>
          </w:p>
        </w:tc>
        <w:tc>
          <w:tcPr>
            <w:tcW w:w="5" w:type="pct"/>
            <w:vAlign w:val="center"/>
            <w:hideMark/>
          </w:tcPr>
          <w:p w14:paraId="059C4037" w14:textId="77777777" w:rsidR="00000000" w:rsidRDefault="00E614A4">
            <w:pPr>
              <w:rPr>
                <w:rFonts w:eastAsia="Times New Roman"/>
                <w:sz w:val="20"/>
                <w:szCs w:val="20"/>
              </w:rPr>
            </w:pPr>
          </w:p>
        </w:tc>
        <w:tc>
          <w:tcPr>
            <w:tcW w:w="17" w:type="pct"/>
            <w:vAlign w:val="center"/>
            <w:hideMark/>
          </w:tcPr>
          <w:p w14:paraId="56583D5E" w14:textId="77777777" w:rsidR="00000000" w:rsidRDefault="00E614A4">
            <w:pPr>
              <w:rPr>
                <w:rFonts w:eastAsia="Times New Roman"/>
                <w:sz w:val="20"/>
                <w:szCs w:val="20"/>
              </w:rPr>
            </w:pPr>
          </w:p>
        </w:tc>
        <w:tc>
          <w:tcPr>
            <w:tcW w:w="5" w:type="pct"/>
            <w:vAlign w:val="center"/>
            <w:hideMark/>
          </w:tcPr>
          <w:p w14:paraId="1237329E" w14:textId="77777777" w:rsidR="00000000" w:rsidRDefault="00E614A4">
            <w:pPr>
              <w:rPr>
                <w:rFonts w:eastAsia="Times New Roman"/>
                <w:sz w:val="20"/>
                <w:szCs w:val="20"/>
              </w:rPr>
            </w:pPr>
          </w:p>
        </w:tc>
        <w:tc>
          <w:tcPr>
            <w:tcW w:w="50" w:type="pct"/>
            <w:vAlign w:val="center"/>
            <w:hideMark/>
          </w:tcPr>
          <w:p w14:paraId="6A9D875A" w14:textId="77777777" w:rsidR="00000000" w:rsidRDefault="00E614A4">
            <w:pPr>
              <w:rPr>
                <w:rFonts w:eastAsia="Times New Roman"/>
                <w:sz w:val="20"/>
                <w:szCs w:val="20"/>
              </w:rPr>
            </w:pPr>
          </w:p>
        </w:tc>
        <w:tc>
          <w:tcPr>
            <w:tcW w:w="361" w:type="pct"/>
            <w:vAlign w:val="center"/>
            <w:hideMark/>
          </w:tcPr>
          <w:p w14:paraId="385E6B20" w14:textId="77777777" w:rsidR="00000000" w:rsidRDefault="00E614A4">
            <w:pPr>
              <w:rPr>
                <w:rFonts w:eastAsia="Times New Roman"/>
                <w:sz w:val="20"/>
                <w:szCs w:val="20"/>
              </w:rPr>
            </w:pPr>
          </w:p>
        </w:tc>
        <w:tc>
          <w:tcPr>
            <w:tcW w:w="5" w:type="pct"/>
            <w:vAlign w:val="center"/>
            <w:hideMark/>
          </w:tcPr>
          <w:p w14:paraId="194085E4" w14:textId="77777777" w:rsidR="00000000" w:rsidRDefault="00E614A4">
            <w:pPr>
              <w:rPr>
                <w:rFonts w:eastAsia="Times New Roman"/>
                <w:sz w:val="20"/>
                <w:szCs w:val="20"/>
              </w:rPr>
            </w:pPr>
          </w:p>
        </w:tc>
        <w:tc>
          <w:tcPr>
            <w:tcW w:w="5" w:type="pct"/>
            <w:vAlign w:val="center"/>
            <w:hideMark/>
          </w:tcPr>
          <w:p w14:paraId="5B5D3872" w14:textId="77777777" w:rsidR="00000000" w:rsidRDefault="00E614A4">
            <w:pPr>
              <w:rPr>
                <w:rFonts w:eastAsia="Times New Roman"/>
                <w:sz w:val="20"/>
                <w:szCs w:val="20"/>
              </w:rPr>
            </w:pPr>
          </w:p>
        </w:tc>
        <w:tc>
          <w:tcPr>
            <w:tcW w:w="17" w:type="pct"/>
            <w:vAlign w:val="center"/>
            <w:hideMark/>
          </w:tcPr>
          <w:p w14:paraId="224B453B" w14:textId="77777777" w:rsidR="00000000" w:rsidRDefault="00E614A4">
            <w:pPr>
              <w:rPr>
                <w:rFonts w:eastAsia="Times New Roman"/>
                <w:sz w:val="20"/>
                <w:szCs w:val="20"/>
              </w:rPr>
            </w:pPr>
          </w:p>
        </w:tc>
        <w:tc>
          <w:tcPr>
            <w:tcW w:w="5" w:type="pct"/>
            <w:vAlign w:val="center"/>
            <w:hideMark/>
          </w:tcPr>
          <w:p w14:paraId="3CABBDC7" w14:textId="77777777" w:rsidR="00000000" w:rsidRDefault="00E614A4">
            <w:pPr>
              <w:rPr>
                <w:rFonts w:eastAsia="Times New Roman"/>
                <w:sz w:val="20"/>
                <w:szCs w:val="20"/>
              </w:rPr>
            </w:pPr>
          </w:p>
        </w:tc>
        <w:tc>
          <w:tcPr>
            <w:tcW w:w="50" w:type="pct"/>
            <w:vAlign w:val="center"/>
            <w:hideMark/>
          </w:tcPr>
          <w:p w14:paraId="239C50DD" w14:textId="77777777" w:rsidR="00000000" w:rsidRDefault="00E614A4">
            <w:pPr>
              <w:rPr>
                <w:rFonts w:eastAsia="Times New Roman"/>
                <w:sz w:val="20"/>
                <w:szCs w:val="20"/>
              </w:rPr>
            </w:pPr>
          </w:p>
        </w:tc>
        <w:tc>
          <w:tcPr>
            <w:tcW w:w="361" w:type="pct"/>
            <w:vAlign w:val="center"/>
            <w:hideMark/>
          </w:tcPr>
          <w:p w14:paraId="3ED6F265" w14:textId="77777777" w:rsidR="00000000" w:rsidRDefault="00E614A4">
            <w:pPr>
              <w:rPr>
                <w:rFonts w:eastAsia="Times New Roman"/>
                <w:sz w:val="20"/>
                <w:szCs w:val="20"/>
              </w:rPr>
            </w:pPr>
          </w:p>
        </w:tc>
        <w:tc>
          <w:tcPr>
            <w:tcW w:w="5" w:type="pct"/>
            <w:vAlign w:val="center"/>
            <w:hideMark/>
          </w:tcPr>
          <w:p w14:paraId="571DEACD" w14:textId="77777777" w:rsidR="00000000" w:rsidRDefault="00E614A4">
            <w:pPr>
              <w:rPr>
                <w:rFonts w:eastAsia="Times New Roman"/>
                <w:sz w:val="20"/>
                <w:szCs w:val="20"/>
              </w:rPr>
            </w:pPr>
          </w:p>
        </w:tc>
        <w:tc>
          <w:tcPr>
            <w:tcW w:w="5" w:type="pct"/>
            <w:vAlign w:val="center"/>
            <w:hideMark/>
          </w:tcPr>
          <w:p w14:paraId="31C599B5" w14:textId="77777777" w:rsidR="00000000" w:rsidRDefault="00E614A4">
            <w:pPr>
              <w:rPr>
                <w:rFonts w:eastAsia="Times New Roman"/>
                <w:sz w:val="20"/>
                <w:szCs w:val="20"/>
              </w:rPr>
            </w:pPr>
          </w:p>
        </w:tc>
        <w:tc>
          <w:tcPr>
            <w:tcW w:w="17" w:type="pct"/>
            <w:vAlign w:val="center"/>
            <w:hideMark/>
          </w:tcPr>
          <w:p w14:paraId="04A6896D" w14:textId="77777777" w:rsidR="00000000" w:rsidRDefault="00E614A4">
            <w:pPr>
              <w:rPr>
                <w:rFonts w:eastAsia="Times New Roman"/>
                <w:sz w:val="20"/>
                <w:szCs w:val="20"/>
              </w:rPr>
            </w:pPr>
          </w:p>
        </w:tc>
        <w:tc>
          <w:tcPr>
            <w:tcW w:w="5" w:type="pct"/>
            <w:vAlign w:val="center"/>
            <w:hideMark/>
          </w:tcPr>
          <w:p w14:paraId="03F2D7D1" w14:textId="77777777" w:rsidR="00000000" w:rsidRDefault="00E614A4">
            <w:pPr>
              <w:rPr>
                <w:rFonts w:eastAsia="Times New Roman"/>
                <w:sz w:val="20"/>
                <w:szCs w:val="20"/>
              </w:rPr>
            </w:pPr>
          </w:p>
        </w:tc>
        <w:tc>
          <w:tcPr>
            <w:tcW w:w="50" w:type="pct"/>
            <w:vAlign w:val="center"/>
            <w:hideMark/>
          </w:tcPr>
          <w:p w14:paraId="164E2FC4" w14:textId="77777777" w:rsidR="00000000" w:rsidRDefault="00E614A4">
            <w:pPr>
              <w:rPr>
                <w:rFonts w:eastAsia="Times New Roman"/>
                <w:sz w:val="20"/>
                <w:szCs w:val="20"/>
              </w:rPr>
            </w:pPr>
          </w:p>
        </w:tc>
        <w:tc>
          <w:tcPr>
            <w:tcW w:w="361" w:type="pct"/>
            <w:vAlign w:val="center"/>
            <w:hideMark/>
          </w:tcPr>
          <w:p w14:paraId="508B2694" w14:textId="77777777" w:rsidR="00000000" w:rsidRDefault="00E614A4">
            <w:pPr>
              <w:rPr>
                <w:rFonts w:eastAsia="Times New Roman"/>
                <w:sz w:val="20"/>
                <w:szCs w:val="20"/>
              </w:rPr>
            </w:pPr>
          </w:p>
        </w:tc>
        <w:tc>
          <w:tcPr>
            <w:tcW w:w="5" w:type="pct"/>
            <w:vAlign w:val="center"/>
            <w:hideMark/>
          </w:tcPr>
          <w:p w14:paraId="0553D456" w14:textId="77777777" w:rsidR="00000000" w:rsidRDefault="00E614A4">
            <w:pPr>
              <w:rPr>
                <w:rFonts w:eastAsia="Times New Roman"/>
                <w:sz w:val="20"/>
                <w:szCs w:val="20"/>
              </w:rPr>
            </w:pPr>
          </w:p>
        </w:tc>
        <w:tc>
          <w:tcPr>
            <w:tcW w:w="5" w:type="pct"/>
            <w:vAlign w:val="center"/>
            <w:hideMark/>
          </w:tcPr>
          <w:p w14:paraId="7C058F2D" w14:textId="77777777" w:rsidR="00000000" w:rsidRDefault="00E614A4">
            <w:pPr>
              <w:rPr>
                <w:rFonts w:eastAsia="Times New Roman"/>
                <w:sz w:val="20"/>
                <w:szCs w:val="20"/>
              </w:rPr>
            </w:pPr>
          </w:p>
        </w:tc>
        <w:tc>
          <w:tcPr>
            <w:tcW w:w="17" w:type="pct"/>
            <w:vAlign w:val="center"/>
            <w:hideMark/>
          </w:tcPr>
          <w:p w14:paraId="7C52AA6E" w14:textId="77777777" w:rsidR="00000000" w:rsidRDefault="00E614A4">
            <w:pPr>
              <w:rPr>
                <w:rFonts w:eastAsia="Times New Roman"/>
                <w:sz w:val="20"/>
                <w:szCs w:val="20"/>
              </w:rPr>
            </w:pPr>
          </w:p>
        </w:tc>
        <w:tc>
          <w:tcPr>
            <w:tcW w:w="5" w:type="pct"/>
            <w:vAlign w:val="center"/>
            <w:hideMark/>
          </w:tcPr>
          <w:p w14:paraId="0A612C2F" w14:textId="77777777" w:rsidR="00000000" w:rsidRDefault="00E614A4">
            <w:pPr>
              <w:rPr>
                <w:rFonts w:eastAsia="Times New Roman"/>
                <w:sz w:val="20"/>
                <w:szCs w:val="20"/>
              </w:rPr>
            </w:pPr>
          </w:p>
        </w:tc>
        <w:tc>
          <w:tcPr>
            <w:tcW w:w="50" w:type="pct"/>
            <w:vAlign w:val="center"/>
            <w:hideMark/>
          </w:tcPr>
          <w:p w14:paraId="4CE8C20B" w14:textId="77777777" w:rsidR="00000000" w:rsidRDefault="00E614A4">
            <w:pPr>
              <w:rPr>
                <w:rFonts w:eastAsia="Times New Roman"/>
                <w:sz w:val="20"/>
                <w:szCs w:val="20"/>
              </w:rPr>
            </w:pPr>
          </w:p>
        </w:tc>
        <w:tc>
          <w:tcPr>
            <w:tcW w:w="361" w:type="pct"/>
            <w:vAlign w:val="center"/>
            <w:hideMark/>
          </w:tcPr>
          <w:p w14:paraId="1868F7F7" w14:textId="77777777" w:rsidR="00000000" w:rsidRDefault="00E614A4">
            <w:pPr>
              <w:rPr>
                <w:rFonts w:eastAsia="Times New Roman"/>
                <w:sz w:val="20"/>
                <w:szCs w:val="20"/>
              </w:rPr>
            </w:pPr>
          </w:p>
        </w:tc>
        <w:tc>
          <w:tcPr>
            <w:tcW w:w="5" w:type="pct"/>
            <w:vAlign w:val="center"/>
            <w:hideMark/>
          </w:tcPr>
          <w:p w14:paraId="0DFD7BA7" w14:textId="77777777" w:rsidR="00000000" w:rsidRDefault="00E614A4">
            <w:pPr>
              <w:rPr>
                <w:rFonts w:eastAsia="Times New Roman"/>
                <w:sz w:val="20"/>
                <w:szCs w:val="20"/>
              </w:rPr>
            </w:pPr>
          </w:p>
        </w:tc>
        <w:tc>
          <w:tcPr>
            <w:tcW w:w="5" w:type="pct"/>
            <w:vAlign w:val="center"/>
            <w:hideMark/>
          </w:tcPr>
          <w:p w14:paraId="507D5CA1" w14:textId="77777777" w:rsidR="00000000" w:rsidRDefault="00E614A4">
            <w:pPr>
              <w:rPr>
                <w:rFonts w:eastAsia="Times New Roman"/>
                <w:sz w:val="20"/>
                <w:szCs w:val="20"/>
              </w:rPr>
            </w:pPr>
          </w:p>
        </w:tc>
        <w:tc>
          <w:tcPr>
            <w:tcW w:w="17" w:type="pct"/>
            <w:vAlign w:val="center"/>
            <w:hideMark/>
          </w:tcPr>
          <w:p w14:paraId="745777B5" w14:textId="77777777" w:rsidR="00000000" w:rsidRDefault="00E614A4">
            <w:pPr>
              <w:rPr>
                <w:rFonts w:eastAsia="Times New Roman"/>
                <w:sz w:val="20"/>
                <w:szCs w:val="20"/>
              </w:rPr>
            </w:pPr>
          </w:p>
        </w:tc>
        <w:tc>
          <w:tcPr>
            <w:tcW w:w="5" w:type="pct"/>
            <w:vAlign w:val="center"/>
            <w:hideMark/>
          </w:tcPr>
          <w:p w14:paraId="5A98582F" w14:textId="77777777" w:rsidR="00000000" w:rsidRDefault="00E614A4">
            <w:pPr>
              <w:rPr>
                <w:rFonts w:eastAsia="Times New Roman"/>
                <w:sz w:val="20"/>
                <w:szCs w:val="20"/>
              </w:rPr>
            </w:pPr>
          </w:p>
        </w:tc>
        <w:tc>
          <w:tcPr>
            <w:tcW w:w="50" w:type="pct"/>
            <w:vAlign w:val="center"/>
            <w:hideMark/>
          </w:tcPr>
          <w:p w14:paraId="217BDF9D" w14:textId="77777777" w:rsidR="00000000" w:rsidRDefault="00E614A4">
            <w:pPr>
              <w:rPr>
                <w:rFonts w:eastAsia="Times New Roman"/>
                <w:sz w:val="20"/>
                <w:szCs w:val="20"/>
              </w:rPr>
            </w:pPr>
          </w:p>
        </w:tc>
        <w:tc>
          <w:tcPr>
            <w:tcW w:w="361" w:type="pct"/>
            <w:vAlign w:val="center"/>
            <w:hideMark/>
          </w:tcPr>
          <w:p w14:paraId="283E4A07" w14:textId="77777777" w:rsidR="00000000" w:rsidRDefault="00E614A4">
            <w:pPr>
              <w:rPr>
                <w:rFonts w:eastAsia="Times New Roman"/>
                <w:sz w:val="20"/>
                <w:szCs w:val="20"/>
              </w:rPr>
            </w:pPr>
          </w:p>
        </w:tc>
        <w:tc>
          <w:tcPr>
            <w:tcW w:w="5" w:type="pct"/>
            <w:vAlign w:val="center"/>
            <w:hideMark/>
          </w:tcPr>
          <w:p w14:paraId="78AAA6A9" w14:textId="77777777" w:rsidR="00000000" w:rsidRDefault="00E614A4">
            <w:pPr>
              <w:rPr>
                <w:rFonts w:eastAsia="Times New Roman"/>
                <w:sz w:val="20"/>
                <w:szCs w:val="20"/>
              </w:rPr>
            </w:pPr>
          </w:p>
        </w:tc>
        <w:tc>
          <w:tcPr>
            <w:tcW w:w="5" w:type="pct"/>
            <w:vAlign w:val="center"/>
            <w:hideMark/>
          </w:tcPr>
          <w:p w14:paraId="45C8A378" w14:textId="77777777" w:rsidR="00000000" w:rsidRDefault="00E614A4">
            <w:pPr>
              <w:rPr>
                <w:rFonts w:eastAsia="Times New Roman"/>
                <w:sz w:val="20"/>
                <w:szCs w:val="20"/>
              </w:rPr>
            </w:pPr>
          </w:p>
        </w:tc>
        <w:tc>
          <w:tcPr>
            <w:tcW w:w="17" w:type="pct"/>
            <w:vAlign w:val="center"/>
            <w:hideMark/>
          </w:tcPr>
          <w:p w14:paraId="3D341905" w14:textId="77777777" w:rsidR="00000000" w:rsidRDefault="00E614A4">
            <w:pPr>
              <w:rPr>
                <w:rFonts w:eastAsia="Times New Roman"/>
                <w:sz w:val="20"/>
                <w:szCs w:val="20"/>
              </w:rPr>
            </w:pPr>
          </w:p>
        </w:tc>
        <w:tc>
          <w:tcPr>
            <w:tcW w:w="5" w:type="pct"/>
            <w:vAlign w:val="center"/>
            <w:hideMark/>
          </w:tcPr>
          <w:p w14:paraId="12B0BA46" w14:textId="77777777" w:rsidR="00000000" w:rsidRDefault="00E614A4">
            <w:pPr>
              <w:rPr>
                <w:rFonts w:eastAsia="Times New Roman"/>
                <w:sz w:val="20"/>
                <w:szCs w:val="20"/>
              </w:rPr>
            </w:pPr>
          </w:p>
        </w:tc>
        <w:tc>
          <w:tcPr>
            <w:tcW w:w="50" w:type="pct"/>
            <w:vAlign w:val="center"/>
            <w:hideMark/>
          </w:tcPr>
          <w:p w14:paraId="20E6C0A9" w14:textId="77777777" w:rsidR="00000000" w:rsidRDefault="00E614A4">
            <w:pPr>
              <w:rPr>
                <w:rFonts w:eastAsia="Times New Roman"/>
                <w:sz w:val="20"/>
                <w:szCs w:val="20"/>
              </w:rPr>
            </w:pPr>
          </w:p>
        </w:tc>
        <w:tc>
          <w:tcPr>
            <w:tcW w:w="361" w:type="pct"/>
            <w:vAlign w:val="center"/>
            <w:hideMark/>
          </w:tcPr>
          <w:p w14:paraId="4F79D3D5" w14:textId="77777777" w:rsidR="00000000" w:rsidRDefault="00E614A4">
            <w:pPr>
              <w:rPr>
                <w:rFonts w:eastAsia="Times New Roman"/>
                <w:sz w:val="20"/>
                <w:szCs w:val="20"/>
              </w:rPr>
            </w:pPr>
          </w:p>
        </w:tc>
        <w:tc>
          <w:tcPr>
            <w:tcW w:w="5" w:type="pct"/>
            <w:vAlign w:val="center"/>
            <w:hideMark/>
          </w:tcPr>
          <w:p w14:paraId="0FC07450" w14:textId="77777777" w:rsidR="00000000" w:rsidRDefault="00E614A4">
            <w:pPr>
              <w:rPr>
                <w:rFonts w:eastAsia="Times New Roman"/>
                <w:sz w:val="20"/>
                <w:szCs w:val="20"/>
              </w:rPr>
            </w:pPr>
          </w:p>
        </w:tc>
        <w:tc>
          <w:tcPr>
            <w:tcW w:w="5" w:type="pct"/>
            <w:vAlign w:val="center"/>
            <w:hideMark/>
          </w:tcPr>
          <w:p w14:paraId="653AE40C" w14:textId="77777777" w:rsidR="00000000" w:rsidRDefault="00E614A4">
            <w:pPr>
              <w:rPr>
                <w:rFonts w:eastAsia="Times New Roman"/>
                <w:sz w:val="20"/>
                <w:szCs w:val="20"/>
              </w:rPr>
            </w:pPr>
          </w:p>
        </w:tc>
        <w:tc>
          <w:tcPr>
            <w:tcW w:w="17" w:type="pct"/>
            <w:vAlign w:val="center"/>
            <w:hideMark/>
          </w:tcPr>
          <w:p w14:paraId="1F4B8909" w14:textId="77777777" w:rsidR="00000000" w:rsidRDefault="00E614A4">
            <w:pPr>
              <w:rPr>
                <w:rFonts w:eastAsia="Times New Roman"/>
                <w:sz w:val="20"/>
                <w:szCs w:val="20"/>
              </w:rPr>
            </w:pPr>
          </w:p>
        </w:tc>
        <w:tc>
          <w:tcPr>
            <w:tcW w:w="5" w:type="pct"/>
            <w:vAlign w:val="center"/>
            <w:hideMark/>
          </w:tcPr>
          <w:p w14:paraId="2FD4EE98" w14:textId="77777777" w:rsidR="00000000" w:rsidRDefault="00E614A4">
            <w:pPr>
              <w:rPr>
                <w:rFonts w:eastAsia="Times New Roman"/>
                <w:sz w:val="20"/>
                <w:szCs w:val="20"/>
              </w:rPr>
            </w:pPr>
          </w:p>
        </w:tc>
        <w:tc>
          <w:tcPr>
            <w:tcW w:w="50" w:type="pct"/>
            <w:vAlign w:val="center"/>
            <w:hideMark/>
          </w:tcPr>
          <w:p w14:paraId="16D20C45" w14:textId="77777777" w:rsidR="00000000" w:rsidRDefault="00E614A4">
            <w:pPr>
              <w:rPr>
                <w:rFonts w:eastAsia="Times New Roman"/>
                <w:sz w:val="20"/>
                <w:szCs w:val="20"/>
              </w:rPr>
            </w:pPr>
          </w:p>
        </w:tc>
        <w:tc>
          <w:tcPr>
            <w:tcW w:w="362" w:type="pct"/>
            <w:vAlign w:val="center"/>
            <w:hideMark/>
          </w:tcPr>
          <w:p w14:paraId="132D7EBF" w14:textId="77777777" w:rsidR="00000000" w:rsidRDefault="00E614A4">
            <w:pPr>
              <w:rPr>
                <w:rFonts w:eastAsia="Times New Roman"/>
                <w:sz w:val="20"/>
                <w:szCs w:val="20"/>
              </w:rPr>
            </w:pPr>
          </w:p>
        </w:tc>
        <w:tc>
          <w:tcPr>
            <w:tcW w:w="5" w:type="pct"/>
            <w:vAlign w:val="center"/>
            <w:hideMark/>
          </w:tcPr>
          <w:p w14:paraId="53642A65" w14:textId="77777777" w:rsidR="00000000" w:rsidRDefault="00E614A4">
            <w:pPr>
              <w:rPr>
                <w:rFonts w:eastAsia="Times New Roman"/>
                <w:sz w:val="20"/>
                <w:szCs w:val="20"/>
              </w:rPr>
            </w:pPr>
          </w:p>
        </w:tc>
      </w:tr>
      <w:tr w:rsidR="00000000" w14:paraId="2C95A9F9" w14:textId="77777777">
        <w:trPr>
          <w:divId w:val="306011345"/>
          <w:jc w:val="center"/>
        </w:trPr>
        <w:tc>
          <w:tcPr>
            <w:tcW w:w="0" w:type="auto"/>
            <w:gridSpan w:val="3"/>
            <w:tcMar>
              <w:top w:w="0" w:type="dxa"/>
              <w:left w:w="20" w:type="dxa"/>
              <w:bottom w:w="0" w:type="dxa"/>
              <w:right w:w="20" w:type="dxa"/>
            </w:tcMar>
            <w:vAlign w:val="center"/>
            <w:hideMark/>
          </w:tcPr>
          <w:p w14:paraId="600705CF" w14:textId="77777777" w:rsidR="00000000" w:rsidRDefault="00E614A4">
            <w:pPr>
              <w:rPr>
                <w:rFonts w:eastAsia="Times New Roman"/>
                <w:sz w:val="20"/>
                <w:szCs w:val="20"/>
              </w:rPr>
            </w:pPr>
          </w:p>
        </w:tc>
        <w:tc>
          <w:tcPr>
            <w:tcW w:w="0" w:type="auto"/>
            <w:gridSpan w:val="21"/>
            <w:tcMar>
              <w:top w:w="30" w:type="dxa"/>
              <w:left w:w="20" w:type="dxa"/>
              <w:bottom w:w="30" w:type="dxa"/>
              <w:right w:w="20" w:type="dxa"/>
            </w:tcMar>
            <w:vAlign w:val="bottom"/>
            <w:hideMark/>
          </w:tcPr>
          <w:p w14:paraId="0876AF5E" w14:textId="77777777" w:rsidR="00000000" w:rsidRDefault="00E614A4">
            <w:pPr>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4C326278" w14:textId="77777777" w:rsidR="00000000" w:rsidRDefault="00E614A4">
            <w:pPr>
              <w:jc w:val="center"/>
              <w:rPr>
                <w:rFonts w:eastAsia="Times New Roman"/>
              </w:rPr>
            </w:pPr>
          </w:p>
        </w:tc>
        <w:tc>
          <w:tcPr>
            <w:tcW w:w="0" w:type="auto"/>
            <w:gridSpan w:val="21"/>
            <w:tcMar>
              <w:top w:w="30" w:type="dxa"/>
              <w:left w:w="20" w:type="dxa"/>
              <w:bottom w:w="30" w:type="dxa"/>
              <w:right w:w="20" w:type="dxa"/>
            </w:tcMar>
            <w:vAlign w:val="bottom"/>
            <w:hideMark/>
          </w:tcPr>
          <w:p w14:paraId="43F86DB6" w14:textId="77777777" w:rsidR="00000000" w:rsidRDefault="00E614A4">
            <w:pPr>
              <w:jc w:val="center"/>
              <w:rPr>
                <w:rFonts w:eastAsia="Times New Roman"/>
              </w:rPr>
            </w:pPr>
            <w:r>
              <w:rPr>
                <w:rFonts w:eastAsia="Times New Roman"/>
                <w:b/>
                <w:bCs/>
                <w:color w:val="000000"/>
                <w:sz w:val="16"/>
                <w:szCs w:val="16"/>
              </w:rPr>
              <w:t>As of</w:t>
            </w:r>
          </w:p>
        </w:tc>
      </w:tr>
      <w:tr w:rsidR="00000000" w14:paraId="736DED86" w14:textId="77777777">
        <w:trPr>
          <w:divId w:val="306011345"/>
          <w:jc w:val="center"/>
        </w:trPr>
        <w:tc>
          <w:tcPr>
            <w:tcW w:w="0" w:type="auto"/>
            <w:gridSpan w:val="3"/>
            <w:tcMar>
              <w:top w:w="30" w:type="dxa"/>
              <w:left w:w="20" w:type="dxa"/>
              <w:bottom w:w="30" w:type="dxa"/>
              <w:right w:w="20" w:type="dxa"/>
            </w:tcMar>
            <w:vAlign w:val="bottom"/>
            <w:hideMark/>
          </w:tcPr>
          <w:p w14:paraId="04A67A8B" w14:textId="77777777" w:rsidR="00000000" w:rsidRDefault="00E614A4">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14:paraId="01B7EC1C" w14:textId="77777777" w:rsidR="00000000" w:rsidRDefault="00E614A4">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14:paraId="07E997D6" w14:textId="77777777" w:rsidR="00000000" w:rsidRDefault="00E614A4">
            <w:pPr>
              <w:jc w:val="center"/>
              <w:rPr>
                <w:rFonts w:eastAsia="Times New Roman"/>
              </w:rPr>
            </w:pPr>
          </w:p>
        </w:tc>
        <w:tc>
          <w:tcPr>
            <w:tcW w:w="0" w:type="auto"/>
            <w:gridSpan w:val="21"/>
            <w:tcMar>
              <w:top w:w="30" w:type="dxa"/>
              <w:left w:w="20" w:type="dxa"/>
              <w:bottom w:w="30" w:type="dxa"/>
              <w:right w:w="20" w:type="dxa"/>
            </w:tcMar>
            <w:vAlign w:val="bottom"/>
            <w:hideMark/>
          </w:tcPr>
          <w:p w14:paraId="27729FEC" w14:textId="77777777" w:rsidR="00000000" w:rsidRDefault="00E614A4">
            <w:pPr>
              <w:jc w:val="center"/>
              <w:rPr>
                <w:rFonts w:eastAsia="Times New Roman"/>
              </w:rPr>
            </w:pPr>
            <w:r>
              <w:rPr>
                <w:rFonts w:eastAsia="Times New Roman"/>
                <w:b/>
                <w:bCs/>
                <w:color w:val="000000"/>
                <w:sz w:val="16"/>
                <w:szCs w:val="16"/>
              </w:rPr>
              <w:t>December 31, 2019</w:t>
            </w:r>
          </w:p>
        </w:tc>
      </w:tr>
      <w:tr w:rsidR="00000000" w14:paraId="13E34EE2" w14:textId="77777777">
        <w:trPr>
          <w:divId w:val="306011345"/>
          <w:jc w:val="center"/>
        </w:trPr>
        <w:tc>
          <w:tcPr>
            <w:tcW w:w="0" w:type="auto"/>
            <w:gridSpan w:val="3"/>
            <w:tcMar>
              <w:top w:w="30" w:type="dxa"/>
              <w:left w:w="20" w:type="dxa"/>
              <w:bottom w:w="30" w:type="dxa"/>
              <w:right w:w="20" w:type="dxa"/>
            </w:tcMar>
            <w:vAlign w:val="bottom"/>
            <w:hideMark/>
          </w:tcPr>
          <w:p w14:paraId="5B3E259A"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A35672C" w14:textId="77777777" w:rsidR="00000000" w:rsidRDefault="00E614A4">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6DC40834"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7BB199" w14:textId="77777777" w:rsidR="00000000" w:rsidRDefault="00E614A4">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6858F40D"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977CC7" w14:textId="77777777" w:rsidR="00000000" w:rsidRDefault="00E614A4">
            <w:pPr>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499AA0E7"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1BAA1D" w14:textId="77777777" w:rsidR="00000000" w:rsidRDefault="00E614A4">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5C59FF7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AA4569" w14:textId="77777777" w:rsidR="00000000" w:rsidRDefault="00E614A4">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36358411"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185F7C" w14:textId="77777777" w:rsidR="00000000" w:rsidRDefault="00E614A4">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4813F3AF"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786008" w14:textId="77777777" w:rsidR="00000000" w:rsidRDefault="00E614A4">
            <w:pPr>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6508FC7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CAD1E7" w14:textId="77777777" w:rsidR="00000000" w:rsidRDefault="00E614A4">
            <w:pPr>
              <w:jc w:val="center"/>
              <w:rPr>
                <w:rFonts w:eastAsia="Times New Roman"/>
              </w:rPr>
            </w:pPr>
            <w:r>
              <w:rPr>
                <w:rFonts w:eastAsia="Times New Roman"/>
                <w:b/>
                <w:bCs/>
                <w:color w:val="000000"/>
                <w:sz w:val="16"/>
                <w:szCs w:val="16"/>
              </w:rPr>
              <w:t>Total</w:t>
            </w:r>
          </w:p>
        </w:tc>
      </w:tr>
      <w:tr w:rsidR="00000000" w14:paraId="6D7F2BE4" w14:textId="77777777">
        <w:trPr>
          <w:divId w:val="306011345"/>
          <w:jc w:val="center"/>
        </w:trPr>
        <w:tc>
          <w:tcPr>
            <w:tcW w:w="0" w:type="auto"/>
            <w:gridSpan w:val="3"/>
            <w:shd w:val="clear" w:color="auto" w:fill="CCEEFF"/>
            <w:tcMar>
              <w:top w:w="30" w:type="dxa"/>
              <w:left w:w="20" w:type="dxa"/>
              <w:bottom w:w="30" w:type="dxa"/>
              <w:right w:w="20" w:type="dxa"/>
            </w:tcMar>
            <w:vAlign w:val="bottom"/>
            <w:hideMark/>
          </w:tcPr>
          <w:p w14:paraId="1255DDEA" w14:textId="77777777" w:rsidR="00000000" w:rsidRDefault="00E614A4">
            <w:pPr>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2F1B20"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0482F"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4DF75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167AED"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76CA7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41EE27"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5A2D8D"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925CD3"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000C5A"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E6C2B8"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C8E79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6917B3"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BED5F7"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233774"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132500" w14:textId="77777777" w:rsidR="00000000" w:rsidRDefault="00E614A4">
            <w:pPr>
              <w:rPr>
                <w:rFonts w:eastAsia="Times New Roman"/>
                <w:sz w:val="20"/>
                <w:szCs w:val="20"/>
              </w:rPr>
            </w:pPr>
          </w:p>
        </w:tc>
      </w:tr>
      <w:tr w:rsidR="00E614A4" w14:paraId="4F837229" w14:textId="77777777">
        <w:trPr>
          <w:divId w:val="306011345"/>
          <w:jc w:val="center"/>
        </w:trPr>
        <w:tc>
          <w:tcPr>
            <w:tcW w:w="0" w:type="auto"/>
            <w:gridSpan w:val="3"/>
            <w:shd w:val="clear" w:color="auto" w:fill="FFFFFF"/>
            <w:tcMar>
              <w:top w:w="30" w:type="dxa"/>
              <w:left w:w="20" w:type="dxa"/>
              <w:bottom w:w="30" w:type="dxa"/>
              <w:right w:w="20" w:type="dxa"/>
            </w:tcMar>
            <w:hideMark/>
          </w:tcPr>
          <w:p w14:paraId="42C3C130" w14:textId="77777777" w:rsidR="00000000" w:rsidRDefault="00E614A4">
            <w:pPr>
              <w:divId w:val="826700879"/>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shd w:val="clear" w:color="auto" w:fill="FFFFFF"/>
            <w:tcMar>
              <w:top w:w="30" w:type="dxa"/>
              <w:left w:w="20" w:type="dxa"/>
              <w:bottom w:w="30" w:type="dxa"/>
              <w:right w:w="0" w:type="dxa"/>
            </w:tcMar>
            <w:vAlign w:val="bottom"/>
            <w:hideMark/>
          </w:tcPr>
          <w:p w14:paraId="6AD735E9"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D3C25ED" w14:textId="77777777" w:rsidR="00000000" w:rsidRDefault="00E614A4">
            <w:pPr>
              <w:jc w:val="right"/>
              <w:rPr>
                <w:rFonts w:eastAsia="Times New Roman"/>
              </w:rPr>
            </w:pPr>
            <w:r>
              <w:rPr>
                <w:rFonts w:eastAsia="Times New Roman"/>
                <w:color w:val="000000"/>
                <w:sz w:val="18"/>
                <w:szCs w:val="18"/>
              </w:rPr>
              <w:t>11,928 </w:t>
            </w:r>
          </w:p>
        </w:tc>
        <w:tc>
          <w:tcPr>
            <w:tcW w:w="0" w:type="auto"/>
            <w:shd w:val="clear" w:color="auto" w:fill="FFFFFF"/>
            <w:tcMar>
              <w:top w:w="30" w:type="dxa"/>
              <w:left w:w="0" w:type="dxa"/>
              <w:bottom w:w="30" w:type="dxa"/>
              <w:right w:w="20" w:type="dxa"/>
            </w:tcMar>
            <w:vAlign w:val="bottom"/>
            <w:hideMark/>
          </w:tcPr>
          <w:p w14:paraId="6787DFB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E81E3"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E9DED1"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815F3B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33434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9543C"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11606F"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6AD459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544FD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86AC3"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748B64"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31438EB" w14:textId="77777777" w:rsidR="00000000" w:rsidRDefault="00E614A4">
            <w:pPr>
              <w:jc w:val="right"/>
              <w:rPr>
                <w:rFonts w:eastAsia="Times New Roman"/>
              </w:rPr>
            </w:pPr>
            <w:r>
              <w:rPr>
                <w:rFonts w:eastAsia="Times New Roman"/>
                <w:color w:val="000000"/>
                <w:sz w:val="18"/>
                <w:szCs w:val="18"/>
              </w:rPr>
              <w:t>11,928 </w:t>
            </w:r>
          </w:p>
        </w:tc>
        <w:tc>
          <w:tcPr>
            <w:tcW w:w="0" w:type="auto"/>
            <w:shd w:val="clear" w:color="auto" w:fill="FFFFFF"/>
            <w:tcMar>
              <w:top w:w="30" w:type="dxa"/>
              <w:left w:w="0" w:type="dxa"/>
              <w:bottom w:w="30" w:type="dxa"/>
              <w:right w:w="20" w:type="dxa"/>
            </w:tcMar>
            <w:vAlign w:val="bottom"/>
            <w:hideMark/>
          </w:tcPr>
          <w:p w14:paraId="19D8750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F39DC"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2B6100"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234F9B1" w14:textId="77777777" w:rsidR="00000000" w:rsidRDefault="00E614A4">
            <w:pPr>
              <w:jc w:val="right"/>
              <w:rPr>
                <w:rFonts w:eastAsia="Times New Roman"/>
              </w:rPr>
            </w:pPr>
            <w:r>
              <w:rPr>
                <w:rFonts w:eastAsia="Times New Roman"/>
                <w:color w:val="000000"/>
                <w:sz w:val="18"/>
                <w:szCs w:val="18"/>
              </w:rPr>
              <w:t>24,327 </w:t>
            </w:r>
          </w:p>
        </w:tc>
        <w:tc>
          <w:tcPr>
            <w:tcW w:w="0" w:type="auto"/>
            <w:shd w:val="clear" w:color="auto" w:fill="FFFFFF"/>
            <w:tcMar>
              <w:top w:w="30" w:type="dxa"/>
              <w:left w:w="0" w:type="dxa"/>
              <w:bottom w:w="30" w:type="dxa"/>
              <w:right w:w="20" w:type="dxa"/>
            </w:tcMar>
            <w:vAlign w:val="bottom"/>
            <w:hideMark/>
          </w:tcPr>
          <w:p w14:paraId="355BDA1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A6638"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C03F39"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4462F1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8A81B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E3D70"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A7DF3B"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B2BC9B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E5CE3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3F26F"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1874DA"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B479195" w14:textId="77777777" w:rsidR="00000000" w:rsidRDefault="00E614A4">
            <w:pPr>
              <w:jc w:val="right"/>
              <w:rPr>
                <w:rFonts w:eastAsia="Times New Roman"/>
              </w:rPr>
            </w:pPr>
            <w:r>
              <w:rPr>
                <w:rFonts w:eastAsia="Times New Roman"/>
                <w:color w:val="000000"/>
                <w:sz w:val="18"/>
                <w:szCs w:val="18"/>
              </w:rPr>
              <w:t>24,327 </w:t>
            </w:r>
          </w:p>
        </w:tc>
        <w:tc>
          <w:tcPr>
            <w:tcW w:w="0" w:type="auto"/>
            <w:shd w:val="clear" w:color="auto" w:fill="FFFFFF"/>
            <w:tcMar>
              <w:top w:w="30" w:type="dxa"/>
              <w:left w:w="0" w:type="dxa"/>
              <w:bottom w:w="30" w:type="dxa"/>
              <w:right w:w="20" w:type="dxa"/>
            </w:tcMar>
            <w:vAlign w:val="bottom"/>
            <w:hideMark/>
          </w:tcPr>
          <w:p w14:paraId="13A8D86C" w14:textId="77777777" w:rsidR="00000000" w:rsidRDefault="00E614A4">
            <w:pPr>
              <w:jc w:val="right"/>
              <w:rPr>
                <w:rFonts w:eastAsia="Times New Roman"/>
              </w:rPr>
            </w:pPr>
          </w:p>
        </w:tc>
      </w:tr>
      <w:tr w:rsidR="00000000" w14:paraId="2FCE17E3" w14:textId="77777777">
        <w:trPr>
          <w:divId w:val="306011345"/>
          <w:jc w:val="center"/>
        </w:trPr>
        <w:tc>
          <w:tcPr>
            <w:tcW w:w="0" w:type="auto"/>
            <w:gridSpan w:val="3"/>
            <w:shd w:val="clear" w:color="auto" w:fill="CCEEFF"/>
            <w:tcMar>
              <w:top w:w="30" w:type="dxa"/>
              <w:left w:w="20" w:type="dxa"/>
              <w:bottom w:w="30" w:type="dxa"/>
              <w:right w:w="20" w:type="dxa"/>
            </w:tcMar>
            <w:hideMark/>
          </w:tcPr>
          <w:p w14:paraId="00BF8150" w14:textId="77777777" w:rsidR="00000000" w:rsidRDefault="00E614A4">
            <w:pPr>
              <w:divId w:val="429274756"/>
              <w:rPr>
                <w:rFonts w:eastAsia="Times New Roman"/>
              </w:rPr>
            </w:pPr>
            <w:r>
              <w:rPr>
                <w:rFonts w:eastAsia="Times New Roman"/>
                <w:color w:val="000000"/>
                <w:sz w:val="18"/>
                <w:szCs w:val="18"/>
              </w:rPr>
              <w:t>Certificates of deposit</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4DD09B8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EC409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7F53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08316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5CFDA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B244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2C0F1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4AAD0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DCEC0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8173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7EB1A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2415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4263A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F4DEF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AB50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F745B" w14:textId="77777777" w:rsidR="00000000" w:rsidRDefault="00E614A4">
            <w:pPr>
              <w:jc w:val="right"/>
              <w:rPr>
                <w:rFonts w:eastAsia="Times New Roman"/>
              </w:rPr>
            </w:pPr>
            <w:r>
              <w:rPr>
                <w:rFonts w:eastAsia="Times New Roman"/>
                <w:color w:val="000000"/>
                <w:sz w:val="18"/>
                <w:szCs w:val="18"/>
              </w:rPr>
              <w:t>1,009 </w:t>
            </w:r>
          </w:p>
        </w:tc>
        <w:tc>
          <w:tcPr>
            <w:tcW w:w="0" w:type="auto"/>
            <w:shd w:val="clear" w:color="auto" w:fill="CCEEFF"/>
            <w:tcMar>
              <w:top w:w="30" w:type="dxa"/>
              <w:left w:w="0" w:type="dxa"/>
              <w:bottom w:w="30" w:type="dxa"/>
              <w:right w:w="20" w:type="dxa"/>
            </w:tcMar>
            <w:vAlign w:val="bottom"/>
            <w:hideMark/>
          </w:tcPr>
          <w:p w14:paraId="313FA45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0A34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D4B66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67797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CC75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6741AB" w14:textId="77777777" w:rsidR="00000000" w:rsidRDefault="00E614A4">
            <w:pPr>
              <w:jc w:val="right"/>
              <w:rPr>
                <w:rFonts w:eastAsia="Times New Roman"/>
              </w:rPr>
            </w:pPr>
            <w:r>
              <w:rPr>
                <w:rFonts w:eastAsia="Times New Roman"/>
                <w:color w:val="000000"/>
                <w:sz w:val="18"/>
                <w:szCs w:val="18"/>
              </w:rPr>
              <w:t>1,009 </w:t>
            </w:r>
          </w:p>
        </w:tc>
        <w:tc>
          <w:tcPr>
            <w:tcW w:w="0" w:type="auto"/>
            <w:shd w:val="clear" w:color="auto" w:fill="CCEEFF"/>
            <w:tcMar>
              <w:top w:w="30" w:type="dxa"/>
              <w:left w:w="0" w:type="dxa"/>
              <w:bottom w:w="30" w:type="dxa"/>
              <w:right w:w="20" w:type="dxa"/>
            </w:tcMar>
            <w:vAlign w:val="bottom"/>
            <w:hideMark/>
          </w:tcPr>
          <w:p w14:paraId="2E4F35C2" w14:textId="77777777" w:rsidR="00000000" w:rsidRDefault="00E614A4">
            <w:pPr>
              <w:jc w:val="right"/>
              <w:rPr>
                <w:rFonts w:eastAsia="Times New Roman"/>
              </w:rPr>
            </w:pPr>
          </w:p>
        </w:tc>
      </w:tr>
      <w:tr w:rsidR="00E614A4" w14:paraId="29034D26" w14:textId="77777777">
        <w:trPr>
          <w:divId w:val="306011345"/>
          <w:jc w:val="center"/>
        </w:trPr>
        <w:tc>
          <w:tcPr>
            <w:tcW w:w="0" w:type="auto"/>
            <w:gridSpan w:val="3"/>
            <w:shd w:val="clear" w:color="auto" w:fill="FFFFFF"/>
            <w:tcMar>
              <w:top w:w="30" w:type="dxa"/>
              <w:left w:w="155" w:type="dxa"/>
              <w:bottom w:w="30" w:type="dxa"/>
              <w:right w:w="20" w:type="dxa"/>
            </w:tcMar>
            <w:hideMark/>
          </w:tcPr>
          <w:p w14:paraId="10773317" w14:textId="77777777" w:rsidR="00000000" w:rsidRDefault="00E614A4">
            <w:pPr>
              <w:rPr>
                <w:rFonts w:eastAsia="Times New Roman"/>
              </w:rPr>
            </w:pPr>
            <w:r>
              <w:rPr>
                <w:rFonts w:eastAsia="Times New Roman"/>
                <w:b/>
                <w:bCs/>
                <w:color w:val="000000"/>
                <w:sz w:val="18"/>
                <w:szCs w:val="18"/>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7EFA1B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1CCC31" w14:textId="77777777" w:rsidR="00000000" w:rsidRDefault="00E614A4">
            <w:pPr>
              <w:jc w:val="right"/>
              <w:rPr>
                <w:rFonts w:eastAsia="Times New Roman"/>
              </w:rPr>
            </w:pPr>
            <w:r>
              <w:rPr>
                <w:rFonts w:eastAsia="Times New Roman"/>
                <w:color w:val="000000"/>
                <w:sz w:val="18"/>
                <w:szCs w:val="18"/>
              </w:rPr>
              <w:t>11,928 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D2494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2A5C1"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AD98F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D2B40B"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51E25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4DD00"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7F281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319AB9"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09970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3CFFF"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7F250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BD6580" w14:textId="77777777" w:rsidR="00000000" w:rsidRDefault="00E614A4">
            <w:pPr>
              <w:jc w:val="right"/>
              <w:rPr>
                <w:rFonts w:eastAsia="Times New Roman"/>
              </w:rPr>
            </w:pPr>
            <w:r>
              <w:rPr>
                <w:rFonts w:eastAsia="Times New Roman"/>
                <w:color w:val="000000"/>
                <w:sz w:val="18"/>
                <w:szCs w:val="18"/>
              </w:rPr>
              <w:t>11,928 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EBAA0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7AAAA"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8AEB7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78E8F0" w14:textId="77777777" w:rsidR="00000000" w:rsidRDefault="00E614A4">
            <w:pPr>
              <w:jc w:val="right"/>
              <w:rPr>
                <w:rFonts w:eastAsia="Times New Roman"/>
              </w:rPr>
            </w:pPr>
            <w:r>
              <w:rPr>
                <w:rFonts w:eastAsia="Times New Roman"/>
                <w:color w:val="000000"/>
                <w:sz w:val="18"/>
                <w:szCs w:val="18"/>
              </w:rPr>
              <w:t>24,327 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8D007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571DA2"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18B23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7A6E3B" w14:textId="77777777" w:rsidR="00000000" w:rsidRDefault="00E614A4">
            <w:pPr>
              <w:jc w:val="right"/>
              <w:rPr>
                <w:rFonts w:eastAsia="Times New Roman"/>
              </w:rPr>
            </w:pPr>
            <w:r>
              <w:rPr>
                <w:rFonts w:eastAsia="Times New Roman"/>
                <w:color w:val="000000"/>
                <w:sz w:val="18"/>
                <w:szCs w:val="18"/>
              </w:rPr>
              <w:t>1,009 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E39D6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996AD"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B6336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DF5375"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91833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3113E"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996FE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67F9B2" w14:textId="77777777" w:rsidR="00000000" w:rsidRDefault="00E614A4">
            <w:pPr>
              <w:jc w:val="right"/>
              <w:rPr>
                <w:rFonts w:eastAsia="Times New Roman"/>
              </w:rPr>
            </w:pPr>
            <w:r>
              <w:rPr>
                <w:rFonts w:eastAsia="Times New Roman"/>
                <w:color w:val="000000"/>
                <w:sz w:val="18"/>
                <w:szCs w:val="18"/>
              </w:rPr>
              <w:t>25,336 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E2DB48" w14:textId="77777777" w:rsidR="00000000" w:rsidRDefault="00E614A4">
            <w:pPr>
              <w:jc w:val="right"/>
              <w:rPr>
                <w:rFonts w:eastAsia="Times New Roman"/>
              </w:rPr>
            </w:pPr>
          </w:p>
        </w:tc>
      </w:tr>
      <w:tr w:rsidR="00000000" w14:paraId="4CFE7EF2" w14:textId="77777777">
        <w:trPr>
          <w:divId w:val="306011345"/>
          <w:trHeight w:val="240"/>
          <w:jc w:val="center"/>
        </w:trPr>
        <w:tc>
          <w:tcPr>
            <w:tcW w:w="0" w:type="auto"/>
            <w:gridSpan w:val="3"/>
            <w:shd w:val="clear" w:color="auto" w:fill="CCEEFF"/>
            <w:tcMar>
              <w:top w:w="0" w:type="dxa"/>
              <w:left w:w="20" w:type="dxa"/>
              <w:bottom w:w="0" w:type="dxa"/>
              <w:right w:w="20" w:type="dxa"/>
            </w:tcMar>
            <w:vAlign w:val="center"/>
            <w:hideMark/>
          </w:tcPr>
          <w:p w14:paraId="7EB3652C" w14:textId="77777777" w:rsidR="00000000" w:rsidRDefault="00E614A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3D35E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4AC980"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20E567"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0D7936"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EFC97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107A39"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2DCC0D"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F9E591"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E8B328"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2DEA50"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82BE4D"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CB7581"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678E0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C1B821"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C1AC5F" w14:textId="77777777" w:rsidR="00000000" w:rsidRDefault="00E614A4">
            <w:pPr>
              <w:rPr>
                <w:rFonts w:eastAsia="Times New Roman"/>
                <w:sz w:val="20"/>
                <w:szCs w:val="20"/>
              </w:rPr>
            </w:pPr>
          </w:p>
        </w:tc>
      </w:tr>
      <w:tr w:rsidR="00000000" w14:paraId="24088C73" w14:textId="77777777">
        <w:trPr>
          <w:divId w:val="306011345"/>
          <w:jc w:val="center"/>
        </w:trPr>
        <w:tc>
          <w:tcPr>
            <w:tcW w:w="0" w:type="auto"/>
            <w:gridSpan w:val="3"/>
            <w:shd w:val="clear" w:color="auto" w:fill="FFFFFF"/>
            <w:tcMar>
              <w:top w:w="30" w:type="dxa"/>
              <w:left w:w="20" w:type="dxa"/>
              <w:bottom w:w="30" w:type="dxa"/>
              <w:right w:w="20" w:type="dxa"/>
            </w:tcMar>
            <w:hideMark/>
          </w:tcPr>
          <w:p w14:paraId="5A58D9DC" w14:textId="77777777" w:rsidR="00000000" w:rsidRDefault="00E614A4">
            <w:pPr>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1DAAC5DC"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542D8"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921B9B"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39D98F"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5C0B08"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2001B4"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EE4163"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4F5B7E"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75B32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670330"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F2135D"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DDC933"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7C9174"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E4E695"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6EBAFF" w14:textId="77777777" w:rsidR="00000000" w:rsidRDefault="00E614A4">
            <w:pPr>
              <w:rPr>
                <w:rFonts w:eastAsia="Times New Roman"/>
                <w:sz w:val="20"/>
                <w:szCs w:val="20"/>
              </w:rPr>
            </w:pPr>
          </w:p>
        </w:tc>
      </w:tr>
      <w:tr w:rsidR="00000000" w14:paraId="525AAC90" w14:textId="77777777">
        <w:trPr>
          <w:divId w:val="306011345"/>
          <w:jc w:val="center"/>
        </w:trPr>
        <w:tc>
          <w:tcPr>
            <w:tcW w:w="0" w:type="auto"/>
            <w:gridSpan w:val="3"/>
            <w:shd w:val="clear" w:color="auto" w:fill="CCEEFF"/>
            <w:tcMar>
              <w:top w:w="30" w:type="dxa"/>
              <w:left w:w="20" w:type="dxa"/>
              <w:bottom w:w="30" w:type="dxa"/>
              <w:right w:w="20" w:type="dxa"/>
            </w:tcMar>
            <w:hideMark/>
          </w:tcPr>
          <w:p w14:paraId="7700DA03" w14:textId="77777777" w:rsidR="00000000" w:rsidRDefault="00E614A4">
            <w:pPr>
              <w:divId w:val="1856504242"/>
              <w:rPr>
                <w:rFonts w:eastAsia="Times New Roman"/>
              </w:rPr>
            </w:pPr>
            <w:r>
              <w:rPr>
                <w:rFonts w:eastAsia="Times New Roman"/>
                <w:color w:val="000000"/>
                <w:sz w:val="18"/>
                <w:szCs w:val="18"/>
              </w:rPr>
              <w:t>Financing derivatives: no hedging designation</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6B894CE"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19C72"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B93C2"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706B38"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E12D7"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B5B799"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5114DD"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9A4988"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03F24C"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732C3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75302B"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C5E62C"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1BE5E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4F801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F11260" w14:textId="77777777" w:rsidR="00000000" w:rsidRDefault="00E614A4">
            <w:pPr>
              <w:rPr>
                <w:rFonts w:eastAsia="Times New Roman"/>
                <w:sz w:val="20"/>
                <w:szCs w:val="20"/>
              </w:rPr>
            </w:pPr>
          </w:p>
        </w:tc>
      </w:tr>
      <w:tr w:rsidR="00E614A4" w14:paraId="2E42FA7D" w14:textId="77777777">
        <w:trPr>
          <w:divId w:val="306011345"/>
          <w:jc w:val="center"/>
        </w:trPr>
        <w:tc>
          <w:tcPr>
            <w:tcW w:w="0" w:type="auto"/>
            <w:gridSpan w:val="3"/>
            <w:shd w:val="clear" w:color="auto" w:fill="FFFFFF"/>
            <w:tcMar>
              <w:top w:w="30" w:type="dxa"/>
              <w:left w:w="245" w:type="dxa"/>
              <w:bottom w:w="30" w:type="dxa"/>
              <w:right w:w="20" w:type="dxa"/>
            </w:tcMar>
            <w:hideMark/>
          </w:tcPr>
          <w:p w14:paraId="7B9AF949" w14:textId="77777777" w:rsidR="00000000" w:rsidRDefault="00E614A4">
            <w:pPr>
              <w:rPr>
                <w:rFonts w:eastAsia="Times New Roman"/>
              </w:rPr>
            </w:pPr>
            <w:r>
              <w:rPr>
                <w:rFonts w:eastAsia="Times New Roman"/>
                <w:color w:val="000000"/>
                <w:sz w:val="18"/>
                <w:szCs w:val="18"/>
              </w:rPr>
              <w:t>Interest rate reset</w:t>
            </w:r>
          </w:p>
        </w:tc>
        <w:tc>
          <w:tcPr>
            <w:tcW w:w="0" w:type="auto"/>
            <w:shd w:val="clear" w:color="auto" w:fill="FFFFFF"/>
            <w:tcMar>
              <w:top w:w="30" w:type="dxa"/>
              <w:left w:w="20" w:type="dxa"/>
              <w:bottom w:w="30" w:type="dxa"/>
              <w:right w:w="0" w:type="dxa"/>
            </w:tcMar>
            <w:vAlign w:val="bottom"/>
            <w:hideMark/>
          </w:tcPr>
          <w:p w14:paraId="035A51B8"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AFDBE6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7E8F5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4D1A14"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EE2A36"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4D6354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C5DE1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54243"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2BE97F"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EA968DB" w14:textId="77777777" w:rsidR="00000000" w:rsidRDefault="00E614A4">
            <w:pPr>
              <w:jc w:val="right"/>
              <w:rPr>
                <w:rFonts w:eastAsia="Times New Roman"/>
              </w:rPr>
            </w:pPr>
            <w:r>
              <w:rPr>
                <w:rFonts w:eastAsia="Times New Roman"/>
                <w:color w:val="000000"/>
                <w:sz w:val="18"/>
                <w:szCs w:val="18"/>
              </w:rPr>
              <w:t>11,300 </w:t>
            </w:r>
          </w:p>
        </w:tc>
        <w:tc>
          <w:tcPr>
            <w:tcW w:w="0" w:type="auto"/>
            <w:shd w:val="clear" w:color="auto" w:fill="FFFFFF"/>
            <w:tcMar>
              <w:top w:w="30" w:type="dxa"/>
              <w:left w:w="0" w:type="dxa"/>
              <w:bottom w:w="30" w:type="dxa"/>
              <w:right w:w="20" w:type="dxa"/>
            </w:tcMar>
            <w:vAlign w:val="bottom"/>
            <w:hideMark/>
          </w:tcPr>
          <w:p w14:paraId="54286A7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9D11E"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283CF9"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1B7E476" w14:textId="77777777" w:rsidR="00000000" w:rsidRDefault="00E614A4">
            <w:pPr>
              <w:jc w:val="right"/>
              <w:rPr>
                <w:rFonts w:eastAsia="Times New Roman"/>
              </w:rPr>
            </w:pPr>
            <w:r>
              <w:rPr>
                <w:rFonts w:eastAsia="Times New Roman"/>
                <w:color w:val="000000"/>
                <w:sz w:val="18"/>
                <w:szCs w:val="18"/>
              </w:rPr>
              <w:t>11,300 </w:t>
            </w:r>
          </w:p>
        </w:tc>
        <w:tc>
          <w:tcPr>
            <w:tcW w:w="0" w:type="auto"/>
            <w:shd w:val="clear" w:color="auto" w:fill="FFFFFF"/>
            <w:tcMar>
              <w:top w:w="30" w:type="dxa"/>
              <w:left w:w="0" w:type="dxa"/>
              <w:bottom w:w="30" w:type="dxa"/>
              <w:right w:w="20" w:type="dxa"/>
            </w:tcMar>
            <w:vAlign w:val="bottom"/>
            <w:hideMark/>
          </w:tcPr>
          <w:p w14:paraId="36C4721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89892"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E1DAD3"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194BCE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2095A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930E8"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7611F0"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89B265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1A9EB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7946B"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15A0B7"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0C37023" w14:textId="77777777" w:rsidR="00000000" w:rsidRDefault="00E614A4">
            <w:pPr>
              <w:jc w:val="right"/>
              <w:rPr>
                <w:rFonts w:eastAsia="Times New Roman"/>
              </w:rPr>
            </w:pPr>
            <w:r>
              <w:rPr>
                <w:rFonts w:eastAsia="Times New Roman"/>
                <w:color w:val="000000"/>
                <w:sz w:val="18"/>
                <w:szCs w:val="18"/>
              </w:rPr>
              <w:t>18,800 </w:t>
            </w:r>
          </w:p>
        </w:tc>
        <w:tc>
          <w:tcPr>
            <w:tcW w:w="0" w:type="auto"/>
            <w:shd w:val="clear" w:color="auto" w:fill="FFFFFF"/>
            <w:tcMar>
              <w:top w:w="30" w:type="dxa"/>
              <w:left w:w="0" w:type="dxa"/>
              <w:bottom w:w="30" w:type="dxa"/>
              <w:right w:w="20" w:type="dxa"/>
            </w:tcMar>
            <w:vAlign w:val="bottom"/>
            <w:hideMark/>
          </w:tcPr>
          <w:p w14:paraId="54B1B88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09CEF"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9155C3"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5940AFC" w14:textId="77777777" w:rsidR="00000000" w:rsidRDefault="00E614A4">
            <w:pPr>
              <w:jc w:val="right"/>
              <w:rPr>
                <w:rFonts w:eastAsia="Times New Roman"/>
              </w:rPr>
            </w:pPr>
            <w:r>
              <w:rPr>
                <w:rFonts w:eastAsia="Times New Roman"/>
                <w:color w:val="000000"/>
                <w:sz w:val="18"/>
                <w:szCs w:val="18"/>
              </w:rPr>
              <w:t>18,800 </w:t>
            </w:r>
          </w:p>
        </w:tc>
        <w:tc>
          <w:tcPr>
            <w:tcW w:w="0" w:type="auto"/>
            <w:shd w:val="clear" w:color="auto" w:fill="FFFFFF"/>
            <w:tcMar>
              <w:top w:w="30" w:type="dxa"/>
              <w:left w:w="0" w:type="dxa"/>
              <w:bottom w:w="30" w:type="dxa"/>
              <w:right w:w="20" w:type="dxa"/>
            </w:tcMar>
            <w:vAlign w:val="bottom"/>
            <w:hideMark/>
          </w:tcPr>
          <w:p w14:paraId="6B7623A9" w14:textId="77777777" w:rsidR="00000000" w:rsidRDefault="00E614A4">
            <w:pPr>
              <w:jc w:val="right"/>
              <w:rPr>
                <w:rFonts w:eastAsia="Times New Roman"/>
              </w:rPr>
            </w:pPr>
          </w:p>
        </w:tc>
      </w:tr>
      <w:tr w:rsidR="00000000" w14:paraId="69132E2C" w14:textId="77777777">
        <w:trPr>
          <w:divId w:val="306011345"/>
          <w:jc w:val="center"/>
        </w:trPr>
        <w:tc>
          <w:tcPr>
            <w:tcW w:w="0" w:type="auto"/>
            <w:gridSpan w:val="3"/>
            <w:shd w:val="clear" w:color="auto" w:fill="CCEEFF"/>
            <w:tcMar>
              <w:top w:w="30" w:type="dxa"/>
              <w:left w:w="245" w:type="dxa"/>
              <w:bottom w:w="30" w:type="dxa"/>
              <w:right w:w="20" w:type="dxa"/>
            </w:tcMar>
            <w:hideMark/>
          </w:tcPr>
          <w:p w14:paraId="5A905D0F" w14:textId="77777777" w:rsidR="00000000" w:rsidRDefault="00E614A4">
            <w:pPr>
              <w:rPr>
                <w:rFonts w:eastAsia="Times New Roman"/>
              </w:rPr>
            </w:pPr>
            <w:r>
              <w:rPr>
                <w:rFonts w:eastAsia="Times New Roman"/>
                <w:color w:val="000000"/>
                <w:sz w:val="18"/>
                <w:szCs w:val="18"/>
              </w:rPr>
              <w:t>Make-whole change of control</w:t>
            </w:r>
          </w:p>
        </w:tc>
        <w:tc>
          <w:tcPr>
            <w:tcW w:w="0" w:type="auto"/>
            <w:gridSpan w:val="2"/>
            <w:shd w:val="clear" w:color="auto" w:fill="CCEEFF"/>
            <w:tcMar>
              <w:top w:w="30" w:type="dxa"/>
              <w:left w:w="20" w:type="dxa"/>
              <w:bottom w:w="30" w:type="dxa"/>
              <w:right w:w="0" w:type="dxa"/>
            </w:tcMar>
            <w:vAlign w:val="bottom"/>
            <w:hideMark/>
          </w:tcPr>
          <w:p w14:paraId="6F4EE58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C79CF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EA45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53CFA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5169D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758B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F25F7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45E21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EDE6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A7C82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4B7324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F9B2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C072E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04B6D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68B4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7904D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BBB03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39DA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A3AC38" w14:textId="77777777" w:rsidR="00000000" w:rsidRDefault="00E614A4">
            <w:pPr>
              <w:jc w:val="right"/>
              <w:rPr>
                <w:rFonts w:eastAsia="Times New Roman"/>
              </w:rPr>
            </w:pPr>
            <w:r>
              <w:rPr>
                <w:rFonts w:eastAsia="Times New Roman"/>
                <w:color w:val="000000"/>
                <w:sz w:val="18"/>
                <w:szCs w:val="18"/>
              </w:rPr>
              <w:t>1,600 </w:t>
            </w:r>
          </w:p>
        </w:tc>
        <w:tc>
          <w:tcPr>
            <w:tcW w:w="0" w:type="auto"/>
            <w:shd w:val="clear" w:color="auto" w:fill="CCEEFF"/>
            <w:tcMar>
              <w:top w:w="30" w:type="dxa"/>
              <w:left w:w="0" w:type="dxa"/>
              <w:bottom w:w="30" w:type="dxa"/>
              <w:right w:w="20" w:type="dxa"/>
            </w:tcMar>
            <w:vAlign w:val="bottom"/>
            <w:hideMark/>
          </w:tcPr>
          <w:p w14:paraId="6212B2B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DFBA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8D11B5" w14:textId="77777777" w:rsidR="00000000" w:rsidRDefault="00E614A4">
            <w:pPr>
              <w:jc w:val="right"/>
              <w:rPr>
                <w:rFonts w:eastAsia="Times New Roman"/>
              </w:rPr>
            </w:pPr>
            <w:r>
              <w:rPr>
                <w:rFonts w:eastAsia="Times New Roman"/>
                <w:color w:val="000000"/>
                <w:sz w:val="18"/>
                <w:szCs w:val="18"/>
              </w:rPr>
              <w:t>1,600 </w:t>
            </w:r>
          </w:p>
        </w:tc>
        <w:tc>
          <w:tcPr>
            <w:tcW w:w="0" w:type="auto"/>
            <w:shd w:val="clear" w:color="auto" w:fill="CCEEFF"/>
            <w:tcMar>
              <w:top w:w="30" w:type="dxa"/>
              <w:left w:w="0" w:type="dxa"/>
              <w:bottom w:w="30" w:type="dxa"/>
              <w:right w:w="20" w:type="dxa"/>
            </w:tcMar>
            <w:vAlign w:val="bottom"/>
            <w:hideMark/>
          </w:tcPr>
          <w:p w14:paraId="40ED423E" w14:textId="77777777" w:rsidR="00000000" w:rsidRDefault="00E614A4">
            <w:pPr>
              <w:jc w:val="right"/>
              <w:rPr>
                <w:rFonts w:eastAsia="Times New Roman"/>
              </w:rPr>
            </w:pPr>
          </w:p>
        </w:tc>
      </w:tr>
      <w:tr w:rsidR="00000000" w14:paraId="56820195" w14:textId="77777777">
        <w:trPr>
          <w:divId w:val="306011345"/>
          <w:jc w:val="center"/>
        </w:trPr>
        <w:tc>
          <w:tcPr>
            <w:tcW w:w="0" w:type="auto"/>
            <w:gridSpan w:val="3"/>
            <w:shd w:val="clear" w:color="auto" w:fill="FFFFFF"/>
            <w:tcMar>
              <w:top w:w="30" w:type="dxa"/>
              <w:left w:w="245" w:type="dxa"/>
              <w:bottom w:w="30" w:type="dxa"/>
              <w:right w:w="20" w:type="dxa"/>
            </w:tcMar>
            <w:hideMark/>
          </w:tcPr>
          <w:p w14:paraId="1FDF2C2C" w14:textId="77777777" w:rsidR="00000000" w:rsidRDefault="00E614A4">
            <w:pPr>
              <w:rPr>
                <w:rFonts w:eastAsia="Times New Roman"/>
              </w:rPr>
            </w:pPr>
            <w:r>
              <w:rPr>
                <w:rFonts w:eastAsia="Times New Roman"/>
                <w:color w:val="000000"/>
                <w:sz w:val="18"/>
                <w:szCs w:val="18"/>
              </w:rPr>
              <w:t>Qualifying change of control</w:t>
            </w:r>
          </w:p>
        </w:tc>
        <w:tc>
          <w:tcPr>
            <w:tcW w:w="0" w:type="auto"/>
            <w:gridSpan w:val="2"/>
            <w:shd w:val="clear" w:color="auto" w:fill="FFFFFF"/>
            <w:tcMar>
              <w:top w:w="30" w:type="dxa"/>
              <w:left w:w="20" w:type="dxa"/>
              <w:bottom w:w="30" w:type="dxa"/>
              <w:right w:w="0" w:type="dxa"/>
            </w:tcMar>
            <w:vAlign w:val="bottom"/>
            <w:hideMark/>
          </w:tcPr>
          <w:p w14:paraId="4FAE53D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D2963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9067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DA828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CDAFA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8B8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2E5CA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A5972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3E81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0B940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3B542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8DE3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11FA1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B30AF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930D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93E3C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9709B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B731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5AFE24" w14:textId="77777777" w:rsidR="00000000" w:rsidRDefault="00E614A4">
            <w:pPr>
              <w:jc w:val="right"/>
              <w:rPr>
                <w:rFonts w:eastAsia="Times New Roman"/>
              </w:rPr>
            </w:pPr>
            <w:r>
              <w:rPr>
                <w:rFonts w:eastAsia="Times New Roman"/>
                <w:color w:val="000000"/>
                <w:sz w:val="18"/>
                <w:szCs w:val="18"/>
              </w:rPr>
              <w:t>1,187 </w:t>
            </w:r>
          </w:p>
        </w:tc>
        <w:tc>
          <w:tcPr>
            <w:tcW w:w="0" w:type="auto"/>
            <w:shd w:val="clear" w:color="auto" w:fill="FFFFFF"/>
            <w:tcMar>
              <w:top w:w="30" w:type="dxa"/>
              <w:left w:w="0" w:type="dxa"/>
              <w:bottom w:w="30" w:type="dxa"/>
              <w:right w:w="20" w:type="dxa"/>
            </w:tcMar>
            <w:vAlign w:val="bottom"/>
            <w:hideMark/>
          </w:tcPr>
          <w:p w14:paraId="2AD47B2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64DD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65A29A" w14:textId="77777777" w:rsidR="00000000" w:rsidRDefault="00E614A4">
            <w:pPr>
              <w:jc w:val="right"/>
              <w:rPr>
                <w:rFonts w:eastAsia="Times New Roman"/>
              </w:rPr>
            </w:pPr>
            <w:r>
              <w:rPr>
                <w:rFonts w:eastAsia="Times New Roman"/>
                <w:color w:val="000000"/>
                <w:sz w:val="18"/>
                <w:szCs w:val="18"/>
              </w:rPr>
              <w:t>1,187 </w:t>
            </w:r>
          </w:p>
        </w:tc>
        <w:tc>
          <w:tcPr>
            <w:tcW w:w="0" w:type="auto"/>
            <w:shd w:val="clear" w:color="auto" w:fill="FFFFFF"/>
            <w:tcMar>
              <w:top w:w="30" w:type="dxa"/>
              <w:left w:w="0" w:type="dxa"/>
              <w:bottom w:w="30" w:type="dxa"/>
              <w:right w:w="20" w:type="dxa"/>
            </w:tcMar>
            <w:vAlign w:val="bottom"/>
            <w:hideMark/>
          </w:tcPr>
          <w:p w14:paraId="191BB1D5" w14:textId="77777777" w:rsidR="00000000" w:rsidRDefault="00E614A4">
            <w:pPr>
              <w:jc w:val="right"/>
              <w:rPr>
                <w:rFonts w:eastAsia="Times New Roman"/>
              </w:rPr>
            </w:pPr>
          </w:p>
        </w:tc>
      </w:tr>
      <w:tr w:rsidR="00000000" w14:paraId="5A3CDA90" w14:textId="77777777">
        <w:trPr>
          <w:divId w:val="306011345"/>
          <w:jc w:val="center"/>
        </w:trPr>
        <w:tc>
          <w:tcPr>
            <w:tcW w:w="0" w:type="auto"/>
            <w:gridSpan w:val="3"/>
            <w:shd w:val="clear" w:color="auto" w:fill="CCEEFF"/>
            <w:tcMar>
              <w:top w:w="30" w:type="dxa"/>
              <w:left w:w="20" w:type="dxa"/>
              <w:bottom w:w="30" w:type="dxa"/>
              <w:right w:w="20" w:type="dxa"/>
            </w:tcMar>
            <w:hideMark/>
          </w:tcPr>
          <w:p w14:paraId="54839CBA" w14:textId="77777777" w:rsidR="00000000" w:rsidRDefault="00E614A4">
            <w:pPr>
              <w:divId w:val="420227060"/>
              <w:rPr>
                <w:rFonts w:eastAsia="Times New Roman"/>
              </w:rPr>
            </w:pPr>
            <w:r>
              <w:rPr>
                <w:rFonts w:eastAsia="Times New Roman"/>
                <w:color w:val="000000"/>
                <w:sz w:val="18"/>
                <w:szCs w:val="18"/>
              </w:rPr>
              <w:t>Warrants issued:</w:t>
            </w:r>
            <w:r>
              <w:rPr>
                <w:rFonts w:eastAsia="Times New Roman"/>
                <w:color w:val="000000"/>
                <w:sz w:val="18"/>
                <w:szCs w:val="18"/>
              </w:rPr>
              <w:t xml:space="preserve"> </w:t>
            </w:r>
            <w:r>
              <w:rPr>
                <w:rFonts w:eastAsia="Times New Roman"/>
                <w:i/>
                <w:iCs/>
                <w:color w:val="000000"/>
                <w:sz w:val="12"/>
                <w:szCs w:val="12"/>
              </w:rPr>
              <w:t>(4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8205F1D"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DC9AD"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5EF27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89EDB1"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708D5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EC48D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B2EC9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2C500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07E23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7E2A3B"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26F51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949300"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D82A3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D830D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D645B3" w14:textId="77777777" w:rsidR="00000000" w:rsidRDefault="00E614A4">
            <w:pPr>
              <w:rPr>
                <w:rFonts w:eastAsia="Times New Roman"/>
                <w:sz w:val="20"/>
                <w:szCs w:val="20"/>
              </w:rPr>
            </w:pPr>
          </w:p>
        </w:tc>
      </w:tr>
      <w:tr w:rsidR="00000000" w14:paraId="3478F641" w14:textId="77777777">
        <w:trPr>
          <w:divId w:val="306011345"/>
          <w:jc w:val="center"/>
        </w:trPr>
        <w:tc>
          <w:tcPr>
            <w:tcW w:w="0" w:type="auto"/>
            <w:gridSpan w:val="3"/>
            <w:shd w:val="clear" w:color="auto" w:fill="FFFFFF"/>
            <w:tcMar>
              <w:top w:w="30" w:type="dxa"/>
              <w:left w:w="245" w:type="dxa"/>
              <w:bottom w:w="30" w:type="dxa"/>
              <w:right w:w="20" w:type="dxa"/>
            </w:tcMar>
            <w:hideMark/>
          </w:tcPr>
          <w:p w14:paraId="6B99ADF0" w14:textId="77777777" w:rsidR="00000000" w:rsidRDefault="00E614A4">
            <w:pPr>
              <w:rPr>
                <w:rFonts w:eastAsia="Times New Roman"/>
              </w:rPr>
            </w:pPr>
            <w:r>
              <w:rPr>
                <w:rFonts w:eastAsia="Times New Roman"/>
                <w:color w:val="000000"/>
                <w:sz w:val="18"/>
                <w:szCs w:val="18"/>
              </w:rPr>
              <w:t>Series A</w:t>
            </w:r>
          </w:p>
        </w:tc>
        <w:tc>
          <w:tcPr>
            <w:tcW w:w="0" w:type="auto"/>
            <w:gridSpan w:val="2"/>
            <w:shd w:val="clear" w:color="auto" w:fill="FFFFFF"/>
            <w:tcMar>
              <w:top w:w="30" w:type="dxa"/>
              <w:left w:w="20" w:type="dxa"/>
              <w:bottom w:w="30" w:type="dxa"/>
              <w:right w:w="0" w:type="dxa"/>
            </w:tcMar>
            <w:vAlign w:val="bottom"/>
            <w:hideMark/>
          </w:tcPr>
          <w:p w14:paraId="01B2B20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65328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0396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7763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3F0C9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323A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B5784" w14:textId="77777777" w:rsidR="00000000" w:rsidRDefault="00E614A4">
            <w:pPr>
              <w:jc w:val="right"/>
              <w:rPr>
                <w:rFonts w:eastAsia="Times New Roman"/>
              </w:rPr>
            </w:pPr>
            <w:r>
              <w:rPr>
                <w:rFonts w:eastAsia="Times New Roman"/>
                <w:color w:val="000000"/>
                <w:sz w:val="18"/>
                <w:szCs w:val="18"/>
              </w:rPr>
              <w:t>2,831 </w:t>
            </w:r>
          </w:p>
        </w:tc>
        <w:tc>
          <w:tcPr>
            <w:tcW w:w="0" w:type="auto"/>
            <w:shd w:val="clear" w:color="auto" w:fill="FFFFFF"/>
            <w:tcMar>
              <w:top w:w="30" w:type="dxa"/>
              <w:left w:w="0" w:type="dxa"/>
              <w:bottom w:w="30" w:type="dxa"/>
              <w:right w:w="20" w:type="dxa"/>
            </w:tcMar>
            <w:vAlign w:val="bottom"/>
            <w:hideMark/>
          </w:tcPr>
          <w:p w14:paraId="0B29565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23D5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5733FA" w14:textId="77777777" w:rsidR="00000000" w:rsidRDefault="00E614A4">
            <w:pPr>
              <w:jc w:val="right"/>
              <w:rPr>
                <w:rFonts w:eastAsia="Times New Roman"/>
              </w:rPr>
            </w:pPr>
            <w:r>
              <w:rPr>
                <w:rFonts w:eastAsia="Times New Roman"/>
                <w:color w:val="000000"/>
                <w:sz w:val="18"/>
                <w:szCs w:val="18"/>
              </w:rPr>
              <w:t>2,831 </w:t>
            </w:r>
          </w:p>
        </w:tc>
        <w:tc>
          <w:tcPr>
            <w:tcW w:w="0" w:type="auto"/>
            <w:shd w:val="clear" w:color="auto" w:fill="FFFFFF"/>
            <w:tcMar>
              <w:top w:w="30" w:type="dxa"/>
              <w:left w:w="0" w:type="dxa"/>
              <w:bottom w:w="30" w:type="dxa"/>
              <w:right w:w="20" w:type="dxa"/>
            </w:tcMar>
            <w:vAlign w:val="bottom"/>
            <w:hideMark/>
          </w:tcPr>
          <w:p w14:paraId="4971D8B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937E4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5F700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59DCB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625D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6612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19E9E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F7A3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6F8EE0" w14:textId="77777777" w:rsidR="00000000" w:rsidRDefault="00E614A4">
            <w:pPr>
              <w:jc w:val="right"/>
              <w:rPr>
                <w:rFonts w:eastAsia="Times New Roman"/>
              </w:rPr>
            </w:pPr>
            <w:r>
              <w:rPr>
                <w:rFonts w:eastAsia="Times New Roman"/>
                <w:color w:val="000000"/>
                <w:sz w:val="18"/>
                <w:szCs w:val="18"/>
              </w:rPr>
              <w:t>7,508 </w:t>
            </w:r>
          </w:p>
        </w:tc>
        <w:tc>
          <w:tcPr>
            <w:tcW w:w="0" w:type="auto"/>
            <w:shd w:val="clear" w:color="auto" w:fill="FFFFFF"/>
            <w:tcMar>
              <w:top w:w="30" w:type="dxa"/>
              <w:left w:w="0" w:type="dxa"/>
              <w:bottom w:w="30" w:type="dxa"/>
              <w:right w:w="20" w:type="dxa"/>
            </w:tcMar>
            <w:vAlign w:val="bottom"/>
            <w:hideMark/>
          </w:tcPr>
          <w:p w14:paraId="3CC928D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11F5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B4463" w14:textId="77777777" w:rsidR="00000000" w:rsidRDefault="00E614A4">
            <w:pPr>
              <w:jc w:val="right"/>
              <w:rPr>
                <w:rFonts w:eastAsia="Times New Roman"/>
              </w:rPr>
            </w:pPr>
            <w:r>
              <w:rPr>
                <w:rFonts w:eastAsia="Times New Roman"/>
                <w:color w:val="000000"/>
                <w:sz w:val="18"/>
                <w:szCs w:val="18"/>
              </w:rPr>
              <w:t>7,508 </w:t>
            </w:r>
          </w:p>
        </w:tc>
        <w:tc>
          <w:tcPr>
            <w:tcW w:w="0" w:type="auto"/>
            <w:shd w:val="clear" w:color="auto" w:fill="FFFFFF"/>
            <w:tcMar>
              <w:top w:w="30" w:type="dxa"/>
              <w:left w:w="0" w:type="dxa"/>
              <w:bottom w:w="30" w:type="dxa"/>
              <w:right w:w="20" w:type="dxa"/>
            </w:tcMar>
            <w:vAlign w:val="bottom"/>
            <w:hideMark/>
          </w:tcPr>
          <w:p w14:paraId="20CB5B44" w14:textId="77777777" w:rsidR="00000000" w:rsidRDefault="00E614A4">
            <w:pPr>
              <w:jc w:val="right"/>
              <w:rPr>
                <w:rFonts w:eastAsia="Times New Roman"/>
              </w:rPr>
            </w:pPr>
          </w:p>
        </w:tc>
      </w:tr>
      <w:tr w:rsidR="00000000" w14:paraId="05814800" w14:textId="77777777">
        <w:trPr>
          <w:divId w:val="306011345"/>
          <w:jc w:val="center"/>
        </w:trPr>
        <w:tc>
          <w:tcPr>
            <w:tcW w:w="0" w:type="auto"/>
            <w:gridSpan w:val="3"/>
            <w:shd w:val="clear" w:color="auto" w:fill="CCEEFF"/>
            <w:tcMar>
              <w:top w:w="30" w:type="dxa"/>
              <w:left w:w="245" w:type="dxa"/>
              <w:bottom w:w="30" w:type="dxa"/>
              <w:right w:w="20" w:type="dxa"/>
            </w:tcMar>
            <w:hideMark/>
          </w:tcPr>
          <w:p w14:paraId="1F8BD815" w14:textId="77777777" w:rsidR="00000000" w:rsidRDefault="00E614A4">
            <w:pPr>
              <w:rPr>
                <w:rFonts w:eastAsia="Times New Roman"/>
              </w:rPr>
            </w:pPr>
            <w:r>
              <w:rPr>
                <w:rFonts w:eastAsia="Times New Roman"/>
                <w:color w:val="000000"/>
                <w:sz w:val="18"/>
                <w:szCs w:val="18"/>
              </w:rPr>
              <w:t>Series B-2</w:t>
            </w:r>
          </w:p>
        </w:tc>
        <w:tc>
          <w:tcPr>
            <w:tcW w:w="0" w:type="auto"/>
            <w:gridSpan w:val="2"/>
            <w:shd w:val="clear" w:color="auto" w:fill="CCEEFF"/>
            <w:tcMar>
              <w:top w:w="30" w:type="dxa"/>
              <w:left w:w="20" w:type="dxa"/>
              <w:bottom w:w="30" w:type="dxa"/>
              <w:right w:w="0" w:type="dxa"/>
            </w:tcMar>
            <w:vAlign w:val="bottom"/>
            <w:hideMark/>
          </w:tcPr>
          <w:p w14:paraId="52ED678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A8C3C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CD76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8F95C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70EE2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CE3E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FBBF4"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8A71E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0AB4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755B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A17ED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CD58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E77AF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6481E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7B17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C0E1F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A9037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5C9B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4825C7" w14:textId="77777777" w:rsidR="00000000" w:rsidRDefault="00E614A4">
            <w:pPr>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14:paraId="31DE3B4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3FF1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AEAE7D" w14:textId="77777777" w:rsidR="00000000" w:rsidRDefault="00E614A4">
            <w:pPr>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14:paraId="0D68B8AC" w14:textId="77777777" w:rsidR="00000000" w:rsidRDefault="00E614A4">
            <w:pPr>
              <w:jc w:val="right"/>
              <w:rPr>
                <w:rFonts w:eastAsia="Times New Roman"/>
              </w:rPr>
            </w:pPr>
          </w:p>
        </w:tc>
      </w:tr>
      <w:tr w:rsidR="00000000" w14:paraId="6C9F7238" w14:textId="77777777">
        <w:trPr>
          <w:divId w:val="306011345"/>
          <w:jc w:val="center"/>
        </w:trPr>
        <w:tc>
          <w:tcPr>
            <w:tcW w:w="0" w:type="auto"/>
            <w:gridSpan w:val="3"/>
            <w:shd w:val="clear" w:color="auto" w:fill="FFFFFF"/>
            <w:tcMar>
              <w:top w:w="30" w:type="dxa"/>
              <w:left w:w="20" w:type="dxa"/>
              <w:bottom w:w="30" w:type="dxa"/>
              <w:right w:w="20" w:type="dxa"/>
            </w:tcMar>
            <w:hideMark/>
          </w:tcPr>
          <w:p w14:paraId="4BB3CD3D" w14:textId="77777777" w:rsidR="00000000" w:rsidRDefault="00E614A4">
            <w:pPr>
              <w:divId w:val="1423380572"/>
              <w:rPr>
                <w:rFonts w:eastAsia="Times New Roman"/>
              </w:rPr>
            </w:pPr>
            <w:r>
              <w:rPr>
                <w:rFonts w:eastAsia="Times New Roman"/>
                <w:color w:val="000000"/>
                <w:sz w:val="18"/>
                <w:szCs w:val="18"/>
              </w:rPr>
              <w:t>Secured term note:</w:t>
            </w:r>
            <w:r>
              <w:rPr>
                <w:rFonts w:eastAsia="Times New Roman"/>
                <w:color w:val="000000"/>
                <w:sz w:val="18"/>
                <w:szCs w:val="18"/>
              </w:rPr>
              <w:t xml:space="preserve"> </w:t>
            </w:r>
            <w:r>
              <w:rPr>
                <w:rFonts w:eastAsia="Times New Roman"/>
                <w:i/>
                <w:iCs/>
                <w:color w:val="000000"/>
                <w:sz w:val="12"/>
                <w:szCs w:val="12"/>
              </w:rPr>
              <w:t>(5</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BD58190"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85A70"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124E74"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58BB30"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1214C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B4D9C3"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12C6DD"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63C887"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10BE61"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64792F"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89FA4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537FCF"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5B185D"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C2A4C4"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37CC24" w14:textId="77777777" w:rsidR="00000000" w:rsidRDefault="00E614A4">
            <w:pPr>
              <w:rPr>
                <w:rFonts w:eastAsia="Times New Roman"/>
                <w:sz w:val="20"/>
                <w:szCs w:val="20"/>
              </w:rPr>
            </w:pPr>
          </w:p>
        </w:tc>
      </w:tr>
      <w:tr w:rsidR="00000000" w14:paraId="60A394E3" w14:textId="77777777">
        <w:trPr>
          <w:divId w:val="306011345"/>
          <w:jc w:val="center"/>
        </w:trPr>
        <w:tc>
          <w:tcPr>
            <w:tcW w:w="0" w:type="auto"/>
            <w:gridSpan w:val="3"/>
            <w:shd w:val="clear" w:color="auto" w:fill="CCEEFF"/>
            <w:tcMar>
              <w:top w:w="30" w:type="dxa"/>
              <w:left w:w="245" w:type="dxa"/>
              <w:bottom w:w="30" w:type="dxa"/>
              <w:right w:w="20" w:type="dxa"/>
            </w:tcMar>
            <w:hideMark/>
          </w:tcPr>
          <w:p w14:paraId="3BEDB2F9" w14:textId="77777777" w:rsidR="00000000" w:rsidRDefault="00E614A4">
            <w:pPr>
              <w:rPr>
                <w:rFonts w:eastAsia="Times New Roman"/>
              </w:rPr>
            </w:pPr>
            <w:r>
              <w:rPr>
                <w:rFonts w:eastAsia="Times New Roman"/>
                <w:color w:val="000000"/>
                <w:sz w:val="18"/>
                <w:szCs w:val="18"/>
              </w:rPr>
              <w:t>Interest make-whole derivative</w:t>
            </w:r>
          </w:p>
        </w:tc>
        <w:tc>
          <w:tcPr>
            <w:tcW w:w="0" w:type="auto"/>
            <w:gridSpan w:val="2"/>
            <w:shd w:val="clear" w:color="auto" w:fill="CCEEFF"/>
            <w:tcMar>
              <w:top w:w="30" w:type="dxa"/>
              <w:left w:w="20" w:type="dxa"/>
              <w:bottom w:w="30" w:type="dxa"/>
              <w:right w:w="0" w:type="dxa"/>
            </w:tcMar>
            <w:vAlign w:val="bottom"/>
            <w:hideMark/>
          </w:tcPr>
          <w:p w14:paraId="28F7D23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47BCE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6C39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AFB6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FBA66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2BFE0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BE5F36" w14:textId="77777777" w:rsidR="00000000" w:rsidRDefault="00E614A4">
            <w:pPr>
              <w:jc w:val="right"/>
              <w:rPr>
                <w:rFonts w:eastAsia="Times New Roman"/>
              </w:rPr>
            </w:pPr>
            <w:r>
              <w:rPr>
                <w:rFonts w:eastAsia="Times New Roman"/>
                <w:color w:val="000000"/>
                <w:sz w:val="18"/>
                <w:szCs w:val="18"/>
              </w:rPr>
              <w:t>871 </w:t>
            </w:r>
          </w:p>
        </w:tc>
        <w:tc>
          <w:tcPr>
            <w:tcW w:w="0" w:type="auto"/>
            <w:shd w:val="clear" w:color="auto" w:fill="CCEEFF"/>
            <w:tcMar>
              <w:top w:w="30" w:type="dxa"/>
              <w:left w:w="0" w:type="dxa"/>
              <w:bottom w:w="30" w:type="dxa"/>
              <w:right w:w="20" w:type="dxa"/>
            </w:tcMar>
            <w:vAlign w:val="bottom"/>
            <w:hideMark/>
          </w:tcPr>
          <w:p w14:paraId="3B578BD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C55E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984B7F" w14:textId="77777777" w:rsidR="00000000" w:rsidRDefault="00E614A4">
            <w:pPr>
              <w:jc w:val="right"/>
              <w:rPr>
                <w:rFonts w:eastAsia="Times New Roman"/>
              </w:rPr>
            </w:pPr>
            <w:r>
              <w:rPr>
                <w:rFonts w:eastAsia="Times New Roman"/>
                <w:color w:val="000000"/>
                <w:sz w:val="18"/>
                <w:szCs w:val="18"/>
              </w:rPr>
              <w:t>871 </w:t>
            </w:r>
          </w:p>
        </w:tc>
        <w:tc>
          <w:tcPr>
            <w:tcW w:w="0" w:type="auto"/>
            <w:shd w:val="clear" w:color="auto" w:fill="CCEEFF"/>
            <w:tcMar>
              <w:top w:w="30" w:type="dxa"/>
              <w:left w:w="0" w:type="dxa"/>
              <w:bottom w:w="30" w:type="dxa"/>
              <w:right w:w="20" w:type="dxa"/>
            </w:tcMar>
            <w:vAlign w:val="bottom"/>
            <w:hideMark/>
          </w:tcPr>
          <w:p w14:paraId="3D95130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8408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A1138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75EAC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C562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277D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FCC3E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5643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127B4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0F4E5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C743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3F07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6D214E" w14:textId="77777777" w:rsidR="00000000" w:rsidRDefault="00E614A4">
            <w:pPr>
              <w:jc w:val="right"/>
              <w:rPr>
                <w:rFonts w:eastAsia="Times New Roman"/>
              </w:rPr>
            </w:pPr>
          </w:p>
        </w:tc>
      </w:tr>
      <w:tr w:rsidR="00E614A4" w14:paraId="4A09AB36" w14:textId="77777777">
        <w:trPr>
          <w:divId w:val="306011345"/>
          <w:jc w:val="center"/>
        </w:trPr>
        <w:tc>
          <w:tcPr>
            <w:tcW w:w="0" w:type="auto"/>
            <w:gridSpan w:val="3"/>
            <w:shd w:val="clear" w:color="auto" w:fill="FFFFFF"/>
            <w:tcMar>
              <w:top w:w="30" w:type="dxa"/>
              <w:left w:w="260" w:type="dxa"/>
              <w:bottom w:w="30" w:type="dxa"/>
              <w:right w:w="20" w:type="dxa"/>
            </w:tcMar>
            <w:hideMark/>
          </w:tcPr>
          <w:p w14:paraId="7E93A359" w14:textId="77777777" w:rsidR="00000000" w:rsidRDefault="00E614A4">
            <w:pPr>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EE9A3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9E5C95"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52B9F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B50501"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8DF41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DB0D60"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9CD3A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6F59FF"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DC604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6773EA" w14:textId="77777777" w:rsidR="00000000" w:rsidRDefault="00E614A4">
            <w:pPr>
              <w:jc w:val="right"/>
              <w:rPr>
                <w:rFonts w:eastAsia="Times New Roman"/>
              </w:rPr>
            </w:pPr>
            <w:r>
              <w:rPr>
                <w:rFonts w:eastAsia="Times New Roman"/>
                <w:color w:val="000000"/>
                <w:sz w:val="18"/>
                <w:szCs w:val="18"/>
              </w:rPr>
              <w:t>15,002 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D6C14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1C8DD"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439AB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93C69B" w14:textId="77777777" w:rsidR="00000000" w:rsidRDefault="00E614A4">
            <w:pPr>
              <w:jc w:val="right"/>
              <w:rPr>
                <w:rFonts w:eastAsia="Times New Roman"/>
              </w:rPr>
            </w:pPr>
            <w:r>
              <w:rPr>
                <w:rFonts w:eastAsia="Times New Roman"/>
                <w:color w:val="000000"/>
                <w:sz w:val="18"/>
                <w:szCs w:val="18"/>
              </w:rPr>
              <w:t>15,002 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371DD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1CDA0"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BA564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8BE15D"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51A03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D8D91"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ACD71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C50212"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ED4F8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07923"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03E2B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1C9C3D" w14:textId="77777777" w:rsidR="00000000" w:rsidRDefault="00E614A4">
            <w:pPr>
              <w:jc w:val="right"/>
              <w:rPr>
                <w:rFonts w:eastAsia="Times New Roman"/>
              </w:rPr>
            </w:pPr>
            <w:r>
              <w:rPr>
                <w:rFonts w:eastAsia="Times New Roman"/>
                <w:color w:val="000000"/>
                <w:sz w:val="18"/>
                <w:szCs w:val="18"/>
              </w:rPr>
              <w:t>29,312 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A26DE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5F3B65"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76560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CF1731" w14:textId="77777777" w:rsidR="00000000" w:rsidRDefault="00E614A4">
            <w:pPr>
              <w:jc w:val="right"/>
              <w:rPr>
                <w:rFonts w:eastAsia="Times New Roman"/>
              </w:rPr>
            </w:pPr>
            <w:r>
              <w:rPr>
                <w:rFonts w:eastAsia="Times New Roman"/>
                <w:color w:val="000000"/>
                <w:sz w:val="18"/>
                <w:szCs w:val="18"/>
              </w:rPr>
              <w:t>29,312 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B9AC0A" w14:textId="77777777" w:rsidR="00000000" w:rsidRDefault="00E614A4">
            <w:pPr>
              <w:jc w:val="right"/>
              <w:rPr>
                <w:rFonts w:eastAsia="Times New Roman"/>
              </w:rPr>
            </w:pPr>
          </w:p>
        </w:tc>
      </w:tr>
    </w:tbl>
    <w:p w14:paraId="6FFA1D91" w14:textId="77777777" w:rsidR="00000000" w:rsidRDefault="00E614A4">
      <w:pPr>
        <w:jc w:val="both"/>
        <w:divId w:val="1465151417"/>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Level 1 cash equivalents are invested in money market funds that are intended</w:t>
      </w:r>
      <w:r>
        <w:rPr>
          <w:rFonts w:eastAsia="Times New Roman"/>
          <w:i/>
          <w:iCs/>
          <w:color w:val="000000"/>
          <w:sz w:val="16"/>
          <w:szCs w:val="16"/>
        </w:rPr>
        <w:t xml:space="preserve"> to maintain a stable net asset value of $1.00 per share by investing in liquid, high quality U.S. Dollar-denominated money market instruments with maturities less than three months. </w:t>
      </w:r>
    </w:p>
    <w:p w14:paraId="694D338B" w14:textId="77777777" w:rsidR="00000000" w:rsidRDefault="00E614A4">
      <w:pPr>
        <w:divId w:val="675494706"/>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w:t>
      </w:r>
      <w:r>
        <w:rPr>
          <w:rFonts w:eastAsia="Times New Roman"/>
          <w:i/>
          <w:iCs/>
          <w:color w:val="000000"/>
          <w:sz w:val="16"/>
          <w:szCs w:val="16"/>
        </w:rPr>
        <w:t xml:space="preserve">The Company's certificates of deposit are recorded at their face value which approximates their fair value. </w:t>
      </w:r>
    </w:p>
    <w:p w14:paraId="51BF3CAD" w14:textId="77777777" w:rsidR="00000000" w:rsidRDefault="00E614A4">
      <w:pPr>
        <w:jc w:val="both"/>
        <w:rPr>
          <w:rFonts w:eastAsia="Times New Roman"/>
        </w:rPr>
      </w:pPr>
      <w:r>
        <w:rPr>
          <w:rFonts w:eastAsia="Times New Roman"/>
          <w:i/>
          <w:iCs/>
          <w:color w:val="000000"/>
          <w:sz w:val="10"/>
          <w:szCs w:val="10"/>
        </w:rPr>
        <w:t>(3</w:t>
      </w:r>
      <w:r>
        <w:rPr>
          <w:rFonts w:eastAsia="Times New Roman"/>
          <w:i/>
          <w:iCs/>
          <w:color w:val="000000"/>
          <w:sz w:val="10"/>
          <w:szCs w:val="10"/>
        </w:rPr>
        <w:t>)</w:t>
      </w:r>
      <w:r>
        <w:rPr>
          <w:rFonts w:eastAsia="Times New Roman"/>
          <w:i/>
          <w:iCs/>
          <w:color w:val="000000"/>
          <w:sz w:val="16"/>
          <w:szCs w:val="16"/>
        </w:rPr>
        <w:t xml:space="preserve"> The fair values of the financing derivatives are </w:t>
      </w:r>
      <w:r>
        <w:rPr>
          <w:rFonts w:eastAsia="Times New Roman"/>
          <w:i/>
          <w:iCs/>
          <w:color w:val="000000"/>
          <w:sz w:val="16"/>
          <w:szCs w:val="16"/>
          <w:shd w:val="clear" w:color="auto" w:fill="FFFFFF"/>
        </w:rPr>
        <w:t>derived from techniques which utilize inputs, certain of which are significant and unobservabl</w:t>
      </w:r>
      <w:r>
        <w:rPr>
          <w:rFonts w:eastAsia="Times New Roman"/>
          <w:i/>
          <w:iCs/>
          <w:color w:val="000000"/>
          <w:sz w:val="16"/>
          <w:szCs w:val="16"/>
          <w:shd w:val="clear" w:color="auto" w:fill="FFFFFF"/>
        </w:rPr>
        <w:t>e, that result in classification as Level 3 fair value measurements. The fair value of the make-whole change of control derivative was estimated as negligible as of December 31, 2020. The qualifying change of control derivative expired on August 5, 2020.</w:t>
      </w:r>
    </w:p>
    <w:p w14:paraId="3087A93E" w14:textId="77777777" w:rsidR="00000000" w:rsidRDefault="00E614A4">
      <w:pPr>
        <w:jc w:val="both"/>
        <w:rPr>
          <w:rFonts w:eastAsia="Times New Roman"/>
        </w:rPr>
      </w:pPr>
      <w:r>
        <w:rPr>
          <w:rFonts w:eastAsia="Times New Roman"/>
          <w:i/>
          <w:iCs/>
          <w:color w:val="000000"/>
          <w:sz w:val="10"/>
          <w:szCs w:val="10"/>
        </w:rPr>
        <w:t>(</w:t>
      </w:r>
      <w:r>
        <w:rPr>
          <w:rFonts w:eastAsia="Times New Roman"/>
          <w:i/>
          <w:iCs/>
          <w:color w:val="000000"/>
          <w:sz w:val="10"/>
          <w:szCs w:val="10"/>
        </w:rPr>
        <w:t>4)</w:t>
      </w:r>
      <w:r>
        <w:rPr>
          <w:rFonts w:eastAsia="Times New Roman"/>
          <w:i/>
          <w:iCs/>
          <w:color w:val="000000"/>
          <w:sz w:val="10"/>
          <w:szCs w:val="10"/>
        </w:rPr>
        <w:t xml:space="preserve"> </w:t>
      </w:r>
      <w:r>
        <w:rPr>
          <w:rFonts w:eastAsia="Times New Roman"/>
          <w:i/>
          <w:iCs/>
          <w:color w:val="000000"/>
          <w:sz w:val="16"/>
          <w:szCs w:val="16"/>
        </w:rPr>
        <w:t>The fair values of the warrant liabilities are derived from techniques which utilize inputs, certain of which are significant and unobservable, that result in classification as Level 3 fair value measurements. The fair value of the Series B-1 warrants w</w:t>
      </w:r>
      <w:r>
        <w:rPr>
          <w:rFonts w:eastAsia="Times New Roman"/>
          <w:i/>
          <w:iCs/>
          <w:color w:val="000000"/>
          <w:sz w:val="16"/>
          <w:szCs w:val="16"/>
        </w:rPr>
        <w:t>as estimated as negligible as of December 31, 2019. The Series B-1 warrants expired without exercise on January 29, 2020. The Series B-2 Warrants expired without exercise on August 3, 2020.</w:t>
      </w:r>
    </w:p>
    <w:p w14:paraId="5F7474AE" w14:textId="77777777" w:rsidR="00000000" w:rsidRDefault="00E614A4">
      <w:pPr>
        <w:jc w:val="both"/>
        <w:rPr>
          <w:rFonts w:eastAsia="Times New Roman"/>
        </w:rPr>
      </w:pPr>
      <w:r>
        <w:rPr>
          <w:rFonts w:eastAsia="Times New Roman"/>
          <w:i/>
          <w:iCs/>
          <w:color w:val="000000"/>
          <w:sz w:val="10"/>
          <w:szCs w:val="10"/>
        </w:rPr>
        <w:t>(5)</w:t>
      </w:r>
      <w:r>
        <w:rPr>
          <w:rFonts w:eastAsia="Times New Roman"/>
          <w:i/>
          <w:iCs/>
          <w:color w:val="000000"/>
          <w:sz w:val="10"/>
          <w:szCs w:val="10"/>
        </w:rPr>
        <w:t xml:space="preserve"> </w:t>
      </w:r>
      <w:r>
        <w:rPr>
          <w:rFonts w:eastAsia="Times New Roman"/>
          <w:i/>
          <w:iCs/>
          <w:color w:val="000000"/>
          <w:sz w:val="16"/>
          <w:szCs w:val="16"/>
        </w:rPr>
        <w:t>The fair values of embedded derivatives within the secured ter</w:t>
      </w:r>
      <w:r>
        <w:rPr>
          <w:rFonts w:eastAsia="Times New Roman"/>
          <w:i/>
          <w:iCs/>
          <w:color w:val="000000"/>
          <w:sz w:val="16"/>
          <w:szCs w:val="16"/>
        </w:rPr>
        <w:t xml:space="preserve">m note are derived from techniques which utilize inputs, certain of which are significant and unobservable, that result in classification as Level 3 fair value measurements. The interest make-whole derivative is classified within other current liabilities </w:t>
      </w:r>
      <w:r>
        <w:rPr>
          <w:rFonts w:eastAsia="Times New Roman"/>
          <w:i/>
          <w:iCs/>
          <w:color w:val="000000"/>
          <w:sz w:val="16"/>
          <w:szCs w:val="16"/>
        </w:rPr>
        <w:t>in the Consolidated Financial Statements as of December 31, 2020.</w:t>
      </w:r>
    </w:p>
    <w:p w14:paraId="11AD2A27" w14:textId="77777777" w:rsidR="00000000" w:rsidRDefault="00E614A4">
      <w:pPr>
        <w:jc w:val="both"/>
        <w:divId w:val="90283"/>
        <w:rPr>
          <w:rFonts w:eastAsia="Times New Roman"/>
        </w:rPr>
      </w:pPr>
      <w:r>
        <w:rPr>
          <w:rFonts w:eastAsia="Times New Roman"/>
          <w:color w:val="000000"/>
          <w:sz w:val="20"/>
          <w:szCs w:val="20"/>
        </w:rPr>
        <w:t>The Company did not have any transfers between fair value measurement levels during the periods presented. There were no changes to the Company's valuation methodologies during the years end</w:t>
      </w:r>
      <w:r>
        <w:rPr>
          <w:rFonts w:eastAsia="Times New Roman"/>
          <w:color w:val="000000"/>
          <w:sz w:val="20"/>
          <w:szCs w:val="20"/>
        </w:rPr>
        <w:t>ed December 31, 2020 or 2019, respectively.</w:t>
      </w:r>
    </w:p>
    <w:p w14:paraId="3B36E612" w14:textId="77777777" w:rsidR="00000000" w:rsidRDefault="00E614A4">
      <w:pPr>
        <w:jc w:val="both"/>
        <w:divId w:val="696464881"/>
        <w:rPr>
          <w:rFonts w:eastAsia="Times New Roman"/>
        </w:rPr>
      </w:pPr>
      <w:r>
        <w:rPr>
          <w:rFonts w:eastAsia="Times New Roman"/>
          <w:color w:val="000000"/>
          <w:sz w:val="20"/>
          <w:szCs w:val="20"/>
        </w:rPr>
        <w:t>The following tables present the changes in the Company's recurring Level 3 fair value measurements for the financing derivatives, warrants liability and interest make-whole derivative for the years ended Decembe</w:t>
      </w:r>
      <w:r>
        <w:rPr>
          <w:rFonts w:eastAsia="Times New Roman"/>
          <w:color w:val="000000"/>
          <w:sz w:val="20"/>
          <w:szCs w:val="20"/>
        </w:rPr>
        <w:t>r 31, 2020 and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681"/>
        <w:gridCol w:w="39"/>
        <w:gridCol w:w="111"/>
        <w:gridCol w:w="963"/>
        <w:gridCol w:w="36"/>
        <w:gridCol w:w="36"/>
        <w:gridCol w:w="36"/>
        <w:gridCol w:w="36"/>
        <w:gridCol w:w="111"/>
        <w:gridCol w:w="963"/>
        <w:gridCol w:w="36"/>
        <w:gridCol w:w="36"/>
        <w:gridCol w:w="36"/>
        <w:gridCol w:w="36"/>
        <w:gridCol w:w="111"/>
        <w:gridCol w:w="963"/>
        <w:gridCol w:w="36"/>
      </w:tblGrid>
      <w:tr w:rsidR="00000000" w14:paraId="587F9839" w14:textId="77777777">
        <w:trPr>
          <w:divId w:val="954408538"/>
          <w:jc w:val="center"/>
        </w:trPr>
        <w:tc>
          <w:tcPr>
            <w:tcW w:w="50" w:type="pct"/>
            <w:vAlign w:val="center"/>
            <w:hideMark/>
          </w:tcPr>
          <w:p w14:paraId="44251A74" w14:textId="77777777" w:rsidR="00000000" w:rsidRDefault="00E614A4">
            <w:pPr>
              <w:jc w:val="both"/>
              <w:rPr>
                <w:rFonts w:eastAsia="Times New Roman"/>
              </w:rPr>
            </w:pPr>
          </w:p>
        </w:tc>
        <w:tc>
          <w:tcPr>
            <w:tcW w:w="2868" w:type="pct"/>
            <w:vAlign w:val="center"/>
            <w:hideMark/>
          </w:tcPr>
          <w:p w14:paraId="5E74ACC7" w14:textId="77777777" w:rsidR="00000000" w:rsidRDefault="00E614A4">
            <w:pPr>
              <w:rPr>
                <w:rFonts w:eastAsia="Times New Roman"/>
                <w:sz w:val="20"/>
                <w:szCs w:val="20"/>
              </w:rPr>
            </w:pPr>
          </w:p>
        </w:tc>
        <w:tc>
          <w:tcPr>
            <w:tcW w:w="5" w:type="pct"/>
            <w:vAlign w:val="center"/>
            <w:hideMark/>
          </w:tcPr>
          <w:p w14:paraId="3D1549ED" w14:textId="77777777" w:rsidR="00000000" w:rsidRDefault="00E614A4">
            <w:pPr>
              <w:rPr>
                <w:rFonts w:eastAsia="Times New Roman"/>
                <w:sz w:val="20"/>
                <w:szCs w:val="20"/>
              </w:rPr>
            </w:pPr>
          </w:p>
        </w:tc>
        <w:tc>
          <w:tcPr>
            <w:tcW w:w="50" w:type="pct"/>
            <w:vAlign w:val="center"/>
            <w:hideMark/>
          </w:tcPr>
          <w:p w14:paraId="74C1D7B2" w14:textId="77777777" w:rsidR="00000000" w:rsidRDefault="00E614A4">
            <w:pPr>
              <w:rPr>
                <w:rFonts w:eastAsia="Times New Roman"/>
                <w:sz w:val="20"/>
                <w:szCs w:val="20"/>
              </w:rPr>
            </w:pPr>
          </w:p>
        </w:tc>
        <w:tc>
          <w:tcPr>
            <w:tcW w:w="618" w:type="pct"/>
            <w:vAlign w:val="center"/>
            <w:hideMark/>
          </w:tcPr>
          <w:p w14:paraId="4B7CB642" w14:textId="77777777" w:rsidR="00000000" w:rsidRDefault="00E614A4">
            <w:pPr>
              <w:rPr>
                <w:rFonts w:eastAsia="Times New Roman"/>
                <w:sz w:val="20"/>
                <w:szCs w:val="20"/>
              </w:rPr>
            </w:pPr>
          </w:p>
        </w:tc>
        <w:tc>
          <w:tcPr>
            <w:tcW w:w="5" w:type="pct"/>
            <w:vAlign w:val="center"/>
            <w:hideMark/>
          </w:tcPr>
          <w:p w14:paraId="0A68DFB7" w14:textId="77777777" w:rsidR="00000000" w:rsidRDefault="00E614A4">
            <w:pPr>
              <w:rPr>
                <w:rFonts w:eastAsia="Times New Roman"/>
                <w:sz w:val="20"/>
                <w:szCs w:val="20"/>
              </w:rPr>
            </w:pPr>
          </w:p>
        </w:tc>
        <w:tc>
          <w:tcPr>
            <w:tcW w:w="5" w:type="pct"/>
            <w:vAlign w:val="center"/>
            <w:hideMark/>
          </w:tcPr>
          <w:p w14:paraId="745B2BDF" w14:textId="77777777" w:rsidR="00000000" w:rsidRDefault="00E614A4">
            <w:pPr>
              <w:rPr>
                <w:rFonts w:eastAsia="Times New Roman"/>
                <w:sz w:val="20"/>
                <w:szCs w:val="20"/>
              </w:rPr>
            </w:pPr>
          </w:p>
        </w:tc>
        <w:tc>
          <w:tcPr>
            <w:tcW w:w="17" w:type="pct"/>
            <w:vAlign w:val="center"/>
            <w:hideMark/>
          </w:tcPr>
          <w:p w14:paraId="68AEF349" w14:textId="77777777" w:rsidR="00000000" w:rsidRDefault="00E614A4">
            <w:pPr>
              <w:rPr>
                <w:rFonts w:eastAsia="Times New Roman"/>
                <w:sz w:val="20"/>
                <w:szCs w:val="20"/>
              </w:rPr>
            </w:pPr>
          </w:p>
        </w:tc>
        <w:tc>
          <w:tcPr>
            <w:tcW w:w="5" w:type="pct"/>
            <w:vAlign w:val="center"/>
            <w:hideMark/>
          </w:tcPr>
          <w:p w14:paraId="1AB8194E" w14:textId="77777777" w:rsidR="00000000" w:rsidRDefault="00E614A4">
            <w:pPr>
              <w:rPr>
                <w:rFonts w:eastAsia="Times New Roman"/>
                <w:sz w:val="20"/>
                <w:szCs w:val="20"/>
              </w:rPr>
            </w:pPr>
          </w:p>
        </w:tc>
        <w:tc>
          <w:tcPr>
            <w:tcW w:w="50" w:type="pct"/>
            <w:vAlign w:val="center"/>
            <w:hideMark/>
          </w:tcPr>
          <w:p w14:paraId="23AF7A63" w14:textId="77777777" w:rsidR="00000000" w:rsidRDefault="00E614A4">
            <w:pPr>
              <w:rPr>
                <w:rFonts w:eastAsia="Times New Roman"/>
                <w:sz w:val="20"/>
                <w:szCs w:val="20"/>
              </w:rPr>
            </w:pPr>
          </w:p>
        </w:tc>
        <w:tc>
          <w:tcPr>
            <w:tcW w:w="618" w:type="pct"/>
            <w:vAlign w:val="center"/>
            <w:hideMark/>
          </w:tcPr>
          <w:p w14:paraId="1DF6F285" w14:textId="77777777" w:rsidR="00000000" w:rsidRDefault="00E614A4">
            <w:pPr>
              <w:rPr>
                <w:rFonts w:eastAsia="Times New Roman"/>
                <w:sz w:val="20"/>
                <w:szCs w:val="20"/>
              </w:rPr>
            </w:pPr>
          </w:p>
        </w:tc>
        <w:tc>
          <w:tcPr>
            <w:tcW w:w="5" w:type="pct"/>
            <w:vAlign w:val="center"/>
            <w:hideMark/>
          </w:tcPr>
          <w:p w14:paraId="25C2A7E4" w14:textId="77777777" w:rsidR="00000000" w:rsidRDefault="00E614A4">
            <w:pPr>
              <w:rPr>
                <w:rFonts w:eastAsia="Times New Roman"/>
                <w:sz w:val="20"/>
                <w:szCs w:val="20"/>
              </w:rPr>
            </w:pPr>
          </w:p>
        </w:tc>
        <w:tc>
          <w:tcPr>
            <w:tcW w:w="5" w:type="pct"/>
            <w:vAlign w:val="center"/>
            <w:hideMark/>
          </w:tcPr>
          <w:p w14:paraId="37AFABEC" w14:textId="77777777" w:rsidR="00000000" w:rsidRDefault="00E614A4">
            <w:pPr>
              <w:rPr>
                <w:rFonts w:eastAsia="Times New Roman"/>
                <w:sz w:val="20"/>
                <w:szCs w:val="20"/>
              </w:rPr>
            </w:pPr>
          </w:p>
        </w:tc>
        <w:tc>
          <w:tcPr>
            <w:tcW w:w="17" w:type="pct"/>
            <w:vAlign w:val="center"/>
            <w:hideMark/>
          </w:tcPr>
          <w:p w14:paraId="69634B42" w14:textId="77777777" w:rsidR="00000000" w:rsidRDefault="00E614A4">
            <w:pPr>
              <w:rPr>
                <w:rFonts w:eastAsia="Times New Roman"/>
                <w:sz w:val="20"/>
                <w:szCs w:val="20"/>
              </w:rPr>
            </w:pPr>
          </w:p>
        </w:tc>
        <w:tc>
          <w:tcPr>
            <w:tcW w:w="5" w:type="pct"/>
            <w:vAlign w:val="center"/>
            <w:hideMark/>
          </w:tcPr>
          <w:p w14:paraId="214B0A9B" w14:textId="77777777" w:rsidR="00000000" w:rsidRDefault="00E614A4">
            <w:pPr>
              <w:rPr>
                <w:rFonts w:eastAsia="Times New Roman"/>
                <w:sz w:val="20"/>
                <w:szCs w:val="20"/>
              </w:rPr>
            </w:pPr>
          </w:p>
        </w:tc>
        <w:tc>
          <w:tcPr>
            <w:tcW w:w="50" w:type="pct"/>
            <w:vAlign w:val="center"/>
            <w:hideMark/>
          </w:tcPr>
          <w:p w14:paraId="56E297CD" w14:textId="77777777" w:rsidR="00000000" w:rsidRDefault="00E614A4">
            <w:pPr>
              <w:rPr>
                <w:rFonts w:eastAsia="Times New Roman"/>
                <w:sz w:val="20"/>
                <w:szCs w:val="20"/>
              </w:rPr>
            </w:pPr>
          </w:p>
        </w:tc>
        <w:tc>
          <w:tcPr>
            <w:tcW w:w="618" w:type="pct"/>
            <w:vAlign w:val="center"/>
            <w:hideMark/>
          </w:tcPr>
          <w:p w14:paraId="4DE675DA" w14:textId="77777777" w:rsidR="00000000" w:rsidRDefault="00E614A4">
            <w:pPr>
              <w:rPr>
                <w:rFonts w:eastAsia="Times New Roman"/>
                <w:sz w:val="20"/>
                <w:szCs w:val="20"/>
              </w:rPr>
            </w:pPr>
          </w:p>
        </w:tc>
        <w:tc>
          <w:tcPr>
            <w:tcW w:w="5" w:type="pct"/>
            <w:vAlign w:val="center"/>
            <w:hideMark/>
          </w:tcPr>
          <w:p w14:paraId="1D4418FE" w14:textId="77777777" w:rsidR="00000000" w:rsidRDefault="00E614A4">
            <w:pPr>
              <w:rPr>
                <w:rFonts w:eastAsia="Times New Roman"/>
                <w:sz w:val="20"/>
                <w:szCs w:val="20"/>
              </w:rPr>
            </w:pPr>
          </w:p>
        </w:tc>
      </w:tr>
      <w:tr w:rsidR="00000000" w14:paraId="7EDA42EE" w14:textId="77777777">
        <w:trPr>
          <w:divId w:val="954408538"/>
          <w:jc w:val="center"/>
        </w:trPr>
        <w:tc>
          <w:tcPr>
            <w:tcW w:w="0" w:type="auto"/>
            <w:gridSpan w:val="3"/>
            <w:tcMar>
              <w:top w:w="30" w:type="dxa"/>
              <w:left w:w="20" w:type="dxa"/>
              <w:bottom w:w="30" w:type="dxa"/>
              <w:right w:w="20" w:type="dxa"/>
            </w:tcMar>
            <w:vAlign w:val="bottom"/>
            <w:hideMark/>
          </w:tcPr>
          <w:p w14:paraId="31FF9547"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350EA514" w14:textId="77777777" w:rsidR="00000000" w:rsidRDefault="00E614A4">
            <w:pPr>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14:paraId="0DDFB368"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59F246AA" w14:textId="77777777" w:rsidR="00000000" w:rsidRDefault="00E614A4">
            <w:pPr>
              <w:jc w:val="center"/>
              <w:rPr>
                <w:rFonts w:eastAsia="Times New Roman"/>
              </w:rPr>
            </w:pPr>
            <w:r>
              <w:rPr>
                <w:rFonts w:eastAsia="Times New Roman"/>
                <w:b/>
                <w:bCs/>
                <w:color w:val="000000"/>
                <w:sz w:val="16"/>
                <w:szCs w:val="16"/>
              </w:rPr>
              <w:t>Warrants Liability</w:t>
            </w:r>
          </w:p>
        </w:tc>
        <w:tc>
          <w:tcPr>
            <w:tcW w:w="0" w:type="auto"/>
            <w:gridSpan w:val="3"/>
            <w:tcMar>
              <w:top w:w="0" w:type="dxa"/>
              <w:left w:w="20" w:type="dxa"/>
              <w:bottom w:w="0" w:type="dxa"/>
              <w:right w:w="20" w:type="dxa"/>
            </w:tcMar>
            <w:vAlign w:val="center"/>
            <w:hideMark/>
          </w:tcPr>
          <w:p w14:paraId="3E8DD634"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625F58B0" w14:textId="77777777" w:rsidR="00000000" w:rsidRDefault="00E614A4">
            <w:pPr>
              <w:jc w:val="center"/>
              <w:rPr>
                <w:rFonts w:eastAsia="Times New Roman"/>
              </w:rPr>
            </w:pPr>
            <w:r>
              <w:rPr>
                <w:rFonts w:eastAsia="Times New Roman"/>
                <w:b/>
                <w:bCs/>
                <w:color w:val="000000"/>
                <w:sz w:val="16"/>
                <w:szCs w:val="16"/>
              </w:rPr>
              <w:t>Interest Make-whole Derivative Liability</w:t>
            </w:r>
          </w:p>
        </w:tc>
      </w:tr>
      <w:tr w:rsidR="00000000" w14:paraId="250697E9" w14:textId="77777777">
        <w:trPr>
          <w:divId w:val="954408538"/>
          <w:jc w:val="center"/>
        </w:trPr>
        <w:tc>
          <w:tcPr>
            <w:tcW w:w="0" w:type="auto"/>
            <w:gridSpan w:val="3"/>
            <w:shd w:val="clear" w:color="auto" w:fill="CCEEFF"/>
            <w:tcMar>
              <w:top w:w="30" w:type="dxa"/>
              <w:left w:w="20" w:type="dxa"/>
              <w:bottom w:w="30" w:type="dxa"/>
              <w:right w:w="20" w:type="dxa"/>
            </w:tcMar>
            <w:vAlign w:val="bottom"/>
            <w:hideMark/>
          </w:tcPr>
          <w:p w14:paraId="1646B35A" w14:textId="77777777" w:rsidR="00000000" w:rsidRDefault="00E614A4">
            <w:pPr>
              <w:rPr>
                <w:rFonts w:eastAsia="Times New Roman"/>
              </w:rPr>
            </w:pPr>
            <w:r>
              <w:rPr>
                <w:rFonts w:eastAsia="Times New Roman"/>
                <w:b/>
                <w:bCs/>
                <w:color w:val="000000"/>
                <w:sz w:val="18"/>
                <w:szCs w:val="18"/>
              </w:rPr>
              <w:t>Balance as of December 31, 2018</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5B462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9F4ACB" w14:textId="77777777" w:rsidR="00000000" w:rsidRDefault="00E614A4">
            <w:pPr>
              <w:jc w:val="right"/>
              <w:rPr>
                <w:rFonts w:eastAsia="Times New Roman"/>
              </w:rPr>
            </w:pPr>
            <w:r>
              <w:rPr>
                <w:rFonts w:eastAsia="Times New Roman"/>
                <w:color w:val="000000"/>
                <w:sz w:val="18"/>
                <w:szCs w:val="18"/>
              </w:rPr>
              <w:t>26,100 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05148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25804"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274F6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1E9E07"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A14A6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160A3"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D51EA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06243F"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A93944" w14:textId="77777777" w:rsidR="00000000" w:rsidRDefault="00E614A4">
            <w:pPr>
              <w:jc w:val="right"/>
              <w:rPr>
                <w:rFonts w:eastAsia="Times New Roman"/>
              </w:rPr>
            </w:pPr>
          </w:p>
        </w:tc>
      </w:tr>
      <w:tr w:rsidR="00000000" w14:paraId="390AA688" w14:textId="77777777">
        <w:trPr>
          <w:divId w:val="954408538"/>
          <w:jc w:val="center"/>
        </w:trPr>
        <w:tc>
          <w:tcPr>
            <w:tcW w:w="0" w:type="auto"/>
            <w:gridSpan w:val="3"/>
            <w:shd w:val="clear" w:color="auto" w:fill="FFFFFF"/>
            <w:tcMar>
              <w:top w:w="30" w:type="dxa"/>
              <w:left w:w="200" w:type="dxa"/>
              <w:bottom w:w="30" w:type="dxa"/>
              <w:right w:w="20" w:type="dxa"/>
            </w:tcMar>
            <w:vAlign w:val="bottom"/>
            <w:hideMark/>
          </w:tcPr>
          <w:p w14:paraId="08FE7B3E" w14:textId="77777777" w:rsidR="00000000" w:rsidRDefault="00E614A4">
            <w:pPr>
              <w:rPr>
                <w:rFonts w:eastAsia="Times New Roman"/>
              </w:rPr>
            </w:pPr>
            <w:r>
              <w:rPr>
                <w:rFonts w:eastAsia="Times New Roman"/>
                <w:color w:val="000000"/>
                <w:sz w:val="18"/>
                <w:szCs w:val="18"/>
              </w:rPr>
              <w:t>Issuances</w:t>
            </w:r>
          </w:p>
        </w:tc>
        <w:tc>
          <w:tcPr>
            <w:tcW w:w="0" w:type="auto"/>
            <w:gridSpan w:val="2"/>
            <w:shd w:val="clear" w:color="auto" w:fill="FFFFFF"/>
            <w:tcMar>
              <w:top w:w="30" w:type="dxa"/>
              <w:left w:w="20" w:type="dxa"/>
              <w:bottom w:w="30" w:type="dxa"/>
              <w:right w:w="0" w:type="dxa"/>
            </w:tcMar>
            <w:vAlign w:val="bottom"/>
            <w:hideMark/>
          </w:tcPr>
          <w:p w14:paraId="25CAA043" w14:textId="77777777" w:rsidR="00000000" w:rsidRDefault="00E614A4">
            <w:pPr>
              <w:jc w:val="right"/>
              <w:rPr>
                <w:rFonts w:eastAsia="Times New Roman"/>
              </w:rPr>
            </w:pPr>
            <w:r>
              <w:rPr>
                <w:rFonts w:eastAsia="Times New Roman"/>
                <w:color w:val="000000"/>
                <w:sz w:val="18"/>
                <w:szCs w:val="18"/>
              </w:rPr>
              <w:t>587 </w:t>
            </w:r>
          </w:p>
        </w:tc>
        <w:tc>
          <w:tcPr>
            <w:tcW w:w="0" w:type="auto"/>
            <w:shd w:val="clear" w:color="auto" w:fill="FFFFFF"/>
            <w:tcMar>
              <w:top w:w="30" w:type="dxa"/>
              <w:left w:w="0" w:type="dxa"/>
              <w:bottom w:w="30" w:type="dxa"/>
              <w:right w:w="20" w:type="dxa"/>
            </w:tcMar>
            <w:vAlign w:val="bottom"/>
            <w:hideMark/>
          </w:tcPr>
          <w:p w14:paraId="697300A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D107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9D5A21" w14:textId="77777777" w:rsidR="00000000" w:rsidRDefault="00E614A4">
            <w:pPr>
              <w:jc w:val="right"/>
              <w:rPr>
                <w:rFonts w:eastAsia="Times New Roman"/>
              </w:rPr>
            </w:pPr>
            <w:r>
              <w:rPr>
                <w:rFonts w:eastAsia="Times New Roman"/>
                <w:color w:val="000000"/>
                <w:sz w:val="18"/>
                <w:szCs w:val="18"/>
              </w:rPr>
              <w:t>10,798 </w:t>
            </w:r>
          </w:p>
        </w:tc>
        <w:tc>
          <w:tcPr>
            <w:tcW w:w="0" w:type="auto"/>
            <w:shd w:val="clear" w:color="auto" w:fill="FFFFFF"/>
            <w:tcMar>
              <w:top w:w="30" w:type="dxa"/>
              <w:left w:w="0" w:type="dxa"/>
              <w:bottom w:w="30" w:type="dxa"/>
              <w:right w:w="20" w:type="dxa"/>
            </w:tcMar>
            <w:vAlign w:val="bottom"/>
            <w:hideMark/>
          </w:tcPr>
          <w:p w14:paraId="3F97871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76FA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F326C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2329E3" w14:textId="77777777" w:rsidR="00000000" w:rsidRDefault="00E614A4">
            <w:pPr>
              <w:jc w:val="right"/>
              <w:rPr>
                <w:rFonts w:eastAsia="Times New Roman"/>
              </w:rPr>
            </w:pPr>
          </w:p>
        </w:tc>
      </w:tr>
      <w:tr w:rsidR="00000000" w14:paraId="4E896FFD" w14:textId="77777777">
        <w:trPr>
          <w:divId w:val="954408538"/>
          <w:jc w:val="center"/>
        </w:trPr>
        <w:tc>
          <w:tcPr>
            <w:tcW w:w="0" w:type="auto"/>
            <w:gridSpan w:val="3"/>
            <w:shd w:val="clear" w:color="auto" w:fill="CCEEFF"/>
            <w:tcMar>
              <w:top w:w="30" w:type="dxa"/>
              <w:left w:w="200" w:type="dxa"/>
              <w:bottom w:w="30" w:type="dxa"/>
              <w:right w:w="20" w:type="dxa"/>
            </w:tcMar>
            <w:vAlign w:val="bottom"/>
            <w:hideMark/>
          </w:tcPr>
          <w:p w14:paraId="68A38AAB" w14:textId="77777777" w:rsidR="00000000" w:rsidRDefault="00E614A4">
            <w:pPr>
              <w:rPr>
                <w:rFonts w:eastAsia="Times New Roman"/>
              </w:rPr>
            </w:pPr>
            <w:r>
              <w:rPr>
                <w:rFonts w:eastAsia="Times New Roman"/>
                <w:color w:val="000000"/>
                <w:sz w:val="18"/>
                <w:szCs w:val="18"/>
              </w:rPr>
              <w:t>Settlement</w:t>
            </w:r>
          </w:p>
        </w:tc>
        <w:tc>
          <w:tcPr>
            <w:tcW w:w="0" w:type="auto"/>
            <w:gridSpan w:val="2"/>
            <w:shd w:val="clear" w:color="auto" w:fill="CCEEFF"/>
            <w:tcMar>
              <w:top w:w="30" w:type="dxa"/>
              <w:left w:w="20" w:type="dxa"/>
              <w:bottom w:w="30" w:type="dxa"/>
              <w:right w:w="0" w:type="dxa"/>
            </w:tcMar>
            <w:vAlign w:val="bottom"/>
            <w:hideMark/>
          </w:tcPr>
          <w:p w14:paraId="650BA51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C9AE4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F15A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5FB025" w14:textId="77777777" w:rsidR="00000000" w:rsidRDefault="00E614A4">
            <w:pPr>
              <w:jc w:val="right"/>
              <w:rPr>
                <w:rFonts w:eastAsia="Times New Roman"/>
              </w:rPr>
            </w:pPr>
            <w:r>
              <w:rPr>
                <w:rFonts w:eastAsia="Times New Roman"/>
                <w:color w:val="000000"/>
                <w:sz w:val="18"/>
                <w:szCs w:val="18"/>
              </w:rPr>
              <w:t>(5,484)</w:t>
            </w:r>
          </w:p>
        </w:tc>
        <w:tc>
          <w:tcPr>
            <w:tcW w:w="0" w:type="auto"/>
            <w:shd w:val="clear" w:color="auto" w:fill="CCEEFF"/>
            <w:tcMar>
              <w:top w:w="30" w:type="dxa"/>
              <w:left w:w="0" w:type="dxa"/>
              <w:bottom w:w="30" w:type="dxa"/>
              <w:right w:w="20" w:type="dxa"/>
            </w:tcMar>
            <w:vAlign w:val="bottom"/>
            <w:hideMark/>
          </w:tcPr>
          <w:p w14:paraId="7CF53FB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9A21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B8A0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1BAB59" w14:textId="77777777" w:rsidR="00000000" w:rsidRDefault="00E614A4">
            <w:pPr>
              <w:jc w:val="right"/>
              <w:rPr>
                <w:rFonts w:eastAsia="Times New Roman"/>
              </w:rPr>
            </w:pPr>
          </w:p>
        </w:tc>
      </w:tr>
      <w:tr w:rsidR="00000000" w14:paraId="7480FF9E" w14:textId="77777777">
        <w:trPr>
          <w:divId w:val="954408538"/>
          <w:jc w:val="center"/>
        </w:trPr>
        <w:tc>
          <w:tcPr>
            <w:tcW w:w="0" w:type="auto"/>
            <w:gridSpan w:val="3"/>
            <w:shd w:val="clear" w:color="auto" w:fill="FFFFFF"/>
            <w:tcMar>
              <w:top w:w="30" w:type="dxa"/>
              <w:left w:w="20" w:type="dxa"/>
              <w:bottom w:w="30" w:type="dxa"/>
              <w:right w:w="20" w:type="dxa"/>
            </w:tcMar>
            <w:vAlign w:val="bottom"/>
            <w:hideMark/>
          </w:tcPr>
          <w:p w14:paraId="099A2404" w14:textId="77777777" w:rsidR="00000000" w:rsidRDefault="00E614A4">
            <w:pPr>
              <w:divId w:val="1718239097"/>
              <w:rPr>
                <w:rFonts w:eastAsia="Times New Roman"/>
              </w:rPr>
            </w:pPr>
            <w:r>
              <w:rPr>
                <w:rFonts w:eastAsia="Times New Roman"/>
                <w:color w:val="000000"/>
                <w:sz w:val="18"/>
                <w:szCs w:val="18"/>
              </w:rPr>
              <w:t>Total (gain) loss included in other income (expense),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79645E87" w14:textId="77777777" w:rsidR="00000000" w:rsidRDefault="00E614A4">
            <w:pPr>
              <w:jc w:val="right"/>
              <w:rPr>
                <w:rFonts w:eastAsia="Times New Roman"/>
              </w:rPr>
            </w:pPr>
            <w:r>
              <w:rPr>
                <w:rFonts w:eastAsia="Times New Roman"/>
                <w:color w:val="000000"/>
                <w:sz w:val="18"/>
                <w:szCs w:val="18"/>
              </w:rPr>
              <w:t>(5,100)</w:t>
            </w:r>
          </w:p>
        </w:tc>
        <w:tc>
          <w:tcPr>
            <w:tcW w:w="0" w:type="auto"/>
            <w:shd w:val="clear" w:color="auto" w:fill="FFFFFF"/>
            <w:tcMar>
              <w:top w:w="30" w:type="dxa"/>
              <w:left w:w="0" w:type="dxa"/>
              <w:bottom w:w="30" w:type="dxa"/>
              <w:right w:w="20" w:type="dxa"/>
            </w:tcMar>
            <w:vAlign w:val="bottom"/>
            <w:hideMark/>
          </w:tcPr>
          <w:p w14:paraId="1A8B604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9216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82C980" w14:textId="77777777" w:rsidR="00000000" w:rsidRDefault="00E614A4">
            <w:pPr>
              <w:jc w:val="right"/>
              <w:rPr>
                <w:rFonts w:eastAsia="Times New Roman"/>
              </w:rPr>
            </w:pPr>
            <w:r>
              <w:rPr>
                <w:rFonts w:eastAsia="Times New Roman"/>
                <w:color w:val="000000"/>
                <w:sz w:val="18"/>
                <w:szCs w:val="18"/>
              </w:rPr>
              <w:t>2,411 </w:t>
            </w:r>
          </w:p>
        </w:tc>
        <w:tc>
          <w:tcPr>
            <w:tcW w:w="0" w:type="auto"/>
            <w:shd w:val="clear" w:color="auto" w:fill="FFFFFF"/>
            <w:tcMar>
              <w:top w:w="30" w:type="dxa"/>
              <w:left w:w="0" w:type="dxa"/>
              <w:bottom w:w="30" w:type="dxa"/>
              <w:right w:w="20" w:type="dxa"/>
            </w:tcMar>
            <w:vAlign w:val="bottom"/>
            <w:hideMark/>
          </w:tcPr>
          <w:p w14:paraId="0B791B2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127C7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3E5D1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851B9D" w14:textId="77777777" w:rsidR="00000000" w:rsidRDefault="00E614A4">
            <w:pPr>
              <w:jc w:val="right"/>
              <w:rPr>
                <w:rFonts w:eastAsia="Times New Roman"/>
              </w:rPr>
            </w:pPr>
          </w:p>
        </w:tc>
      </w:tr>
      <w:tr w:rsidR="00000000" w14:paraId="669F715A" w14:textId="77777777">
        <w:trPr>
          <w:divId w:val="954408538"/>
          <w:jc w:val="center"/>
        </w:trPr>
        <w:tc>
          <w:tcPr>
            <w:tcW w:w="0" w:type="auto"/>
            <w:gridSpan w:val="3"/>
            <w:shd w:val="clear" w:color="auto" w:fill="CCEEFF"/>
            <w:tcMar>
              <w:top w:w="30" w:type="dxa"/>
              <w:left w:w="20" w:type="dxa"/>
              <w:bottom w:w="30" w:type="dxa"/>
              <w:right w:w="20" w:type="dxa"/>
            </w:tcMar>
            <w:vAlign w:val="bottom"/>
            <w:hideMark/>
          </w:tcPr>
          <w:p w14:paraId="13DB4956" w14:textId="77777777" w:rsidR="00000000" w:rsidRDefault="00E614A4">
            <w:pPr>
              <w:rPr>
                <w:rFonts w:eastAsia="Times New Roman"/>
              </w:rPr>
            </w:pPr>
            <w:r>
              <w:rPr>
                <w:rFonts w:eastAsia="Times New Roman"/>
                <w:b/>
                <w:bCs/>
                <w:color w:val="000000"/>
                <w:sz w:val="18"/>
                <w:szCs w:val="18"/>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99224F" w14:textId="77777777" w:rsidR="00000000" w:rsidRDefault="00E614A4">
            <w:pPr>
              <w:jc w:val="right"/>
              <w:rPr>
                <w:rFonts w:eastAsia="Times New Roman"/>
              </w:rPr>
            </w:pPr>
            <w:r>
              <w:rPr>
                <w:rFonts w:eastAsia="Times New Roman"/>
                <w:color w:val="000000"/>
                <w:sz w:val="18"/>
                <w:szCs w:val="18"/>
              </w:rPr>
              <w:t>21,587 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C6282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E8EB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B61809" w14:textId="77777777" w:rsidR="00000000" w:rsidRDefault="00E614A4">
            <w:pPr>
              <w:jc w:val="right"/>
              <w:rPr>
                <w:rFonts w:eastAsia="Times New Roman"/>
              </w:rPr>
            </w:pPr>
            <w:r>
              <w:rPr>
                <w:rFonts w:eastAsia="Times New Roman"/>
                <w:color w:val="000000"/>
                <w:sz w:val="18"/>
                <w:szCs w:val="18"/>
              </w:rPr>
              <w:t>7,725 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C5006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CBE1D"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064ACF"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70ACBB" w14:textId="77777777" w:rsidR="00000000" w:rsidRDefault="00E614A4">
            <w:pPr>
              <w:jc w:val="right"/>
              <w:rPr>
                <w:rFonts w:eastAsia="Times New Roman"/>
              </w:rPr>
            </w:pPr>
          </w:p>
        </w:tc>
      </w:tr>
      <w:tr w:rsidR="00000000" w14:paraId="78646F50" w14:textId="77777777">
        <w:trPr>
          <w:divId w:val="954408538"/>
          <w:jc w:val="center"/>
        </w:trPr>
        <w:tc>
          <w:tcPr>
            <w:tcW w:w="0" w:type="auto"/>
            <w:gridSpan w:val="3"/>
            <w:shd w:val="clear" w:color="auto" w:fill="FFFFFF"/>
            <w:tcMar>
              <w:top w:w="30" w:type="dxa"/>
              <w:left w:w="20" w:type="dxa"/>
              <w:bottom w:w="30" w:type="dxa"/>
              <w:right w:w="20" w:type="dxa"/>
            </w:tcMar>
            <w:vAlign w:val="bottom"/>
            <w:hideMark/>
          </w:tcPr>
          <w:p w14:paraId="0DCC676F" w14:textId="77777777" w:rsidR="00000000" w:rsidRDefault="00E614A4">
            <w:pPr>
              <w:divId w:val="772632333"/>
              <w:rPr>
                <w:rFonts w:eastAsia="Times New Roman"/>
              </w:rPr>
            </w:pPr>
            <w:r>
              <w:rPr>
                <w:rFonts w:eastAsia="Times New Roman"/>
                <w:color w:val="000000"/>
                <w:sz w:val="18"/>
                <w:szCs w:val="18"/>
              </w:rPr>
              <w:t>Total (gain) loss included in other income (expense), net</w:t>
            </w:r>
            <w:r>
              <w:rPr>
                <w:rFonts w:eastAsia="Times New Roman"/>
                <w:i/>
                <w:iCs/>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75A8C9B7" w14:textId="77777777" w:rsidR="00000000" w:rsidRDefault="00E614A4">
            <w:pPr>
              <w:jc w:val="right"/>
              <w:rPr>
                <w:rFonts w:eastAsia="Times New Roman"/>
              </w:rPr>
            </w:pPr>
            <w:r>
              <w:rPr>
                <w:rFonts w:eastAsia="Times New Roman"/>
                <w:color w:val="000000"/>
                <w:sz w:val="18"/>
                <w:szCs w:val="18"/>
              </w:rPr>
              <w:t>(10,287)</w:t>
            </w:r>
          </w:p>
        </w:tc>
        <w:tc>
          <w:tcPr>
            <w:tcW w:w="0" w:type="auto"/>
            <w:shd w:val="clear" w:color="auto" w:fill="FFFFFF"/>
            <w:tcMar>
              <w:top w:w="30" w:type="dxa"/>
              <w:left w:w="0" w:type="dxa"/>
              <w:bottom w:w="30" w:type="dxa"/>
              <w:right w:w="20" w:type="dxa"/>
            </w:tcMar>
            <w:vAlign w:val="bottom"/>
            <w:hideMark/>
          </w:tcPr>
          <w:p w14:paraId="674F5AC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97FE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8C4F9C" w14:textId="77777777" w:rsidR="00000000" w:rsidRDefault="00E614A4">
            <w:pPr>
              <w:jc w:val="right"/>
              <w:rPr>
                <w:rFonts w:eastAsia="Times New Roman"/>
              </w:rPr>
            </w:pPr>
            <w:r>
              <w:rPr>
                <w:rFonts w:eastAsia="Times New Roman"/>
                <w:color w:val="000000"/>
                <w:sz w:val="18"/>
                <w:szCs w:val="18"/>
              </w:rPr>
              <w:t>(4,894)</w:t>
            </w:r>
          </w:p>
        </w:tc>
        <w:tc>
          <w:tcPr>
            <w:tcW w:w="0" w:type="auto"/>
            <w:shd w:val="clear" w:color="auto" w:fill="FFFFFF"/>
            <w:tcMar>
              <w:top w:w="30" w:type="dxa"/>
              <w:left w:w="0" w:type="dxa"/>
              <w:bottom w:w="30" w:type="dxa"/>
              <w:right w:w="20" w:type="dxa"/>
            </w:tcMar>
            <w:vAlign w:val="bottom"/>
            <w:hideMark/>
          </w:tcPr>
          <w:p w14:paraId="4FD6B7D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5868D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BB9605" w14:textId="77777777" w:rsidR="00000000" w:rsidRDefault="00E614A4">
            <w:pPr>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14:paraId="7C76E60D" w14:textId="77777777" w:rsidR="00000000" w:rsidRDefault="00E614A4">
            <w:pPr>
              <w:jc w:val="right"/>
              <w:rPr>
                <w:rFonts w:eastAsia="Times New Roman"/>
              </w:rPr>
            </w:pPr>
          </w:p>
        </w:tc>
      </w:tr>
      <w:tr w:rsidR="00000000" w14:paraId="0477778D" w14:textId="77777777">
        <w:trPr>
          <w:divId w:val="954408538"/>
          <w:jc w:val="center"/>
        </w:trPr>
        <w:tc>
          <w:tcPr>
            <w:tcW w:w="0" w:type="auto"/>
            <w:gridSpan w:val="3"/>
            <w:shd w:val="clear" w:color="auto" w:fill="CCEEFF"/>
            <w:tcMar>
              <w:top w:w="30" w:type="dxa"/>
              <w:left w:w="20" w:type="dxa"/>
              <w:bottom w:w="30" w:type="dxa"/>
              <w:right w:w="20" w:type="dxa"/>
            </w:tcMar>
            <w:vAlign w:val="bottom"/>
            <w:hideMark/>
          </w:tcPr>
          <w:p w14:paraId="400F5429" w14:textId="77777777" w:rsidR="00000000" w:rsidRDefault="00E614A4">
            <w:pPr>
              <w:rPr>
                <w:rFonts w:eastAsia="Times New Roman"/>
              </w:rPr>
            </w:pPr>
            <w:r>
              <w:rPr>
                <w:rFonts w:eastAsia="Times New Roman"/>
                <w:b/>
                <w:bCs/>
                <w:color w:val="000000"/>
                <w:sz w:val="18"/>
                <w:szCs w:val="18"/>
              </w:rPr>
              <w:t>Balance as of December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1C8BB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292874" w14:textId="77777777" w:rsidR="00000000" w:rsidRDefault="00E614A4">
            <w:pPr>
              <w:jc w:val="right"/>
              <w:rPr>
                <w:rFonts w:eastAsia="Times New Roman"/>
              </w:rPr>
            </w:pPr>
            <w:r>
              <w:rPr>
                <w:rFonts w:eastAsia="Times New Roman"/>
                <w:color w:val="000000"/>
                <w:sz w:val="18"/>
                <w:szCs w:val="18"/>
              </w:rPr>
              <w:t>11,300 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01A15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8419A"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19A27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7A69E7" w14:textId="77777777" w:rsidR="00000000" w:rsidRDefault="00E614A4">
            <w:pPr>
              <w:jc w:val="right"/>
              <w:rPr>
                <w:rFonts w:eastAsia="Times New Roman"/>
              </w:rPr>
            </w:pPr>
            <w:r>
              <w:rPr>
                <w:rFonts w:eastAsia="Times New Roman"/>
                <w:color w:val="000000"/>
                <w:sz w:val="18"/>
                <w:szCs w:val="18"/>
              </w:rPr>
              <w:t>2,831 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3D7F1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1435C"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C20E7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B2CB2C" w14:textId="77777777" w:rsidR="00000000" w:rsidRDefault="00E614A4">
            <w:pPr>
              <w:jc w:val="right"/>
              <w:rPr>
                <w:rFonts w:eastAsia="Times New Roman"/>
              </w:rPr>
            </w:pPr>
            <w:r>
              <w:rPr>
                <w:rFonts w:eastAsia="Times New Roman"/>
                <w:color w:val="000000"/>
                <w:sz w:val="18"/>
                <w:szCs w:val="18"/>
              </w:rPr>
              <w:t>871 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2910D5" w14:textId="77777777" w:rsidR="00000000" w:rsidRDefault="00E614A4">
            <w:pPr>
              <w:jc w:val="right"/>
              <w:rPr>
                <w:rFonts w:eastAsia="Times New Roman"/>
              </w:rPr>
            </w:pPr>
          </w:p>
        </w:tc>
      </w:tr>
    </w:tbl>
    <w:p w14:paraId="76320A3A" w14:textId="77777777" w:rsidR="00000000" w:rsidRDefault="00E614A4">
      <w:pPr>
        <w:jc w:val="both"/>
        <w:divId w:val="91366603"/>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Represents $4.5 </w:t>
      </w:r>
      <w:r>
        <w:rPr>
          <w:rFonts w:eastAsia="Times New Roman"/>
          <w:i/>
          <w:iCs/>
          <w:color w:val="000000"/>
          <w:sz w:val="16"/>
          <w:szCs w:val="16"/>
        </w:rPr>
        <w:t>million gain due to change in fair value of interest rate reset derivative liability and $0.6 million gain due to change in fair value of the make-whole change of control redemption derivative liability. Represents $3.6 million loss due to change in fair v</w:t>
      </w:r>
      <w:r>
        <w:rPr>
          <w:rFonts w:eastAsia="Times New Roman"/>
          <w:i/>
          <w:iCs/>
          <w:color w:val="000000"/>
          <w:sz w:val="16"/>
          <w:szCs w:val="16"/>
        </w:rPr>
        <w:t>alue of the Series A Warrants, and gains of $0.3 million, $0.2 million and $0.7 million due to change in fair value of the Series B-1 Warrants, Series B-2 Warrants and Series C Warrants, respectively. All gains and losses were recorded in other income (exp</w:t>
      </w:r>
      <w:r>
        <w:rPr>
          <w:rFonts w:eastAsia="Times New Roman"/>
          <w:i/>
          <w:iCs/>
          <w:color w:val="000000"/>
          <w:sz w:val="16"/>
          <w:szCs w:val="16"/>
        </w:rPr>
        <w:t>ense), net in the Consolidated Statements of Operations and Comprehensive Loss.</w:t>
      </w:r>
    </w:p>
    <w:p w14:paraId="78BF4123" w14:textId="77777777" w:rsidR="00000000" w:rsidRDefault="00E614A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Represents $7.5 million gain due to change in fair value of interest rate reset derivative liability, $1.6 million gain due to change in fair value of the make-whole change</w:t>
      </w:r>
      <w:r>
        <w:rPr>
          <w:rFonts w:eastAsia="Times New Roman"/>
          <w:i/>
          <w:iCs/>
          <w:color w:val="000000"/>
          <w:sz w:val="16"/>
          <w:szCs w:val="16"/>
        </w:rPr>
        <w:t xml:space="preserve"> of control redemption derivative liability, and $1.2 million gain due to change in fair value of the qualifying change of control redemption derivative liability. Represents $4.7 million gain due to change in fair value of the Series A Warrants and $0.2 m</w:t>
      </w:r>
      <w:r>
        <w:rPr>
          <w:rFonts w:eastAsia="Times New Roman"/>
          <w:i/>
          <w:iCs/>
          <w:color w:val="000000"/>
          <w:sz w:val="16"/>
          <w:szCs w:val="16"/>
        </w:rPr>
        <w:t xml:space="preserve">illion gain due to change in fair value of the Series B-2 Warrants. All gains were recorded in other income (expense), net in the Consolidated Statements of Operations and Comprehensive Loss. </w:t>
      </w:r>
    </w:p>
    <w:p w14:paraId="5C32D579" w14:textId="77777777" w:rsidR="00000000" w:rsidRDefault="00E614A4">
      <w:pPr>
        <w:jc w:val="center"/>
        <w:divId w:val="585768172"/>
        <w:rPr>
          <w:rFonts w:eastAsia="Times New Roman"/>
        </w:rPr>
      </w:pPr>
      <w:r>
        <w:rPr>
          <w:rFonts w:eastAsia="Times New Roman"/>
          <w:color w:val="000000"/>
          <w:sz w:val="20"/>
          <w:szCs w:val="20"/>
        </w:rPr>
        <w:t>86</w:t>
      </w:r>
    </w:p>
    <w:p w14:paraId="2534633E" w14:textId="77777777" w:rsidR="00000000" w:rsidRDefault="00E614A4">
      <w:pPr>
        <w:rPr>
          <w:rFonts w:eastAsia="Times New Roman"/>
        </w:rPr>
      </w:pPr>
      <w:r>
        <w:rPr>
          <w:rFonts w:eastAsia="Times New Roman"/>
        </w:rPr>
        <w:pict w14:anchorId="44BEEE38">
          <v:rect id="_x0000_i1114" style="width:0;height:1.5pt" o:hralign="center" o:hrstd="t" o:hr="t" fillcolor="#a0a0a0" stroked="f"/>
        </w:pict>
      </w:r>
    </w:p>
    <w:p w14:paraId="65D004A8" w14:textId="77777777" w:rsidR="00000000" w:rsidRDefault="00E614A4">
      <w:pPr>
        <w:divId w:val="97779944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84F97A4" w14:textId="77777777" w:rsidR="00000000" w:rsidRDefault="00E614A4">
      <w:pPr>
        <w:divId w:val="219562309"/>
        <w:rPr>
          <w:rFonts w:eastAsia="Times New Roman"/>
        </w:rPr>
      </w:pPr>
    </w:p>
    <w:p w14:paraId="20795D06" w14:textId="77777777" w:rsidR="00000000" w:rsidRDefault="00E614A4">
      <w:pPr>
        <w:jc w:val="both"/>
        <w:divId w:val="184443837"/>
        <w:rPr>
          <w:rFonts w:eastAsia="Times New Roman"/>
        </w:rPr>
      </w:pPr>
      <w:r>
        <w:rPr>
          <w:rFonts w:eastAsia="Times New Roman"/>
          <w:color w:val="000000"/>
          <w:sz w:val="20"/>
          <w:szCs w:val="20"/>
        </w:rPr>
        <w:t>The following table displays valuation techniques and the significant inputs, certain of which are unobservable, for the Company's Level 3 liabilities measured at fair value as of December 31, 2020 and 2019:</w:t>
      </w:r>
    </w:p>
    <w:tbl>
      <w:tblPr>
        <w:tblW w:w="5000" w:type="pct"/>
        <w:tblCellMar>
          <w:top w:w="15" w:type="dxa"/>
          <w:left w:w="15" w:type="dxa"/>
          <w:bottom w:w="15" w:type="dxa"/>
          <w:right w:w="15" w:type="dxa"/>
        </w:tblCellMar>
        <w:tblLook w:val="04A0" w:firstRow="1" w:lastRow="0" w:firstColumn="1" w:lastColumn="0" w:noHBand="0" w:noVBand="1"/>
      </w:tblPr>
      <w:tblGrid>
        <w:gridCol w:w="38"/>
        <w:gridCol w:w="3550"/>
        <w:gridCol w:w="37"/>
        <w:gridCol w:w="64"/>
        <w:gridCol w:w="441"/>
        <w:gridCol w:w="39"/>
        <w:gridCol w:w="64"/>
        <w:gridCol w:w="336"/>
        <w:gridCol w:w="38"/>
        <w:gridCol w:w="37"/>
        <w:gridCol w:w="37"/>
        <w:gridCol w:w="37"/>
        <w:gridCol w:w="90"/>
        <w:gridCol w:w="563"/>
        <w:gridCol w:w="39"/>
        <w:gridCol w:w="90"/>
        <w:gridCol w:w="450"/>
        <w:gridCol w:w="38"/>
        <w:gridCol w:w="37"/>
        <w:gridCol w:w="37"/>
        <w:gridCol w:w="37"/>
        <w:gridCol w:w="55"/>
        <w:gridCol w:w="958"/>
        <w:gridCol w:w="36"/>
        <w:gridCol w:w="36"/>
        <w:gridCol w:w="36"/>
        <w:gridCol w:w="36"/>
        <w:gridCol w:w="55"/>
        <w:gridCol w:w="959"/>
        <w:gridCol w:w="36"/>
      </w:tblGrid>
      <w:tr w:rsidR="00000000" w14:paraId="0F9D8E67" w14:textId="77777777">
        <w:trPr>
          <w:divId w:val="1126582221"/>
        </w:trPr>
        <w:tc>
          <w:tcPr>
            <w:tcW w:w="50" w:type="pct"/>
            <w:vAlign w:val="center"/>
            <w:hideMark/>
          </w:tcPr>
          <w:p w14:paraId="6AF27F20" w14:textId="77777777" w:rsidR="00000000" w:rsidRDefault="00E614A4">
            <w:pPr>
              <w:jc w:val="both"/>
              <w:rPr>
                <w:rFonts w:eastAsia="Times New Roman"/>
              </w:rPr>
            </w:pPr>
          </w:p>
        </w:tc>
        <w:tc>
          <w:tcPr>
            <w:tcW w:w="2167" w:type="pct"/>
            <w:vAlign w:val="center"/>
            <w:hideMark/>
          </w:tcPr>
          <w:p w14:paraId="7403E78E" w14:textId="77777777" w:rsidR="00000000" w:rsidRDefault="00E614A4">
            <w:pPr>
              <w:rPr>
                <w:rFonts w:eastAsia="Times New Roman"/>
                <w:sz w:val="20"/>
                <w:szCs w:val="20"/>
              </w:rPr>
            </w:pPr>
          </w:p>
        </w:tc>
        <w:tc>
          <w:tcPr>
            <w:tcW w:w="5" w:type="pct"/>
            <w:vAlign w:val="center"/>
            <w:hideMark/>
          </w:tcPr>
          <w:p w14:paraId="54D73962" w14:textId="77777777" w:rsidR="00000000" w:rsidRDefault="00E614A4">
            <w:pPr>
              <w:rPr>
                <w:rFonts w:eastAsia="Times New Roman"/>
                <w:sz w:val="20"/>
                <w:szCs w:val="20"/>
              </w:rPr>
            </w:pPr>
          </w:p>
        </w:tc>
        <w:tc>
          <w:tcPr>
            <w:tcW w:w="50" w:type="pct"/>
            <w:vAlign w:val="center"/>
            <w:hideMark/>
          </w:tcPr>
          <w:p w14:paraId="5FC135BF" w14:textId="77777777" w:rsidR="00000000" w:rsidRDefault="00E614A4">
            <w:pPr>
              <w:rPr>
                <w:rFonts w:eastAsia="Times New Roman"/>
                <w:sz w:val="20"/>
                <w:szCs w:val="20"/>
              </w:rPr>
            </w:pPr>
          </w:p>
        </w:tc>
        <w:tc>
          <w:tcPr>
            <w:tcW w:w="313" w:type="pct"/>
            <w:vAlign w:val="center"/>
            <w:hideMark/>
          </w:tcPr>
          <w:p w14:paraId="1237D5BA" w14:textId="77777777" w:rsidR="00000000" w:rsidRDefault="00E614A4">
            <w:pPr>
              <w:rPr>
                <w:rFonts w:eastAsia="Times New Roman"/>
                <w:sz w:val="20"/>
                <w:szCs w:val="20"/>
              </w:rPr>
            </w:pPr>
          </w:p>
        </w:tc>
        <w:tc>
          <w:tcPr>
            <w:tcW w:w="5" w:type="pct"/>
            <w:vAlign w:val="center"/>
            <w:hideMark/>
          </w:tcPr>
          <w:p w14:paraId="030F0549" w14:textId="77777777" w:rsidR="00000000" w:rsidRDefault="00E614A4">
            <w:pPr>
              <w:rPr>
                <w:rFonts w:eastAsia="Times New Roman"/>
                <w:sz w:val="20"/>
                <w:szCs w:val="20"/>
              </w:rPr>
            </w:pPr>
          </w:p>
        </w:tc>
        <w:tc>
          <w:tcPr>
            <w:tcW w:w="50" w:type="pct"/>
            <w:vAlign w:val="center"/>
            <w:hideMark/>
          </w:tcPr>
          <w:p w14:paraId="724A6449" w14:textId="77777777" w:rsidR="00000000" w:rsidRDefault="00E614A4">
            <w:pPr>
              <w:rPr>
                <w:rFonts w:eastAsia="Times New Roman"/>
                <w:sz w:val="20"/>
                <w:szCs w:val="20"/>
              </w:rPr>
            </w:pPr>
          </w:p>
        </w:tc>
        <w:tc>
          <w:tcPr>
            <w:tcW w:w="250" w:type="pct"/>
            <w:vAlign w:val="center"/>
            <w:hideMark/>
          </w:tcPr>
          <w:p w14:paraId="2AF62927" w14:textId="77777777" w:rsidR="00000000" w:rsidRDefault="00E614A4">
            <w:pPr>
              <w:rPr>
                <w:rFonts w:eastAsia="Times New Roman"/>
                <w:sz w:val="20"/>
                <w:szCs w:val="20"/>
              </w:rPr>
            </w:pPr>
          </w:p>
        </w:tc>
        <w:tc>
          <w:tcPr>
            <w:tcW w:w="5" w:type="pct"/>
            <w:vAlign w:val="center"/>
            <w:hideMark/>
          </w:tcPr>
          <w:p w14:paraId="40958579" w14:textId="77777777" w:rsidR="00000000" w:rsidRDefault="00E614A4">
            <w:pPr>
              <w:rPr>
                <w:rFonts w:eastAsia="Times New Roman"/>
                <w:sz w:val="20"/>
                <w:szCs w:val="20"/>
              </w:rPr>
            </w:pPr>
          </w:p>
        </w:tc>
        <w:tc>
          <w:tcPr>
            <w:tcW w:w="5" w:type="pct"/>
            <w:vAlign w:val="center"/>
            <w:hideMark/>
          </w:tcPr>
          <w:p w14:paraId="432E57A9" w14:textId="77777777" w:rsidR="00000000" w:rsidRDefault="00E614A4">
            <w:pPr>
              <w:rPr>
                <w:rFonts w:eastAsia="Times New Roman"/>
                <w:sz w:val="20"/>
                <w:szCs w:val="20"/>
              </w:rPr>
            </w:pPr>
          </w:p>
        </w:tc>
        <w:tc>
          <w:tcPr>
            <w:tcW w:w="17" w:type="pct"/>
            <w:vAlign w:val="center"/>
            <w:hideMark/>
          </w:tcPr>
          <w:p w14:paraId="63E5CD07" w14:textId="77777777" w:rsidR="00000000" w:rsidRDefault="00E614A4">
            <w:pPr>
              <w:rPr>
                <w:rFonts w:eastAsia="Times New Roman"/>
                <w:sz w:val="20"/>
                <w:szCs w:val="20"/>
              </w:rPr>
            </w:pPr>
          </w:p>
        </w:tc>
        <w:tc>
          <w:tcPr>
            <w:tcW w:w="5" w:type="pct"/>
            <w:vAlign w:val="center"/>
            <w:hideMark/>
          </w:tcPr>
          <w:p w14:paraId="01F76F32" w14:textId="77777777" w:rsidR="00000000" w:rsidRDefault="00E614A4">
            <w:pPr>
              <w:rPr>
                <w:rFonts w:eastAsia="Times New Roman"/>
                <w:sz w:val="20"/>
                <w:szCs w:val="20"/>
              </w:rPr>
            </w:pPr>
          </w:p>
        </w:tc>
        <w:tc>
          <w:tcPr>
            <w:tcW w:w="50" w:type="pct"/>
            <w:vAlign w:val="center"/>
            <w:hideMark/>
          </w:tcPr>
          <w:p w14:paraId="0C7188FD" w14:textId="77777777" w:rsidR="00000000" w:rsidRDefault="00E614A4">
            <w:pPr>
              <w:rPr>
                <w:rFonts w:eastAsia="Times New Roman"/>
                <w:sz w:val="20"/>
                <w:szCs w:val="20"/>
              </w:rPr>
            </w:pPr>
          </w:p>
        </w:tc>
        <w:tc>
          <w:tcPr>
            <w:tcW w:w="313" w:type="pct"/>
            <w:vAlign w:val="center"/>
            <w:hideMark/>
          </w:tcPr>
          <w:p w14:paraId="7AA111C0" w14:textId="77777777" w:rsidR="00000000" w:rsidRDefault="00E614A4">
            <w:pPr>
              <w:rPr>
                <w:rFonts w:eastAsia="Times New Roman"/>
                <w:sz w:val="20"/>
                <w:szCs w:val="20"/>
              </w:rPr>
            </w:pPr>
          </w:p>
        </w:tc>
        <w:tc>
          <w:tcPr>
            <w:tcW w:w="5" w:type="pct"/>
            <w:vAlign w:val="center"/>
            <w:hideMark/>
          </w:tcPr>
          <w:p w14:paraId="1032DA4B" w14:textId="77777777" w:rsidR="00000000" w:rsidRDefault="00E614A4">
            <w:pPr>
              <w:rPr>
                <w:rFonts w:eastAsia="Times New Roman"/>
                <w:sz w:val="20"/>
                <w:szCs w:val="20"/>
              </w:rPr>
            </w:pPr>
          </w:p>
        </w:tc>
        <w:tc>
          <w:tcPr>
            <w:tcW w:w="50" w:type="pct"/>
            <w:vAlign w:val="center"/>
            <w:hideMark/>
          </w:tcPr>
          <w:p w14:paraId="09ED3B01" w14:textId="77777777" w:rsidR="00000000" w:rsidRDefault="00E614A4">
            <w:pPr>
              <w:rPr>
                <w:rFonts w:eastAsia="Times New Roman"/>
                <w:sz w:val="20"/>
                <w:szCs w:val="20"/>
              </w:rPr>
            </w:pPr>
          </w:p>
        </w:tc>
        <w:tc>
          <w:tcPr>
            <w:tcW w:w="250" w:type="pct"/>
            <w:vAlign w:val="center"/>
            <w:hideMark/>
          </w:tcPr>
          <w:p w14:paraId="6CFD3AFA" w14:textId="77777777" w:rsidR="00000000" w:rsidRDefault="00E614A4">
            <w:pPr>
              <w:rPr>
                <w:rFonts w:eastAsia="Times New Roman"/>
                <w:sz w:val="20"/>
                <w:szCs w:val="20"/>
              </w:rPr>
            </w:pPr>
          </w:p>
        </w:tc>
        <w:tc>
          <w:tcPr>
            <w:tcW w:w="5" w:type="pct"/>
            <w:vAlign w:val="center"/>
            <w:hideMark/>
          </w:tcPr>
          <w:p w14:paraId="49CC69B4" w14:textId="77777777" w:rsidR="00000000" w:rsidRDefault="00E614A4">
            <w:pPr>
              <w:rPr>
                <w:rFonts w:eastAsia="Times New Roman"/>
                <w:sz w:val="20"/>
                <w:szCs w:val="20"/>
              </w:rPr>
            </w:pPr>
          </w:p>
        </w:tc>
        <w:tc>
          <w:tcPr>
            <w:tcW w:w="5" w:type="pct"/>
            <w:vAlign w:val="center"/>
            <w:hideMark/>
          </w:tcPr>
          <w:p w14:paraId="41FFF2FC" w14:textId="77777777" w:rsidR="00000000" w:rsidRDefault="00E614A4">
            <w:pPr>
              <w:rPr>
                <w:rFonts w:eastAsia="Times New Roman"/>
                <w:sz w:val="20"/>
                <w:szCs w:val="20"/>
              </w:rPr>
            </w:pPr>
          </w:p>
        </w:tc>
        <w:tc>
          <w:tcPr>
            <w:tcW w:w="17" w:type="pct"/>
            <w:vAlign w:val="center"/>
            <w:hideMark/>
          </w:tcPr>
          <w:p w14:paraId="13198A29" w14:textId="77777777" w:rsidR="00000000" w:rsidRDefault="00E614A4">
            <w:pPr>
              <w:rPr>
                <w:rFonts w:eastAsia="Times New Roman"/>
                <w:sz w:val="20"/>
                <w:szCs w:val="20"/>
              </w:rPr>
            </w:pPr>
          </w:p>
        </w:tc>
        <w:tc>
          <w:tcPr>
            <w:tcW w:w="5" w:type="pct"/>
            <w:vAlign w:val="center"/>
            <w:hideMark/>
          </w:tcPr>
          <w:p w14:paraId="55D60DDA" w14:textId="77777777" w:rsidR="00000000" w:rsidRDefault="00E614A4">
            <w:pPr>
              <w:rPr>
                <w:rFonts w:eastAsia="Times New Roman"/>
                <w:sz w:val="20"/>
                <w:szCs w:val="20"/>
              </w:rPr>
            </w:pPr>
          </w:p>
        </w:tc>
        <w:tc>
          <w:tcPr>
            <w:tcW w:w="50" w:type="pct"/>
            <w:vAlign w:val="center"/>
            <w:hideMark/>
          </w:tcPr>
          <w:p w14:paraId="0FDE3E90" w14:textId="77777777" w:rsidR="00000000" w:rsidRDefault="00E614A4">
            <w:pPr>
              <w:rPr>
                <w:rFonts w:eastAsia="Times New Roman"/>
                <w:sz w:val="20"/>
                <w:szCs w:val="20"/>
              </w:rPr>
            </w:pPr>
          </w:p>
        </w:tc>
        <w:tc>
          <w:tcPr>
            <w:tcW w:w="618" w:type="pct"/>
            <w:vAlign w:val="center"/>
            <w:hideMark/>
          </w:tcPr>
          <w:p w14:paraId="5C12D009" w14:textId="77777777" w:rsidR="00000000" w:rsidRDefault="00E614A4">
            <w:pPr>
              <w:rPr>
                <w:rFonts w:eastAsia="Times New Roman"/>
                <w:sz w:val="20"/>
                <w:szCs w:val="20"/>
              </w:rPr>
            </w:pPr>
          </w:p>
        </w:tc>
        <w:tc>
          <w:tcPr>
            <w:tcW w:w="5" w:type="pct"/>
            <w:vAlign w:val="center"/>
            <w:hideMark/>
          </w:tcPr>
          <w:p w14:paraId="58C3CC2C" w14:textId="77777777" w:rsidR="00000000" w:rsidRDefault="00E614A4">
            <w:pPr>
              <w:rPr>
                <w:rFonts w:eastAsia="Times New Roman"/>
                <w:sz w:val="20"/>
                <w:szCs w:val="20"/>
              </w:rPr>
            </w:pPr>
          </w:p>
        </w:tc>
        <w:tc>
          <w:tcPr>
            <w:tcW w:w="5" w:type="pct"/>
            <w:vAlign w:val="center"/>
            <w:hideMark/>
          </w:tcPr>
          <w:p w14:paraId="6A7CAB31" w14:textId="77777777" w:rsidR="00000000" w:rsidRDefault="00E614A4">
            <w:pPr>
              <w:rPr>
                <w:rFonts w:eastAsia="Times New Roman"/>
                <w:sz w:val="20"/>
                <w:szCs w:val="20"/>
              </w:rPr>
            </w:pPr>
          </w:p>
        </w:tc>
        <w:tc>
          <w:tcPr>
            <w:tcW w:w="17" w:type="pct"/>
            <w:vAlign w:val="center"/>
            <w:hideMark/>
          </w:tcPr>
          <w:p w14:paraId="4BC076A1" w14:textId="77777777" w:rsidR="00000000" w:rsidRDefault="00E614A4">
            <w:pPr>
              <w:rPr>
                <w:rFonts w:eastAsia="Times New Roman"/>
                <w:sz w:val="20"/>
                <w:szCs w:val="20"/>
              </w:rPr>
            </w:pPr>
          </w:p>
        </w:tc>
        <w:tc>
          <w:tcPr>
            <w:tcW w:w="5" w:type="pct"/>
            <w:vAlign w:val="center"/>
            <w:hideMark/>
          </w:tcPr>
          <w:p w14:paraId="3193D3AF" w14:textId="77777777" w:rsidR="00000000" w:rsidRDefault="00E614A4">
            <w:pPr>
              <w:rPr>
                <w:rFonts w:eastAsia="Times New Roman"/>
                <w:sz w:val="20"/>
                <w:szCs w:val="20"/>
              </w:rPr>
            </w:pPr>
          </w:p>
        </w:tc>
        <w:tc>
          <w:tcPr>
            <w:tcW w:w="50" w:type="pct"/>
            <w:vAlign w:val="center"/>
            <w:hideMark/>
          </w:tcPr>
          <w:p w14:paraId="0F2CA835" w14:textId="77777777" w:rsidR="00000000" w:rsidRDefault="00E614A4">
            <w:pPr>
              <w:rPr>
                <w:rFonts w:eastAsia="Times New Roman"/>
                <w:sz w:val="20"/>
                <w:szCs w:val="20"/>
              </w:rPr>
            </w:pPr>
          </w:p>
        </w:tc>
        <w:tc>
          <w:tcPr>
            <w:tcW w:w="618" w:type="pct"/>
            <w:vAlign w:val="center"/>
            <w:hideMark/>
          </w:tcPr>
          <w:p w14:paraId="3F3DC59B" w14:textId="77777777" w:rsidR="00000000" w:rsidRDefault="00E614A4">
            <w:pPr>
              <w:rPr>
                <w:rFonts w:eastAsia="Times New Roman"/>
                <w:sz w:val="20"/>
                <w:szCs w:val="20"/>
              </w:rPr>
            </w:pPr>
          </w:p>
        </w:tc>
        <w:tc>
          <w:tcPr>
            <w:tcW w:w="5" w:type="pct"/>
            <w:vAlign w:val="center"/>
            <w:hideMark/>
          </w:tcPr>
          <w:p w14:paraId="3FD2A8AB" w14:textId="77777777" w:rsidR="00000000" w:rsidRDefault="00E614A4">
            <w:pPr>
              <w:rPr>
                <w:rFonts w:eastAsia="Times New Roman"/>
                <w:sz w:val="20"/>
                <w:szCs w:val="20"/>
              </w:rPr>
            </w:pPr>
          </w:p>
        </w:tc>
      </w:tr>
      <w:tr w:rsidR="00000000" w14:paraId="7B06F710" w14:textId="77777777">
        <w:trPr>
          <w:divId w:val="1126582221"/>
        </w:trPr>
        <w:tc>
          <w:tcPr>
            <w:tcW w:w="0" w:type="auto"/>
            <w:gridSpan w:val="3"/>
            <w:tcMar>
              <w:top w:w="0" w:type="dxa"/>
              <w:left w:w="20" w:type="dxa"/>
              <w:bottom w:w="0" w:type="dxa"/>
              <w:right w:w="20" w:type="dxa"/>
            </w:tcMar>
            <w:vAlign w:val="center"/>
            <w:hideMark/>
          </w:tcPr>
          <w:p w14:paraId="2A6CB693" w14:textId="77777777" w:rsidR="00000000" w:rsidRDefault="00E614A4">
            <w:pPr>
              <w:rPr>
                <w:rFonts w:eastAsia="Times New Roman"/>
                <w:sz w:val="20"/>
                <w:szCs w:val="20"/>
              </w:rPr>
            </w:pPr>
          </w:p>
        </w:tc>
        <w:tc>
          <w:tcPr>
            <w:tcW w:w="0" w:type="auto"/>
            <w:gridSpan w:val="27"/>
            <w:tcMar>
              <w:top w:w="30" w:type="dxa"/>
              <w:left w:w="20" w:type="dxa"/>
              <w:bottom w:w="30" w:type="dxa"/>
              <w:right w:w="20" w:type="dxa"/>
            </w:tcMar>
            <w:vAlign w:val="bottom"/>
            <w:hideMark/>
          </w:tcPr>
          <w:p w14:paraId="27A4DEE0" w14:textId="77777777" w:rsidR="00000000" w:rsidRDefault="00E614A4">
            <w:pPr>
              <w:jc w:val="center"/>
              <w:rPr>
                <w:rFonts w:eastAsia="Times New Roman"/>
              </w:rPr>
            </w:pPr>
            <w:r>
              <w:rPr>
                <w:rFonts w:eastAsia="Times New Roman"/>
                <w:b/>
                <w:bCs/>
                <w:color w:val="000000"/>
                <w:sz w:val="16"/>
                <w:szCs w:val="16"/>
              </w:rPr>
              <w:t>Fair value measurements</w:t>
            </w:r>
          </w:p>
        </w:tc>
      </w:tr>
      <w:tr w:rsidR="00000000" w14:paraId="2F1A9960" w14:textId="77777777">
        <w:trPr>
          <w:divId w:val="1126582221"/>
        </w:trPr>
        <w:tc>
          <w:tcPr>
            <w:tcW w:w="0" w:type="auto"/>
            <w:gridSpan w:val="3"/>
            <w:tcMar>
              <w:top w:w="0" w:type="dxa"/>
              <w:left w:w="20" w:type="dxa"/>
              <w:bottom w:w="0" w:type="dxa"/>
              <w:right w:w="20" w:type="dxa"/>
            </w:tcMar>
            <w:vAlign w:val="center"/>
            <w:hideMark/>
          </w:tcPr>
          <w:p w14:paraId="554109C9" w14:textId="77777777" w:rsidR="00000000" w:rsidRDefault="00E614A4">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3B21504B" w14:textId="77777777" w:rsidR="00000000" w:rsidRDefault="00E614A4">
            <w:pPr>
              <w:jc w:val="center"/>
              <w:rPr>
                <w:rFonts w:eastAsia="Times New Roman"/>
              </w:rPr>
            </w:pPr>
            <w:r>
              <w:rPr>
                <w:rFonts w:eastAsia="Times New Roman"/>
                <w:b/>
                <w:bCs/>
                <w:color w:val="000000"/>
                <w:sz w:val="16"/>
                <w:szCs w:val="16"/>
              </w:rPr>
              <w:t>Significant Valuation Technique</w:t>
            </w:r>
          </w:p>
        </w:tc>
        <w:tc>
          <w:tcPr>
            <w:tcW w:w="0" w:type="auto"/>
            <w:gridSpan w:val="3"/>
            <w:tcBorders>
              <w:top w:val="single" w:sz="8" w:space="0" w:color="000000"/>
            </w:tcBorders>
            <w:tcMar>
              <w:top w:w="0" w:type="dxa"/>
              <w:left w:w="20" w:type="dxa"/>
              <w:bottom w:w="0" w:type="dxa"/>
              <w:right w:w="20" w:type="dxa"/>
            </w:tcMar>
            <w:vAlign w:val="center"/>
            <w:hideMark/>
          </w:tcPr>
          <w:p w14:paraId="081212C9" w14:textId="77777777" w:rsidR="00000000" w:rsidRDefault="00E614A4">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38674BB6" w14:textId="77777777" w:rsidR="00000000" w:rsidRDefault="00E614A4">
            <w:pPr>
              <w:jc w:val="center"/>
              <w:rPr>
                <w:rFonts w:eastAsia="Times New Roman"/>
              </w:rPr>
            </w:pPr>
            <w:r>
              <w:rPr>
                <w:rFonts w:eastAsia="Times New Roman"/>
                <w:b/>
                <w:bCs/>
                <w:color w:val="000000"/>
                <w:sz w:val="16"/>
                <w:szCs w:val="16"/>
              </w:rPr>
              <w:t>Significant Valuation Inputs</w:t>
            </w:r>
          </w:p>
        </w:tc>
        <w:tc>
          <w:tcPr>
            <w:tcW w:w="0" w:type="auto"/>
            <w:gridSpan w:val="3"/>
            <w:tcBorders>
              <w:top w:val="single" w:sz="8" w:space="0" w:color="000000"/>
            </w:tcBorders>
            <w:tcMar>
              <w:top w:w="0" w:type="dxa"/>
              <w:left w:w="20" w:type="dxa"/>
              <w:bottom w:w="0" w:type="dxa"/>
              <w:right w:w="20" w:type="dxa"/>
            </w:tcMar>
            <w:vAlign w:val="center"/>
            <w:hideMark/>
          </w:tcPr>
          <w:p w14:paraId="6DD062C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6A4814" w14:textId="77777777" w:rsidR="00000000" w:rsidRDefault="00E614A4">
            <w:pPr>
              <w:jc w:val="center"/>
              <w:rPr>
                <w:rFonts w:eastAsia="Times New Roman"/>
              </w:rPr>
            </w:pPr>
            <w:r>
              <w:rPr>
                <w:rFonts w:eastAsia="Times New Roman"/>
                <w:b/>
                <w:bCs/>
                <w:color w:val="000000"/>
                <w:sz w:val="16"/>
                <w:szCs w:val="16"/>
              </w:rPr>
              <w:t>December 31, 2020</w:t>
            </w:r>
          </w:p>
        </w:tc>
        <w:tc>
          <w:tcPr>
            <w:tcW w:w="0" w:type="auto"/>
            <w:gridSpan w:val="3"/>
            <w:tcBorders>
              <w:top w:val="single" w:sz="8" w:space="0" w:color="000000"/>
            </w:tcBorders>
            <w:tcMar>
              <w:top w:w="0" w:type="dxa"/>
              <w:left w:w="20" w:type="dxa"/>
              <w:bottom w:w="0" w:type="dxa"/>
              <w:right w:w="20" w:type="dxa"/>
            </w:tcMar>
            <w:vAlign w:val="center"/>
            <w:hideMark/>
          </w:tcPr>
          <w:p w14:paraId="7E5C14BB"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9458AC" w14:textId="77777777" w:rsidR="00000000" w:rsidRDefault="00E614A4">
            <w:pPr>
              <w:jc w:val="center"/>
              <w:rPr>
                <w:rFonts w:eastAsia="Times New Roman"/>
              </w:rPr>
            </w:pPr>
            <w:r>
              <w:rPr>
                <w:rFonts w:eastAsia="Times New Roman"/>
                <w:b/>
                <w:bCs/>
                <w:color w:val="000000"/>
                <w:sz w:val="16"/>
                <w:szCs w:val="16"/>
              </w:rPr>
              <w:t>December 31, 2019</w:t>
            </w:r>
          </w:p>
        </w:tc>
      </w:tr>
      <w:tr w:rsidR="00000000" w14:paraId="33622BEF" w14:textId="77777777">
        <w:trPr>
          <w:divId w:val="1126582221"/>
        </w:trPr>
        <w:tc>
          <w:tcPr>
            <w:tcW w:w="0" w:type="auto"/>
            <w:gridSpan w:val="3"/>
            <w:shd w:val="clear" w:color="auto" w:fill="CCEEFF"/>
            <w:tcMar>
              <w:top w:w="30" w:type="dxa"/>
              <w:left w:w="20" w:type="dxa"/>
              <w:bottom w:w="30" w:type="dxa"/>
              <w:right w:w="20" w:type="dxa"/>
            </w:tcMar>
            <w:hideMark/>
          </w:tcPr>
          <w:p w14:paraId="2A7AB804" w14:textId="77777777" w:rsidR="00000000" w:rsidRDefault="00E614A4">
            <w:pPr>
              <w:rPr>
                <w:rFonts w:eastAsia="Times New Roman"/>
              </w:rPr>
            </w:pPr>
            <w:r>
              <w:rPr>
                <w:rFonts w:eastAsia="Times New Roman"/>
                <w:color w:val="000000"/>
                <w:sz w:val="18"/>
                <w:szCs w:val="18"/>
              </w:rPr>
              <w:t>Interest rate reset derivative liability</w:t>
            </w:r>
          </w:p>
        </w:tc>
        <w:tc>
          <w:tcPr>
            <w:tcW w:w="0" w:type="auto"/>
            <w:gridSpan w:val="6"/>
            <w:tcBorders>
              <w:top w:val="single" w:sz="8" w:space="0" w:color="000000"/>
            </w:tcBorders>
            <w:shd w:val="clear" w:color="auto" w:fill="CCEEFF"/>
            <w:tcMar>
              <w:top w:w="30" w:type="dxa"/>
              <w:left w:w="20" w:type="dxa"/>
              <w:bottom w:w="30" w:type="dxa"/>
              <w:right w:w="20" w:type="dxa"/>
            </w:tcMar>
            <w:hideMark/>
          </w:tcPr>
          <w:p w14:paraId="40F23783" w14:textId="77777777" w:rsidR="00000000" w:rsidRDefault="00E614A4">
            <w:pPr>
              <w:jc w:val="cente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14:paraId="27487010" w14:textId="77777777" w:rsidR="00000000" w:rsidRDefault="00E614A4">
            <w:pPr>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14:paraId="20FFD6A1" w14:textId="77777777" w:rsidR="00000000" w:rsidRDefault="00E614A4">
            <w:pPr>
              <w:rPr>
                <w:rFonts w:eastAsia="Times New Roman"/>
              </w:rPr>
            </w:pPr>
            <w:r>
              <w:rPr>
                <w:rFonts w:eastAsia="Times New Roman"/>
                <w:color w:val="000000"/>
                <w:sz w:val="18"/>
                <w:szCs w:val="18"/>
              </w:rPr>
              <w:t>Discount rate</w:t>
            </w:r>
          </w:p>
        </w:tc>
        <w:tc>
          <w:tcPr>
            <w:tcW w:w="0" w:type="auto"/>
            <w:gridSpan w:val="3"/>
            <w:shd w:val="clear" w:color="auto" w:fill="CCEEFF"/>
            <w:tcMar>
              <w:top w:w="0" w:type="dxa"/>
              <w:left w:w="20" w:type="dxa"/>
              <w:bottom w:w="0" w:type="dxa"/>
              <w:right w:w="20" w:type="dxa"/>
            </w:tcMar>
            <w:vAlign w:val="center"/>
            <w:hideMark/>
          </w:tcPr>
          <w:p w14:paraId="11D9968A" w14:textId="77777777" w:rsidR="00000000" w:rsidRDefault="00E614A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6370DA83" w14:textId="77777777" w:rsidR="00000000" w:rsidRDefault="00E614A4">
            <w:pPr>
              <w:jc w:val="center"/>
              <w:rPr>
                <w:rFonts w:eastAsia="Times New Roman"/>
              </w:rPr>
            </w:pPr>
            <w:r>
              <w:rPr>
                <w:rFonts w:eastAsia="Times New Roman"/>
                <w:color w:val="000000"/>
                <w:sz w:val="18"/>
                <w:szCs w:val="18"/>
              </w:rPr>
              <w:t>20.0%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7BBE22" w14:textId="77777777" w:rsidR="00000000" w:rsidRDefault="00E614A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553A29CB" w14:textId="77777777" w:rsidR="00000000" w:rsidRDefault="00E614A4">
            <w:pPr>
              <w:jc w:val="center"/>
              <w:rPr>
                <w:rFonts w:eastAsia="Times New Roman"/>
              </w:rPr>
            </w:pPr>
            <w:r>
              <w:rPr>
                <w:rFonts w:eastAsia="Times New Roman"/>
                <w:color w:val="000000"/>
                <w:sz w:val="18"/>
                <w:szCs w:val="18"/>
              </w:rPr>
              <w:t>25.0%</w:t>
            </w:r>
          </w:p>
        </w:tc>
      </w:tr>
      <w:tr w:rsidR="00000000" w14:paraId="3EBC908D" w14:textId="77777777">
        <w:trPr>
          <w:divId w:val="1126582221"/>
        </w:trPr>
        <w:tc>
          <w:tcPr>
            <w:tcW w:w="0" w:type="auto"/>
            <w:gridSpan w:val="3"/>
            <w:shd w:val="clear" w:color="auto" w:fill="FFFFFF"/>
            <w:tcMar>
              <w:top w:w="0" w:type="dxa"/>
              <w:left w:w="20" w:type="dxa"/>
              <w:bottom w:w="0" w:type="dxa"/>
              <w:right w:w="20" w:type="dxa"/>
            </w:tcMar>
            <w:vAlign w:val="center"/>
            <w:hideMark/>
          </w:tcPr>
          <w:p w14:paraId="583C4BD6"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C362CAF"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5CE42D" w14:textId="77777777" w:rsidR="00000000" w:rsidRDefault="00E614A4">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37AA91CD" w14:textId="77777777" w:rsidR="00000000" w:rsidRDefault="00E614A4">
            <w:pPr>
              <w:rPr>
                <w:rFonts w:eastAsia="Times New Roman"/>
              </w:rPr>
            </w:pPr>
            <w:r>
              <w:rPr>
                <w:rFonts w:eastAsia="Times New Roman"/>
                <w:color w:val="000000"/>
                <w:sz w:val="18"/>
                <w:szCs w:val="18"/>
              </w:rPr>
              <w:t>Stock price</w:t>
            </w:r>
          </w:p>
        </w:tc>
        <w:tc>
          <w:tcPr>
            <w:tcW w:w="0" w:type="auto"/>
            <w:gridSpan w:val="3"/>
            <w:shd w:val="clear" w:color="auto" w:fill="FFFFFF"/>
            <w:tcMar>
              <w:top w:w="0" w:type="dxa"/>
              <w:left w:w="20" w:type="dxa"/>
              <w:bottom w:w="0" w:type="dxa"/>
              <w:right w:w="20" w:type="dxa"/>
            </w:tcMar>
            <w:vAlign w:val="center"/>
            <w:hideMark/>
          </w:tcPr>
          <w:p w14:paraId="25A83E31"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hideMark/>
          </w:tcPr>
          <w:p w14:paraId="426693AD" w14:textId="77777777" w:rsidR="00000000" w:rsidRDefault="00E614A4">
            <w:pPr>
              <w:jc w:val="center"/>
              <w:rPr>
                <w:rFonts w:eastAsia="Times New Roman"/>
              </w:rPr>
            </w:pPr>
            <w:r>
              <w:rPr>
                <w:rFonts w:eastAsia="Times New Roman"/>
                <w:color w:val="000000"/>
                <w:sz w:val="18"/>
                <w:szCs w:val="18"/>
              </w:rPr>
              <w:t>$2.49</w:t>
            </w:r>
          </w:p>
        </w:tc>
        <w:tc>
          <w:tcPr>
            <w:tcW w:w="0" w:type="auto"/>
            <w:gridSpan w:val="3"/>
            <w:shd w:val="clear" w:color="auto" w:fill="FFFFFF"/>
            <w:tcMar>
              <w:top w:w="0" w:type="dxa"/>
              <w:left w:w="20" w:type="dxa"/>
              <w:bottom w:w="0" w:type="dxa"/>
              <w:right w:w="20" w:type="dxa"/>
            </w:tcMar>
            <w:vAlign w:val="center"/>
            <w:hideMark/>
          </w:tcPr>
          <w:p w14:paraId="743C1E53"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4164451F" w14:textId="77777777" w:rsidR="00000000" w:rsidRDefault="00E614A4">
            <w:pPr>
              <w:jc w:val="center"/>
              <w:rPr>
                <w:rFonts w:eastAsia="Times New Roman"/>
              </w:rPr>
            </w:pPr>
            <w:r>
              <w:rPr>
                <w:rFonts w:eastAsia="Times New Roman"/>
                <w:color w:val="000000"/>
                <w:sz w:val="18"/>
                <w:szCs w:val="18"/>
              </w:rPr>
              <w:t>$4.94</w:t>
            </w:r>
          </w:p>
        </w:tc>
      </w:tr>
      <w:tr w:rsidR="00000000" w14:paraId="3228A377" w14:textId="77777777">
        <w:trPr>
          <w:divId w:val="1126582221"/>
        </w:trPr>
        <w:tc>
          <w:tcPr>
            <w:tcW w:w="0" w:type="auto"/>
            <w:gridSpan w:val="3"/>
            <w:shd w:val="clear" w:color="auto" w:fill="CCEEFF"/>
            <w:tcMar>
              <w:top w:w="0" w:type="dxa"/>
              <w:left w:w="20" w:type="dxa"/>
              <w:bottom w:w="0" w:type="dxa"/>
              <w:right w:w="20" w:type="dxa"/>
            </w:tcMar>
            <w:vAlign w:val="center"/>
            <w:hideMark/>
          </w:tcPr>
          <w:p w14:paraId="63024657" w14:textId="77777777" w:rsidR="00000000" w:rsidRDefault="00E614A4">
            <w:pPr>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69515EA1"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A83D52" w14:textId="77777777" w:rsidR="00000000" w:rsidRDefault="00E614A4">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5E457623" w14:textId="77777777" w:rsidR="00000000" w:rsidRDefault="00E614A4">
            <w:pPr>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14:paraId="29D20697"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79539B94" w14:textId="77777777" w:rsidR="00000000" w:rsidRDefault="00E614A4">
            <w:pPr>
              <w:jc w:val="center"/>
              <w:rPr>
                <w:rFonts w:eastAsia="Times New Roman"/>
              </w:rPr>
            </w:pPr>
            <w:r>
              <w:rPr>
                <w:rFonts w:eastAsia="Times New Roman"/>
                <w:color w:val="000000"/>
                <w:sz w:val="18"/>
                <w:szCs w:val="18"/>
              </w:rPr>
              <w:t>96.9%</w:t>
            </w:r>
          </w:p>
        </w:tc>
        <w:tc>
          <w:tcPr>
            <w:tcW w:w="0" w:type="auto"/>
            <w:gridSpan w:val="3"/>
            <w:shd w:val="clear" w:color="auto" w:fill="CCEEFF"/>
            <w:tcMar>
              <w:top w:w="0" w:type="dxa"/>
              <w:left w:w="20" w:type="dxa"/>
              <w:bottom w:w="0" w:type="dxa"/>
              <w:right w:w="20" w:type="dxa"/>
            </w:tcMar>
            <w:vAlign w:val="center"/>
            <w:hideMark/>
          </w:tcPr>
          <w:p w14:paraId="17847CF9"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50BB07D7" w14:textId="77777777" w:rsidR="00000000" w:rsidRDefault="00E614A4">
            <w:pPr>
              <w:jc w:val="center"/>
              <w:rPr>
                <w:rFonts w:eastAsia="Times New Roman"/>
              </w:rPr>
            </w:pPr>
            <w:r>
              <w:rPr>
                <w:rFonts w:eastAsia="Times New Roman"/>
                <w:color w:val="000000"/>
                <w:sz w:val="18"/>
                <w:szCs w:val="18"/>
              </w:rPr>
              <w:t>74.1%</w:t>
            </w:r>
          </w:p>
        </w:tc>
      </w:tr>
      <w:tr w:rsidR="00000000" w14:paraId="08609190" w14:textId="77777777">
        <w:trPr>
          <w:divId w:val="1126582221"/>
        </w:trPr>
        <w:tc>
          <w:tcPr>
            <w:tcW w:w="0" w:type="auto"/>
            <w:gridSpan w:val="3"/>
            <w:shd w:val="clear" w:color="auto" w:fill="FFFFFF"/>
            <w:tcMar>
              <w:top w:w="0" w:type="dxa"/>
              <w:left w:w="20" w:type="dxa"/>
              <w:bottom w:w="0" w:type="dxa"/>
              <w:right w:w="20" w:type="dxa"/>
            </w:tcMar>
            <w:vAlign w:val="center"/>
            <w:hideMark/>
          </w:tcPr>
          <w:p w14:paraId="5C13D655"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00126D60"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FA9DF7" w14:textId="77777777" w:rsidR="00000000" w:rsidRDefault="00E614A4">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728AFF5F" w14:textId="77777777" w:rsidR="00000000" w:rsidRDefault="00E614A4">
            <w:pPr>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14:paraId="5973C38A"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hideMark/>
          </w:tcPr>
          <w:p w14:paraId="492171DB" w14:textId="77777777" w:rsidR="00000000" w:rsidRDefault="00E614A4">
            <w:pPr>
              <w:jc w:val="center"/>
              <w:rPr>
                <w:rFonts w:eastAsia="Times New Roman"/>
              </w:rPr>
            </w:pPr>
            <w:r>
              <w:rPr>
                <w:rFonts w:eastAsia="Times New Roman"/>
                <w:color w:val="000000"/>
                <w:sz w:val="18"/>
                <w:szCs w:val="18"/>
              </w:rPr>
              <w:t>1.04 years</w:t>
            </w:r>
          </w:p>
        </w:tc>
        <w:tc>
          <w:tcPr>
            <w:tcW w:w="0" w:type="auto"/>
            <w:gridSpan w:val="3"/>
            <w:shd w:val="clear" w:color="auto" w:fill="FFFFFF"/>
            <w:tcMar>
              <w:top w:w="0" w:type="dxa"/>
              <w:left w:w="20" w:type="dxa"/>
              <w:bottom w:w="0" w:type="dxa"/>
              <w:right w:w="20" w:type="dxa"/>
            </w:tcMar>
            <w:vAlign w:val="center"/>
            <w:hideMark/>
          </w:tcPr>
          <w:p w14:paraId="2319A78A"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A3D2FD4" w14:textId="77777777" w:rsidR="00000000" w:rsidRDefault="00E614A4">
            <w:pPr>
              <w:jc w:val="center"/>
              <w:rPr>
                <w:rFonts w:eastAsia="Times New Roman"/>
              </w:rPr>
            </w:pPr>
            <w:r>
              <w:rPr>
                <w:rFonts w:eastAsia="Times New Roman"/>
                <w:color w:val="000000"/>
                <w:sz w:val="18"/>
                <w:szCs w:val="18"/>
              </w:rPr>
              <w:t>2.04 years</w:t>
            </w:r>
          </w:p>
        </w:tc>
      </w:tr>
      <w:tr w:rsidR="00000000" w14:paraId="11B47405" w14:textId="77777777">
        <w:trPr>
          <w:divId w:val="1126582221"/>
        </w:trPr>
        <w:tc>
          <w:tcPr>
            <w:tcW w:w="0" w:type="auto"/>
            <w:gridSpan w:val="3"/>
            <w:shd w:val="clear" w:color="auto" w:fill="CCEEFF"/>
            <w:tcMar>
              <w:top w:w="0" w:type="dxa"/>
              <w:left w:w="20" w:type="dxa"/>
              <w:bottom w:w="0" w:type="dxa"/>
              <w:right w:w="20" w:type="dxa"/>
            </w:tcMar>
            <w:vAlign w:val="center"/>
            <w:hideMark/>
          </w:tcPr>
          <w:p w14:paraId="7BBD07F7" w14:textId="77777777" w:rsidR="00000000" w:rsidRDefault="00E614A4">
            <w:pPr>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1DE799F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9C5A2" w14:textId="77777777" w:rsidR="00000000" w:rsidRDefault="00E614A4">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66EFC731" w14:textId="77777777" w:rsidR="00000000" w:rsidRDefault="00E614A4">
            <w:pPr>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14:paraId="17B99FDC"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47367477" w14:textId="77777777" w:rsidR="00000000" w:rsidRDefault="00E614A4">
            <w:pPr>
              <w:jc w:val="center"/>
              <w:rPr>
                <w:rFonts w:eastAsia="Times New Roman"/>
              </w:rPr>
            </w:pPr>
            <w:r>
              <w:rPr>
                <w:rFonts w:eastAsia="Times New Roman"/>
                <w:color w:val="000000"/>
                <w:sz w:val="18"/>
                <w:szCs w:val="18"/>
              </w:rPr>
              <w:t>0.1%</w:t>
            </w:r>
          </w:p>
        </w:tc>
        <w:tc>
          <w:tcPr>
            <w:tcW w:w="0" w:type="auto"/>
            <w:gridSpan w:val="3"/>
            <w:shd w:val="clear" w:color="auto" w:fill="CCEEFF"/>
            <w:tcMar>
              <w:top w:w="0" w:type="dxa"/>
              <w:left w:w="20" w:type="dxa"/>
              <w:bottom w:w="0" w:type="dxa"/>
              <w:right w:w="20" w:type="dxa"/>
            </w:tcMar>
            <w:vAlign w:val="center"/>
            <w:hideMark/>
          </w:tcPr>
          <w:p w14:paraId="0F1EE641"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2F740A1B" w14:textId="77777777" w:rsidR="00000000" w:rsidRDefault="00E614A4">
            <w:pPr>
              <w:jc w:val="center"/>
              <w:rPr>
                <w:rFonts w:eastAsia="Times New Roman"/>
              </w:rPr>
            </w:pPr>
            <w:r>
              <w:rPr>
                <w:rFonts w:eastAsia="Times New Roman"/>
                <w:color w:val="000000"/>
                <w:sz w:val="18"/>
                <w:szCs w:val="18"/>
              </w:rPr>
              <w:t>1.6%</w:t>
            </w:r>
          </w:p>
        </w:tc>
      </w:tr>
      <w:tr w:rsidR="00000000" w14:paraId="5E1EB38A" w14:textId="77777777">
        <w:trPr>
          <w:divId w:val="1126582221"/>
          <w:trHeight w:val="240"/>
        </w:trPr>
        <w:tc>
          <w:tcPr>
            <w:tcW w:w="0" w:type="auto"/>
            <w:gridSpan w:val="3"/>
            <w:shd w:val="clear" w:color="auto" w:fill="FFFFFF"/>
            <w:tcMar>
              <w:top w:w="0" w:type="dxa"/>
              <w:left w:w="20" w:type="dxa"/>
              <w:bottom w:w="0" w:type="dxa"/>
              <w:right w:w="20" w:type="dxa"/>
            </w:tcMar>
            <w:vAlign w:val="center"/>
            <w:hideMark/>
          </w:tcPr>
          <w:p w14:paraId="52D39EDC"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B823CD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657CB7" w14:textId="77777777" w:rsidR="00000000" w:rsidRDefault="00E614A4">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466E6C8B"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46F846"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AF5ED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D6F810"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F744FF" w14:textId="77777777" w:rsidR="00000000" w:rsidRDefault="00E614A4">
            <w:pPr>
              <w:rPr>
                <w:rFonts w:eastAsia="Times New Roman"/>
                <w:sz w:val="20"/>
                <w:szCs w:val="20"/>
              </w:rPr>
            </w:pPr>
          </w:p>
        </w:tc>
      </w:tr>
      <w:tr w:rsidR="00000000" w14:paraId="3D23E80C" w14:textId="77777777">
        <w:trPr>
          <w:divId w:val="1126582221"/>
        </w:trPr>
        <w:tc>
          <w:tcPr>
            <w:tcW w:w="0" w:type="auto"/>
            <w:gridSpan w:val="3"/>
            <w:shd w:val="clear" w:color="auto" w:fill="CCEEFF"/>
            <w:tcMar>
              <w:top w:w="30" w:type="dxa"/>
              <w:left w:w="20" w:type="dxa"/>
              <w:bottom w:w="30" w:type="dxa"/>
              <w:right w:w="20" w:type="dxa"/>
            </w:tcMar>
            <w:hideMark/>
          </w:tcPr>
          <w:p w14:paraId="5ADAAB38" w14:textId="77777777" w:rsidR="00000000" w:rsidRDefault="00E614A4">
            <w:pPr>
              <w:divId w:val="2036154366"/>
              <w:rPr>
                <w:rFonts w:eastAsia="Times New Roman"/>
              </w:rPr>
            </w:pPr>
            <w:r>
              <w:rPr>
                <w:rFonts w:eastAsia="Times New Roman"/>
                <w:color w:val="000000"/>
                <w:sz w:val="18"/>
                <w:szCs w:val="18"/>
              </w:rPr>
              <w:t>Make-whole change of control redemption derivative liability</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6"/>
            <w:shd w:val="clear" w:color="auto" w:fill="CCEEFF"/>
            <w:tcMar>
              <w:top w:w="30" w:type="dxa"/>
              <w:left w:w="20" w:type="dxa"/>
              <w:bottom w:w="30" w:type="dxa"/>
              <w:right w:w="20" w:type="dxa"/>
            </w:tcMar>
            <w:hideMark/>
          </w:tcPr>
          <w:p w14:paraId="11E76760" w14:textId="77777777" w:rsidR="00000000" w:rsidRDefault="00E614A4">
            <w:pPr>
              <w:jc w:val="center"/>
              <w:rPr>
                <w:rFonts w:eastAsia="Times New Roman"/>
              </w:rPr>
            </w:pPr>
            <w:r>
              <w:rPr>
                <w:rFonts w:eastAsia="Times New Roman"/>
                <w:color w:val="000000"/>
                <w:sz w:val="18"/>
                <w:szCs w:val="18"/>
              </w:rPr>
              <w:t>Option pricing model</w:t>
            </w:r>
          </w:p>
        </w:tc>
        <w:tc>
          <w:tcPr>
            <w:tcW w:w="0" w:type="auto"/>
            <w:gridSpan w:val="3"/>
            <w:shd w:val="clear" w:color="auto" w:fill="CCEEFF"/>
            <w:tcMar>
              <w:top w:w="0" w:type="dxa"/>
              <w:left w:w="20" w:type="dxa"/>
              <w:bottom w:w="0" w:type="dxa"/>
              <w:right w:w="20" w:type="dxa"/>
            </w:tcMar>
            <w:vAlign w:val="center"/>
            <w:hideMark/>
          </w:tcPr>
          <w:p w14:paraId="75759428" w14:textId="77777777" w:rsidR="00000000" w:rsidRDefault="00E614A4">
            <w:pPr>
              <w:jc w:val="center"/>
              <w:rPr>
                <w:rFonts w:eastAsia="Times New Roman"/>
              </w:rPr>
            </w:pPr>
          </w:p>
        </w:tc>
        <w:tc>
          <w:tcPr>
            <w:tcW w:w="0" w:type="auto"/>
            <w:gridSpan w:val="6"/>
            <w:shd w:val="clear" w:color="auto" w:fill="CCEEFF"/>
            <w:tcMar>
              <w:top w:w="30" w:type="dxa"/>
              <w:left w:w="20" w:type="dxa"/>
              <w:bottom w:w="30" w:type="dxa"/>
              <w:right w:w="20" w:type="dxa"/>
            </w:tcMar>
            <w:hideMark/>
          </w:tcPr>
          <w:p w14:paraId="3AC1AAE8" w14:textId="77777777" w:rsidR="00000000" w:rsidRDefault="00E614A4">
            <w:pPr>
              <w:rPr>
                <w:rFonts w:eastAsia="Times New Roman"/>
              </w:rPr>
            </w:pPr>
            <w:r>
              <w:rPr>
                <w:rFonts w:eastAsia="Times New Roman"/>
                <w:color w:val="000000"/>
                <w:sz w:val="18"/>
                <w:szCs w:val="18"/>
              </w:rPr>
              <w:t>Change of control probability</w:t>
            </w:r>
          </w:p>
        </w:tc>
        <w:tc>
          <w:tcPr>
            <w:tcW w:w="0" w:type="auto"/>
            <w:gridSpan w:val="3"/>
            <w:shd w:val="clear" w:color="auto" w:fill="CCEEFF"/>
            <w:tcMar>
              <w:top w:w="0" w:type="dxa"/>
              <w:left w:w="20" w:type="dxa"/>
              <w:bottom w:w="0" w:type="dxa"/>
              <w:right w:w="20" w:type="dxa"/>
            </w:tcMar>
            <w:vAlign w:val="center"/>
            <w:hideMark/>
          </w:tcPr>
          <w:p w14:paraId="32C6612C"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7F8A951F"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287B2B0"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2ADEB71F" w14:textId="77777777" w:rsidR="00000000" w:rsidRDefault="00E614A4">
            <w:pPr>
              <w:jc w:val="center"/>
              <w:rPr>
                <w:rFonts w:eastAsia="Times New Roman"/>
              </w:rPr>
            </w:pPr>
            <w:r>
              <w:rPr>
                <w:rFonts w:eastAsia="Times New Roman"/>
                <w:color w:val="000000"/>
                <w:sz w:val="18"/>
                <w:szCs w:val="18"/>
              </w:rPr>
              <w:t>5.0% - 10.0%</w:t>
            </w:r>
          </w:p>
        </w:tc>
      </w:tr>
      <w:tr w:rsidR="00000000" w14:paraId="774EB878" w14:textId="77777777">
        <w:trPr>
          <w:divId w:val="1126582221"/>
        </w:trPr>
        <w:tc>
          <w:tcPr>
            <w:tcW w:w="0" w:type="auto"/>
            <w:gridSpan w:val="3"/>
            <w:shd w:val="clear" w:color="auto" w:fill="FFFFFF"/>
            <w:tcMar>
              <w:top w:w="0" w:type="dxa"/>
              <w:left w:w="20" w:type="dxa"/>
              <w:bottom w:w="0" w:type="dxa"/>
              <w:right w:w="20" w:type="dxa"/>
            </w:tcMar>
            <w:vAlign w:val="center"/>
            <w:hideMark/>
          </w:tcPr>
          <w:p w14:paraId="2589DF4A"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3547E5F0"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4CE9AD" w14:textId="77777777" w:rsidR="00000000" w:rsidRDefault="00E614A4">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7BAD623E" w14:textId="77777777" w:rsidR="00000000" w:rsidRDefault="00E614A4">
            <w:pPr>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14:paraId="459EE0E8"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hideMark/>
          </w:tcPr>
          <w:p w14:paraId="7B26EBD6"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F325C7E"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A13090A" w14:textId="77777777" w:rsidR="00000000" w:rsidRDefault="00E614A4">
            <w:pPr>
              <w:jc w:val="center"/>
              <w:rPr>
                <w:rFonts w:eastAsia="Times New Roman"/>
              </w:rPr>
            </w:pPr>
            <w:r>
              <w:rPr>
                <w:rFonts w:eastAsia="Times New Roman"/>
                <w:color w:val="000000"/>
                <w:sz w:val="18"/>
                <w:szCs w:val="18"/>
              </w:rPr>
              <w:t>2.04 years</w:t>
            </w:r>
          </w:p>
        </w:tc>
      </w:tr>
      <w:tr w:rsidR="00000000" w14:paraId="2523040E" w14:textId="77777777">
        <w:trPr>
          <w:divId w:val="1126582221"/>
        </w:trPr>
        <w:tc>
          <w:tcPr>
            <w:tcW w:w="0" w:type="auto"/>
            <w:gridSpan w:val="3"/>
            <w:shd w:val="clear" w:color="auto" w:fill="CCEEFF"/>
            <w:tcMar>
              <w:top w:w="0" w:type="dxa"/>
              <w:left w:w="20" w:type="dxa"/>
              <w:bottom w:w="0" w:type="dxa"/>
              <w:right w:w="20" w:type="dxa"/>
            </w:tcMar>
            <w:vAlign w:val="center"/>
            <w:hideMark/>
          </w:tcPr>
          <w:p w14:paraId="2207CCC1" w14:textId="77777777" w:rsidR="00000000" w:rsidRDefault="00E614A4">
            <w:pPr>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2046D704"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B37231" w14:textId="77777777" w:rsidR="00000000" w:rsidRDefault="00E614A4">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7730B569" w14:textId="77777777" w:rsidR="00000000" w:rsidRDefault="00E614A4">
            <w:pPr>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14:paraId="22AC87C4"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4FE11F2D"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A75EB4D"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68D0964D" w14:textId="77777777" w:rsidR="00000000" w:rsidRDefault="00E614A4">
            <w:pPr>
              <w:jc w:val="center"/>
              <w:rPr>
                <w:rFonts w:eastAsia="Times New Roman"/>
              </w:rPr>
            </w:pPr>
            <w:r>
              <w:rPr>
                <w:rFonts w:eastAsia="Times New Roman"/>
                <w:color w:val="000000"/>
                <w:sz w:val="18"/>
                <w:szCs w:val="18"/>
              </w:rPr>
              <w:t>1.6%</w:t>
            </w:r>
          </w:p>
        </w:tc>
      </w:tr>
      <w:tr w:rsidR="00000000" w14:paraId="6CDC2C71" w14:textId="77777777">
        <w:trPr>
          <w:divId w:val="1126582221"/>
          <w:trHeight w:val="240"/>
        </w:trPr>
        <w:tc>
          <w:tcPr>
            <w:tcW w:w="0" w:type="auto"/>
            <w:gridSpan w:val="3"/>
            <w:shd w:val="clear" w:color="auto" w:fill="FFFFFF"/>
            <w:tcMar>
              <w:top w:w="0" w:type="dxa"/>
              <w:left w:w="20" w:type="dxa"/>
              <w:bottom w:w="0" w:type="dxa"/>
              <w:right w:w="20" w:type="dxa"/>
            </w:tcMar>
            <w:vAlign w:val="center"/>
            <w:hideMark/>
          </w:tcPr>
          <w:p w14:paraId="4B5F5F22"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24D1713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F15154" w14:textId="77777777" w:rsidR="00000000" w:rsidRDefault="00E614A4">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71C9D123"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6932CF"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CF1C38"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7A7532"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EEEBE2" w14:textId="77777777" w:rsidR="00000000" w:rsidRDefault="00E614A4">
            <w:pPr>
              <w:rPr>
                <w:rFonts w:eastAsia="Times New Roman"/>
                <w:sz w:val="20"/>
                <w:szCs w:val="20"/>
              </w:rPr>
            </w:pPr>
          </w:p>
        </w:tc>
      </w:tr>
      <w:tr w:rsidR="00000000" w14:paraId="5BC989B7" w14:textId="77777777">
        <w:trPr>
          <w:divId w:val="1126582221"/>
        </w:trPr>
        <w:tc>
          <w:tcPr>
            <w:tcW w:w="0" w:type="auto"/>
            <w:gridSpan w:val="3"/>
            <w:shd w:val="clear" w:color="auto" w:fill="CCEEFF"/>
            <w:tcMar>
              <w:top w:w="30" w:type="dxa"/>
              <w:left w:w="20" w:type="dxa"/>
              <w:bottom w:w="30" w:type="dxa"/>
              <w:right w:w="20" w:type="dxa"/>
            </w:tcMar>
            <w:hideMark/>
          </w:tcPr>
          <w:p w14:paraId="55A1E81B" w14:textId="77777777" w:rsidR="00000000" w:rsidRDefault="00E614A4">
            <w:pPr>
              <w:divId w:val="88550784"/>
              <w:rPr>
                <w:rFonts w:eastAsia="Times New Roman"/>
              </w:rPr>
            </w:pPr>
            <w:r>
              <w:rPr>
                <w:rFonts w:eastAsia="Times New Roman"/>
                <w:color w:val="000000"/>
                <w:sz w:val="18"/>
                <w:szCs w:val="18"/>
              </w:rPr>
              <w:t>Qualifying change of control redemption derivative liability</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6"/>
            <w:shd w:val="clear" w:color="auto" w:fill="CCEEFF"/>
            <w:tcMar>
              <w:top w:w="30" w:type="dxa"/>
              <w:left w:w="20" w:type="dxa"/>
              <w:bottom w:w="30" w:type="dxa"/>
              <w:right w:w="20" w:type="dxa"/>
            </w:tcMar>
            <w:hideMark/>
          </w:tcPr>
          <w:p w14:paraId="3F5233CB" w14:textId="77777777" w:rsidR="00000000" w:rsidRDefault="00E614A4">
            <w:pPr>
              <w:jc w:val="cente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14:paraId="4F99C05F" w14:textId="77777777" w:rsidR="00000000" w:rsidRDefault="00E614A4">
            <w:pPr>
              <w:jc w:val="center"/>
              <w:rPr>
                <w:rFonts w:eastAsia="Times New Roman"/>
              </w:rPr>
            </w:pPr>
          </w:p>
        </w:tc>
        <w:tc>
          <w:tcPr>
            <w:tcW w:w="0" w:type="auto"/>
            <w:gridSpan w:val="6"/>
            <w:shd w:val="clear" w:color="auto" w:fill="CCEEFF"/>
            <w:tcMar>
              <w:top w:w="30" w:type="dxa"/>
              <w:left w:w="20" w:type="dxa"/>
              <w:bottom w:w="30" w:type="dxa"/>
              <w:right w:w="20" w:type="dxa"/>
            </w:tcMar>
            <w:hideMark/>
          </w:tcPr>
          <w:p w14:paraId="5875DD3E" w14:textId="77777777" w:rsidR="00000000" w:rsidRDefault="00E614A4">
            <w:pPr>
              <w:rPr>
                <w:rFonts w:eastAsia="Times New Roman"/>
              </w:rPr>
            </w:pPr>
            <w:r>
              <w:rPr>
                <w:rFonts w:eastAsia="Times New Roman"/>
                <w:color w:val="000000"/>
                <w:sz w:val="18"/>
                <w:szCs w:val="18"/>
              </w:rPr>
              <w:t>Change of control probability</w:t>
            </w:r>
          </w:p>
        </w:tc>
        <w:tc>
          <w:tcPr>
            <w:tcW w:w="0" w:type="auto"/>
            <w:gridSpan w:val="3"/>
            <w:shd w:val="clear" w:color="auto" w:fill="CCEEFF"/>
            <w:tcMar>
              <w:top w:w="0" w:type="dxa"/>
              <w:left w:w="20" w:type="dxa"/>
              <w:bottom w:w="0" w:type="dxa"/>
              <w:right w:w="20" w:type="dxa"/>
            </w:tcMar>
            <w:vAlign w:val="center"/>
            <w:hideMark/>
          </w:tcPr>
          <w:p w14:paraId="3CB58078"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1A0E597B"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8B8E03"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0BD3EA20" w14:textId="77777777" w:rsidR="00000000" w:rsidRDefault="00E614A4">
            <w:pPr>
              <w:jc w:val="center"/>
              <w:rPr>
                <w:rFonts w:eastAsia="Times New Roman"/>
              </w:rPr>
            </w:pPr>
            <w:r>
              <w:rPr>
                <w:rFonts w:eastAsia="Times New Roman"/>
                <w:color w:val="000000"/>
                <w:sz w:val="18"/>
                <w:szCs w:val="18"/>
              </w:rPr>
              <w:t>5.0%</w:t>
            </w:r>
          </w:p>
        </w:tc>
      </w:tr>
      <w:tr w:rsidR="00000000" w14:paraId="698788FD" w14:textId="77777777">
        <w:trPr>
          <w:divId w:val="1126582221"/>
        </w:trPr>
        <w:tc>
          <w:tcPr>
            <w:tcW w:w="0" w:type="auto"/>
            <w:gridSpan w:val="3"/>
            <w:shd w:val="clear" w:color="auto" w:fill="FFFFFF"/>
            <w:tcMar>
              <w:top w:w="0" w:type="dxa"/>
              <w:left w:w="20" w:type="dxa"/>
              <w:bottom w:w="0" w:type="dxa"/>
              <w:right w:w="20" w:type="dxa"/>
            </w:tcMar>
            <w:vAlign w:val="center"/>
            <w:hideMark/>
          </w:tcPr>
          <w:p w14:paraId="5DB5253E"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0962ADB8"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AF186E" w14:textId="77777777" w:rsidR="00000000" w:rsidRDefault="00E614A4">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3D48EA5C" w14:textId="77777777" w:rsidR="00000000" w:rsidRDefault="00E614A4">
            <w:pPr>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14:paraId="3153A051"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hideMark/>
          </w:tcPr>
          <w:p w14:paraId="703A158B"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F5978B1"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678209A" w14:textId="77777777" w:rsidR="00000000" w:rsidRDefault="00E614A4">
            <w:pPr>
              <w:jc w:val="center"/>
              <w:rPr>
                <w:rFonts w:eastAsia="Times New Roman"/>
              </w:rPr>
            </w:pPr>
            <w:r>
              <w:rPr>
                <w:rFonts w:eastAsia="Times New Roman"/>
                <w:color w:val="000000"/>
                <w:sz w:val="18"/>
                <w:szCs w:val="18"/>
              </w:rPr>
              <w:t>0.60 years</w:t>
            </w:r>
          </w:p>
        </w:tc>
      </w:tr>
      <w:tr w:rsidR="00000000" w14:paraId="69EDC964" w14:textId="77777777">
        <w:trPr>
          <w:divId w:val="1126582221"/>
        </w:trPr>
        <w:tc>
          <w:tcPr>
            <w:tcW w:w="0" w:type="auto"/>
            <w:gridSpan w:val="3"/>
            <w:shd w:val="clear" w:color="auto" w:fill="CCEEFF"/>
            <w:tcMar>
              <w:top w:w="0" w:type="dxa"/>
              <w:left w:w="20" w:type="dxa"/>
              <w:bottom w:w="0" w:type="dxa"/>
              <w:right w:w="20" w:type="dxa"/>
            </w:tcMar>
            <w:vAlign w:val="center"/>
            <w:hideMark/>
          </w:tcPr>
          <w:p w14:paraId="0F9F31F9" w14:textId="77777777" w:rsidR="00000000" w:rsidRDefault="00E614A4">
            <w:pPr>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694CCBB0"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2EFB8D" w14:textId="77777777" w:rsidR="00000000" w:rsidRDefault="00E614A4">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1F75172F" w14:textId="77777777" w:rsidR="00000000" w:rsidRDefault="00E614A4">
            <w:pPr>
              <w:rPr>
                <w:rFonts w:eastAsia="Times New Roman"/>
              </w:rPr>
            </w:pPr>
            <w:r>
              <w:rPr>
                <w:rFonts w:eastAsia="Times New Roman"/>
                <w:color w:val="000000"/>
                <w:sz w:val="18"/>
                <w:szCs w:val="18"/>
              </w:rPr>
              <w:t>Discount rate</w:t>
            </w:r>
          </w:p>
        </w:tc>
        <w:tc>
          <w:tcPr>
            <w:tcW w:w="0" w:type="auto"/>
            <w:gridSpan w:val="3"/>
            <w:shd w:val="clear" w:color="auto" w:fill="CCEEFF"/>
            <w:tcMar>
              <w:top w:w="0" w:type="dxa"/>
              <w:left w:w="20" w:type="dxa"/>
              <w:bottom w:w="0" w:type="dxa"/>
              <w:right w:w="20" w:type="dxa"/>
            </w:tcMar>
            <w:vAlign w:val="center"/>
            <w:hideMark/>
          </w:tcPr>
          <w:p w14:paraId="6A071A12"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2D8026FE"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8649AD1"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369414C6" w14:textId="77777777" w:rsidR="00000000" w:rsidRDefault="00E614A4">
            <w:pPr>
              <w:jc w:val="center"/>
              <w:rPr>
                <w:rFonts w:eastAsia="Times New Roman"/>
              </w:rPr>
            </w:pPr>
            <w:r>
              <w:rPr>
                <w:rFonts w:eastAsia="Times New Roman"/>
                <w:color w:val="000000"/>
                <w:sz w:val="18"/>
                <w:szCs w:val="18"/>
              </w:rPr>
              <w:t>25.0%</w:t>
            </w:r>
          </w:p>
        </w:tc>
      </w:tr>
      <w:tr w:rsidR="00000000" w14:paraId="3FF2D37E" w14:textId="77777777">
        <w:trPr>
          <w:divId w:val="1126582221"/>
          <w:trHeight w:val="240"/>
        </w:trPr>
        <w:tc>
          <w:tcPr>
            <w:tcW w:w="0" w:type="auto"/>
            <w:gridSpan w:val="3"/>
            <w:shd w:val="clear" w:color="auto" w:fill="FFFFFF"/>
            <w:tcMar>
              <w:top w:w="0" w:type="dxa"/>
              <w:left w:w="20" w:type="dxa"/>
              <w:bottom w:w="0" w:type="dxa"/>
              <w:right w:w="20" w:type="dxa"/>
            </w:tcMar>
            <w:vAlign w:val="center"/>
            <w:hideMark/>
          </w:tcPr>
          <w:p w14:paraId="6253FCE2"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4B195819"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558370" w14:textId="77777777" w:rsidR="00000000" w:rsidRDefault="00E614A4">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39A016B0"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931DDA"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ED0BB7"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E724F3"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816455" w14:textId="77777777" w:rsidR="00000000" w:rsidRDefault="00E614A4">
            <w:pPr>
              <w:rPr>
                <w:rFonts w:eastAsia="Times New Roman"/>
                <w:sz w:val="20"/>
                <w:szCs w:val="20"/>
              </w:rPr>
            </w:pPr>
          </w:p>
        </w:tc>
      </w:tr>
      <w:tr w:rsidR="00000000" w14:paraId="58C3BCCA" w14:textId="77777777">
        <w:trPr>
          <w:divId w:val="1126582221"/>
        </w:trPr>
        <w:tc>
          <w:tcPr>
            <w:tcW w:w="0" w:type="auto"/>
            <w:gridSpan w:val="3"/>
            <w:shd w:val="clear" w:color="auto" w:fill="CCEEFF"/>
            <w:tcMar>
              <w:top w:w="30" w:type="dxa"/>
              <w:left w:w="20" w:type="dxa"/>
              <w:bottom w:w="30" w:type="dxa"/>
              <w:right w:w="20" w:type="dxa"/>
            </w:tcMar>
            <w:hideMark/>
          </w:tcPr>
          <w:p w14:paraId="61A84E9B" w14:textId="77777777" w:rsidR="00000000" w:rsidRDefault="00E614A4">
            <w:pPr>
              <w:divId w:val="376129875"/>
              <w:rPr>
                <w:rFonts w:eastAsia="Times New Roman"/>
              </w:rPr>
            </w:pPr>
            <w:r>
              <w:rPr>
                <w:rFonts w:eastAsia="Times New Roman"/>
                <w:color w:val="000000"/>
                <w:sz w:val="18"/>
                <w:szCs w:val="18"/>
              </w:rPr>
              <w:t>Warrants liability</w:t>
            </w:r>
            <w:r>
              <w:rPr>
                <w:rFonts w:eastAsia="Times New Roman"/>
                <w:color w:val="000000"/>
                <w:sz w:val="18"/>
                <w:szCs w:val="18"/>
              </w:rPr>
              <w:t xml:space="preserve"> </w:t>
            </w:r>
            <w:r>
              <w:rPr>
                <w:rFonts w:eastAsia="Times New Roman"/>
                <w:color w:val="000000"/>
                <w:sz w:val="12"/>
                <w:szCs w:val="12"/>
              </w:rPr>
              <w:t>(3</w:t>
            </w:r>
            <w:r>
              <w:rPr>
                <w:rFonts w:eastAsia="Times New Roman"/>
                <w:color w:val="000000"/>
                <w:sz w:val="12"/>
                <w:szCs w:val="12"/>
              </w:rPr>
              <w:t>)</w:t>
            </w:r>
          </w:p>
        </w:tc>
        <w:tc>
          <w:tcPr>
            <w:tcW w:w="0" w:type="auto"/>
            <w:gridSpan w:val="6"/>
            <w:shd w:val="clear" w:color="auto" w:fill="CCEEFF"/>
            <w:tcMar>
              <w:top w:w="30" w:type="dxa"/>
              <w:left w:w="20" w:type="dxa"/>
              <w:bottom w:w="30" w:type="dxa"/>
              <w:right w:w="20" w:type="dxa"/>
            </w:tcMar>
            <w:hideMark/>
          </w:tcPr>
          <w:p w14:paraId="10DC753D" w14:textId="77777777" w:rsidR="00000000" w:rsidRDefault="00E614A4">
            <w:pPr>
              <w:jc w:val="center"/>
              <w:rPr>
                <w:rFonts w:eastAsia="Times New Roman"/>
              </w:rPr>
            </w:pPr>
            <w:r>
              <w:rPr>
                <w:rFonts w:eastAsia="Times New Roman"/>
                <w:color w:val="000000"/>
                <w:sz w:val="18"/>
                <w:szCs w:val="18"/>
              </w:rPr>
              <w:t>Option pricing model</w:t>
            </w:r>
          </w:p>
        </w:tc>
        <w:tc>
          <w:tcPr>
            <w:tcW w:w="0" w:type="auto"/>
            <w:gridSpan w:val="3"/>
            <w:shd w:val="clear" w:color="auto" w:fill="CCEEFF"/>
            <w:tcMar>
              <w:top w:w="0" w:type="dxa"/>
              <w:left w:w="20" w:type="dxa"/>
              <w:bottom w:w="0" w:type="dxa"/>
              <w:right w:w="20" w:type="dxa"/>
            </w:tcMar>
            <w:vAlign w:val="center"/>
            <w:hideMark/>
          </w:tcPr>
          <w:p w14:paraId="748A7255" w14:textId="77777777" w:rsidR="00000000" w:rsidRDefault="00E614A4">
            <w:pPr>
              <w:jc w:val="center"/>
              <w:rPr>
                <w:rFonts w:eastAsia="Times New Roman"/>
              </w:rPr>
            </w:pPr>
          </w:p>
        </w:tc>
        <w:tc>
          <w:tcPr>
            <w:tcW w:w="0" w:type="auto"/>
            <w:gridSpan w:val="6"/>
            <w:shd w:val="clear" w:color="auto" w:fill="CCEEFF"/>
            <w:tcMar>
              <w:top w:w="30" w:type="dxa"/>
              <w:left w:w="20" w:type="dxa"/>
              <w:bottom w:w="30" w:type="dxa"/>
              <w:right w:w="20" w:type="dxa"/>
            </w:tcMar>
            <w:hideMark/>
          </w:tcPr>
          <w:p w14:paraId="7E512A86" w14:textId="77777777" w:rsidR="00000000" w:rsidRDefault="00E614A4">
            <w:pPr>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14:paraId="0AD95C6E"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4FBBA447" w14:textId="77777777" w:rsidR="00000000" w:rsidRDefault="00E614A4">
            <w:pPr>
              <w:jc w:val="center"/>
              <w:rPr>
                <w:rFonts w:eastAsia="Times New Roman"/>
              </w:rPr>
            </w:pPr>
            <w:r>
              <w:rPr>
                <w:rFonts w:eastAsia="Times New Roman"/>
                <w:color w:val="000000"/>
                <w:sz w:val="18"/>
                <w:szCs w:val="18"/>
              </w:rPr>
              <w:t>$2.49</w:t>
            </w:r>
          </w:p>
        </w:tc>
        <w:tc>
          <w:tcPr>
            <w:tcW w:w="0" w:type="auto"/>
            <w:gridSpan w:val="3"/>
            <w:shd w:val="clear" w:color="auto" w:fill="CCEEFF"/>
            <w:tcMar>
              <w:top w:w="0" w:type="dxa"/>
              <w:left w:w="20" w:type="dxa"/>
              <w:bottom w:w="0" w:type="dxa"/>
              <w:right w:w="20" w:type="dxa"/>
            </w:tcMar>
            <w:vAlign w:val="center"/>
            <w:hideMark/>
          </w:tcPr>
          <w:p w14:paraId="6C9A1A19"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6EE816E8" w14:textId="77777777" w:rsidR="00000000" w:rsidRDefault="00E614A4">
            <w:pPr>
              <w:jc w:val="center"/>
              <w:rPr>
                <w:rFonts w:eastAsia="Times New Roman"/>
              </w:rPr>
            </w:pPr>
            <w:r>
              <w:rPr>
                <w:rFonts w:eastAsia="Times New Roman"/>
                <w:color w:val="000000"/>
                <w:sz w:val="18"/>
                <w:szCs w:val="18"/>
              </w:rPr>
              <w:t>$4.94</w:t>
            </w:r>
          </w:p>
        </w:tc>
      </w:tr>
      <w:tr w:rsidR="00000000" w14:paraId="0C109531" w14:textId="77777777">
        <w:trPr>
          <w:divId w:val="1126582221"/>
        </w:trPr>
        <w:tc>
          <w:tcPr>
            <w:tcW w:w="0" w:type="auto"/>
            <w:gridSpan w:val="3"/>
            <w:shd w:val="clear" w:color="auto" w:fill="FFFFFF"/>
            <w:tcMar>
              <w:top w:w="0" w:type="dxa"/>
              <w:left w:w="20" w:type="dxa"/>
              <w:bottom w:w="0" w:type="dxa"/>
              <w:right w:w="20" w:type="dxa"/>
            </w:tcMar>
            <w:vAlign w:val="center"/>
            <w:hideMark/>
          </w:tcPr>
          <w:p w14:paraId="682E6A9F"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57BD3C6A"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C38281" w14:textId="77777777" w:rsidR="00000000" w:rsidRDefault="00E614A4">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14725A18" w14:textId="77777777" w:rsidR="00000000" w:rsidRDefault="00E614A4">
            <w:pPr>
              <w:rPr>
                <w:rFonts w:eastAsia="Times New Roman"/>
              </w:rPr>
            </w:pPr>
            <w:r>
              <w:rPr>
                <w:rFonts w:eastAsia="Times New Roman"/>
                <w:color w:val="000000"/>
                <w:sz w:val="18"/>
                <w:szCs w:val="18"/>
              </w:rPr>
              <w:t>Volatility</w:t>
            </w:r>
          </w:p>
        </w:tc>
        <w:tc>
          <w:tcPr>
            <w:tcW w:w="0" w:type="auto"/>
            <w:gridSpan w:val="3"/>
            <w:shd w:val="clear" w:color="auto" w:fill="FFFFFF"/>
            <w:tcMar>
              <w:top w:w="0" w:type="dxa"/>
              <w:left w:w="20" w:type="dxa"/>
              <w:bottom w:w="0" w:type="dxa"/>
              <w:right w:w="20" w:type="dxa"/>
            </w:tcMar>
            <w:vAlign w:val="center"/>
            <w:hideMark/>
          </w:tcPr>
          <w:p w14:paraId="01F70C49"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hideMark/>
          </w:tcPr>
          <w:p w14:paraId="7D9EFD85" w14:textId="77777777" w:rsidR="00000000" w:rsidRDefault="00E614A4">
            <w:pPr>
              <w:jc w:val="center"/>
              <w:rPr>
                <w:rFonts w:eastAsia="Times New Roman"/>
              </w:rPr>
            </w:pPr>
            <w:r>
              <w:rPr>
                <w:rFonts w:eastAsia="Times New Roman"/>
                <w:color w:val="000000"/>
                <w:sz w:val="18"/>
                <w:szCs w:val="18"/>
              </w:rPr>
              <w:t>80.0%</w:t>
            </w:r>
          </w:p>
        </w:tc>
        <w:tc>
          <w:tcPr>
            <w:tcW w:w="0" w:type="auto"/>
            <w:gridSpan w:val="3"/>
            <w:shd w:val="clear" w:color="auto" w:fill="FFFFFF"/>
            <w:tcMar>
              <w:top w:w="0" w:type="dxa"/>
              <w:left w:w="20" w:type="dxa"/>
              <w:bottom w:w="0" w:type="dxa"/>
              <w:right w:w="20" w:type="dxa"/>
            </w:tcMar>
            <w:vAlign w:val="center"/>
            <w:hideMark/>
          </w:tcPr>
          <w:p w14:paraId="5770CF94"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DD83FB4" w14:textId="77777777" w:rsidR="00000000" w:rsidRDefault="00E614A4">
            <w:pPr>
              <w:jc w:val="center"/>
              <w:rPr>
                <w:rFonts w:eastAsia="Times New Roman"/>
              </w:rPr>
            </w:pPr>
            <w:r>
              <w:rPr>
                <w:rFonts w:eastAsia="Times New Roman"/>
                <w:color w:val="000000"/>
                <w:sz w:val="18"/>
                <w:szCs w:val="18"/>
              </w:rPr>
              <w:t>65.0%</w:t>
            </w:r>
          </w:p>
        </w:tc>
      </w:tr>
      <w:tr w:rsidR="00000000" w14:paraId="5CA019D4" w14:textId="77777777">
        <w:trPr>
          <w:divId w:val="1126582221"/>
        </w:trPr>
        <w:tc>
          <w:tcPr>
            <w:tcW w:w="0" w:type="auto"/>
            <w:gridSpan w:val="3"/>
            <w:shd w:val="clear" w:color="auto" w:fill="CCEEFF"/>
            <w:tcMar>
              <w:top w:w="0" w:type="dxa"/>
              <w:left w:w="20" w:type="dxa"/>
              <w:bottom w:w="0" w:type="dxa"/>
              <w:right w:w="20" w:type="dxa"/>
            </w:tcMar>
            <w:vAlign w:val="center"/>
            <w:hideMark/>
          </w:tcPr>
          <w:p w14:paraId="73382023" w14:textId="77777777" w:rsidR="00000000" w:rsidRDefault="00E614A4">
            <w:pPr>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4B35C66A"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09B955" w14:textId="77777777" w:rsidR="00000000" w:rsidRDefault="00E614A4">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3517D024" w14:textId="77777777" w:rsidR="00000000" w:rsidRDefault="00E614A4">
            <w:pPr>
              <w:rPr>
                <w:rFonts w:eastAsia="Times New Roman"/>
              </w:rPr>
            </w:pPr>
            <w:r>
              <w:rPr>
                <w:rFonts w:eastAsia="Times New Roman"/>
                <w:color w:val="000000"/>
                <w:sz w:val="18"/>
                <w:szCs w:val="18"/>
              </w:rPr>
              <w:t>Term</w:t>
            </w:r>
          </w:p>
        </w:tc>
        <w:tc>
          <w:tcPr>
            <w:tcW w:w="0" w:type="auto"/>
            <w:gridSpan w:val="3"/>
            <w:shd w:val="clear" w:color="auto" w:fill="CCEEFF"/>
            <w:tcMar>
              <w:top w:w="0" w:type="dxa"/>
              <w:left w:w="20" w:type="dxa"/>
              <w:bottom w:w="0" w:type="dxa"/>
              <w:right w:w="20" w:type="dxa"/>
            </w:tcMar>
            <w:vAlign w:val="center"/>
            <w:hideMark/>
          </w:tcPr>
          <w:p w14:paraId="6D98BBE2"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176CBFE5" w14:textId="77777777" w:rsidR="00000000" w:rsidRDefault="00E614A4">
            <w:pPr>
              <w:jc w:val="center"/>
              <w:rPr>
                <w:rFonts w:eastAsia="Times New Roman"/>
              </w:rPr>
            </w:pPr>
            <w:r>
              <w:rPr>
                <w:rFonts w:eastAsia="Times New Roman"/>
                <w:color w:val="000000"/>
                <w:sz w:val="18"/>
                <w:szCs w:val="18"/>
              </w:rPr>
              <w:t>3.49 years</w:t>
            </w:r>
          </w:p>
        </w:tc>
        <w:tc>
          <w:tcPr>
            <w:tcW w:w="0" w:type="auto"/>
            <w:gridSpan w:val="3"/>
            <w:shd w:val="clear" w:color="auto" w:fill="CCEEFF"/>
            <w:tcMar>
              <w:top w:w="0" w:type="dxa"/>
              <w:left w:w="20" w:type="dxa"/>
              <w:bottom w:w="0" w:type="dxa"/>
              <w:right w:w="20" w:type="dxa"/>
            </w:tcMar>
            <w:vAlign w:val="center"/>
            <w:hideMark/>
          </w:tcPr>
          <w:p w14:paraId="420A7228"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25CA4AB0" w14:textId="77777777" w:rsidR="00000000" w:rsidRDefault="00E614A4">
            <w:pPr>
              <w:jc w:val="center"/>
              <w:rPr>
                <w:rFonts w:eastAsia="Times New Roman"/>
              </w:rPr>
            </w:pPr>
            <w:r>
              <w:rPr>
                <w:rFonts w:eastAsia="Times New Roman"/>
                <w:color w:val="000000"/>
                <w:sz w:val="18"/>
                <w:szCs w:val="18"/>
              </w:rPr>
              <w:t>0.59 - 4.49 years</w:t>
            </w:r>
          </w:p>
        </w:tc>
      </w:tr>
      <w:tr w:rsidR="00000000" w14:paraId="68B544EA" w14:textId="77777777">
        <w:trPr>
          <w:divId w:val="1126582221"/>
        </w:trPr>
        <w:tc>
          <w:tcPr>
            <w:tcW w:w="0" w:type="auto"/>
            <w:gridSpan w:val="3"/>
            <w:shd w:val="clear" w:color="auto" w:fill="FFFFFF"/>
            <w:tcMar>
              <w:top w:w="0" w:type="dxa"/>
              <w:left w:w="20" w:type="dxa"/>
              <w:bottom w:w="0" w:type="dxa"/>
              <w:right w:w="20" w:type="dxa"/>
            </w:tcMar>
            <w:vAlign w:val="center"/>
            <w:hideMark/>
          </w:tcPr>
          <w:p w14:paraId="050BB655"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2D5E85F7"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461938" w14:textId="77777777" w:rsidR="00000000" w:rsidRDefault="00E614A4">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02422D93" w14:textId="77777777" w:rsidR="00000000" w:rsidRDefault="00E614A4">
            <w:pPr>
              <w:rPr>
                <w:rFonts w:eastAsia="Times New Roman"/>
              </w:rPr>
            </w:pPr>
            <w:r>
              <w:rPr>
                <w:rFonts w:eastAsia="Times New Roman"/>
                <w:color w:val="000000"/>
                <w:sz w:val="18"/>
                <w:szCs w:val="18"/>
              </w:rPr>
              <w:t>Change of control probability</w:t>
            </w:r>
          </w:p>
        </w:tc>
        <w:tc>
          <w:tcPr>
            <w:tcW w:w="0" w:type="auto"/>
            <w:gridSpan w:val="3"/>
            <w:shd w:val="clear" w:color="auto" w:fill="FFFFFF"/>
            <w:tcMar>
              <w:top w:w="0" w:type="dxa"/>
              <w:left w:w="20" w:type="dxa"/>
              <w:bottom w:w="0" w:type="dxa"/>
              <w:right w:w="20" w:type="dxa"/>
            </w:tcMar>
            <w:vAlign w:val="center"/>
            <w:hideMark/>
          </w:tcPr>
          <w:p w14:paraId="3FDB04AB"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hideMark/>
          </w:tcPr>
          <w:p w14:paraId="504EEAAA"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E8D64BB"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15E4622" w14:textId="77777777" w:rsidR="00000000" w:rsidRDefault="00E614A4">
            <w:pPr>
              <w:jc w:val="center"/>
              <w:rPr>
                <w:rFonts w:eastAsia="Times New Roman"/>
              </w:rPr>
            </w:pPr>
            <w:r>
              <w:rPr>
                <w:rFonts w:eastAsia="Times New Roman"/>
                <w:color w:val="000000"/>
                <w:sz w:val="18"/>
                <w:szCs w:val="18"/>
              </w:rPr>
              <w:t>5.0% - 10.0%</w:t>
            </w:r>
          </w:p>
        </w:tc>
      </w:tr>
      <w:tr w:rsidR="00000000" w14:paraId="39C07EEC" w14:textId="77777777">
        <w:trPr>
          <w:divId w:val="1126582221"/>
        </w:trPr>
        <w:tc>
          <w:tcPr>
            <w:tcW w:w="0" w:type="auto"/>
            <w:gridSpan w:val="3"/>
            <w:shd w:val="clear" w:color="auto" w:fill="CCEEFF"/>
            <w:tcMar>
              <w:top w:w="0" w:type="dxa"/>
              <w:left w:w="20" w:type="dxa"/>
              <w:bottom w:w="0" w:type="dxa"/>
              <w:right w:w="20" w:type="dxa"/>
            </w:tcMar>
            <w:vAlign w:val="center"/>
            <w:hideMark/>
          </w:tcPr>
          <w:p w14:paraId="0D21B88D" w14:textId="77777777" w:rsidR="00000000" w:rsidRDefault="00E614A4">
            <w:pPr>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61B1B02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BF5ABF" w14:textId="77777777" w:rsidR="00000000" w:rsidRDefault="00E614A4">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60095363" w14:textId="77777777" w:rsidR="00000000" w:rsidRDefault="00E614A4">
            <w:pPr>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14:paraId="60D0DC7F"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47A7E4AE" w14:textId="77777777" w:rsidR="00000000" w:rsidRDefault="00E614A4">
            <w:pPr>
              <w:jc w:val="center"/>
              <w:rPr>
                <w:rFonts w:eastAsia="Times New Roman"/>
              </w:rPr>
            </w:pPr>
            <w:r>
              <w:rPr>
                <w:rFonts w:eastAsia="Times New Roman"/>
                <w:color w:val="000000"/>
                <w:sz w:val="18"/>
                <w:szCs w:val="18"/>
              </w:rPr>
              <w:t>0.2%</w:t>
            </w:r>
          </w:p>
        </w:tc>
        <w:tc>
          <w:tcPr>
            <w:tcW w:w="0" w:type="auto"/>
            <w:gridSpan w:val="3"/>
            <w:shd w:val="clear" w:color="auto" w:fill="CCEEFF"/>
            <w:tcMar>
              <w:top w:w="0" w:type="dxa"/>
              <w:left w:w="20" w:type="dxa"/>
              <w:bottom w:w="0" w:type="dxa"/>
              <w:right w:w="20" w:type="dxa"/>
            </w:tcMar>
            <w:vAlign w:val="center"/>
            <w:hideMark/>
          </w:tcPr>
          <w:p w14:paraId="0EFCBA4F"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10842D09" w14:textId="77777777" w:rsidR="00000000" w:rsidRDefault="00E614A4">
            <w:pPr>
              <w:jc w:val="center"/>
              <w:rPr>
                <w:rFonts w:eastAsia="Times New Roman"/>
              </w:rPr>
            </w:pPr>
            <w:r>
              <w:rPr>
                <w:rFonts w:eastAsia="Times New Roman"/>
                <w:color w:val="000000"/>
                <w:sz w:val="18"/>
                <w:szCs w:val="18"/>
              </w:rPr>
              <w:t>1.6% - 1.7%</w:t>
            </w:r>
          </w:p>
        </w:tc>
      </w:tr>
      <w:tr w:rsidR="00000000" w14:paraId="6A0BA20B" w14:textId="77777777">
        <w:trPr>
          <w:divId w:val="1126582221"/>
        </w:trPr>
        <w:tc>
          <w:tcPr>
            <w:tcW w:w="0" w:type="auto"/>
            <w:gridSpan w:val="3"/>
            <w:shd w:val="clear" w:color="auto" w:fill="FFFFFF"/>
            <w:tcMar>
              <w:top w:w="0" w:type="dxa"/>
              <w:left w:w="20" w:type="dxa"/>
              <w:bottom w:w="0" w:type="dxa"/>
              <w:right w:w="20" w:type="dxa"/>
            </w:tcMar>
            <w:vAlign w:val="center"/>
            <w:hideMark/>
          </w:tcPr>
          <w:p w14:paraId="28D1F69B"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9EE6E1B"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02B475" w14:textId="77777777" w:rsidR="00000000" w:rsidRDefault="00E614A4">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61D1E49D" w14:textId="77777777" w:rsidR="00000000" w:rsidRDefault="00E614A4">
            <w:pPr>
              <w:rPr>
                <w:rFonts w:eastAsia="Times New Roman"/>
              </w:rPr>
            </w:pPr>
            <w:r>
              <w:rPr>
                <w:rFonts w:eastAsia="Times New Roman"/>
                <w:color w:val="000000"/>
                <w:sz w:val="18"/>
                <w:szCs w:val="18"/>
              </w:rPr>
              <w:t>Cost of debt</w:t>
            </w:r>
          </w:p>
        </w:tc>
        <w:tc>
          <w:tcPr>
            <w:tcW w:w="0" w:type="auto"/>
            <w:gridSpan w:val="3"/>
            <w:shd w:val="clear" w:color="auto" w:fill="FFFFFF"/>
            <w:tcMar>
              <w:top w:w="0" w:type="dxa"/>
              <w:left w:w="20" w:type="dxa"/>
              <w:bottom w:w="0" w:type="dxa"/>
              <w:right w:w="20" w:type="dxa"/>
            </w:tcMar>
            <w:vAlign w:val="center"/>
            <w:hideMark/>
          </w:tcPr>
          <w:p w14:paraId="4C3C3B78"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hideMark/>
          </w:tcPr>
          <w:p w14:paraId="3DC23BAB" w14:textId="77777777" w:rsidR="00000000" w:rsidRDefault="00E614A4">
            <w:pPr>
              <w:jc w:val="cente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F77D720"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384D5D2" w14:textId="77777777" w:rsidR="00000000" w:rsidRDefault="00E614A4">
            <w:pPr>
              <w:jc w:val="center"/>
              <w:rPr>
                <w:rFonts w:eastAsia="Times New Roman"/>
              </w:rPr>
            </w:pPr>
            <w:r>
              <w:rPr>
                <w:rFonts w:eastAsia="Times New Roman"/>
                <w:color w:val="000000"/>
                <w:sz w:val="18"/>
                <w:szCs w:val="18"/>
              </w:rPr>
              <w:t>14.7% - 16.0%</w:t>
            </w:r>
          </w:p>
        </w:tc>
      </w:tr>
      <w:tr w:rsidR="00000000" w14:paraId="5C994765" w14:textId="77777777">
        <w:trPr>
          <w:divId w:val="1126582221"/>
          <w:trHeight w:val="240"/>
        </w:trPr>
        <w:tc>
          <w:tcPr>
            <w:tcW w:w="0" w:type="auto"/>
            <w:gridSpan w:val="3"/>
            <w:shd w:val="clear" w:color="auto" w:fill="CCEEFF"/>
            <w:tcMar>
              <w:top w:w="0" w:type="dxa"/>
              <w:left w:w="20" w:type="dxa"/>
              <w:bottom w:w="0" w:type="dxa"/>
              <w:right w:w="20" w:type="dxa"/>
            </w:tcMar>
            <w:vAlign w:val="center"/>
            <w:hideMark/>
          </w:tcPr>
          <w:p w14:paraId="5B546825" w14:textId="77777777" w:rsidR="00000000" w:rsidRDefault="00E614A4">
            <w:pPr>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502C3FB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951503" w14:textId="77777777" w:rsidR="00000000" w:rsidRDefault="00E614A4">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0E54038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176FE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2C3340"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B70BA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469A47" w14:textId="77777777" w:rsidR="00000000" w:rsidRDefault="00E614A4">
            <w:pPr>
              <w:rPr>
                <w:rFonts w:eastAsia="Times New Roman"/>
                <w:sz w:val="20"/>
                <w:szCs w:val="20"/>
              </w:rPr>
            </w:pPr>
          </w:p>
        </w:tc>
      </w:tr>
      <w:tr w:rsidR="00000000" w14:paraId="271E5E64" w14:textId="77777777">
        <w:trPr>
          <w:divId w:val="1126582221"/>
        </w:trPr>
        <w:tc>
          <w:tcPr>
            <w:tcW w:w="0" w:type="auto"/>
            <w:gridSpan w:val="3"/>
            <w:shd w:val="clear" w:color="auto" w:fill="FFFFFF"/>
            <w:tcMar>
              <w:top w:w="30" w:type="dxa"/>
              <w:left w:w="20" w:type="dxa"/>
              <w:bottom w:w="30" w:type="dxa"/>
              <w:right w:w="20" w:type="dxa"/>
            </w:tcMar>
            <w:hideMark/>
          </w:tcPr>
          <w:p w14:paraId="7F54D0F8" w14:textId="77777777" w:rsidR="00000000" w:rsidRDefault="00E614A4">
            <w:pPr>
              <w:rPr>
                <w:rFonts w:eastAsia="Times New Roman"/>
              </w:rPr>
            </w:pPr>
            <w:r>
              <w:rPr>
                <w:rFonts w:eastAsia="Times New Roman"/>
                <w:color w:val="000000"/>
                <w:sz w:val="18"/>
                <w:szCs w:val="18"/>
              </w:rPr>
              <w:t>Interest make-whole derivative liability</w:t>
            </w:r>
          </w:p>
        </w:tc>
        <w:tc>
          <w:tcPr>
            <w:tcW w:w="0" w:type="auto"/>
            <w:gridSpan w:val="6"/>
            <w:shd w:val="clear" w:color="auto" w:fill="FFFFFF"/>
            <w:tcMar>
              <w:top w:w="30" w:type="dxa"/>
              <w:left w:w="20" w:type="dxa"/>
              <w:bottom w:w="30" w:type="dxa"/>
              <w:right w:w="20" w:type="dxa"/>
            </w:tcMar>
            <w:hideMark/>
          </w:tcPr>
          <w:p w14:paraId="73E1ADC8" w14:textId="77777777" w:rsidR="00000000" w:rsidRDefault="00E614A4">
            <w:pPr>
              <w:jc w:val="center"/>
              <w:rPr>
                <w:rFonts w:eastAsia="Times New Roman"/>
              </w:rPr>
            </w:pPr>
            <w:r>
              <w:rPr>
                <w:rFonts w:eastAsia="Times New Roman"/>
                <w:color w:val="000000"/>
                <w:sz w:val="18"/>
                <w:szCs w:val="18"/>
              </w:rPr>
              <w:t>Discounted cash flow</w:t>
            </w:r>
          </w:p>
        </w:tc>
        <w:tc>
          <w:tcPr>
            <w:tcW w:w="0" w:type="auto"/>
            <w:gridSpan w:val="3"/>
            <w:shd w:val="clear" w:color="auto" w:fill="FFFFFF"/>
            <w:tcMar>
              <w:top w:w="0" w:type="dxa"/>
              <w:left w:w="20" w:type="dxa"/>
              <w:bottom w:w="0" w:type="dxa"/>
              <w:right w:w="20" w:type="dxa"/>
            </w:tcMar>
            <w:vAlign w:val="center"/>
            <w:hideMark/>
          </w:tcPr>
          <w:p w14:paraId="33D4BCE1" w14:textId="77777777" w:rsidR="00000000" w:rsidRDefault="00E614A4">
            <w:pPr>
              <w:jc w:val="center"/>
              <w:rPr>
                <w:rFonts w:eastAsia="Times New Roman"/>
              </w:rPr>
            </w:pPr>
          </w:p>
        </w:tc>
        <w:tc>
          <w:tcPr>
            <w:tcW w:w="0" w:type="auto"/>
            <w:gridSpan w:val="6"/>
            <w:shd w:val="clear" w:color="auto" w:fill="FFFFFF"/>
            <w:tcMar>
              <w:top w:w="30" w:type="dxa"/>
              <w:left w:w="20" w:type="dxa"/>
              <w:bottom w:w="30" w:type="dxa"/>
              <w:right w:w="20" w:type="dxa"/>
            </w:tcMar>
            <w:hideMark/>
          </w:tcPr>
          <w:p w14:paraId="035EDAE2" w14:textId="77777777" w:rsidR="00000000" w:rsidRDefault="00E614A4">
            <w:pPr>
              <w:rPr>
                <w:rFonts w:eastAsia="Times New Roman"/>
              </w:rPr>
            </w:pPr>
            <w:r>
              <w:rPr>
                <w:rFonts w:eastAsia="Times New Roman"/>
                <w:color w:val="000000"/>
                <w:sz w:val="18"/>
                <w:szCs w:val="18"/>
              </w:rPr>
              <w:t>Recapitalization probability</w:t>
            </w:r>
          </w:p>
        </w:tc>
        <w:tc>
          <w:tcPr>
            <w:tcW w:w="0" w:type="auto"/>
            <w:gridSpan w:val="3"/>
            <w:shd w:val="clear" w:color="auto" w:fill="FFFFFF"/>
            <w:tcMar>
              <w:top w:w="0" w:type="dxa"/>
              <w:left w:w="20" w:type="dxa"/>
              <w:bottom w:w="0" w:type="dxa"/>
              <w:right w:w="20" w:type="dxa"/>
            </w:tcMar>
            <w:vAlign w:val="center"/>
            <w:hideMark/>
          </w:tcPr>
          <w:p w14:paraId="68FFCD17"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hideMark/>
          </w:tcPr>
          <w:p w14:paraId="386BE604" w14:textId="77777777" w:rsidR="00000000" w:rsidRDefault="00E614A4">
            <w:pPr>
              <w:jc w:val="center"/>
              <w:rPr>
                <w:rFonts w:eastAsia="Times New Roman"/>
              </w:rPr>
            </w:pPr>
            <w:r>
              <w:rPr>
                <w:rFonts w:eastAsia="Times New Roman"/>
                <w:color w:val="000000"/>
                <w:sz w:val="18"/>
                <w:szCs w:val="18"/>
              </w:rPr>
              <w:t>90.0%</w:t>
            </w:r>
          </w:p>
        </w:tc>
        <w:tc>
          <w:tcPr>
            <w:tcW w:w="0" w:type="auto"/>
            <w:gridSpan w:val="3"/>
            <w:shd w:val="clear" w:color="auto" w:fill="FFFFFF"/>
            <w:tcMar>
              <w:top w:w="0" w:type="dxa"/>
              <w:left w:w="20" w:type="dxa"/>
              <w:bottom w:w="0" w:type="dxa"/>
              <w:right w:w="20" w:type="dxa"/>
            </w:tcMar>
            <w:vAlign w:val="center"/>
            <w:hideMark/>
          </w:tcPr>
          <w:p w14:paraId="1E63E832"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79CF773D" w14:textId="77777777" w:rsidR="00000000" w:rsidRDefault="00E614A4">
            <w:pPr>
              <w:jc w:val="center"/>
              <w:rPr>
                <w:rFonts w:eastAsia="Times New Roman"/>
              </w:rPr>
            </w:pPr>
            <w:r>
              <w:rPr>
                <w:rFonts w:eastAsia="Times New Roman"/>
                <w:color w:val="000000"/>
                <w:sz w:val="18"/>
                <w:szCs w:val="18"/>
              </w:rPr>
              <w:t>—%</w:t>
            </w:r>
          </w:p>
        </w:tc>
      </w:tr>
      <w:tr w:rsidR="00000000" w14:paraId="02E18681" w14:textId="77777777">
        <w:trPr>
          <w:divId w:val="1126582221"/>
        </w:trPr>
        <w:tc>
          <w:tcPr>
            <w:tcW w:w="0" w:type="auto"/>
            <w:gridSpan w:val="3"/>
            <w:shd w:val="clear" w:color="auto" w:fill="CCEEFF"/>
            <w:tcMar>
              <w:top w:w="0" w:type="dxa"/>
              <w:left w:w="20" w:type="dxa"/>
              <w:bottom w:w="0" w:type="dxa"/>
              <w:right w:w="20" w:type="dxa"/>
            </w:tcMar>
            <w:vAlign w:val="center"/>
            <w:hideMark/>
          </w:tcPr>
          <w:p w14:paraId="5317E64A" w14:textId="77777777" w:rsidR="00000000" w:rsidRDefault="00E614A4">
            <w:pPr>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56EA750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99818F" w14:textId="77777777" w:rsidR="00000000" w:rsidRDefault="00E614A4">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4B0C453B" w14:textId="77777777" w:rsidR="00000000" w:rsidRDefault="00E614A4">
            <w:pPr>
              <w:rPr>
                <w:rFonts w:eastAsia="Times New Roman"/>
              </w:rPr>
            </w:pPr>
            <w:r>
              <w:rPr>
                <w:rFonts w:eastAsia="Times New Roman"/>
                <w:color w:val="000000"/>
                <w:sz w:val="18"/>
                <w:szCs w:val="18"/>
              </w:rPr>
              <w:t>Term</w:t>
            </w:r>
          </w:p>
        </w:tc>
        <w:tc>
          <w:tcPr>
            <w:tcW w:w="0" w:type="auto"/>
            <w:gridSpan w:val="3"/>
            <w:shd w:val="clear" w:color="auto" w:fill="CCEEFF"/>
            <w:tcMar>
              <w:top w:w="0" w:type="dxa"/>
              <w:left w:w="20" w:type="dxa"/>
              <w:bottom w:w="0" w:type="dxa"/>
              <w:right w:w="20" w:type="dxa"/>
            </w:tcMar>
            <w:vAlign w:val="center"/>
            <w:hideMark/>
          </w:tcPr>
          <w:p w14:paraId="30C8D30F" w14:textId="77777777" w:rsidR="00000000" w:rsidRDefault="00E614A4">
            <w:pPr>
              <w:rPr>
                <w:rFonts w:eastAsia="Times New Roman"/>
              </w:rPr>
            </w:pPr>
          </w:p>
        </w:tc>
        <w:tc>
          <w:tcPr>
            <w:tcW w:w="0" w:type="auto"/>
            <w:gridSpan w:val="3"/>
            <w:shd w:val="clear" w:color="auto" w:fill="CCEEFF"/>
            <w:tcMar>
              <w:top w:w="30" w:type="dxa"/>
              <w:left w:w="20" w:type="dxa"/>
              <w:bottom w:w="30" w:type="dxa"/>
              <w:right w:w="20" w:type="dxa"/>
            </w:tcMar>
            <w:hideMark/>
          </w:tcPr>
          <w:p w14:paraId="2355AC22" w14:textId="77777777" w:rsidR="00000000" w:rsidRDefault="00E614A4">
            <w:pPr>
              <w:jc w:val="center"/>
              <w:rPr>
                <w:rFonts w:eastAsia="Times New Roman"/>
              </w:rPr>
            </w:pPr>
            <w:r>
              <w:rPr>
                <w:rFonts w:eastAsia="Times New Roman"/>
                <w:color w:val="000000"/>
                <w:sz w:val="18"/>
                <w:szCs w:val="18"/>
              </w:rPr>
              <w:t>0.25 years</w:t>
            </w:r>
          </w:p>
        </w:tc>
        <w:tc>
          <w:tcPr>
            <w:tcW w:w="0" w:type="auto"/>
            <w:gridSpan w:val="3"/>
            <w:shd w:val="clear" w:color="auto" w:fill="CCEEFF"/>
            <w:tcMar>
              <w:top w:w="0" w:type="dxa"/>
              <w:left w:w="20" w:type="dxa"/>
              <w:bottom w:w="0" w:type="dxa"/>
              <w:right w:w="20" w:type="dxa"/>
            </w:tcMar>
            <w:vAlign w:val="center"/>
            <w:hideMark/>
          </w:tcPr>
          <w:p w14:paraId="28B96B58" w14:textId="77777777" w:rsidR="00000000" w:rsidRDefault="00E614A4">
            <w:pPr>
              <w:jc w:val="center"/>
              <w:rPr>
                <w:rFonts w:eastAsia="Times New Roman"/>
              </w:rPr>
            </w:pPr>
          </w:p>
        </w:tc>
        <w:tc>
          <w:tcPr>
            <w:tcW w:w="0" w:type="auto"/>
            <w:gridSpan w:val="3"/>
            <w:shd w:val="clear" w:color="auto" w:fill="CCEEFF"/>
            <w:tcMar>
              <w:top w:w="30" w:type="dxa"/>
              <w:left w:w="20" w:type="dxa"/>
              <w:bottom w:w="30" w:type="dxa"/>
              <w:right w:w="20" w:type="dxa"/>
            </w:tcMar>
            <w:hideMark/>
          </w:tcPr>
          <w:p w14:paraId="6C57E462" w14:textId="77777777" w:rsidR="00000000" w:rsidRDefault="00E614A4">
            <w:pPr>
              <w:jc w:val="center"/>
              <w:rPr>
                <w:rFonts w:eastAsia="Times New Roman"/>
              </w:rPr>
            </w:pPr>
            <w:r>
              <w:rPr>
                <w:rFonts w:eastAsia="Times New Roman"/>
                <w:color w:val="000000"/>
                <w:sz w:val="18"/>
                <w:szCs w:val="18"/>
              </w:rPr>
              <w:t>—</w:t>
            </w:r>
          </w:p>
        </w:tc>
      </w:tr>
      <w:tr w:rsidR="00000000" w14:paraId="0A46807D" w14:textId="77777777">
        <w:trPr>
          <w:divId w:val="1126582221"/>
        </w:trPr>
        <w:tc>
          <w:tcPr>
            <w:tcW w:w="0" w:type="auto"/>
            <w:gridSpan w:val="3"/>
            <w:shd w:val="clear" w:color="auto" w:fill="FFFFFF"/>
            <w:tcMar>
              <w:top w:w="0" w:type="dxa"/>
              <w:left w:w="20" w:type="dxa"/>
              <w:bottom w:w="0" w:type="dxa"/>
              <w:right w:w="20" w:type="dxa"/>
            </w:tcMar>
            <w:vAlign w:val="center"/>
            <w:hideMark/>
          </w:tcPr>
          <w:p w14:paraId="20F1C2EE" w14:textId="77777777" w:rsidR="00000000" w:rsidRDefault="00E614A4">
            <w:pPr>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75CFE38D"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5986D1" w14:textId="77777777" w:rsidR="00000000" w:rsidRDefault="00E614A4">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5C95DDA9" w14:textId="77777777" w:rsidR="00000000" w:rsidRDefault="00E614A4">
            <w:pPr>
              <w:rPr>
                <w:rFonts w:eastAsia="Times New Roman"/>
              </w:rPr>
            </w:pPr>
            <w:r>
              <w:rPr>
                <w:rFonts w:eastAsia="Times New Roman"/>
                <w:color w:val="000000"/>
                <w:sz w:val="18"/>
                <w:szCs w:val="18"/>
              </w:rPr>
              <w:t>Risk-free rate</w:t>
            </w:r>
          </w:p>
        </w:tc>
        <w:tc>
          <w:tcPr>
            <w:tcW w:w="0" w:type="auto"/>
            <w:gridSpan w:val="3"/>
            <w:shd w:val="clear" w:color="auto" w:fill="FFFFFF"/>
            <w:tcMar>
              <w:top w:w="0" w:type="dxa"/>
              <w:left w:w="20" w:type="dxa"/>
              <w:bottom w:w="0" w:type="dxa"/>
              <w:right w:w="20" w:type="dxa"/>
            </w:tcMar>
            <w:vAlign w:val="center"/>
            <w:hideMark/>
          </w:tcPr>
          <w:p w14:paraId="7C657F26" w14:textId="77777777" w:rsidR="00000000" w:rsidRDefault="00E614A4">
            <w:pPr>
              <w:rPr>
                <w:rFonts w:eastAsia="Times New Roman"/>
              </w:rPr>
            </w:pPr>
          </w:p>
        </w:tc>
        <w:tc>
          <w:tcPr>
            <w:tcW w:w="0" w:type="auto"/>
            <w:gridSpan w:val="3"/>
            <w:shd w:val="clear" w:color="auto" w:fill="FFFFFF"/>
            <w:tcMar>
              <w:top w:w="30" w:type="dxa"/>
              <w:left w:w="20" w:type="dxa"/>
              <w:bottom w:w="30" w:type="dxa"/>
              <w:right w:w="20" w:type="dxa"/>
            </w:tcMar>
            <w:hideMark/>
          </w:tcPr>
          <w:p w14:paraId="5CCBBE14" w14:textId="77777777" w:rsidR="00000000" w:rsidRDefault="00E614A4">
            <w:pPr>
              <w:jc w:val="center"/>
              <w:rPr>
                <w:rFonts w:eastAsia="Times New Roman"/>
              </w:rPr>
            </w:pPr>
            <w:r>
              <w:rPr>
                <w:rFonts w:eastAsia="Times New Roman"/>
                <w:color w:val="000000"/>
                <w:sz w:val="18"/>
                <w:szCs w:val="18"/>
              </w:rPr>
              <w:t>0.10%</w:t>
            </w:r>
          </w:p>
        </w:tc>
        <w:tc>
          <w:tcPr>
            <w:tcW w:w="0" w:type="auto"/>
            <w:gridSpan w:val="3"/>
            <w:shd w:val="clear" w:color="auto" w:fill="FFFFFF"/>
            <w:tcMar>
              <w:top w:w="0" w:type="dxa"/>
              <w:left w:w="20" w:type="dxa"/>
              <w:bottom w:w="0" w:type="dxa"/>
              <w:right w:w="20" w:type="dxa"/>
            </w:tcMar>
            <w:vAlign w:val="center"/>
            <w:hideMark/>
          </w:tcPr>
          <w:p w14:paraId="0F47E70D"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47792C5" w14:textId="77777777" w:rsidR="00000000" w:rsidRDefault="00E614A4">
            <w:pPr>
              <w:jc w:val="center"/>
              <w:rPr>
                <w:rFonts w:eastAsia="Times New Roman"/>
              </w:rPr>
            </w:pPr>
            <w:r>
              <w:rPr>
                <w:rFonts w:eastAsia="Times New Roman"/>
                <w:color w:val="000000"/>
                <w:sz w:val="18"/>
                <w:szCs w:val="18"/>
              </w:rPr>
              <w:t>—%</w:t>
            </w:r>
          </w:p>
        </w:tc>
      </w:tr>
    </w:tbl>
    <w:p w14:paraId="4DBBE49F" w14:textId="77777777" w:rsidR="00000000" w:rsidRDefault="00E614A4">
      <w:pPr>
        <w:jc w:val="both"/>
        <w:divId w:val="483089483"/>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w:t>
      </w:r>
      <w:r>
        <w:rPr>
          <w:rFonts w:eastAsia="Times New Roman"/>
          <w:i/>
          <w:iCs/>
          <w:color w:val="000000"/>
          <w:sz w:val="16"/>
          <w:szCs w:val="16"/>
        </w:rPr>
        <w:t>The probability of a make-whole change of control, and the resulting fair value determination, was estimated to be negligible as of December 31, 2020.</w:t>
      </w:r>
    </w:p>
    <w:p w14:paraId="3C3E7DDB" w14:textId="77777777" w:rsidR="00000000" w:rsidRDefault="00E614A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w:t>
      </w:r>
      <w:r>
        <w:rPr>
          <w:rFonts w:eastAsia="Times New Roman"/>
          <w:i/>
          <w:iCs/>
          <w:color w:val="000000"/>
          <w:sz w:val="16"/>
          <w:szCs w:val="16"/>
        </w:rPr>
        <w:t>The qualifying change of control redemption derivative liability expired on August 5, 2020.</w:t>
      </w:r>
    </w:p>
    <w:p w14:paraId="446F0915" w14:textId="77777777" w:rsidR="00000000" w:rsidRDefault="00E614A4">
      <w:pPr>
        <w:jc w:val="both"/>
        <w:rPr>
          <w:rFonts w:eastAsia="Times New Roman"/>
        </w:rPr>
      </w:pPr>
      <w:r>
        <w:rPr>
          <w:rFonts w:eastAsia="Times New Roman"/>
          <w:i/>
          <w:iCs/>
          <w:color w:val="000000"/>
          <w:sz w:val="10"/>
          <w:szCs w:val="10"/>
        </w:rPr>
        <w:t>(3</w:t>
      </w:r>
      <w:r>
        <w:rPr>
          <w:rFonts w:eastAsia="Times New Roman"/>
          <w:i/>
          <w:iCs/>
          <w:color w:val="000000"/>
          <w:sz w:val="10"/>
          <w:szCs w:val="10"/>
        </w:rPr>
        <w:t>)</w:t>
      </w:r>
      <w:r>
        <w:rPr>
          <w:rFonts w:eastAsia="Times New Roman"/>
          <w:i/>
          <w:iCs/>
          <w:color w:val="000000"/>
          <w:sz w:val="16"/>
          <w:szCs w:val="16"/>
        </w:rPr>
        <w:t xml:space="preserve"> Warrants liability includes only Series A as of December 31, 2020. Warrants liability includes Series A and Series B-2 as of December 31, 2019.</w:t>
      </w:r>
    </w:p>
    <w:p w14:paraId="72BC5241" w14:textId="77777777" w:rsidR="00000000" w:rsidRDefault="00E614A4">
      <w:pPr>
        <w:jc w:val="both"/>
        <w:divId w:val="1137337104"/>
        <w:rPr>
          <w:rFonts w:eastAsia="Times New Roman"/>
        </w:rPr>
      </w:pPr>
      <w:r>
        <w:rPr>
          <w:rFonts w:eastAsia="Times New Roman"/>
          <w:color w:val="000000"/>
          <w:sz w:val="20"/>
          <w:szCs w:val="20"/>
        </w:rPr>
        <w:t xml:space="preserve">The fair values </w:t>
      </w:r>
      <w:r>
        <w:rPr>
          <w:rFonts w:eastAsia="Times New Roman"/>
          <w:color w:val="000000"/>
          <w:sz w:val="20"/>
          <w:szCs w:val="20"/>
        </w:rPr>
        <w:t>of the Company's financing derivatives are estimated using forward projections and are discounted back at rates commensurate with the remaining term of the related derivative. The primary sensitivity in the interest rate reset derivative liability is drive</w:t>
      </w:r>
      <w:r>
        <w:rPr>
          <w:rFonts w:eastAsia="Times New Roman"/>
          <w:color w:val="000000"/>
          <w:sz w:val="20"/>
          <w:szCs w:val="20"/>
        </w:rPr>
        <w:t>n by the discount rate used to determine the present value of the instrument, the Common Stock price at the measurement date and the observable volatility of the Common Stock. The primary sensitivity for the make-whole and qualifying change of control rede</w:t>
      </w:r>
      <w:r>
        <w:rPr>
          <w:rFonts w:eastAsia="Times New Roman"/>
          <w:color w:val="000000"/>
          <w:sz w:val="20"/>
          <w:szCs w:val="20"/>
        </w:rPr>
        <w:t xml:space="preserve">mption derivative liabilities is driven by the probability of the change of control. </w:t>
      </w:r>
    </w:p>
    <w:p w14:paraId="3DAC6978" w14:textId="77777777" w:rsidR="00000000" w:rsidRDefault="00E614A4">
      <w:pPr>
        <w:jc w:val="both"/>
        <w:divId w:val="123666492"/>
        <w:rPr>
          <w:rFonts w:eastAsia="Times New Roman"/>
        </w:rPr>
      </w:pPr>
      <w:r>
        <w:rPr>
          <w:rFonts w:eastAsia="Times New Roman"/>
          <w:color w:val="000000"/>
          <w:sz w:val="20"/>
          <w:szCs w:val="20"/>
        </w:rPr>
        <w:t>The fair values of the Company's warrants liability are estimated using forward projections of stock issuances with relative certainty and estimated cash payments at each</w:t>
      </w:r>
      <w:r>
        <w:rPr>
          <w:rFonts w:eastAsia="Times New Roman"/>
          <w:color w:val="000000"/>
          <w:sz w:val="20"/>
          <w:szCs w:val="20"/>
        </w:rPr>
        <w:t xml:space="preserve"> exercise date discounted back to the valuation date at rates commensurate with the remaining term of the related warrants. The primary sensitivity in the valuation of each warrant liability is driven by the Common Stock price at the measurement date and t</w:t>
      </w:r>
      <w:r>
        <w:rPr>
          <w:rFonts w:eastAsia="Times New Roman"/>
          <w:color w:val="000000"/>
          <w:sz w:val="20"/>
          <w:szCs w:val="20"/>
        </w:rPr>
        <w:t>he observable volatility of the Common Stock.</w:t>
      </w:r>
    </w:p>
    <w:p w14:paraId="1A570321" w14:textId="77777777" w:rsidR="00000000" w:rsidRDefault="00E614A4">
      <w:pPr>
        <w:jc w:val="both"/>
        <w:divId w:val="2050451369"/>
        <w:rPr>
          <w:rFonts w:eastAsia="Times New Roman"/>
        </w:rPr>
      </w:pPr>
      <w:r>
        <w:rPr>
          <w:rFonts w:eastAsia="Times New Roman"/>
          <w:color w:val="000000"/>
          <w:sz w:val="20"/>
          <w:szCs w:val="20"/>
        </w:rPr>
        <w:t>The fair value of the Company's interest make-whole derivative is estimated using forward projections of estimated cash payments at the closing date discounted back to the valuation date at rates commensurate w</w:t>
      </w:r>
      <w:r>
        <w:rPr>
          <w:rFonts w:eastAsia="Times New Roman"/>
          <w:color w:val="000000"/>
          <w:sz w:val="20"/>
          <w:szCs w:val="20"/>
        </w:rPr>
        <w:t>ith the estimated remaining term of the related derivative. The primary sensitivity in the interest make-whole derivative liability is driven by the probability, and closing date, of a fundamental transaction which includes, but is not limited to, a recapi</w:t>
      </w:r>
      <w:r>
        <w:rPr>
          <w:rFonts w:eastAsia="Times New Roman"/>
          <w:color w:val="000000"/>
          <w:sz w:val="20"/>
          <w:szCs w:val="20"/>
        </w:rPr>
        <w:t>talization of the Company.</w:t>
      </w:r>
    </w:p>
    <w:p w14:paraId="171FB6FF" w14:textId="77777777" w:rsidR="00000000" w:rsidRDefault="00E614A4">
      <w:pPr>
        <w:jc w:val="center"/>
        <w:divId w:val="1510488149"/>
        <w:rPr>
          <w:rFonts w:eastAsia="Times New Roman"/>
        </w:rPr>
      </w:pPr>
      <w:r>
        <w:rPr>
          <w:rFonts w:eastAsia="Times New Roman"/>
          <w:color w:val="000000"/>
          <w:sz w:val="20"/>
          <w:szCs w:val="20"/>
        </w:rPr>
        <w:t>87</w:t>
      </w:r>
    </w:p>
    <w:p w14:paraId="36BC1C58" w14:textId="77777777" w:rsidR="00000000" w:rsidRDefault="00E614A4">
      <w:pPr>
        <w:rPr>
          <w:rFonts w:eastAsia="Times New Roman"/>
        </w:rPr>
      </w:pPr>
      <w:r>
        <w:rPr>
          <w:rFonts w:eastAsia="Times New Roman"/>
        </w:rPr>
        <w:pict w14:anchorId="6BC5B06F">
          <v:rect id="_x0000_i1115" style="width:0;height:1.5pt" o:hralign="center" o:hrstd="t" o:hr="t" fillcolor="#a0a0a0" stroked="f"/>
        </w:pict>
      </w:r>
    </w:p>
    <w:p w14:paraId="69982F49" w14:textId="77777777" w:rsidR="00000000" w:rsidRDefault="00E614A4">
      <w:pPr>
        <w:divId w:val="87492974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E5B0320" w14:textId="77777777" w:rsidR="00000000" w:rsidRDefault="00E614A4">
      <w:pPr>
        <w:divId w:val="1523400853"/>
        <w:rPr>
          <w:rFonts w:eastAsia="Times New Roman"/>
        </w:rPr>
      </w:pPr>
    </w:p>
    <w:p w14:paraId="5493A2EA" w14:textId="77777777" w:rsidR="00000000" w:rsidRDefault="00E614A4">
      <w:pPr>
        <w:ind w:hanging="360"/>
        <w:divId w:val="563686803"/>
        <w:rPr>
          <w:rFonts w:eastAsia="Times New Roman"/>
        </w:rPr>
      </w:pPr>
      <w:r>
        <w:rPr>
          <w:rFonts w:eastAsia="Times New Roman"/>
          <w:b/>
          <w:bCs/>
          <w:color w:val="000000"/>
          <w:sz w:val="20"/>
          <w:szCs w:val="20"/>
        </w:rPr>
        <w:t>7.Property and Equipment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5798"/>
        <w:gridCol w:w="38"/>
        <w:gridCol w:w="36"/>
        <w:gridCol w:w="36"/>
        <w:gridCol w:w="36"/>
        <w:gridCol w:w="111"/>
        <w:gridCol w:w="961"/>
        <w:gridCol w:w="36"/>
        <w:gridCol w:w="36"/>
        <w:gridCol w:w="36"/>
        <w:gridCol w:w="36"/>
        <w:gridCol w:w="110"/>
        <w:gridCol w:w="961"/>
        <w:gridCol w:w="36"/>
      </w:tblGrid>
      <w:tr w:rsidR="00000000" w14:paraId="5A6C8BE4" w14:textId="77777777">
        <w:trPr>
          <w:divId w:val="390201363"/>
        </w:trPr>
        <w:tc>
          <w:tcPr>
            <w:tcW w:w="50" w:type="pct"/>
            <w:vAlign w:val="center"/>
            <w:hideMark/>
          </w:tcPr>
          <w:p w14:paraId="3EDDBF01" w14:textId="77777777" w:rsidR="00000000" w:rsidRDefault="00E614A4">
            <w:pPr>
              <w:ind w:hanging="360"/>
              <w:rPr>
                <w:rFonts w:eastAsia="Times New Roman"/>
              </w:rPr>
            </w:pPr>
          </w:p>
        </w:tc>
        <w:tc>
          <w:tcPr>
            <w:tcW w:w="3542" w:type="pct"/>
            <w:vAlign w:val="center"/>
            <w:hideMark/>
          </w:tcPr>
          <w:p w14:paraId="5BF55497" w14:textId="77777777" w:rsidR="00000000" w:rsidRDefault="00E614A4">
            <w:pPr>
              <w:rPr>
                <w:rFonts w:eastAsia="Times New Roman"/>
                <w:sz w:val="20"/>
                <w:szCs w:val="20"/>
              </w:rPr>
            </w:pPr>
          </w:p>
        </w:tc>
        <w:tc>
          <w:tcPr>
            <w:tcW w:w="5" w:type="pct"/>
            <w:vAlign w:val="center"/>
            <w:hideMark/>
          </w:tcPr>
          <w:p w14:paraId="6DBB0CC7" w14:textId="77777777" w:rsidR="00000000" w:rsidRDefault="00E614A4">
            <w:pPr>
              <w:rPr>
                <w:rFonts w:eastAsia="Times New Roman"/>
                <w:sz w:val="20"/>
                <w:szCs w:val="20"/>
              </w:rPr>
            </w:pPr>
          </w:p>
        </w:tc>
        <w:tc>
          <w:tcPr>
            <w:tcW w:w="5" w:type="pct"/>
            <w:vAlign w:val="center"/>
            <w:hideMark/>
          </w:tcPr>
          <w:p w14:paraId="3BE62C06" w14:textId="77777777" w:rsidR="00000000" w:rsidRDefault="00E614A4">
            <w:pPr>
              <w:rPr>
                <w:rFonts w:eastAsia="Times New Roman"/>
                <w:sz w:val="20"/>
                <w:szCs w:val="20"/>
              </w:rPr>
            </w:pPr>
          </w:p>
        </w:tc>
        <w:tc>
          <w:tcPr>
            <w:tcW w:w="17" w:type="pct"/>
            <w:vAlign w:val="center"/>
            <w:hideMark/>
          </w:tcPr>
          <w:p w14:paraId="0833B43B" w14:textId="77777777" w:rsidR="00000000" w:rsidRDefault="00E614A4">
            <w:pPr>
              <w:rPr>
                <w:rFonts w:eastAsia="Times New Roman"/>
                <w:sz w:val="20"/>
                <w:szCs w:val="20"/>
              </w:rPr>
            </w:pPr>
          </w:p>
        </w:tc>
        <w:tc>
          <w:tcPr>
            <w:tcW w:w="5" w:type="pct"/>
            <w:vAlign w:val="center"/>
            <w:hideMark/>
          </w:tcPr>
          <w:p w14:paraId="4295EAF0" w14:textId="77777777" w:rsidR="00000000" w:rsidRDefault="00E614A4">
            <w:pPr>
              <w:rPr>
                <w:rFonts w:eastAsia="Times New Roman"/>
                <w:sz w:val="20"/>
                <w:szCs w:val="20"/>
              </w:rPr>
            </w:pPr>
          </w:p>
        </w:tc>
        <w:tc>
          <w:tcPr>
            <w:tcW w:w="50" w:type="pct"/>
            <w:vAlign w:val="center"/>
            <w:hideMark/>
          </w:tcPr>
          <w:p w14:paraId="0C62D92D" w14:textId="77777777" w:rsidR="00000000" w:rsidRDefault="00E614A4">
            <w:pPr>
              <w:rPr>
                <w:rFonts w:eastAsia="Times New Roman"/>
                <w:sz w:val="20"/>
                <w:szCs w:val="20"/>
              </w:rPr>
            </w:pPr>
          </w:p>
        </w:tc>
        <w:tc>
          <w:tcPr>
            <w:tcW w:w="618" w:type="pct"/>
            <w:vAlign w:val="center"/>
            <w:hideMark/>
          </w:tcPr>
          <w:p w14:paraId="47323A9C" w14:textId="77777777" w:rsidR="00000000" w:rsidRDefault="00E614A4">
            <w:pPr>
              <w:rPr>
                <w:rFonts w:eastAsia="Times New Roman"/>
                <w:sz w:val="20"/>
                <w:szCs w:val="20"/>
              </w:rPr>
            </w:pPr>
          </w:p>
        </w:tc>
        <w:tc>
          <w:tcPr>
            <w:tcW w:w="5" w:type="pct"/>
            <w:vAlign w:val="center"/>
            <w:hideMark/>
          </w:tcPr>
          <w:p w14:paraId="6CFF5367" w14:textId="77777777" w:rsidR="00000000" w:rsidRDefault="00E614A4">
            <w:pPr>
              <w:rPr>
                <w:rFonts w:eastAsia="Times New Roman"/>
                <w:sz w:val="20"/>
                <w:szCs w:val="20"/>
              </w:rPr>
            </w:pPr>
          </w:p>
        </w:tc>
        <w:tc>
          <w:tcPr>
            <w:tcW w:w="5" w:type="pct"/>
            <w:vAlign w:val="center"/>
            <w:hideMark/>
          </w:tcPr>
          <w:p w14:paraId="1A2F835E" w14:textId="77777777" w:rsidR="00000000" w:rsidRDefault="00E614A4">
            <w:pPr>
              <w:rPr>
                <w:rFonts w:eastAsia="Times New Roman"/>
                <w:sz w:val="20"/>
                <w:szCs w:val="20"/>
              </w:rPr>
            </w:pPr>
          </w:p>
        </w:tc>
        <w:tc>
          <w:tcPr>
            <w:tcW w:w="17" w:type="pct"/>
            <w:vAlign w:val="center"/>
            <w:hideMark/>
          </w:tcPr>
          <w:p w14:paraId="2BCF64D2" w14:textId="77777777" w:rsidR="00000000" w:rsidRDefault="00E614A4">
            <w:pPr>
              <w:rPr>
                <w:rFonts w:eastAsia="Times New Roman"/>
                <w:sz w:val="20"/>
                <w:szCs w:val="20"/>
              </w:rPr>
            </w:pPr>
          </w:p>
        </w:tc>
        <w:tc>
          <w:tcPr>
            <w:tcW w:w="5" w:type="pct"/>
            <w:vAlign w:val="center"/>
            <w:hideMark/>
          </w:tcPr>
          <w:p w14:paraId="4E5BA48E" w14:textId="77777777" w:rsidR="00000000" w:rsidRDefault="00E614A4">
            <w:pPr>
              <w:rPr>
                <w:rFonts w:eastAsia="Times New Roman"/>
                <w:sz w:val="20"/>
                <w:szCs w:val="20"/>
              </w:rPr>
            </w:pPr>
          </w:p>
        </w:tc>
        <w:tc>
          <w:tcPr>
            <w:tcW w:w="50" w:type="pct"/>
            <w:vAlign w:val="center"/>
            <w:hideMark/>
          </w:tcPr>
          <w:p w14:paraId="2CC4B461" w14:textId="77777777" w:rsidR="00000000" w:rsidRDefault="00E614A4">
            <w:pPr>
              <w:rPr>
                <w:rFonts w:eastAsia="Times New Roman"/>
                <w:sz w:val="20"/>
                <w:szCs w:val="20"/>
              </w:rPr>
            </w:pPr>
          </w:p>
        </w:tc>
        <w:tc>
          <w:tcPr>
            <w:tcW w:w="618" w:type="pct"/>
            <w:vAlign w:val="center"/>
            <w:hideMark/>
          </w:tcPr>
          <w:p w14:paraId="1148AA15" w14:textId="77777777" w:rsidR="00000000" w:rsidRDefault="00E614A4">
            <w:pPr>
              <w:rPr>
                <w:rFonts w:eastAsia="Times New Roman"/>
                <w:sz w:val="20"/>
                <w:szCs w:val="20"/>
              </w:rPr>
            </w:pPr>
          </w:p>
        </w:tc>
        <w:tc>
          <w:tcPr>
            <w:tcW w:w="5" w:type="pct"/>
            <w:vAlign w:val="center"/>
            <w:hideMark/>
          </w:tcPr>
          <w:p w14:paraId="2BB1ADFD" w14:textId="77777777" w:rsidR="00000000" w:rsidRDefault="00E614A4">
            <w:pPr>
              <w:rPr>
                <w:rFonts w:eastAsia="Times New Roman"/>
                <w:sz w:val="20"/>
                <w:szCs w:val="20"/>
              </w:rPr>
            </w:pPr>
          </w:p>
        </w:tc>
      </w:tr>
      <w:tr w:rsidR="00000000" w14:paraId="4AB43D6C" w14:textId="77777777">
        <w:trPr>
          <w:divId w:val="390201363"/>
        </w:trPr>
        <w:tc>
          <w:tcPr>
            <w:tcW w:w="0" w:type="auto"/>
            <w:gridSpan w:val="3"/>
            <w:tcMar>
              <w:top w:w="0" w:type="dxa"/>
              <w:left w:w="20" w:type="dxa"/>
              <w:bottom w:w="0" w:type="dxa"/>
              <w:right w:w="20" w:type="dxa"/>
            </w:tcMar>
            <w:vAlign w:val="center"/>
            <w:hideMark/>
          </w:tcPr>
          <w:p w14:paraId="113F8086"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C324E39"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40EFCDBA"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6D4DF35F" w14:textId="77777777">
        <w:trPr>
          <w:divId w:val="390201363"/>
        </w:trPr>
        <w:tc>
          <w:tcPr>
            <w:tcW w:w="0" w:type="auto"/>
            <w:gridSpan w:val="3"/>
            <w:tcMar>
              <w:top w:w="30" w:type="dxa"/>
              <w:left w:w="20" w:type="dxa"/>
              <w:bottom w:w="30" w:type="dxa"/>
              <w:right w:w="20" w:type="dxa"/>
            </w:tcMar>
            <w:vAlign w:val="bottom"/>
            <w:hideMark/>
          </w:tcPr>
          <w:p w14:paraId="7FA544CD"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024D743F"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714D74"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5B560A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4A3E89" w14:textId="77777777" w:rsidR="00000000" w:rsidRDefault="00E614A4">
            <w:pPr>
              <w:jc w:val="center"/>
              <w:rPr>
                <w:rFonts w:eastAsia="Times New Roman"/>
              </w:rPr>
            </w:pPr>
            <w:r>
              <w:rPr>
                <w:rFonts w:eastAsia="Times New Roman"/>
                <w:b/>
                <w:bCs/>
                <w:color w:val="000000"/>
                <w:sz w:val="16"/>
                <w:szCs w:val="16"/>
              </w:rPr>
              <w:t>2019</w:t>
            </w:r>
          </w:p>
        </w:tc>
      </w:tr>
      <w:tr w:rsidR="00000000" w14:paraId="4FEDB974" w14:textId="77777777">
        <w:trPr>
          <w:divId w:val="390201363"/>
        </w:trPr>
        <w:tc>
          <w:tcPr>
            <w:tcW w:w="0" w:type="auto"/>
            <w:gridSpan w:val="3"/>
            <w:shd w:val="clear" w:color="auto" w:fill="CCEEFF"/>
            <w:tcMar>
              <w:top w:w="30" w:type="dxa"/>
              <w:left w:w="20" w:type="dxa"/>
              <w:bottom w:w="30" w:type="dxa"/>
              <w:right w:w="20" w:type="dxa"/>
            </w:tcMar>
            <w:hideMark/>
          </w:tcPr>
          <w:p w14:paraId="627E690A" w14:textId="77777777" w:rsidR="00000000" w:rsidRDefault="00E614A4">
            <w:pPr>
              <w:rPr>
                <w:rFonts w:eastAsia="Times New Roman"/>
              </w:rPr>
            </w:pPr>
            <w:r>
              <w:rPr>
                <w:rFonts w:eastAsia="Times New Roman"/>
                <w:color w:val="000000"/>
                <w:sz w:val="18"/>
                <w:szCs w:val="18"/>
              </w:rPr>
              <w:t xml:space="preserve">Computer equipment </w:t>
            </w:r>
          </w:p>
        </w:tc>
        <w:tc>
          <w:tcPr>
            <w:tcW w:w="0" w:type="auto"/>
            <w:gridSpan w:val="3"/>
            <w:shd w:val="clear" w:color="auto" w:fill="CCEEFF"/>
            <w:tcMar>
              <w:top w:w="0" w:type="dxa"/>
              <w:left w:w="20" w:type="dxa"/>
              <w:bottom w:w="0" w:type="dxa"/>
              <w:right w:w="20" w:type="dxa"/>
            </w:tcMar>
            <w:vAlign w:val="center"/>
            <w:hideMark/>
          </w:tcPr>
          <w:p w14:paraId="26908345"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14:paraId="1108B15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hideMark/>
          </w:tcPr>
          <w:p w14:paraId="1588A7E2" w14:textId="77777777" w:rsidR="00000000" w:rsidRDefault="00E614A4">
            <w:pPr>
              <w:jc w:val="right"/>
              <w:rPr>
                <w:rFonts w:eastAsia="Times New Roman"/>
              </w:rPr>
            </w:pPr>
            <w:r>
              <w:rPr>
                <w:rFonts w:eastAsia="Times New Roman"/>
                <w:color w:val="000000"/>
                <w:sz w:val="18"/>
                <w:szCs w:val="18"/>
              </w:rPr>
              <w:t>96,657 </w:t>
            </w:r>
          </w:p>
        </w:tc>
        <w:tc>
          <w:tcPr>
            <w:tcW w:w="0" w:type="auto"/>
            <w:tcBorders>
              <w:top w:val="single" w:sz="8" w:space="0" w:color="000000"/>
            </w:tcBorders>
            <w:shd w:val="clear" w:color="auto" w:fill="CCEEFF"/>
            <w:tcMar>
              <w:top w:w="30" w:type="dxa"/>
              <w:left w:w="0" w:type="dxa"/>
              <w:bottom w:w="30" w:type="dxa"/>
              <w:right w:w="20" w:type="dxa"/>
            </w:tcMar>
            <w:hideMark/>
          </w:tcPr>
          <w:p w14:paraId="369D48F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41619"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76D0A10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hideMark/>
          </w:tcPr>
          <w:p w14:paraId="3CBEBBF3" w14:textId="77777777" w:rsidR="00000000" w:rsidRDefault="00E614A4">
            <w:pPr>
              <w:jc w:val="right"/>
              <w:rPr>
                <w:rFonts w:eastAsia="Times New Roman"/>
              </w:rPr>
            </w:pPr>
            <w:r>
              <w:rPr>
                <w:rFonts w:eastAsia="Times New Roman"/>
                <w:color w:val="000000"/>
                <w:sz w:val="18"/>
                <w:szCs w:val="18"/>
              </w:rPr>
              <w:t>103,604 </w:t>
            </w:r>
          </w:p>
        </w:tc>
        <w:tc>
          <w:tcPr>
            <w:tcW w:w="0" w:type="auto"/>
            <w:tcBorders>
              <w:top w:val="single" w:sz="8" w:space="0" w:color="000000"/>
            </w:tcBorders>
            <w:shd w:val="clear" w:color="auto" w:fill="CCEEFF"/>
            <w:tcMar>
              <w:top w:w="30" w:type="dxa"/>
              <w:left w:w="0" w:type="dxa"/>
              <w:bottom w:w="30" w:type="dxa"/>
              <w:right w:w="20" w:type="dxa"/>
            </w:tcMar>
            <w:hideMark/>
          </w:tcPr>
          <w:p w14:paraId="7C3D1F7B" w14:textId="77777777" w:rsidR="00000000" w:rsidRDefault="00E614A4">
            <w:pPr>
              <w:jc w:val="right"/>
              <w:rPr>
                <w:rFonts w:eastAsia="Times New Roman"/>
              </w:rPr>
            </w:pPr>
          </w:p>
        </w:tc>
      </w:tr>
      <w:tr w:rsidR="00000000" w14:paraId="42FD5BA8" w14:textId="77777777">
        <w:trPr>
          <w:divId w:val="390201363"/>
        </w:trPr>
        <w:tc>
          <w:tcPr>
            <w:tcW w:w="0" w:type="auto"/>
            <w:gridSpan w:val="3"/>
            <w:shd w:val="clear" w:color="auto" w:fill="FFFFFF"/>
            <w:tcMar>
              <w:top w:w="30" w:type="dxa"/>
              <w:left w:w="20" w:type="dxa"/>
              <w:bottom w:w="30" w:type="dxa"/>
              <w:right w:w="20" w:type="dxa"/>
            </w:tcMar>
            <w:hideMark/>
          </w:tcPr>
          <w:p w14:paraId="6DF07613" w14:textId="77777777" w:rsidR="00000000" w:rsidRDefault="00E614A4">
            <w:pPr>
              <w:rPr>
                <w:rFonts w:eastAsia="Times New Roman"/>
              </w:rPr>
            </w:pPr>
            <w:r>
              <w:rPr>
                <w:rFonts w:eastAsia="Times New Roman"/>
                <w:color w:val="000000"/>
                <w:sz w:val="18"/>
                <w:szCs w:val="18"/>
              </w:rPr>
              <w:t>Capitalized internal-use software</w:t>
            </w:r>
          </w:p>
        </w:tc>
        <w:tc>
          <w:tcPr>
            <w:tcW w:w="0" w:type="auto"/>
            <w:gridSpan w:val="3"/>
            <w:shd w:val="clear" w:color="auto" w:fill="FFFFFF"/>
            <w:tcMar>
              <w:top w:w="0" w:type="dxa"/>
              <w:left w:w="20" w:type="dxa"/>
              <w:bottom w:w="0" w:type="dxa"/>
              <w:right w:w="20" w:type="dxa"/>
            </w:tcMar>
            <w:vAlign w:val="center"/>
            <w:hideMark/>
          </w:tcPr>
          <w:p w14:paraId="3CEE961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hideMark/>
          </w:tcPr>
          <w:p w14:paraId="27FFB1AA" w14:textId="77777777" w:rsidR="00000000" w:rsidRDefault="00E614A4">
            <w:pPr>
              <w:jc w:val="right"/>
              <w:rPr>
                <w:rFonts w:eastAsia="Times New Roman"/>
              </w:rPr>
            </w:pPr>
            <w:r>
              <w:rPr>
                <w:rFonts w:eastAsia="Times New Roman"/>
                <w:color w:val="000000"/>
                <w:sz w:val="18"/>
                <w:szCs w:val="18"/>
              </w:rPr>
              <w:t>36,489 </w:t>
            </w:r>
          </w:p>
        </w:tc>
        <w:tc>
          <w:tcPr>
            <w:tcW w:w="0" w:type="auto"/>
            <w:shd w:val="clear" w:color="auto" w:fill="FFFFFF"/>
            <w:tcMar>
              <w:top w:w="30" w:type="dxa"/>
              <w:left w:w="0" w:type="dxa"/>
              <w:bottom w:w="30" w:type="dxa"/>
              <w:right w:w="20" w:type="dxa"/>
            </w:tcMar>
            <w:hideMark/>
          </w:tcPr>
          <w:p w14:paraId="174F9609"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633B917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F49476A" w14:textId="77777777" w:rsidR="00000000" w:rsidRDefault="00E614A4">
            <w:pPr>
              <w:jc w:val="right"/>
              <w:rPr>
                <w:rFonts w:eastAsia="Times New Roman"/>
              </w:rPr>
            </w:pPr>
            <w:r>
              <w:rPr>
                <w:rFonts w:eastAsia="Times New Roman"/>
                <w:color w:val="000000"/>
                <w:sz w:val="18"/>
                <w:szCs w:val="18"/>
              </w:rPr>
              <w:t>21,534 </w:t>
            </w:r>
          </w:p>
        </w:tc>
        <w:tc>
          <w:tcPr>
            <w:tcW w:w="0" w:type="auto"/>
            <w:shd w:val="clear" w:color="auto" w:fill="FFFFFF"/>
            <w:tcMar>
              <w:top w:w="30" w:type="dxa"/>
              <w:left w:w="0" w:type="dxa"/>
              <w:bottom w:w="30" w:type="dxa"/>
              <w:right w:w="20" w:type="dxa"/>
            </w:tcMar>
            <w:hideMark/>
          </w:tcPr>
          <w:p w14:paraId="3945BA00" w14:textId="77777777" w:rsidR="00000000" w:rsidRDefault="00E614A4">
            <w:pPr>
              <w:jc w:val="right"/>
              <w:rPr>
                <w:rFonts w:eastAsia="Times New Roman"/>
              </w:rPr>
            </w:pPr>
          </w:p>
        </w:tc>
      </w:tr>
      <w:tr w:rsidR="00000000" w14:paraId="5AC61A4F" w14:textId="77777777">
        <w:trPr>
          <w:divId w:val="390201363"/>
        </w:trPr>
        <w:tc>
          <w:tcPr>
            <w:tcW w:w="0" w:type="auto"/>
            <w:gridSpan w:val="3"/>
            <w:shd w:val="clear" w:color="auto" w:fill="CCEEFF"/>
            <w:tcMar>
              <w:top w:w="30" w:type="dxa"/>
              <w:left w:w="20" w:type="dxa"/>
              <w:bottom w:w="30" w:type="dxa"/>
              <w:right w:w="20" w:type="dxa"/>
            </w:tcMar>
            <w:hideMark/>
          </w:tcPr>
          <w:p w14:paraId="0CB204B7" w14:textId="77777777" w:rsidR="00000000" w:rsidRDefault="00E614A4">
            <w:pPr>
              <w:rPr>
                <w:rFonts w:eastAsia="Times New Roman"/>
              </w:rPr>
            </w:pPr>
            <w:r>
              <w:rPr>
                <w:rFonts w:eastAsia="Times New Roman"/>
                <w:color w:val="000000"/>
                <w:sz w:val="18"/>
                <w:szCs w:val="18"/>
              </w:rPr>
              <w:t>Leasehold improvements</w:t>
            </w:r>
          </w:p>
        </w:tc>
        <w:tc>
          <w:tcPr>
            <w:tcW w:w="0" w:type="auto"/>
            <w:gridSpan w:val="3"/>
            <w:shd w:val="clear" w:color="auto" w:fill="CCEEFF"/>
            <w:tcMar>
              <w:top w:w="0" w:type="dxa"/>
              <w:left w:w="20" w:type="dxa"/>
              <w:bottom w:w="0" w:type="dxa"/>
              <w:right w:w="20" w:type="dxa"/>
            </w:tcMar>
            <w:vAlign w:val="center"/>
            <w:hideMark/>
          </w:tcPr>
          <w:p w14:paraId="246B9B4D"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hideMark/>
          </w:tcPr>
          <w:p w14:paraId="4F31A300" w14:textId="77777777" w:rsidR="00000000" w:rsidRDefault="00E614A4">
            <w:pPr>
              <w:jc w:val="right"/>
              <w:rPr>
                <w:rFonts w:eastAsia="Times New Roman"/>
              </w:rPr>
            </w:pPr>
            <w:r>
              <w:rPr>
                <w:rFonts w:eastAsia="Times New Roman"/>
                <w:color w:val="000000"/>
                <w:sz w:val="18"/>
                <w:szCs w:val="18"/>
              </w:rPr>
              <w:t>15,643 </w:t>
            </w:r>
          </w:p>
        </w:tc>
        <w:tc>
          <w:tcPr>
            <w:tcW w:w="0" w:type="auto"/>
            <w:shd w:val="clear" w:color="auto" w:fill="CCEEFF"/>
            <w:tcMar>
              <w:top w:w="30" w:type="dxa"/>
              <w:left w:w="0" w:type="dxa"/>
              <w:bottom w:w="30" w:type="dxa"/>
              <w:right w:w="20" w:type="dxa"/>
            </w:tcMar>
            <w:hideMark/>
          </w:tcPr>
          <w:p w14:paraId="3E47228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43B4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F621EE2" w14:textId="77777777" w:rsidR="00000000" w:rsidRDefault="00E614A4">
            <w:pPr>
              <w:jc w:val="right"/>
              <w:rPr>
                <w:rFonts w:eastAsia="Times New Roman"/>
              </w:rPr>
            </w:pPr>
            <w:r>
              <w:rPr>
                <w:rFonts w:eastAsia="Times New Roman"/>
                <w:color w:val="000000"/>
                <w:sz w:val="18"/>
                <w:szCs w:val="18"/>
              </w:rPr>
              <w:t>18,453 </w:t>
            </w:r>
          </w:p>
        </w:tc>
        <w:tc>
          <w:tcPr>
            <w:tcW w:w="0" w:type="auto"/>
            <w:shd w:val="clear" w:color="auto" w:fill="CCEEFF"/>
            <w:tcMar>
              <w:top w:w="30" w:type="dxa"/>
              <w:left w:w="0" w:type="dxa"/>
              <w:bottom w:w="30" w:type="dxa"/>
              <w:right w:w="20" w:type="dxa"/>
            </w:tcMar>
            <w:hideMark/>
          </w:tcPr>
          <w:p w14:paraId="124777A8" w14:textId="77777777" w:rsidR="00000000" w:rsidRDefault="00E614A4">
            <w:pPr>
              <w:jc w:val="right"/>
              <w:rPr>
                <w:rFonts w:eastAsia="Times New Roman"/>
              </w:rPr>
            </w:pPr>
          </w:p>
        </w:tc>
      </w:tr>
      <w:tr w:rsidR="00000000" w14:paraId="3CA76711" w14:textId="77777777">
        <w:trPr>
          <w:divId w:val="390201363"/>
        </w:trPr>
        <w:tc>
          <w:tcPr>
            <w:tcW w:w="0" w:type="auto"/>
            <w:gridSpan w:val="3"/>
            <w:shd w:val="clear" w:color="auto" w:fill="FFFFFF"/>
            <w:tcMar>
              <w:top w:w="30" w:type="dxa"/>
              <w:left w:w="20" w:type="dxa"/>
              <w:bottom w:w="30" w:type="dxa"/>
              <w:right w:w="20" w:type="dxa"/>
            </w:tcMar>
            <w:hideMark/>
          </w:tcPr>
          <w:p w14:paraId="7CEC1DF7" w14:textId="77777777" w:rsidR="00000000" w:rsidRDefault="00E614A4">
            <w:pPr>
              <w:divId w:val="1809282505"/>
              <w:rPr>
                <w:rFonts w:eastAsia="Times New Roman"/>
              </w:rPr>
            </w:pPr>
            <w:r>
              <w:rPr>
                <w:rFonts w:eastAsia="Times New Roman"/>
                <w:color w:val="000000"/>
                <w:sz w:val="18"/>
                <w:szCs w:val="18"/>
              </w:rPr>
              <w:t>Computer software (including software license arrangements of $1,611 in 2020 and $936 in 2019)</w:t>
            </w:r>
          </w:p>
        </w:tc>
        <w:tc>
          <w:tcPr>
            <w:tcW w:w="0" w:type="auto"/>
            <w:gridSpan w:val="3"/>
            <w:shd w:val="clear" w:color="auto" w:fill="FFFFFF"/>
            <w:tcMar>
              <w:top w:w="0" w:type="dxa"/>
              <w:left w:w="20" w:type="dxa"/>
              <w:bottom w:w="0" w:type="dxa"/>
              <w:right w:w="20" w:type="dxa"/>
            </w:tcMar>
            <w:vAlign w:val="center"/>
            <w:hideMark/>
          </w:tcPr>
          <w:p w14:paraId="094681B2"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hideMark/>
          </w:tcPr>
          <w:p w14:paraId="70EA51F8" w14:textId="77777777" w:rsidR="00000000" w:rsidRDefault="00E614A4">
            <w:pPr>
              <w:jc w:val="right"/>
              <w:rPr>
                <w:rFonts w:eastAsia="Times New Roman"/>
              </w:rPr>
            </w:pPr>
            <w:r>
              <w:rPr>
                <w:rFonts w:eastAsia="Times New Roman"/>
                <w:color w:val="000000"/>
                <w:sz w:val="18"/>
                <w:szCs w:val="18"/>
              </w:rPr>
              <w:t>9,306 </w:t>
            </w:r>
          </w:p>
        </w:tc>
        <w:tc>
          <w:tcPr>
            <w:tcW w:w="0" w:type="auto"/>
            <w:shd w:val="clear" w:color="auto" w:fill="FFFFFF"/>
            <w:tcMar>
              <w:top w:w="30" w:type="dxa"/>
              <w:left w:w="0" w:type="dxa"/>
              <w:bottom w:w="30" w:type="dxa"/>
              <w:right w:w="20" w:type="dxa"/>
            </w:tcMar>
            <w:hideMark/>
          </w:tcPr>
          <w:p w14:paraId="68577BCC"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7F351FB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40FA5AC" w14:textId="77777777" w:rsidR="00000000" w:rsidRDefault="00E614A4">
            <w:pPr>
              <w:jc w:val="right"/>
              <w:rPr>
                <w:rFonts w:eastAsia="Times New Roman"/>
              </w:rPr>
            </w:pPr>
            <w:r>
              <w:rPr>
                <w:rFonts w:eastAsia="Times New Roman"/>
                <w:color w:val="000000"/>
                <w:sz w:val="18"/>
                <w:szCs w:val="18"/>
              </w:rPr>
              <w:t>8,956 </w:t>
            </w:r>
          </w:p>
        </w:tc>
        <w:tc>
          <w:tcPr>
            <w:tcW w:w="0" w:type="auto"/>
            <w:shd w:val="clear" w:color="auto" w:fill="FFFFFF"/>
            <w:tcMar>
              <w:top w:w="30" w:type="dxa"/>
              <w:left w:w="0" w:type="dxa"/>
              <w:bottom w:w="30" w:type="dxa"/>
              <w:right w:w="20" w:type="dxa"/>
            </w:tcMar>
            <w:hideMark/>
          </w:tcPr>
          <w:p w14:paraId="575395D1" w14:textId="77777777" w:rsidR="00000000" w:rsidRDefault="00E614A4">
            <w:pPr>
              <w:jc w:val="right"/>
              <w:rPr>
                <w:rFonts w:eastAsia="Times New Roman"/>
              </w:rPr>
            </w:pPr>
          </w:p>
        </w:tc>
      </w:tr>
      <w:tr w:rsidR="00000000" w14:paraId="0F8A7EBB" w14:textId="77777777">
        <w:trPr>
          <w:divId w:val="390201363"/>
        </w:trPr>
        <w:tc>
          <w:tcPr>
            <w:tcW w:w="0" w:type="auto"/>
            <w:gridSpan w:val="3"/>
            <w:shd w:val="clear" w:color="auto" w:fill="CCEEFF"/>
            <w:tcMar>
              <w:top w:w="30" w:type="dxa"/>
              <w:left w:w="20" w:type="dxa"/>
              <w:bottom w:w="30" w:type="dxa"/>
              <w:right w:w="20" w:type="dxa"/>
            </w:tcMar>
            <w:hideMark/>
          </w:tcPr>
          <w:p w14:paraId="7D29BF7A" w14:textId="77777777" w:rsidR="00000000" w:rsidRDefault="00E614A4">
            <w:pPr>
              <w:rPr>
                <w:rFonts w:eastAsia="Times New Roman"/>
              </w:rPr>
            </w:pPr>
            <w:r>
              <w:rPr>
                <w:rFonts w:eastAsia="Times New Roman"/>
                <w:color w:val="000000"/>
                <w:sz w:val="18"/>
                <w:szCs w:val="18"/>
              </w:rPr>
              <w:t>Finance leases</w:t>
            </w:r>
          </w:p>
        </w:tc>
        <w:tc>
          <w:tcPr>
            <w:tcW w:w="0" w:type="auto"/>
            <w:gridSpan w:val="3"/>
            <w:shd w:val="clear" w:color="auto" w:fill="CCEEFF"/>
            <w:tcMar>
              <w:top w:w="0" w:type="dxa"/>
              <w:left w:w="20" w:type="dxa"/>
              <w:bottom w:w="0" w:type="dxa"/>
              <w:right w:w="20" w:type="dxa"/>
            </w:tcMar>
            <w:vAlign w:val="center"/>
            <w:hideMark/>
          </w:tcPr>
          <w:p w14:paraId="45A3B663"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hideMark/>
          </w:tcPr>
          <w:p w14:paraId="3498D29A" w14:textId="77777777" w:rsidR="00000000" w:rsidRDefault="00E614A4">
            <w:pPr>
              <w:jc w:val="right"/>
              <w:rPr>
                <w:rFonts w:eastAsia="Times New Roman"/>
              </w:rPr>
            </w:pPr>
            <w:r>
              <w:rPr>
                <w:rFonts w:eastAsia="Times New Roman"/>
                <w:color w:val="000000"/>
                <w:sz w:val="18"/>
                <w:szCs w:val="18"/>
              </w:rPr>
              <w:t>5,541 </w:t>
            </w:r>
          </w:p>
        </w:tc>
        <w:tc>
          <w:tcPr>
            <w:tcW w:w="0" w:type="auto"/>
            <w:shd w:val="clear" w:color="auto" w:fill="CCEEFF"/>
            <w:tcMar>
              <w:top w:w="30" w:type="dxa"/>
              <w:left w:w="0" w:type="dxa"/>
              <w:bottom w:w="30" w:type="dxa"/>
              <w:right w:w="20" w:type="dxa"/>
            </w:tcMar>
            <w:hideMark/>
          </w:tcPr>
          <w:p w14:paraId="65D4213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BB29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9D03D99" w14:textId="77777777" w:rsidR="00000000" w:rsidRDefault="00E614A4">
            <w:pPr>
              <w:jc w:val="right"/>
              <w:rPr>
                <w:rFonts w:eastAsia="Times New Roman"/>
              </w:rPr>
            </w:pPr>
            <w:r>
              <w:rPr>
                <w:rFonts w:eastAsia="Times New Roman"/>
                <w:color w:val="000000"/>
                <w:sz w:val="18"/>
                <w:szCs w:val="18"/>
              </w:rPr>
              <w:t>5,442 </w:t>
            </w:r>
          </w:p>
        </w:tc>
        <w:tc>
          <w:tcPr>
            <w:tcW w:w="0" w:type="auto"/>
            <w:shd w:val="clear" w:color="auto" w:fill="CCEEFF"/>
            <w:tcMar>
              <w:top w:w="30" w:type="dxa"/>
              <w:left w:w="0" w:type="dxa"/>
              <w:bottom w:w="30" w:type="dxa"/>
              <w:right w:w="20" w:type="dxa"/>
            </w:tcMar>
            <w:hideMark/>
          </w:tcPr>
          <w:p w14:paraId="24D80D7F" w14:textId="77777777" w:rsidR="00000000" w:rsidRDefault="00E614A4">
            <w:pPr>
              <w:jc w:val="right"/>
              <w:rPr>
                <w:rFonts w:eastAsia="Times New Roman"/>
              </w:rPr>
            </w:pPr>
          </w:p>
        </w:tc>
      </w:tr>
      <w:tr w:rsidR="00000000" w14:paraId="73B5993C" w14:textId="77777777">
        <w:trPr>
          <w:divId w:val="390201363"/>
        </w:trPr>
        <w:tc>
          <w:tcPr>
            <w:tcW w:w="0" w:type="auto"/>
            <w:gridSpan w:val="3"/>
            <w:shd w:val="clear" w:color="auto" w:fill="FFFFFF"/>
            <w:tcMar>
              <w:top w:w="30" w:type="dxa"/>
              <w:left w:w="20" w:type="dxa"/>
              <w:bottom w:w="30" w:type="dxa"/>
              <w:right w:w="20" w:type="dxa"/>
            </w:tcMar>
            <w:hideMark/>
          </w:tcPr>
          <w:p w14:paraId="4F2C8B3F" w14:textId="77777777" w:rsidR="00000000" w:rsidRDefault="00E614A4">
            <w:pPr>
              <w:rPr>
                <w:rFonts w:eastAsia="Times New Roman"/>
              </w:rPr>
            </w:pPr>
            <w:r>
              <w:rPr>
                <w:rFonts w:eastAsia="Times New Roman"/>
                <w:color w:val="000000"/>
                <w:sz w:val="18"/>
                <w:szCs w:val="18"/>
              </w:rPr>
              <w:t>Office equipment, furniture, and other</w:t>
            </w:r>
          </w:p>
        </w:tc>
        <w:tc>
          <w:tcPr>
            <w:tcW w:w="0" w:type="auto"/>
            <w:gridSpan w:val="3"/>
            <w:shd w:val="clear" w:color="auto" w:fill="FFFFFF"/>
            <w:tcMar>
              <w:top w:w="0" w:type="dxa"/>
              <w:left w:w="20" w:type="dxa"/>
              <w:bottom w:w="0" w:type="dxa"/>
              <w:right w:w="20" w:type="dxa"/>
            </w:tcMar>
            <w:vAlign w:val="center"/>
            <w:hideMark/>
          </w:tcPr>
          <w:p w14:paraId="7AE6DC61"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hideMark/>
          </w:tcPr>
          <w:p w14:paraId="05A1760B" w14:textId="77777777" w:rsidR="00000000" w:rsidRDefault="00E614A4">
            <w:pPr>
              <w:jc w:val="right"/>
              <w:rPr>
                <w:rFonts w:eastAsia="Times New Roman"/>
              </w:rPr>
            </w:pPr>
            <w:r>
              <w:rPr>
                <w:rFonts w:eastAsia="Times New Roman"/>
                <w:color w:val="000000"/>
                <w:sz w:val="18"/>
                <w:szCs w:val="18"/>
              </w:rPr>
              <w:t>4,130 </w:t>
            </w:r>
          </w:p>
        </w:tc>
        <w:tc>
          <w:tcPr>
            <w:tcW w:w="0" w:type="auto"/>
            <w:shd w:val="clear" w:color="auto" w:fill="FFFFFF"/>
            <w:tcMar>
              <w:top w:w="30" w:type="dxa"/>
              <w:left w:w="0" w:type="dxa"/>
              <w:bottom w:w="30" w:type="dxa"/>
              <w:right w:w="20" w:type="dxa"/>
            </w:tcMar>
            <w:hideMark/>
          </w:tcPr>
          <w:p w14:paraId="1E3A40C4"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3BD35E9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6E0BA52" w14:textId="77777777" w:rsidR="00000000" w:rsidRDefault="00E614A4">
            <w:pPr>
              <w:jc w:val="right"/>
              <w:rPr>
                <w:rFonts w:eastAsia="Times New Roman"/>
              </w:rPr>
            </w:pPr>
            <w:r>
              <w:rPr>
                <w:rFonts w:eastAsia="Times New Roman"/>
                <w:color w:val="000000"/>
                <w:sz w:val="18"/>
                <w:szCs w:val="18"/>
              </w:rPr>
              <w:t>5,619 </w:t>
            </w:r>
          </w:p>
        </w:tc>
        <w:tc>
          <w:tcPr>
            <w:tcW w:w="0" w:type="auto"/>
            <w:shd w:val="clear" w:color="auto" w:fill="FFFFFF"/>
            <w:tcMar>
              <w:top w:w="30" w:type="dxa"/>
              <w:left w:w="0" w:type="dxa"/>
              <w:bottom w:w="30" w:type="dxa"/>
              <w:right w:w="20" w:type="dxa"/>
            </w:tcMar>
            <w:hideMark/>
          </w:tcPr>
          <w:p w14:paraId="6658B21B" w14:textId="77777777" w:rsidR="00000000" w:rsidRDefault="00E614A4">
            <w:pPr>
              <w:jc w:val="right"/>
              <w:rPr>
                <w:rFonts w:eastAsia="Times New Roman"/>
              </w:rPr>
            </w:pPr>
          </w:p>
        </w:tc>
      </w:tr>
      <w:tr w:rsidR="00000000" w14:paraId="7E24B1F6" w14:textId="77777777">
        <w:trPr>
          <w:divId w:val="390201363"/>
        </w:trPr>
        <w:tc>
          <w:tcPr>
            <w:tcW w:w="0" w:type="auto"/>
            <w:gridSpan w:val="3"/>
            <w:vAlign w:val="center"/>
            <w:hideMark/>
          </w:tcPr>
          <w:p w14:paraId="18C4946D" w14:textId="77777777" w:rsidR="00000000" w:rsidRDefault="00E614A4">
            <w:pPr>
              <w:jc w:val="right"/>
              <w:rPr>
                <w:rFonts w:eastAsia="Times New Roman"/>
                <w:sz w:val="20"/>
                <w:szCs w:val="20"/>
              </w:rPr>
            </w:pPr>
          </w:p>
        </w:tc>
        <w:tc>
          <w:tcPr>
            <w:tcW w:w="0" w:type="auto"/>
            <w:gridSpan w:val="3"/>
            <w:vAlign w:val="center"/>
            <w:hideMark/>
          </w:tcPr>
          <w:p w14:paraId="487ED65D" w14:textId="77777777" w:rsidR="00000000" w:rsidRDefault="00E614A4">
            <w:pPr>
              <w:rPr>
                <w:rFonts w:eastAsia="Times New Roman"/>
                <w:sz w:val="20"/>
                <w:szCs w:val="20"/>
              </w:rPr>
            </w:pPr>
          </w:p>
        </w:tc>
        <w:tc>
          <w:tcPr>
            <w:tcW w:w="0" w:type="auto"/>
            <w:gridSpan w:val="3"/>
            <w:vAlign w:val="center"/>
            <w:hideMark/>
          </w:tcPr>
          <w:p w14:paraId="44F2938A" w14:textId="77777777" w:rsidR="00000000" w:rsidRDefault="00E614A4">
            <w:pPr>
              <w:rPr>
                <w:rFonts w:eastAsia="Times New Roman"/>
                <w:sz w:val="20"/>
                <w:szCs w:val="20"/>
              </w:rPr>
            </w:pPr>
          </w:p>
        </w:tc>
        <w:tc>
          <w:tcPr>
            <w:tcW w:w="0" w:type="auto"/>
            <w:gridSpan w:val="3"/>
            <w:vAlign w:val="center"/>
            <w:hideMark/>
          </w:tcPr>
          <w:p w14:paraId="2912E23C" w14:textId="77777777" w:rsidR="00000000" w:rsidRDefault="00E614A4">
            <w:pPr>
              <w:rPr>
                <w:rFonts w:eastAsia="Times New Roman"/>
                <w:sz w:val="20"/>
                <w:szCs w:val="20"/>
              </w:rPr>
            </w:pPr>
          </w:p>
        </w:tc>
        <w:tc>
          <w:tcPr>
            <w:tcW w:w="0" w:type="auto"/>
            <w:gridSpan w:val="3"/>
            <w:vAlign w:val="center"/>
            <w:hideMark/>
          </w:tcPr>
          <w:p w14:paraId="547DEE1D" w14:textId="77777777" w:rsidR="00000000" w:rsidRDefault="00E614A4">
            <w:pPr>
              <w:rPr>
                <w:rFonts w:eastAsia="Times New Roman"/>
                <w:sz w:val="20"/>
                <w:szCs w:val="20"/>
              </w:rPr>
            </w:pPr>
          </w:p>
        </w:tc>
      </w:tr>
      <w:tr w:rsidR="00000000" w14:paraId="57B73C21" w14:textId="77777777">
        <w:trPr>
          <w:divId w:val="390201363"/>
        </w:trPr>
        <w:tc>
          <w:tcPr>
            <w:tcW w:w="0" w:type="auto"/>
            <w:gridSpan w:val="3"/>
            <w:vAlign w:val="center"/>
            <w:hideMark/>
          </w:tcPr>
          <w:p w14:paraId="60CC2BFE" w14:textId="77777777" w:rsidR="00000000" w:rsidRDefault="00E614A4">
            <w:pPr>
              <w:rPr>
                <w:rFonts w:eastAsia="Times New Roman"/>
                <w:sz w:val="20"/>
                <w:szCs w:val="20"/>
              </w:rPr>
            </w:pPr>
          </w:p>
        </w:tc>
        <w:tc>
          <w:tcPr>
            <w:tcW w:w="0" w:type="auto"/>
            <w:gridSpan w:val="3"/>
            <w:vAlign w:val="center"/>
            <w:hideMark/>
          </w:tcPr>
          <w:p w14:paraId="13C09268" w14:textId="77777777" w:rsidR="00000000" w:rsidRDefault="00E614A4">
            <w:pPr>
              <w:rPr>
                <w:rFonts w:eastAsia="Times New Roman"/>
                <w:sz w:val="20"/>
                <w:szCs w:val="20"/>
              </w:rPr>
            </w:pPr>
          </w:p>
        </w:tc>
        <w:tc>
          <w:tcPr>
            <w:tcW w:w="0" w:type="auto"/>
            <w:gridSpan w:val="3"/>
            <w:vAlign w:val="center"/>
            <w:hideMark/>
          </w:tcPr>
          <w:p w14:paraId="5DBD5F2B" w14:textId="77777777" w:rsidR="00000000" w:rsidRDefault="00E614A4">
            <w:pPr>
              <w:rPr>
                <w:rFonts w:eastAsia="Times New Roman"/>
                <w:sz w:val="20"/>
                <w:szCs w:val="20"/>
              </w:rPr>
            </w:pPr>
          </w:p>
        </w:tc>
        <w:tc>
          <w:tcPr>
            <w:tcW w:w="0" w:type="auto"/>
            <w:gridSpan w:val="3"/>
            <w:vAlign w:val="center"/>
            <w:hideMark/>
          </w:tcPr>
          <w:p w14:paraId="44F8E816" w14:textId="77777777" w:rsidR="00000000" w:rsidRDefault="00E614A4">
            <w:pPr>
              <w:rPr>
                <w:rFonts w:eastAsia="Times New Roman"/>
                <w:sz w:val="20"/>
                <w:szCs w:val="20"/>
              </w:rPr>
            </w:pPr>
          </w:p>
        </w:tc>
        <w:tc>
          <w:tcPr>
            <w:tcW w:w="0" w:type="auto"/>
            <w:gridSpan w:val="3"/>
            <w:vAlign w:val="center"/>
            <w:hideMark/>
          </w:tcPr>
          <w:p w14:paraId="1BEC6A50" w14:textId="77777777" w:rsidR="00000000" w:rsidRDefault="00E614A4">
            <w:pPr>
              <w:rPr>
                <w:rFonts w:eastAsia="Times New Roman"/>
                <w:sz w:val="20"/>
                <w:szCs w:val="20"/>
              </w:rPr>
            </w:pPr>
          </w:p>
        </w:tc>
      </w:tr>
      <w:tr w:rsidR="00000000" w14:paraId="59DC0B5D" w14:textId="77777777">
        <w:trPr>
          <w:divId w:val="390201363"/>
        </w:trPr>
        <w:tc>
          <w:tcPr>
            <w:tcW w:w="0" w:type="auto"/>
            <w:gridSpan w:val="3"/>
            <w:vAlign w:val="center"/>
            <w:hideMark/>
          </w:tcPr>
          <w:p w14:paraId="2B8A9941" w14:textId="77777777" w:rsidR="00000000" w:rsidRDefault="00E614A4">
            <w:pPr>
              <w:rPr>
                <w:rFonts w:eastAsia="Times New Roman"/>
                <w:sz w:val="20"/>
                <w:szCs w:val="20"/>
              </w:rPr>
            </w:pPr>
          </w:p>
        </w:tc>
        <w:tc>
          <w:tcPr>
            <w:tcW w:w="0" w:type="auto"/>
            <w:gridSpan w:val="3"/>
            <w:vAlign w:val="center"/>
            <w:hideMark/>
          </w:tcPr>
          <w:p w14:paraId="7F260F3A" w14:textId="77777777" w:rsidR="00000000" w:rsidRDefault="00E614A4">
            <w:pPr>
              <w:rPr>
                <w:rFonts w:eastAsia="Times New Roman"/>
                <w:sz w:val="20"/>
                <w:szCs w:val="20"/>
              </w:rPr>
            </w:pPr>
          </w:p>
        </w:tc>
        <w:tc>
          <w:tcPr>
            <w:tcW w:w="0" w:type="auto"/>
            <w:gridSpan w:val="3"/>
            <w:vAlign w:val="center"/>
            <w:hideMark/>
          </w:tcPr>
          <w:p w14:paraId="7223223F" w14:textId="77777777" w:rsidR="00000000" w:rsidRDefault="00E614A4">
            <w:pPr>
              <w:rPr>
                <w:rFonts w:eastAsia="Times New Roman"/>
                <w:sz w:val="20"/>
                <w:szCs w:val="20"/>
              </w:rPr>
            </w:pPr>
          </w:p>
        </w:tc>
        <w:tc>
          <w:tcPr>
            <w:tcW w:w="0" w:type="auto"/>
            <w:gridSpan w:val="3"/>
            <w:vAlign w:val="center"/>
            <w:hideMark/>
          </w:tcPr>
          <w:p w14:paraId="48E5C698" w14:textId="77777777" w:rsidR="00000000" w:rsidRDefault="00E614A4">
            <w:pPr>
              <w:rPr>
                <w:rFonts w:eastAsia="Times New Roman"/>
                <w:sz w:val="20"/>
                <w:szCs w:val="20"/>
              </w:rPr>
            </w:pPr>
          </w:p>
        </w:tc>
        <w:tc>
          <w:tcPr>
            <w:tcW w:w="0" w:type="auto"/>
            <w:gridSpan w:val="3"/>
            <w:vAlign w:val="center"/>
            <w:hideMark/>
          </w:tcPr>
          <w:p w14:paraId="32008ADD" w14:textId="77777777" w:rsidR="00000000" w:rsidRDefault="00E614A4">
            <w:pPr>
              <w:rPr>
                <w:rFonts w:eastAsia="Times New Roman"/>
                <w:sz w:val="20"/>
                <w:szCs w:val="20"/>
              </w:rPr>
            </w:pPr>
          </w:p>
        </w:tc>
      </w:tr>
      <w:tr w:rsidR="00000000" w14:paraId="2333B6F2" w14:textId="77777777">
        <w:trPr>
          <w:divId w:val="390201363"/>
        </w:trPr>
        <w:tc>
          <w:tcPr>
            <w:tcW w:w="0" w:type="auto"/>
            <w:gridSpan w:val="3"/>
            <w:vAlign w:val="center"/>
            <w:hideMark/>
          </w:tcPr>
          <w:p w14:paraId="69ACC8C6" w14:textId="77777777" w:rsidR="00000000" w:rsidRDefault="00E614A4">
            <w:pPr>
              <w:rPr>
                <w:rFonts w:eastAsia="Times New Roman"/>
                <w:sz w:val="20"/>
                <w:szCs w:val="20"/>
              </w:rPr>
            </w:pPr>
          </w:p>
        </w:tc>
        <w:tc>
          <w:tcPr>
            <w:tcW w:w="0" w:type="auto"/>
            <w:gridSpan w:val="3"/>
            <w:vAlign w:val="center"/>
            <w:hideMark/>
          </w:tcPr>
          <w:p w14:paraId="249F338A" w14:textId="77777777" w:rsidR="00000000" w:rsidRDefault="00E614A4">
            <w:pPr>
              <w:rPr>
                <w:rFonts w:eastAsia="Times New Roman"/>
                <w:sz w:val="20"/>
                <w:szCs w:val="20"/>
              </w:rPr>
            </w:pPr>
          </w:p>
        </w:tc>
        <w:tc>
          <w:tcPr>
            <w:tcW w:w="0" w:type="auto"/>
            <w:gridSpan w:val="3"/>
            <w:vAlign w:val="center"/>
            <w:hideMark/>
          </w:tcPr>
          <w:p w14:paraId="0A890649" w14:textId="77777777" w:rsidR="00000000" w:rsidRDefault="00E614A4">
            <w:pPr>
              <w:rPr>
                <w:rFonts w:eastAsia="Times New Roman"/>
                <w:sz w:val="20"/>
                <w:szCs w:val="20"/>
              </w:rPr>
            </w:pPr>
          </w:p>
        </w:tc>
        <w:tc>
          <w:tcPr>
            <w:tcW w:w="0" w:type="auto"/>
            <w:gridSpan w:val="3"/>
            <w:vAlign w:val="center"/>
            <w:hideMark/>
          </w:tcPr>
          <w:p w14:paraId="45C2C721" w14:textId="77777777" w:rsidR="00000000" w:rsidRDefault="00E614A4">
            <w:pPr>
              <w:rPr>
                <w:rFonts w:eastAsia="Times New Roman"/>
                <w:sz w:val="20"/>
                <w:szCs w:val="20"/>
              </w:rPr>
            </w:pPr>
          </w:p>
        </w:tc>
        <w:tc>
          <w:tcPr>
            <w:tcW w:w="0" w:type="auto"/>
            <w:gridSpan w:val="3"/>
            <w:vAlign w:val="center"/>
            <w:hideMark/>
          </w:tcPr>
          <w:p w14:paraId="5C5E280F" w14:textId="77777777" w:rsidR="00000000" w:rsidRDefault="00E614A4">
            <w:pPr>
              <w:rPr>
                <w:rFonts w:eastAsia="Times New Roman"/>
                <w:sz w:val="20"/>
                <w:szCs w:val="20"/>
              </w:rPr>
            </w:pPr>
          </w:p>
        </w:tc>
      </w:tr>
      <w:tr w:rsidR="00000000" w14:paraId="2B330F8A" w14:textId="77777777">
        <w:trPr>
          <w:divId w:val="390201363"/>
        </w:trPr>
        <w:tc>
          <w:tcPr>
            <w:tcW w:w="0" w:type="auto"/>
            <w:gridSpan w:val="3"/>
            <w:shd w:val="clear" w:color="auto" w:fill="CCEEFF"/>
            <w:tcMar>
              <w:top w:w="30" w:type="dxa"/>
              <w:left w:w="20" w:type="dxa"/>
              <w:bottom w:w="30" w:type="dxa"/>
              <w:right w:w="20" w:type="dxa"/>
            </w:tcMar>
            <w:hideMark/>
          </w:tcPr>
          <w:p w14:paraId="11FE202F" w14:textId="77777777" w:rsidR="00000000" w:rsidRDefault="00E614A4">
            <w:pPr>
              <w:rPr>
                <w:rFonts w:eastAsia="Times New Roman"/>
              </w:rPr>
            </w:pPr>
            <w:r>
              <w:rPr>
                <w:rFonts w:eastAsia="Times New Roman"/>
                <w:color w:val="000000"/>
                <w:sz w:val="18"/>
                <w:szCs w:val="18"/>
              </w:rPr>
              <w:t>Total property and equipment</w:t>
            </w:r>
          </w:p>
        </w:tc>
        <w:tc>
          <w:tcPr>
            <w:tcW w:w="0" w:type="auto"/>
            <w:gridSpan w:val="3"/>
            <w:shd w:val="clear" w:color="auto" w:fill="CCEEFF"/>
            <w:tcMar>
              <w:top w:w="0" w:type="dxa"/>
              <w:left w:w="20" w:type="dxa"/>
              <w:bottom w:w="0" w:type="dxa"/>
              <w:right w:w="20" w:type="dxa"/>
            </w:tcMar>
            <w:vAlign w:val="center"/>
            <w:hideMark/>
          </w:tcPr>
          <w:p w14:paraId="5D255C60"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7D55BCA4" w14:textId="77777777" w:rsidR="00000000" w:rsidRDefault="00E614A4">
            <w:pPr>
              <w:jc w:val="right"/>
              <w:rPr>
                <w:rFonts w:eastAsia="Times New Roman"/>
              </w:rPr>
            </w:pPr>
            <w:r>
              <w:rPr>
                <w:rFonts w:eastAsia="Times New Roman"/>
                <w:color w:val="000000"/>
                <w:sz w:val="18"/>
                <w:szCs w:val="18"/>
              </w:rPr>
              <w:t>167,766 </w:t>
            </w:r>
          </w:p>
        </w:tc>
        <w:tc>
          <w:tcPr>
            <w:tcW w:w="0" w:type="auto"/>
            <w:tcBorders>
              <w:top w:val="single" w:sz="8" w:space="0" w:color="000000"/>
            </w:tcBorders>
            <w:shd w:val="clear" w:color="auto" w:fill="CCEEFF"/>
            <w:tcMar>
              <w:top w:w="30" w:type="dxa"/>
              <w:left w:w="0" w:type="dxa"/>
              <w:bottom w:w="30" w:type="dxa"/>
              <w:right w:w="20" w:type="dxa"/>
            </w:tcMar>
            <w:hideMark/>
          </w:tcPr>
          <w:p w14:paraId="5D32E3C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8267A"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C8D51C" w14:textId="77777777" w:rsidR="00000000" w:rsidRDefault="00E614A4">
            <w:pPr>
              <w:jc w:val="right"/>
              <w:rPr>
                <w:rFonts w:eastAsia="Times New Roman"/>
              </w:rPr>
            </w:pPr>
            <w:r>
              <w:rPr>
                <w:rFonts w:eastAsia="Times New Roman"/>
                <w:color w:val="000000"/>
                <w:sz w:val="18"/>
                <w:szCs w:val="18"/>
              </w:rPr>
              <w:t>163,608 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A47540" w14:textId="77777777" w:rsidR="00000000" w:rsidRDefault="00E614A4">
            <w:pPr>
              <w:jc w:val="right"/>
              <w:rPr>
                <w:rFonts w:eastAsia="Times New Roman"/>
              </w:rPr>
            </w:pPr>
          </w:p>
        </w:tc>
      </w:tr>
      <w:tr w:rsidR="00000000" w14:paraId="6EF4336F" w14:textId="77777777">
        <w:trPr>
          <w:divId w:val="390201363"/>
        </w:trPr>
        <w:tc>
          <w:tcPr>
            <w:tcW w:w="0" w:type="auto"/>
            <w:gridSpan w:val="3"/>
            <w:shd w:val="clear" w:color="auto" w:fill="FFFFFF"/>
            <w:tcMar>
              <w:top w:w="30" w:type="dxa"/>
              <w:left w:w="20" w:type="dxa"/>
              <w:bottom w:w="30" w:type="dxa"/>
              <w:right w:w="20" w:type="dxa"/>
            </w:tcMar>
            <w:vAlign w:val="bottom"/>
            <w:hideMark/>
          </w:tcPr>
          <w:p w14:paraId="60E7DB33" w14:textId="77777777" w:rsidR="00000000" w:rsidRDefault="00E614A4">
            <w:pPr>
              <w:divId w:val="1472602583"/>
              <w:rPr>
                <w:rFonts w:eastAsia="Times New Roman"/>
              </w:rPr>
            </w:pPr>
            <w:r>
              <w:rPr>
                <w:rFonts w:eastAsia="Times New Roman"/>
                <w:color w:val="000000"/>
                <w:sz w:val="18"/>
                <w:szCs w:val="18"/>
              </w:rPr>
              <w:t>Less: accumulated depreciation and amortization (including software license arrangements of $1,428 in 2020 and $400 in 2019)</w:t>
            </w:r>
          </w:p>
        </w:tc>
        <w:tc>
          <w:tcPr>
            <w:tcW w:w="0" w:type="auto"/>
            <w:gridSpan w:val="3"/>
            <w:shd w:val="clear" w:color="auto" w:fill="FFFFFF"/>
            <w:tcMar>
              <w:top w:w="0" w:type="dxa"/>
              <w:left w:w="20" w:type="dxa"/>
              <w:bottom w:w="0" w:type="dxa"/>
              <w:right w:w="20" w:type="dxa"/>
            </w:tcMar>
            <w:vAlign w:val="center"/>
            <w:hideMark/>
          </w:tcPr>
          <w:p w14:paraId="39D12AF7"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6A0DBD" w14:textId="77777777" w:rsidR="00000000" w:rsidRDefault="00E614A4">
            <w:pPr>
              <w:jc w:val="right"/>
              <w:rPr>
                <w:rFonts w:eastAsia="Times New Roman"/>
              </w:rPr>
            </w:pPr>
            <w:r>
              <w:rPr>
                <w:rFonts w:eastAsia="Times New Roman"/>
                <w:color w:val="000000"/>
                <w:sz w:val="18"/>
                <w:szCs w:val="18"/>
              </w:rPr>
              <w:t>(136,793)</w:t>
            </w:r>
          </w:p>
        </w:tc>
        <w:tc>
          <w:tcPr>
            <w:tcW w:w="0" w:type="auto"/>
            <w:shd w:val="clear" w:color="auto" w:fill="FFFFFF"/>
            <w:tcMar>
              <w:top w:w="30" w:type="dxa"/>
              <w:left w:w="0" w:type="dxa"/>
              <w:bottom w:w="30" w:type="dxa"/>
              <w:right w:w="20" w:type="dxa"/>
            </w:tcMar>
            <w:vAlign w:val="bottom"/>
            <w:hideMark/>
          </w:tcPr>
          <w:p w14:paraId="079DD47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DAE8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D5931" w14:textId="77777777" w:rsidR="00000000" w:rsidRDefault="00E614A4">
            <w:pPr>
              <w:jc w:val="right"/>
              <w:rPr>
                <w:rFonts w:eastAsia="Times New Roman"/>
              </w:rPr>
            </w:pPr>
            <w:r>
              <w:rPr>
                <w:rFonts w:eastAsia="Times New Roman"/>
                <w:color w:val="000000"/>
                <w:sz w:val="18"/>
                <w:szCs w:val="18"/>
              </w:rPr>
              <w:t>(131,915)</w:t>
            </w:r>
          </w:p>
        </w:tc>
        <w:tc>
          <w:tcPr>
            <w:tcW w:w="0" w:type="auto"/>
            <w:shd w:val="clear" w:color="auto" w:fill="FFFFFF"/>
            <w:tcMar>
              <w:top w:w="30" w:type="dxa"/>
              <w:left w:w="0" w:type="dxa"/>
              <w:bottom w:w="30" w:type="dxa"/>
              <w:right w:w="20" w:type="dxa"/>
            </w:tcMar>
            <w:vAlign w:val="bottom"/>
            <w:hideMark/>
          </w:tcPr>
          <w:p w14:paraId="13639913" w14:textId="77777777" w:rsidR="00000000" w:rsidRDefault="00E614A4">
            <w:pPr>
              <w:jc w:val="right"/>
              <w:rPr>
                <w:rFonts w:eastAsia="Times New Roman"/>
              </w:rPr>
            </w:pPr>
          </w:p>
        </w:tc>
      </w:tr>
      <w:tr w:rsidR="00000000" w14:paraId="42C29ED8" w14:textId="77777777">
        <w:trPr>
          <w:divId w:val="390201363"/>
        </w:trPr>
        <w:tc>
          <w:tcPr>
            <w:tcW w:w="0" w:type="auto"/>
            <w:gridSpan w:val="3"/>
            <w:shd w:val="clear" w:color="auto" w:fill="CCEEFF"/>
            <w:tcMar>
              <w:top w:w="30" w:type="dxa"/>
              <w:left w:w="20" w:type="dxa"/>
              <w:bottom w:w="30" w:type="dxa"/>
              <w:right w:w="20" w:type="dxa"/>
            </w:tcMar>
            <w:hideMark/>
          </w:tcPr>
          <w:p w14:paraId="296618BF" w14:textId="77777777" w:rsidR="00000000" w:rsidRDefault="00E614A4">
            <w:pPr>
              <w:rPr>
                <w:rFonts w:eastAsia="Times New Roman"/>
              </w:rPr>
            </w:pPr>
            <w:r>
              <w:rPr>
                <w:rFonts w:eastAsia="Times New Roman"/>
                <w:color w:val="000000"/>
                <w:sz w:val="18"/>
                <w:szCs w:val="18"/>
              </w:rPr>
              <w:t>Total property and equipment, net</w:t>
            </w:r>
          </w:p>
        </w:tc>
        <w:tc>
          <w:tcPr>
            <w:tcW w:w="0" w:type="auto"/>
            <w:gridSpan w:val="3"/>
            <w:shd w:val="clear" w:color="auto" w:fill="CCEEFF"/>
            <w:tcMar>
              <w:top w:w="0" w:type="dxa"/>
              <w:left w:w="20" w:type="dxa"/>
              <w:bottom w:w="0" w:type="dxa"/>
              <w:right w:w="20" w:type="dxa"/>
            </w:tcMar>
            <w:vAlign w:val="center"/>
            <w:hideMark/>
          </w:tcPr>
          <w:p w14:paraId="4CD00EC2"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D30B3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62BFB6" w14:textId="77777777" w:rsidR="00000000" w:rsidRDefault="00E614A4">
            <w:pPr>
              <w:jc w:val="right"/>
              <w:rPr>
                <w:rFonts w:eastAsia="Times New Roman"/>
              </w:rPr>
            </w:pPr>
            <w:r>
              <w:rPr>
                <w:rFonts w:eastAsia="Times New Roman"/>
                <w:color w:val="000000"/>
                <w:sz w:val="18"/>
                <w:szCs w:val="18"/>
              </w:rPr>
              <w:t>30,973 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61647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7D74F"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EBE6B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FFAFDB" w14:textId="77777777" w:rsidR="00000000" w:rsidRDefault="00E614A4">
            <w:pPr>
              <w:jc w:val="right"/>
              <w:rPr>
                <w:rFonts w:eastAsia="Times New Roman"/>
              </w:rPr>
            </w:pPr>
            <w:r>
              <w:rPr>
                <w:rFonts w:eastAsia="Times New Roman"/>
                <w:color w:val="000000"/>
                <w:sz w:val="18"/>
                <w:szCs w:val="18"/>
              </w:rPr>
              <w:t>31,693 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0A649C" w14:textId="77777777" w:rsidR="00000000" w:rsidRDefault="00E614A4">
            <w:pPr>
              <w:jc w:val="right"/>
              <w:rPr>
                <w:rFonts w:eastAsia="Times New Roman"/>
              </w:rPr>
            </w:pPr>
          </w:p>
        </w:tc>
      </w:tr>
    </w:tbl>
    <w:p w14:paraId="3F54AD25" w14:textId="77777777" w:rsidR="00000000" w:rsidRDefault="00E614A4">
      <w:pPr>
        <w:jc w:val="both"/>
        <w:divId w:val="1867205883"/>
        <w:rPr>
          <w:rFonts w:eastAsia="Times New Roman"/>
        </w:rPr>
      </w:pPr>
      <w:r>
        <w:rPr>
          <w:rFonts w:eastAsia="Times New Roman"/>
          <w:color w:val="000000"/>
          <w:sz w:val="20"/>
          <w:szCs w:val="20"/>
        </w:rPr>
        <w:t>During</w:t>
      </w:r>
      <w:r>
        <w:rPr>
          <w:rFonts w:eastAsia="Times New Roman"/>
          <w:color w:val="000000"/>
          <w:sz w:val="20"/>
          <w:szCs w:val="20"/>
        </w:rPr>
        <w:t xml:space="preserve"> 2020, the Company recorded an impairment charge related to certain facility leases and associated leasehold improvements. $1.9 million of this charge was recorded against the property and equipment, net line item in the Consolidated Balance Sheet.</w:t>
      </w:r>
    </w:p>
    <w:p w14:paraId="2E8334C4" w14:textId="77777777" w:rsidR="00000000" w:rsidRDefault="00E614A4">
      <w:pPr>
        <w:jc w:val="both"/>
        <w:divId w:val="1467775879"/>
        <w:rPr>
          <w:rFonts w:eastAsia="Times New Roman"/>
        </w:rPr>
      </w:pPr>
      <w:r>
        <w:rPr>
          <w:rFonts w:eastAsia="Times New Roman"/>
          <w:color w:val="000000"/>
          <w:sz w:val="20"/>
          <w:szCs w:val="20"/>
        </w:rPr>
        <w:t>For the</w:t>
      </w:r>
      <w:r>
        <w:rPr>
          <w:rFonts w:eastAsia="Times New Roman"/>
          <w:color w:val="000000"/>
          <w:sz w:val="20"/>
          <w:szCs w:val="20"/>
        </w:rPr>
        <w:t xml:space="preserve"> years ended December 31, 2020, 2019, and 2018, depreciation expense was $14.1 million, $12.8 million and $17.3 million respectively. In addition, amortization expense from finance leases was $1.7 million and $2.4 million for the years ended December 31, 2</w:t>
      </w:r>
      <w:r>
        <w:rPr>
          <w:rFonts w:eastAsia="Times New Roman"/>
          <w:color w:val="000000"/>
          <w:sz w:val="20"/>
          <w:szCs w:val="20"/>
        </w:rPr>
        <w:t>020 and 2019, respectively.</w:t>
      </w:r>
    </w:p>
    <w:p w14:paraId="7A8C1240" w14:textId="77777777" w:rsidR="00000000" w:rsidRDefault="00E614A4">
      <w:pPr>
        <w:jc w:val="both"/>
        <w:divId w:val="185756772"/>
        <w:rPr>
          <w:rFonts w:eastAsia="Times New Roman"/>
        </w:rPr>
      </w:pPr>
      <w:r>
        <w:rPr>
          <w:rFonts w:eastAsia="Times New Roman"/>
          <w:color w:val="000000"/>
          <w:sz w:val="20"/>
          <w:szCs w:val="20"/>
        </w:rPr>
        <w:t>The composition of the Company's property and equipment, net between those in the United States and those in other locations as of the end of each year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801"/>
        <w:gridCol w:w="36"/>
        <w:gridCol w:w="36"/>
        <w:gridCol w:w="36"/>
        <w:gridCol w:w="36"/>
        <w:gridCol w:w="110"/>
        <w:gridCol w:w="962"/>
        <w:gridCol w:w="36"/>
        <w:gridCol w:w="36"/>
        <w:gridCol w:w="36"/>
        <w:gridCol w:w="36"/>
        <w:gridCol w:w="110"/>
        <w:gridCol w:w="962"/>
        <w:gridCol w:w="36"/>
      </w:tblGrid>
      <w:tr w:rsidR="00000000" w14:paraId="5C3F8095" w14:textId="77777777">
        <w:trPr>
          <w:divId w:val="826214792"/>
        </w:trPr>
        <w:tc>
          <w:tcPr>
            <w:tcW w:w="50" w:type="pct"/>
            <w:vAlign w:val="center"/>
            <w:hideMark/>
          </w:tcPr>
          <w:p w14:paraId="6AA5134A" w14:textId="77777777" w:rsidR="00000000" w:rsidRDefault="00E614A4">
            <w:pPr>
              <w:jc w:val="both"/>
              <w:rPr>
                <w:rFonts w:eastAsia="Times New Roman"/>
              </w:rPr>
            </w:pPr>
          </w:p>
        </w:tc>
        <w:tc>
          <w:tcPr>
            <w:tcW w:w="3542" w:type="pct"/>
            <w:vAlign w:val="center"/>
            <w:hideMark/>
          </w:tcPr>
          <w:p w14:paraId="59E1E967" w14:textId="77777777" w:rsidR="00000000" w:rsidRDefault="00E614A4">
            <w:pPr>
              <w:rPr>
                <w:rFonts w:eastAsia="Times New Roman"/>
                <w:sz w:val="20"/>
                <w:szCs w:val="20"/>
              </w:rPr>
            </w:pPr>
          </w:p>
        </w:tc>
        <w:tc>
          <w:tcPr>
            <w:tcW w:w="5" w:type="pct"/>
            <w:vAlign w:val="center"/>
            <w:hideMark/>
          </w:tcPr>
          <w:p w14:paraId="4AC4075C" w14:textId="77777777" w:rsidR="00000000" w:rsidRDefault="00E614A4">
            <w:pPr>
              <w:rPr>
                <w:rFonts w:eastAsia="Times New Roman"/>
                <w:sz w:val="20"/>
                <w:szCs w:val="20"/>
              </w:rPr>
            </w:pPr>
          </w:p>
        </w:tc>
        <w:tc>
          <w:tcPr>
            <w:tcW w:w="5" w:type="pct"/>
            <w:vAlign w:val="center"/>
            <w:hideMark/>
          </w:tcPr>
          <w:p w14:paraId="5D5B2053" w14:textId="77777777" w:rsidR="00000000" w:rsidRDefault="00E614A4">
            <w:pPr>
              <w:rPr>
                <w:rFonts w:eastAsia="Times New Roman"/>
                <w:sz w:val="20"/>
                <w:szCs w:val="20"/>
              </w:rPr>
            </w:pPr>
          </w:p>
        </w:tc>
        <w:tc>
          <w:tcPr>
            <w:tcW w:w="17" w:type="pct"/>
            <w:vAlign w:val="center"/>
            <w:hideMark/>
          </w:tcPr>
          <w:p w14:paraId="0BF3EA12" w14:textId="77777777" w:rsidR="00000000" w:rsidRDefault="00E614A4">
            <w:pPr>
              <w:rPr>
                <w:rFonts w:eastAsia="Times New Roman"/>
                <w:sz w:val="20"/>
                <w:szCs w:val="20"/>
              </w:rPr>
            </w:pPr>
          </w:p>
        </w:tc>
        <w:tc>
          <w:tcPr>
            <w:tcW w:w="5" w:type="pct"/>
            <w:vAlign w:val="center"/>
            <w:hideMark/>
          </w:tcPr>
          <w:p w14:paraId="276766D1" w14:textId="77777777" w:rsidR="00000000" w:rsidRDefault="00E614A4">
            <w:pPr>
              <w:rPr>
                <w:rFonts w:eastAsia="Times New Roman"/>
                <w:sz w:val="20"/>
                <w:szCs w:val="20"/>
              </w:rPr>
            </w:pPr>
          </w:p>
        </w:tc>
        <w:tc>
          <w:tcPr>
            <w:tcW w:w="50" w:type="pct"/>
            <w:vAlign w:val="center"/>
            <w:hideMark/>
          </w:tcPr>
          <w:p w14:paraId="44E03532" w14:textId="77777777" w:rsidR="00000000" w:rsidRDefault="00E614A4">
            <w:pPr>
              <w:rPr>
                <w:rFonts w:eastAsia="Times New Roman"/>
                <w:sz w:val="20"/>
                <w:szCs w:val="20"/>
              </w:rPr>
            </w:pPr>
          </w:p>
        </w:tc>
        <w:tc>
          <w:tcPr>
            <w:tcW w:w="618" w:type="pct"/>
            <w:vAlign w:val="center"/>
            <w:hideMark/>
          </w:tcPr>
          <w:p w14:paraId="68658DC3" w14:textId="77777777" w:rsidR="00000000" w:rsidRDefault="00E614A4">
            <w:pPr>
              <w:rPr>
                <w:rFonts w:eastAsia="Times New Roman"/>
                <w:sz w:val="20"/>
                <w:szCs w:val="20"/>
              </w:rPr>
            </w:pPr>
          </w:p>
        </w:tc>
        <w:tc>
          <w:tcPr>
            <w:tcW w:w="5" w:type="pct"/>
            <w:vAlign w:val="center"/>
            <w:hideMark/>
          </w:tcPr>
          <w:p w14:paraId="1AFC6070" w14:textId="77777777" w:rsidR="00000000" w:rsidRDefault="00E614A4">
            <w:pPr>
              <w:rPr>
                <w:rFonts w:eastAsia="Times New Roman"/>
                <w:sz w:val="20"/>
                <w:szCs w:val="20"/>
              </w:rPr>
            </w:pPr>
          </w:p>
        </w:tc>
        <w:tc>
          <w:tcPr>
            <w:tcW w:w="5" w:type="pct"/>
            <w:vAlign w:val="center"/>
            <w:hideMark/>
          </w:tcPr>
          <w:p w14:paraId="5F0C600F" w14:textId="77777777" w:rsidR="00000000" w:rsidRDefault="00E614A4">
            <w:pPr>
              <w:rPr>
                <w:rFonts w:eastAsia="Times New Roman"/>
                <w:sz w:val="20"/>
                <w:szCs w:val="20"/>
              </w:rPr>
            </w:pPr>
          </w:p>
        </w:tc>
        <w:tc>
          <w:tcPr>
            <w:tcW w:w="17" w:type="pct"/>
            <w:vAlign w:val="center"/>
            <w:hideMark/>
          </w:tcPr>
          <w:p w14:paraId="78CE0234" w14:textId="77777777" w:rsidR="00000000" w:rsidRDefault="00E614A4">
            <w:pPr>
              <w:rPr>
                <w:rFonts w:eastAsia="Times New Roman"/>
                <w:sz w:val="20"/>
                <w:szCs w:val="20"/>
              </w:rPr>
            </w:pPr>
          </w:p>
        </w:tc>
        <w:tc>
          <w:tcPr>
            <w:tcW w:w="5" w:type="pct"/>
            <w:vAlign w:val="center"/>
            <w:hideMark/>
          </w:tcPr>
          <w:p w14:paraId="12376E2B" w14:textId="77777777" w:rsidR="00000000" w:rsidRDefault="00E614A4">
            <w:pPr>
              <w:rPr>
                <w:rFonts w:eastAsia="Times New Roman"/>
                <w:sz w:val="20"/>
                <w:szCs w:val="20"/>
              </w:rPr>
            </w:pPr>
          </w:p>
        </w:tc>
        <w:tc>
          <w:tcPr>
            <w:tcW w:w="50" w:type="pct"/>
            <w:vAlign w:val="center"/>
            <w:hideMark/>
          </w:tcPr>
          <w:p w14:paraId="738A2309" w14:textId="77777777" w:rsidR="00000000" w:rsidRDefault="00E614A4">
            <w:pPr>
              <w:rPr>
                <w:rFonts w:eastAsia="Times New Roman"/>
                <w:sz w:val="20"/>
                <w:szCs w:val="20"/>
              </w:rPr>
            </w:pPr>
          </w:p>
        </w:tc>
        <w:tc>
          <w:tcPr>
            <w:tcW w:w="618" w:type="pct"/>
            <w:vAlign w:val="center"/>
            <w:hideMark/>
          </w:tcPr>
          <w:p w14:paraId="156F120C" w14:textId="77777777" w:rsidR="00000000" w:rsidRDefault="00E614A4">
            <w:pPr>
              <w:rPr>
                <w:rFonts w:eastAsia="Times New Roman"/>
                <w:sz w:val="20"/>
                <w:szCs w:val="20"/>
              </w:rPr>
            </w:pPr>
          </w:p>
        </w:tc>
        <w:tc>
          <w:tcPr>
            <w:tcW w:w="5" w:type="pct"/>
            <w:vAlign w:val="center"/>
            <w:hideMark/>
          </w:tcPr>
          <w:p w14:paraId="611420E9" w14:textId="77777777" w:rsidR="00000000" w:rsidRDefault="00E614A4">
            <w:pPr>
              <w:rPr>
                <w:rFonts w:eastAsia="Times New Roman"/>
                <w:sz w:val="20"/>
                <w:szCs w:val="20"/>
              </w:rPr>
            </w:pPr>
          </w:p>
        </w:tc>
      </w:tr>
      <w:tr w:rsidR="00000000" w14:paraId="149EB762" w14:textId="77777777">
        <w:trPr>
          <w:divId w:val="826214792"/>
        </w:trPr>
        <w:tc>
          <w:tcPr>
            <w:tcW w:w="0" w:type="auto"/>
            <w:gridSpan w:val="3"/>
            <w:tcMar>
              <w:top w:w="30" w:type="dxa"/>
              <w:left w:w="20" w:type="dxa"/>
              <w:bottom w:w="30" w:type="dxa"/>
              <w:right w:w="20" w:type="dxa"/>
            </w:tcMar>
            <w:vAlign w:val="bottom"/>
            <w:hideMark/>
          </w:tcPr>
          <w:p w14:paraId="0B34AA3A"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E731B3A" w14:textId="77777777" w:rsidR="00000000" w:rsidRDefault="00E614A4">
            <w:pPr>
              <w:rPr>
                <w:rFonts w:eastAsia="Times New Roman"/>
              </w:rPr>
            </w:pPr>
          </w:p>
        </w:tc>
        <w:tc>
          <w:tcPr>
            <w:tcW w:w="0" w:type="auto"/>
            <w:gridSpan w:val="9"/>
            <w:tcMar>
              <w:top w:w="30" w:type="dxa"/>
              <w:left w:w="20" w:type="dxa"/>
              <w:bottom w:w="30" w:type="dxa"/>
              <w:right w:w="20" w:type="dxa"/>
            </w:tcMar>
            <w:vAlign w:val="bottom"/>
            <w:hideMark/>
          </w:tcPr>
          <w:p w14:paraId="20E88E10"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13F15728" w14:textId="77777777">
        <w:trPr>
          <w:divId w:val="826214792"/>
        </w:trPr>
        <w:tc>
          <w:tcPr>
            <w:tcW w:w="0" w:type="auto"/>
            <w:gridSpan w:val="3"/>
            <w:tcMar>
              <w:top w:w="30" w:type="dxa"/>
              <w:left w:w="20" w:type="dxa"/>
              <w:bottom w:w="30" w:type="dxa"/>
              <w:right w:w="20" w:type="dxa"/>
            </w:tcMar>
            <w:vAlign w:val="bottom"/>
            <w:hideMark/>
          </w:tcPr>
          <w:p w14:paraId="27EDED97"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DC07C2A"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684DF3"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8830BF7"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6ECE68" w14:textId="77777777" w:rsidR="00000000" w:rsidRDefault="00E614A4">
            <w:pPr>
              <w:jc w:val="center"/>
              <w:rPr>
                <w:rFonts w:eastAsia="Times New Roman"/>
              </w:rPr>
            </w:pPr>
            <w:r>
              <w:rPr>
                <w:rFonts w:eastAsia="Times New Roman"/>
                <w:b/>
                <w:bCs/>
                <w:color w:val="000000"/>
                <w:sz w:val="16"/>
                <w:szCs w:val="16"/>
              </w:rPr>
              <w:t>2019</w:t>
            </w:r>
          </w:p>
        </w:tc>
      </w:tr>
      <w:tr w:rsidR="00000000" w14:paraId="7B9834F6" w14:textId="77777777">
        <w:trPr>
          <w:divId w:val="826214792"/>
        </w:trPr>
        <w:tc>
          <w:tcPr>
            <w:tcW w:w="0" w:type="auto"/>
            <w:gridSpan w:val="3"/>
            <w:shd w:val="clear" w:color="auto" w:fill="CCEEFF"/>
            <w:tcMar>
              <w:top w:w="30" w:type="dxa"/>
              <w:left w:w="20" w:type="dxa"/>
              <w:bottom w:w="30" w:type="dxa"/>
              <w:right w:w="20" w:type="dxa"/>
            </w:tcMar>
            <w:hideMark/>
          </w:tcPr>
          <w:p w14:paraId="2CA9583F" w14:textId="77777777" w:rsidR="00000000" w:rsidRDefault="00E614A4">
            <w:pPr>
              <w:rPr>
                <w:rFonts w:eastAsia="Times New Roman"/>
              </w:rPr>
            </w:pPr>
            <w:r>
              <w:rPr>
                <w:rFonts w:eastAsia="Times New Roman"/>
                <w:color w:val="000000"/>
                <w:sz w:val="18"/>
                <w:szCs w:val="18"/>
              </w:rPr>
              <w:t>United States</w:t>
            </w:r>
          </w:p>
        </w:tc>
        <w:tc>
          <w:tcPr>
            <w:tcW w:w="0" w:type="auto"/>
            <w:gridSpan w:val="3"/>
            <w:shd w:val="clear" w:color="auto" w:fill="CCEEFF"/>
            <w:tcMar>
              <w:top w:w="0" w:type="dxa"/>
              <w:left w:w="20" w:type="dxa"/>
              <w:bottom w:w="0" w:type="dxa"/>
              <w:right w:w="20" w:type="dxa"/>
            </w:tcMar>
            <w:vAlign w:val="center"/>
            <w:hideMark/>
          </w:tcPr>
          <w:p w14:paraId="77AB43FF"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5C890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024B20" w14:textId="77777777" w:rsidR="00000000" w:rsidRDefault="00E614A4">
            <w:pPr>
              <w:jc w:val="right"/>
              <w:rPr>
                <w:rFonts w:eastAsia="Times New Roman"/>
              </w:rPr>
            </w:pPr>
            <w:r>
              <w:rPr>
                <w:rFonts w:eastAsia="Times New Roman"/>
                <w:color w:val="000000"/>
                <w:sz w:val="18"/>
                <w:szCs w:val="18"/>
              </w:rPr>
              <w:t>30,041 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090C8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3641A"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93FBF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36B169" w14:textId="77777777" w:rsidR="00000000" w:rsidRDefault="00E614A4">
            <w:pPr>
              <w:jc w:val="right"/>
              <w:rPr>
                <w:rFonts w:eastAsia="Times New Roman"/>
              </w:rPr>
            </w:pPr>
            <w:r>
              <w:rPr>
                <w:rFonts w:eastAsia="Times New Roman"/>
                <w:color w:val="000000"/>
                <w:sz w:val="18"/>
                <w:szCs w:val="18"/>
              </w:rPr>
              <w:t>30,556 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40F231" w14:textId="77777777" w:rsidR="00000000" w:rsidRDefault="00E614A4">
            <w:pPr>
              <w:jc w:val="right"/>
              <w:rPr>
                <w:rFonts w:eastAsia="Times New Roman"/>
              </w:rPr>
            </w:pPr>
          </w:p>
        </w:tc>
      </w:tr>
      <w:tr w:rsidR="00000000" w14:paraId="22B2053C" w14:textId="77777777">
        <w:trPr>
          <w:divId w:val="826214792"/>
        </w:trPr>
        <w:tc>
          <w:tcPr>
            <w:tcW w:w="0" w:type="auto"/>
            <w:gridSpan w:val="3"/>
            <w:shd w:val="clear" w:color="auto" w:fill="FFFFFF"/>
            <w:tcMar>
              <w:top w:w="30" w:type="dxa"/>
              <w:left w:w="20" w:type="dxa"/>
              <w:bottom w:w="30" w:type="dxa"/>
              <w:right w:w="20" w:type="dxa"/>
            </w:tcMar>
            <w:hideMark/>
          </w:tcPr>
          <w:p w14:paraId="1934C88A" w14:textId="77777777" w:rsidR="00000000" w:rsidRDefault="00E614A4">
            <w:pPr>
              <w:rPr>
                <w:rFonts w:eastAsia="Times New Roman"/>
              </w:rPr>
            </w:pPr>
            <w:r>
              <w:rPr>
                <w:rFonts w:eastAsia="Times New Roman"/>
                <w:color w:val="000000"/>
                <w:sz w:val="18"/>
                <w:szCs w:val="18"/>
              </w:rPr>
              <w:t>Latin America</w:t>
            </w:r>
          </w:p>
        </w:tc>
        <w:tc>
          <w:tcPr>
            <w:tcW w:w="0" w:type="auto"/>
            <w:gridSpan w:val="3"/>
            <w:shd w:val="clear" w:color="auto" w:fill="FFFFFF"/>
            <w:tcMar>
              <w:top w:w="0" w:type="dxa"/>
              <w:left w:w="20" w:type="dxa"/>
              <w:bottom w:w="0" w:type="dxa"/>
              <w:right w:w="20" w:type="dxa"/>
            </w:tcMar>
            <w:vAlign w:val="center"/>
            <w:hideMark/>
          </w:tcPr>
          <w:p w14:paraId="18FE23B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ABCA56" w14:textId="77777777" w:rsidR="00000000" w:rsidRDefault="00E614A4">
            <w:pPr>
              <w:jc w:val="right"/>
              <w:rPr>
                <w:rFonts w:eastAsia="Times New Roman"/>
              </w:rPr>
            </w:pPr>
            <w:r>
              <w:rPr>
                <w:rFonts w:eastAsia="Times New Roman"/>
                <w:color w:val="000000"/>
                <w:sz w:val="18"/>
                <w:szCs w:val="18"/>
              </w:rPr>
              <w:t>341 </w:t>
            </w:r>
          </w:p>
        </w:tc>
        <w:tc>
          <w:tcPr>
            <w:tcW w:w="0" w:type="auto"/>
            <w:shd w:val="clear" w:color="auto" w:fill="FFFFFF"/>
            <w:tcMar>
              <w:top w:w="30" w:type="dxa"/>
              <w:left w:w="0" w:type="dxa"/>
              <w:bottom w:w="30" w:type="dxa"/>
              <w:right w:w="20" w:type="dxa"/>
            </w:tcMar>
            <w:vAlign w:val="bottom"/>
            <w:hideMark/>
          </w:tcPr>
          <w:p w14:paraId="217E365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6523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BCAF77" w14:textId="77777777" w:rsidR="00000000" w:rsidRDefault="00E614A4">
            <w:pPr>
              <w:jc w:val="right"/>
              <w:rPr>
                <w:rFonts w:eastAsia="Times New Roman"/>
              </w:rPr>
            </w:pPr>
            <w:r>
              <w:rPr>
                <w:rFonts w:eastAsia="Times New Roman"/>
                <w:color w:val="000000"/>
                <w:sz w:val="18"/>
                <w:szCs w:val="18"/>
              </w:rPr>
              <w:t>251 </w:t>
            </w:r>
          </w:p>
        </w:tc>
        <w:tc>
          <w:tcPr>
            <w:tcW w:w="0" w:type="auto"/>
            <w:shd w:val="clear" w:color="auto" w:fill="FFFFFF"/>
            <w:tcMar>
              <w:top w:w="30" w:type="dxa"/>
              <w:left w:w="0" w:type="dxa"/>
              <w:bottom w:w="30" w:type="dxa"/>
              <w:right w:w="20" w:type="dxa"/>
            </w:tcMar>
            <w:vAlign w:val="bottom"/>
            <w:hideMark/>
          </w:tcPr>
          <w:p w14:paraId="1EA45DDF" w14:textId="77777777" w:rsidR="00000000" w:rsidRDefault="00E614A4">
            <w:pPr>
              <w:jc w:val="right"/>
              <w:rPr>
                <w:rFonts w:eastAsia="Times New Roman"/>
              </w:rPr>
            </w:pPr>
          </w:p>
        </w:tc>
      </w:tr>
      <w:tr w:rsidR="00000000" w14:paraId="40C9EF84" w14:textId="77777777">
        <w:trPr>
          <w:divId w:val="826214792"/>
        </w:trPr>
        <w:tc>
          <w:tcPr>
            <w:tcW w:w="0" w:type="auto"/>
            <w:gridSpan w:val="3"/>
            <w:shd w:val="clear" w:color="auto" w:fill="CCEEFF"/>
            <w:tcMar>
              <w:top w:w="30" w:type="dxa"/>
              <w:left w:w="20" w:type="dxa"/>
              <w:bottom w:w="30" w:type="dxa"/>
              <w:right w:w="20" w:type="dxa"/>
            </w:tcMar>
            <w:hideMark/>
          </w:tcPr>
          <w:p w14:paraId="227FA4BE" w14:textId="77777777" w:rsidR="00000000" w:rsidRDefault="00E614A4">
            <w:pPr>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14:paraId="15DFCD9D"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DFC98A" w14:textId="77777777" w:rsidR="00000000" w:rsidRDefault="00E614A4">
            <w:pPr>
              <w:jc w:val="right"/>
              <w:rPr>
                <w:rFonts w:eastAsia="Times New Roman"/>
              </w:rPr>
            </w:pPr>
            <w:r>
              <w:rPr>
                <w:rFonts w:eastAsia="Times New Roman"/>
                <w:color w:val="000000"/>
                <w:sz w:val="18"/>
                <w:szCs w:val="18"/>
              </w:rPr>
              <w:t>333 </w:t>
            </w:r>
          </w:p>
        </w:tc>
        <w:tc>
          <w:tcPr>
            <w:tcW w:w="0" w:type="auto"/>
            <w:shd w:val="clear" w:color="auto" w:fill="CCEEFF"/>
            <w:tcMar>
              <w:top w:w="30" w:type="dxa"/>
              <w:left w:w="0" w:type="dxa"/>
              <w:bottom w:w="30" w:type="dxa"/>
              <w:right w:w="20" w:type="dxa"/>
            </w:tcMar>
            <w:vAlign w:val="bottom"/>
            <w:hideMark/>
          </w:tcPr>
          <w:p w14:paraId="3543943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AD19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6730C5" w14:textId="77777777" w:rsidR="00000000" w:rsidRDefault="00E614A4">
            <w:pPr>
              <w:jc w:val="right"/>
              <w:rPr>
                <w:rFonts w:eastAsia="Times New Roman"/>
              </w:rPr>
            </w:pPr>
            <w:r>
              <w:rPr>
                <w:rFonts w:eastAsia="Times New Roman"/>
                <w:color w:val="000000"/>
                <w:sz w:val="18"/>
                <w:szCs w:val="18"/>
              </w:rPr>
              <w:t>841 </w:t>
            </w:r>
          </w:p>
        </w:tc>
        <w:tc>
          <w:tcPr>
            <w:tcW w:w="0" w:type="auto"/>
            <w:shd w:val="clear" w:color="auto" w:fill="CCEEFF"/>
            <w:tcMar>
              <w:top w:w="30" w:type="dxa"/>
              <w:left w:w="0" w:type="dxa"/>
              <w:bottom w:w="30" w:type="dxa"/>
              <w:right w:w="20" w:type="dxa"/>
            </w:tcMar>
            <w:vAlign w:val="bottom"/>
            <w:hideMark/>
          </w:tcPr>
          <w:p w14:paraId="43C6E848" w14:textId="77777777" w:rsidR="00000000" w:rsidRDefault="00E614A4">
            <w:pPr>
              <w:jc w:val="right"/>
              <w:rPr>
                <w:rFonts w:eastAsia="Times New Roman"/>
              </w:rPr>
            </w:pPr>
          </w:p>
        </w:tc>
      </w:tr>
      <w:tr w:rsidR="00000000" w14:paraId="787528C5" w14:textId="77777777">
        <w:trPr>
          <w:divId w:val="826214792"/>
        </w:trPr>
        <w:tc>
          <w:tcPr>
            <w:tcW w:w="0" w:type="auto"/>
            <w:gridSpan w:val="3"/>
            <w:shd w:val="clear" w:color="auto" w:fill="FFFFFF"/>
            <w:tcMar>
              <w:top w:w="30" w:type="dxa"/>
              <w:left w:w="20" w:type="dxa"/>
              <w:bottom w:w="30" w:type="dxa"/>
              <w:right w:w="20" w:type="dxa"/>
            </w:tcMar>
            <w:hideMark/>
          </w:tcPr>
          <w:p w14:paraId="1DF6813C" w14:textId="77777777" w:rsidR="00000000" w:rsidRDefault="00E614A4">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14C88BF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ADC91C" w14:textId="77777777" w:rsidR="00000000" w:rsidRDefault="00E614A4">
            <w:pPr>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vAlign w:val="bottom"/>
            <w:hideMark/>
          </w:tcPr>
          <w:p w14:paraId="62091D3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2FCD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9A4B25" w14:textId="77777777" w:rsidR="00000000" w:rsidRDefault="00E614A4">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14:paraId="7541CD7D" w14:textId="77777777" w:rsidR="00000000" w:rsidRDefault="00E614A4">
            <w:pPr>
              <w:jc w:val="right"/>
              <w:rPr>
                <w:rFonts w:eastAsia="Times New Roman"/>
              </w:rPr>
            </w:pPr>
          </w:p>
        </w:tc>
      </w:tr>
      <w:tr w:rsidR="00000000" w14:paraId="79F963A0" w14:textId="77777777">
        <w:trPr>
          <w:divId w:val="826214792"/>
        </w:trPr>
        <w:tc>
          <w:tcPr>
            <w:tcW w:w="0" w:type="auto"/>
            <w:gridSpan w:val="3"/>
            <w:shd w:val="clear" w:color="auto" w:fill="CCEEFF"/>
            <w:tcMar>
              <w:top w:w="30" w:type="dxa"/>
              <w:left w:w="20" w:type="dxa"/>
              <w:bottom w:w="30" w:type="dxa"/>
              <w:right w:w="20" w:type="dxa"/>
            </w:tcMar>
            <w:hideMark/>
          </w:tcPr>
          <w:p w14:paraId="41AA1137" w14:textId="77777777" w:rsidR="00000000" w:rsidRDefault="00E614A4">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34634A5D"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28B46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9D3BAB" w14:textId="77777777" w:rsidR="00000000" w:rsidRDefault="00E614A4">
            <w:pPr>
              <w:jc w:val="right"/>
              <w:rPr>
                <w:rFonts w:eastAsia="Times New Roman"/>
              </w:rPr>
            </w:pPr>
            <w:r>
              <w:rPr>
                <w:rFonts w:eastAsia="Times New Roman"/>
                <w:color w:val="000000"/>
                <w:sz w:val="18"/>
                <w:szCs w:val="18"/>
              </w:rPr>
              <w:t>30,973 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06D2B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E3D72"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183A9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8BCC22" w14:textId="77777777" w:rsidR="00000000" w:rsidRDefault="00E614A4">
            <w:pPr>
              <w:jc w:val="right"/>
              <w:rPr>
                <w:rFonts w:eastAsia="Times New Roman"/>
              </w:rPr>
            </w:pPr>
            <w:r>
              <w:rPr>
                <w:rFonts w:eastAsia="Times New Roman"/>
                <w:color w:val="000000"/>
                <w:sz w:val="18"/>
                <w:szCs w:val="18"/>
              </w:rPr>
              <w:t>31,693 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22E6B3" w14:textId="77777777" w:rsidR="00000000" w:rsidRDefault="00E614A4">
            <w:pPr>
              <w:jc w:val="right"/>
              <w:rPr>
                <w:rFonts w:eastAsia="Times New Roman"/>
              </w:rPr>
            </w:pPr>
          </w:p>
        </w:tc>
      </w:tr>
    </w:tbl>
    <w:p w14:paraId="6F6FE20A" w14:textId="77777777" w:rsidR="00000000" w:rsidRDefault="00E614A4">
      <w:pPr>
        <w:jc w:val="both"/>
        <w:rPr>
          <w:rFonts w:eastAsia="Times New Roman"/>
        </w:rPr>
      </w:pPr>
    </w:p>
    <w:p w14:paraId="323F8FA5" w14:textId="77777777" w:rsidR="00000000" w:rsidRDefault="00E614A4">
      <w:pPr>
        <w:ind w:hanging="360"/>
        <w:divId w:val="564338352"/>
        <w:rPr>
          <w:rFonts w:eastAsia="Times New Roman"/>
        </w:rPr>
      </w:pPr>
      <w:r>
        <w:rPr>
          <w:rFonts w:eastAsia="Times New Roman"/>
          <w:b/>
          <w:bCs/>
          <w:color w:val="000000"/>
          <w:sz w:val="20"/>
          <w:szCs w:val="20"/>
        </w:rPr>
        <w:t>8.Le</w:t>
      </w:r>
      <w:r>
        <w:rPr>
          <w:rFonts w:eastAsia="Times New Roman"/>
          <w:b/>
          <w:bCs/>
          <w:color w:val="000000"/>
          <w:sz w:val="20"/>
          <w:szCs w:val="20"/>
        </w:rPr>
        <w:t>ases</w:t>
      </w:r>
    </w:p>
    <w:p w14:paraId="4B768A14" w14:textId="77777777" w:rsidR="00000000" w:rsidRDefault="00E614A4">
      <w:pPr>
        <w:jc w:val="both"/>
        <w:divId w:val="1660577088"/>
        <w:rPr>
          <w:rFonts w:eastAsia="Times New Roman"/>
        </w:rPr>
      </w:pPr>
      <w:r>
        <w:rPr>
          <w:rFonts w:eastAsia="Times New Roman"/>
          <w:color w:val="000000"/>
          <w:sz w:val="20"/>
          <w:szCs w:val="20"/>
        </w:rPr>
        <w:t>The Company has operating leases for real estate and finance leases for computer equipment and automobiles. These leases have remaining lease terms of one year to seven years, some of which include options to extend the leases for up to five years, an</w:t>
      </w:r>
      <w:r>
        <w:rPr>
          <w:rFonts w:eastAsia="Times New Roman"/>
          <w:color w:val="000000"/>
          <w:sz w:val="20"/>
          <w:szCs w:val="20"/>
        </w:rPr>
        <w:t>d some of which include options to terminate the leases within one year. As of December 31, 2020, the weighted average remaining lease term for the Company's finance leases and operating leases was 1.70 years and 5.76 years, respectively. As of December 31</w:t>
      </w:r>
      <w:r>
        <w:rPr>
          <w:rFonts w:eastAsia="Times New Roman"/>
          <w:color w:val="000000"/>
          <w:sz w:val="20"/>
          <w:szCs w:val="20"/>
        </w:rPr>
        <w:t>, 2020, the weighted average discount rate for the Company's finance leases and operating leases was 13.9% and 13.5%, respectively.</w:t>
      </w:r>
    </w:p>
    <w:p w14:paraId="1D9BF2A4" w14:textId="77777777" w:rsidR="00000000" w:rsidRDefault="00E614A4">
      <w:pPr>
        <w:jc w:val="both"/>
        <w:divId w:val="1585336381"/>
        <w:rPr>
          <w:rFonts w:eastAsia="Times New Roman"/>
        </w:rPr>
      </w:pPr>
      <w:r>
        <w:rPr>
          <w:rFonts w:eastAsia="Times New Roman"/>
          <w:color w:val="000000"/>
          <w:sz w:val="20"/>
          <w:szCs w:val="20"/>
        </w:rPr>
        <w:t>The components of lease cost were as follows:</w:t>
      </w:r>
    </w:p>
    <w:tbl>
      <w:tblPr>
        <w:tblW w:w="4986" w:type="pct"/>
        <w:jc w:val="center"/>
        <w:tblCellMar>
          <w:top w:w="15" w:type="dxa"/>
          <w:left w:w="15" w:type="dxa"/>
          <w:bottom w:w="15" w:type="dxa"/>
          <w:right w:w="15" w:type="dxa"/>
        </w:tblCellMar>
        <w:tblLook w:val="04A0" w:firstRow="1" w:lastRow="0" w:firstColumn="1" w:lastColumn="0" w:noHBand="0" w:noVBand="1"/>
      </w:tblPr>
      <w:tblGrid>
        <w:gridCol w:w="47"/>
        <w:gridCol w:w="1362"/>
        <w:gridCol w:w="38"/>
        <w:gridCol w:w="48"/>
        <w:gridCol w:w="1363"/>
        <w:gridCol w:w="37"/>
        <w:gridCol w:w="48"/>
        <w:gridCol w:w="1363"/>
        <w:gridCol w:w="37"/>
        <w:gridCol w:w="48"/>
        <w:gridCol w:w="1363"/>
        <w:gridCol w:w="37"/>
        <w:gridCol w:w="36"/>
        <w:gridCol w:w="36"/>
        <w:gridCol w:w="36"/>
        <w:gridCol w:w="110"/>
        <w:gridCol w:w="992"/>
        <w:gridCol w:w="36"/>
        <w:gridCol w:w="36"/>
        <w:gridCol w:w="36"/>
        <w:gridCol w:w="36"/>
        <w:gridCol w:w="110"/>
        <w:gridCol w:w="992"/>
        <w:gridCol w:w="36"/>
      </w:tblGrid>
      <w:tr w:rsidR="00000000" w14:paraId="5DFBB47A" w14:textId="77777777">
        <w:trPr>
          <w:divId w:val="580985615"/>
          <w:jc w:val="center"/>
        </w:trPr>
        <w:tc>
          <w:tcPr>
            <w:tcW w:w="50" w:type="pct"/>
            <w:vAlign w:val="center"/>
            <w:hideMark/>
          </w:tcPr>
          <w:p w14:paraId="02B83B19" w14:textId="77777777" w:rsidR="00000000" w:rsidRDefault="00E614A4">
            <w:pPr>
              <w:jc w:val="both"/>
              <w:rPr>
                <w:rFonts w:eastAsia="Times New Roman"/>
              </w:rPr>
            </w:pPr>
          </w:p>
        </w:tc>
        <w:tc>
          <w:tcPr>
            <w:tcW w:w="843" w:type="pct"/>
            <w:vAlign w:val="center"/>
            <w:hideMark/>
          </w:tcPr>
          <w:p w14:paraId="70BFE66D" w14:textId="77777777" w:rsidR="00000000" w:rsidRDefault="00E614A4">
            <w:pPr>
              <w:rPr>
                <w:rFonts w:eastAsia="Times New Roman"/>
                <w:sz w:val="20"/>
                <w:szCs w:val="20"/>
              </w:rPr>
            </w:pPr>
          </w:p>
        </w:tc>
        <w:tc>
          <w:tcPr>
            <w:tcW w:w="5" w:type="pct"/>
            <w:vAlign w:val="center"/>
            <w:hideMark/>
          </w:tcPr>
          <w:p w14:paraId="0CF7D438" w14:textId="77777777" w:rsidR="00000000" w:rsidRDefault="00E614A4">
            <w:pPr>
              <w:rPr>
                <w:rFonts w:eastAsia="Times New Roman"/>
                <w:sz w:val="20"/>
                <w:szCs w:val="20"/>
              </w:rPr>
            </w:pPr>
          </w:p>
        </w:tc>
        <w:tc>
          <w:tcPr>
            <w:tcW w:w="50" w:type="pct"/>
            <w:vAlign w:val="center"/>
            <w:hideMark/>
          </w:tcPr>
          <w:p w14:paraId="1A95330D" w14:textId="77777777" w:rsidR="00000000" w:rsidRDefault="00E614A4">
            <w:pPr>
              <w:rPr>
                <w:rFonts w:eastAsia="Times New Roman"/>
                <w:sz w:val="20"/>
                <w:szCs w:val="20"/>
              </w:rPr>
            </w:pPr>
          </w:p>
        </w:tc>
        <w:tc>
          <w:tcPr>
            <w:tcW w:w="843" w:type="pct"/>
            <w:vAlign w:val="center"/>
            <w:hideMark/>
          </w:tcPr>
          <w:p w14:paraId="68D430DE" w14:textId="77777777" w:rsidR="00000000" w:rsidRDefault="00E614A4">
            <w:pPr>
              <w:rPr>
                <w:rFonts w:eastAsia="Times New Roman"/>
                <w:sz w:val="20"/>
                <w:szCs w:val="20"/>
              </w:rPr>
            </w:pPr>
          </w:p>
        </w:tc>
        <w:tc>
          <w:tcPr>
            <w:tcW w:w="5" w:type="pct"/>
            <w:vAlign w:val="center"/>
            <w:hideMark/>
          </w:tcPr>
          <w:p w14:paraId="2F63A8DD" w14:textId="77777777" w:rsidR="00000000" w:rsidRDefault="00E614A4">
            <w:pPr>
              <w:rPr>
                <w:rFonts w:eastAsia="Times New Roman"/>
                <w:sz w:val="20"/>
                <w:szCs w:val="20"/>
              </w:rPr>
            </w:pPr>
          </w:p>
        </w:tc>
        <w:tc>
          <w:tcPr>
            <w:tcW w:w="50" w:type="pct"/>
            <w:vAlign w:val="center"/>
            <w:hideMark/>
          </w:tcPr>
          <w:p w14:paraId="1D51F590" w14:textId="77777777" w:rsidR="00000000" w:rsidRDefault="00E614A4">
            <w:pPr>
              <w:rPr>
                <w:rFonts w:eastAsia="Times New Roman"/>
                <w:sz w:val="20"/>
                <w:szCs w:val="20"/>
              </w:rPr>
            </w:pPr>
          </w:p>
        </w:tc>
        <w:tc>
          <w:tcPr>
            <w:tcW w:w="843" w:type="pct"/>
            <w:vAlign w:val="center"/>
            <w:hideMark/>
          </w:tcPr>
          <w:p w14:paraId="6C464F88" w14:textId="77777777" w:rsidR="00000000" w:rsidRDefault="00E614A4">
            <w:pPr>
              <w:rPr>
                <w:rFonts w:eastAsia="Times New Roman"/>
                <w:sz w:val="20"/>
                <w:szCs w:val="20"/>
              </w:rPr>
            </w:pPr>
          </w:p>
        </w:tc>
        <w:tc>
          <w:tcPr>
            <w:tcW w:w="5" w:type="pct"/>
            <w:vAlign w:val="center"/>
            <w:hideMark/>
          </w:tcPr>
          <w:p w14:paraId="6065F36A" w14:textId="77777777" w:rsidR="00000000" w:rsidRDefault="00E614A4">
            <w:pPr>
              <w:rPr>
                <w:rFonts w:eastAsia="Times New Roman"/>
                <w:sz w:val="20"/>
                <w:szCs w:val="20"/>
              </w:rPr>
            </w:pPr>
          </w:p>
        </w:tc>
        <w:tc>
          <w:tcPr>
            <w:tcW w:w="50" w:type="pct"/>
            <w:vAlign w:val="center"/>
            <w:hideMark/>
          </w:tcPr>
          <w:p w14:paraId="42380FA3" w14:textId="77777777" w:rsidR="00000000" w:rsidRDefault="00E614A4">
            <w:pPr>
              <w:rPr>
                <w:rFonts w:eastAsia="Times New Roman"/>
                <w:sz w:val="20"/>
                <w:szCs w:val="20"/>
              </w:rPr>
            </w:pPr>
          </w:p>
        </w:tc>
        <w:tc>
          <w:tcPr>
            <w:tcW w:w="843" w:type="pct"/>
            <w:vAlign w:val="center"/>
            <w:hideMark/>
          </w:tcPr>
          <w:p w14:paraId="7BBCA9CB" w14:textId="77777777" w:rsidR="00000000" w:rsidRDefault="00E614A4">
            <w:pPr>
              <w:rPr>
                <w:rFonts w:eastAsia="Times New Roman"/>
                <w:sz w:val="20"/>
                <w:szCs w:val="20"/>
              </w:rPr>
            </w:pPr>
          </w:p>
        </w:tc>
        <w:tc>
          <w:tcPr>
            <w:tcW w:w="5" w:type="pct"/>
            <w:vAlign w:val="center"/>
            <w:hideMark/>
          </w:tcPr>
          <w:p w14:paraId="0FCAB8D3" w14:textId="77777777" w:rsidR="00000000" w:rsidRDefault="00E614A4">
            <w:pPr>
              <w:rPr>
                <w:rFonts w:eastAsia="Times New Roman"/>
                <w:sz w:val="20"/>
                <w:szCs w:val="20"/>
              </w:rPr>
            </w:pPr>
          </w:p>
        </w:tc>
        <w:tc>
          <w:tcPr>
            <w:tcW w:w="5" w:type="pct"/>
            <w:vAlign w:val="center"/>
            <w:hideMark/>
          </w:tcPr>
          <w:p w14:paraId="6F2135AA" w14:textId="77777777" w:rsidR="00000000" w:rsidRDefault="00E614A4">
            <w:pPr>
              <w:rPr>
                <w:rFonts w:eastAsia="Times New Roman"/>
                <w:sz w:val="20"/>
                <w:szCs w:val="20"/>
              </w:rPr>
            </w:pPr>
          </w:p>
        </w:tc>
        <w:tc>
          <w:tcPr>
            <w:tcW w:w="17" w:type="pct"/>
            <w:vAlign w:val="center"/>
            <w:hideMark/>
          </w:tcPr>
          <w:p w14:paraId="6814B1BE" w14:textId="77777777" w:rsidR="00000000" w:rsidRDefault="00E614A4">
            <w:pPr>
              <w:rPr>
                <w:rFonts w:eastAsia="Times New Roman"/>
                <w:sz w:val="20"/>
                <w:szCs w:val="20"/>
              </w:rPr>
            </w:pPr>
          </w:p>
        </w:tc>
        <w:tc>
          <w:tcPr>
            <w:tcW w:w="5" w:type="pct"/>
            <w:vAlign w:val="center"/>
            <w:hideMark/>
          </w:tcPr>
          <w:p w14:paraId="7CF3B0F1" w14:textId="77777777" w:rsidR="00000000" w:rsidRDefault="00E614A4">
            <w:pPr>
              <w:rPr>
                <w:rFonts w:eastAsia="Times New Roman"/>
                <w:sz w:val="20"/>
                <w:szCs w:val="20"/>
              </w:rPr>
            </w:pPr>
          </w:p>
        </w:tc>
        <w:tc>
          <w:tcPr>
            <w:tcW w:w="50" w:type="pct"/>
            <w:vAlign w:val="center"/>
            <w:hideMark/>
          </w:tcPr>
          <w:p w14:paraId="2BD81579" w14:textId="77777777" w:rsidR="00000000" w:rsidRDefault="00E614A4">
            <w:pPr>
              <w:rPr>
                <w:rFonts w:eastAsia="Times New Roman"/>
                <w:sz w:val="20"/>
                <w:szCs w:val="20"/>
              </w:rPr>
            </w:pPr>
          </w:p>
        </w:tc>
        <w:tc>
          <w:tcPr>
            <w:tcW w:w="620" w:type="pct"/>
            <w:vAlign w:val="center"/>
            <w:hideMark/>
          </w:tcPr>
          <w:p w14:paraId="1BBC899E" w14:textId="77777777" w:rsidR="00000000" w:rsidRDefault="00E614A4">
            <w:pPr>
              <w:rPr>
                <w:rFonts w:eastAsia="Times New Roman"/>
                <w:sz w:val="20"/>
                <w:szCs w:val="20"/>
              </w:rPr>
            </w:pPr>
          </w:p>
        </w:tc>
        <w:tc>
          <w:tcPr>
            <w:tcW w:w="5" w:type="pct"/>
            <w:vAlign w:val="center"/>
            <w:hideMark/>
          </w:tcPr>
          <w:p w14:paraId="2AF830E4" w14:textId="77777777" w:rsidR="00000000" w:rsidRDefault="00E614A4">
            <w:pPr>
              <w:rPr>
                <w:rFonts w:eastAsia="Times New Roman"/>
                <w:sz w:val="20"/>
                <w:szCs w:val="20"/>
              </w:rPr>
            </w:pPr>
          </w:p>
        </w:tc>
        <w:tc>
          <w:tcPr>
            <w:tcW w:w="5" w:type="pct"/>
            <w:vAlign w:val="center"/>
            <w:hideMark/>
          </w:tcPr>
          <w:p w14:paraId="0E78610A" w14:textId="77777777" w:rsidR="00000000" w:rsidRDefault="00E614A4">
            <w:pPr>
              <w:rPr>
                <w:rFonts w:eastAsia="Times New Roman"/>
                <w:sz w:val="20"/>
                <w:szCs w:val="20"/>
              </w:rPr>
            </w:pPr>
          </w:p>
        </w:tc>
        <w:tc>
          <w:tcPr>
            <w:tcW w:w="17" w:type="pct"/>
            <w:vAlign w:val="center"/>
            <w:hideMark/>
          </w:tcPr>
          <w:p w14:paraId="3B2F77AD" w14:textId="77777777" w:rsidR="00000000" w:rsidRDefault="00E614A4">
            <w:pPr>
              <w:rPr>
                <w:rFonts w:eastAsia="Times New Roman"/>
                <w:sz w:val="20"/>
                <w:szCs w:val="20"/>
              </w:rPr>
            </w:pPr>
          </w:p>
        </w:tc>
        <w:tc>
          <w:tcPr>
            <w:tcW w:w="5" w:type="pct"/>
            <w:vAlign w:val="center"/>
            <w:hideMark/>
          </w:tcPr>
          <w:p w14:paraId="270F06C9" w14:textId="77777777" w:rsidR="00000000" w:rsidRDefault="00E614A4">
            <w:pPr>
              <w:rPr>
                <w:rFonts w:eastAsia="Times New Roman"/>
                <w:sz w:val="20"/>
                <w:szCs w:val="20"/>
              </w:rPr>
            </w:pPr>
          </w:p>
        </w:tc>
        <w:tc>
          <w:tcPr>
            <w:tcW w:w="50" w:type="pct"/>
            <w:vAlign w:val="center"/>
            <w:hideMark/>
          </w:tcPr>
          <w:p w14:paraId="068405D2" w14:textId="77777777" w:rsidR="00000000" w:rsidRDefault="00E614A4">
            <w:pPr>
              <w:rPr>
                <w:rFonts w:eastAsia="Times New Roman"/>
                <w:sz w:val="20"/>
                <w:szCs w:val="20"/>
              </w:rPr>
            </w:pPr>
          </w:p>
        </w:tc>
        <w:tc>
          <w:tcPr>
            <w:tcW w:w="620" w:type="pct"/>
            <w:vAlign w:val="center"/>
            <w:hideMark/>
          </w:tcPr>
          <w:p w14:paraId="11DFF0A1" w14:textId="77777777" w:rsidR="00000000" w:rsidRDefault="00E614A4">
            <w:pPr>
              <w:rPr>
                <w:rFonts w:eastAsia="Times New Roman"/>
                <w:sz w:val="20"/>
                <w:szCs w:val="20"/>
              </w:rPr>
            </w:pPr>
          </w:p>
        </w:tc>
        <w:tc>
          <w:tcPr>
            <w:tcW w:w="5" w:type="pct"/>
            <w:vAlign w:val="center"/>
            <w:hideMark/>
          </w:tcPr>
          <w:p w14:paraId="571F11D3" w14:textId="77777777" w:rsidR="00000000" w:rsidRDefault="00E614A4">
            <w:pPr>
              <w:rPr>
                <w:rFonts w:eastAsia="Times New Roman"/>
                <w:sz w:val="20"/>
                <w:szCs w:val="20"/>
              </w:rPr>
            </w:pPr>
          </w:p>
        </w:tc>
      </w:tr>
      <w:tr w:rsidR="00000000" w14:paraId="06C45E5E" w14:textId="77777777">
        <w:trPr>
          <w:divId w:val="580985615"/>
          <w:jc w:val="center"/>
        </w:trPr>
        <w:tc>
          <w:tcPr>
            <w:tcW w:w="0" w:type="auto"/>
            <w:gridSpan w:val="12"/>
            <w:tcMar>
              <w:top w:w="0" w:type="dxa"/>
              <w:left w:w="20" w:type="dxa"/>
              <w:bottom w:w="0" w:type="dxa"/>
              <w:right w:w="20" w:type="dxa"/>
            </w:tcMar>
            <w:vAlign w:val="center"/>
            <w:hideMark/>
          </w:tcPr>
          <w:p w14:paraId="1C478A9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F9C3CEF"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27DA8F9E"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3BDE4EBF" w14:textId="77777777">
        <w:trPr>
          <w:divId w:val="580985615"/>
          <w:jc w:val="center"/>
        </w:trPr>
        <w:tc>
          <w:tcPr>
            <w:tcW w:w="0" w:type="auto"/>
            <w:gridSpan w:val="12"/>
            <w:tcMar>
              <w:top w:w="30" w:type="dxa"/>
              <w:left w:w="20" w:type="dxa"/>
              <w:bottom w:w="30" w:type="dxa"/>
              <w:right w:w="20" w:type="dxa"/>
            </w:tcMar>
            <w:vAlign w:val="bottom"/>
            <w:hideMark/>
          </w:tcPr>
          <w:p w14:paraId="3664F7F1"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5A88B071"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E5BB5D"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051B03C"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E2B248" w14:textId="77777777" w:rsidR="00000000" w:rsidRDefault="00E614A4">
            <w:pPr>
              <w:jc w:val="center"/>
              <w:rPr>
                <w:rFonts w:eastAsia="Times New Roman"/>
              </w:rPr>
            </w:pPr>
            <w:r>
              <w:rPr>
                <w:rFonts w:eastAsia="Times New Roman"/>
                <w:b/>
                <w:bCs/>
                <w:color w:val="000000"/>
                <w:sz w:val="16"/>
                <w:szCs w:val="16"/>
              </w:rPr>
              <w:t>2019</w:t>
            </w:r>
          </w:p>
        </w:tc>
      </w:tr>
      <w:tr w:rsidR="00000000" w14:paraId="08BF2B7A" w14:textId="77777777">
        <w:trPr>
          <w:divId w:val="580985615"/>
          <w:jc w:val="center"/>
        </w:trPr>
        <w:tc>
          <w:tcPr>
            <w:tcW w:w="0" w:type="auto"/>
            <w:gridSpan w:val="12"/>
            <w:shd w:val="clear" w:color="auto" w:fill="CCEEFF"/>
            <w:tcMar>
              <w:top w:w="30" w:type="dxa"/>
              <w:left w:w="20" w:type="dxa"/>
              <w:bottom w:w="30" w:type="dxa"/>
              <w:right w:w="20" w:type="dxa"/>
            </w:tcMar>
            <w:vAlign w:val="bottom"/>
            <w:hideMark/>
          </w:tcPr>
          <w:p w14:paraId="5A7FC004" w14:textId="77777777" w:rsidR="00000000" w:rsidRDefault="00E614A4">
            <w:pPr>
              <w:rPr>
                <w:rFonts w:eastAsia="Times New Roman"/>
              </w:rPr>
            </w:pPr>
            <w:r>
              <w:rPr>
                <w:rFonts w:eastAsia="Times New Roman"/>
                <w:b/>
                <w:bCs/>
                <w:color w:val="000000"/>
                <w:sz w:val="18"/>
                <w:szCs w:val="18"/>
              </w:rPr>
              <w:t>Finance lease cost</w:t>
            </w:r>
          </w:p>
        </w:tc>
        <w:tc>
          <w:tcPr>
            <w:tcW w:w="0" w:type="auto"/>
            <w:gridSpan w:val="3"/>
            <w:shd w:val="clear" w:color="auto" w:fill="CCEEFF"/>
            <w:tcMar>
              <w:top w:w="0" w:type="dxa"/>
              <w:left w:w="20" w:type="dxa"/>
              <w:bottom w:w="0" w:type="dxa"/>
              <w:right w:w="20" w:type="dxa"/>
            </w:tcMar>
            <w:vAlign w:val="center"/>
            <w:hideMark/>
          </w:tcPr>
          <w:p w14:paraId="71F62FFE" w14:textId="77777777" w:rsidR="00000000" w:rsidRDefault="00E614A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9C1B9D"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DBFEB8"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C7CAE3" w14:textId="77777777" w:rsidR="00000000" w:rsidRDefault="00E614A4">
            <w:pPr>
              <w:rPr>
                <w:rFonts w:eastAsia="Times New Roman"/>
                <w:sz w:val="20"/>
                <w:szCs w:val="20"/>
              </w:rPr>
            </w:pPr>
          </w:p>
        </w:tc>
      </w:tr>
      <w:tr w:rsidR="00000000" w14:paraId="24125008" w14:textId="77777777">
        <w:trPr>
          <w:divId w:val="580985615"/>
          <w:jc w:val="center"/>
        </w:trPr>
        <w:tc>
          <w:tcPr>
            <w:tcW w:w="0" w:type="auto"/>
            <w:gridSpan w:val="12"/>
            <w:shd w:val="clear" w:color="auto" w:fill="FFFFFF"/>
            <w:tcMar>
              <w:top w:w="30" w:type="dxa"/>
              <w:left w:w="245" w:type="dxa"/>
              <w:bottom w:w="30" w:type="dxa"/>
              <w:right w:w="20" w:type="dxa"/>
            </w:tcMar>
            <w:hideMark/>
          </w:tcPr>
          <w:p w14:paraId="28F3A5F6" w14:textId="77777777" w:rsidR="00000000" w:rsidRDefault="00E614A4">
            <w:pPr>
              <w:rPr>
                <w:rFonts w:eastAsia="Times New Roman"/>
              </w:rPr>
            </w:pPr>
            <w:r>
              <w:rPr>
                <w:rFonts w:eastAsia="Times New Roman"/>
                <w:color w:val="000000"/>
                <w:sz w:val="18"/>
                <w:szCs w:val="18"/>
              </w:rPr>
              <w:t>Amortization of right-of-use assets</w:t>
            </w:r>
          </w:p>
        </w:tc>
        <w:tc>
          <w:tcPr>
            <w:tcW w:w="0" w:type="auto"/>
            <w:gridSpan w:val="3"/>
            <w:shd w:val="clear" w:color="auto" w:fill="FFFFFF"/>
            <w:tcMar>
              <w:top w:w="0" w:type="dxa"/>
              <w:left w:w="20" w:type="dxa"/>
              <w:bottom w:w="0" w:type="dxa"/>
              <w:right w:w="20" w:type="dxa"/>
            </w:tcMar>
            <w:vAlign w:val="center"/>
            <w:hideMark/>
          </w:tcPr>
          <w:p w14:paraId="2632A283"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7F9154C0"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56D4FCD" w14:textId="77777777" w:rsidR="00000000" w:rsidRDefault="00E614A4">
            <w:pPr>
              <w:jc w:val="right"/>
              <w:rPr>
                <w:rFonts w:eastAsia="Times New Roman"/>
              </w:rPr>
            </w:pPr>
            <w:r>
              <w:rPr>
                <w:rFonts w:eastAsia="Times New Roman"/>
                <w:color w:val="000000"/>
                <w:sz w:val="18"/>
                <w:szCs w:val="18"/>
              </w:rPr>
              <w:t>1,652 </w:t>
            </w:r>
          </w:p>
        </w:tc>
        <w:tc>
          <w:tcPr>
            <w:tcW w:w="0" w:type="auto"/>
            <w:shd w:val="clear" w:color="auto" w:fill="FFFFFF"/>
            <w:tcMar>
              <w:top w:w="30" w:type="dxa"/>
              <w:left w:w="0" w:type="dxa"/>
              <w:bottom w:w="30" w:type="dxa"/>
              <w:right w:w="20" w:type="dxa"/>
            </w:tcMar>
            <w:vAlign w:val="bottom"/>
            <w:hideMark/>
          </w:tcPr>
          <w:p w14:paraId="4D9B1D4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FE4CB"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B92713"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81CC9E3" w14:textId="77777777" w:rsidR="00000000" w:rsidRDefault="00E614A4">
            <w:pPr>
              <w:jc w:val="right"/>
              <w:rPr>
                <w:rFonts w:eastAsia="Times New Roman"/>
              </w:rPr>
            </w:pPr>
            <w:r>
              <w:rPr>
                <w:rFonts w:eastAsia="Times New Roman"/>
                <w:color w:val="000000"/>
                <w:sz w:val="18"/>
                <w:szCs w:val="18"/>
              </w:rPr>
              <w:t>2,413 </w:t>
            </w:r>
          </w:p>
        </w:tc>
        <w:tc>
          <w:tcPr>
            <w:tcW w:w="0" w:type="auto"/>
            <w:shd w:val="clear" w:color="auto" w:fill="FFFFFF"/>
            <w:tcMar>
              <w:top w:w="30" w:type="dxa"/>
              <w:left w:w="0" w:type="dxa"/>
              <w:bottom w:w="30" w:type="dxa"/>
              <w:right w:w="20" w:type="dxa"/>
            </w:tcMar>
            <w:vAlign w:val="bottom"/>
            <w:hideMark/>
          </w:tcPr>
          <w:p w14:paraId="7379D5F7" w14:textId="77777777" w:rsidR="00000000" w:rsidRDefault="00E614A4">
            <w:pPr>
              <w:jc w:val="right"/>
              <w:rPr>
                <w:rFonts w:eastAsia="Times New Roman"/>
              </w:rPr>
            </w:pPr>
          </w:p>
        </w:tc>
      </w:tr>
      <w:tr w:rsidR="00000000" w14:paraId="2E6B11F5" w14:textId="77777777">
        <w:trPr>
          <w:divId w:val="580985615"/>
          <w:jc w:val="center"/>
        </w:trPr>
        <w:tc>
          <w:tcPr>
            <w:tcW w:w="0" w:type="auto"/>
            <w:gridSpan w:val="12"/>
            <w:shd w:val="clear" w:color="auto" w:fill="CCEEFF"/>
            <w:tcMar>
              <w:top w:w="30" w:type="dxa"/>
              <w:left w:w="245" w:type="dxa"/>
              <w:bottom w:w="30" w:type="dxa"/>
              <w:right w:w="20" w:type="dxa"/>
            </w:tcMar>
            <w:hideMark/>
          </w:tcPr>
          <w:p w14:paraId="6D94FA93" w14:textId="77777777" w:rsidR="00000000" w:rsidRDefault="00E614A4">
            <w:pPr>
              <w:rPr>
                <w:rFonts w:eastAsia="Times New Roman"/>
              </w:rPr>
            </w:pPr>
            <w:r>
              <w:rPr>
                <w:rFonts w:eastAsia="Times New Roman"/>
                <w:color w:val="000000"/>
                <w:sz w:val="18"/>
                <w:szCs w:val="18"/>
              </w:rPr>
              <w:t>Interest on lease liabilities</w:t>
            </w:r>
          </w:p>
        </w:tc>
        <w:tc>
          <w:tcPr>
            <w:tcW w:w="0" w:type="auto"/>
            <w:gridSpan w:val="3"/>
            <w:shd w:val="clear" w:color="auto" w:fill="CCEEFF"/>
            <w:tcMar>
              <w:top w:w="0" w:type="dxa"/>
              <w:left w:w="20" w:type="dxa"/>
              <w:bottom w:w="0" w:type="dxa"/>
              <w:right w:w="20" w:type="dxa"/>
            </w:tcMar>
            <w:vAlign w:val="center"/>
            <w:hideMark/>
          </w:tcPr>
          <w:p w14:paraId="075DD809"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3583D9" w14:textId="77777777" w:rsidR="00000000" w:rsidRDefault="00E614A4">
            <w:pPr>
              <w:jc w:val="right"/>
              <w:rPr>
                <w:rFonts w:eastAsia="Times New Roman"/>
              </w:rPr>
            </w:pPr>
            <w:r>
              <w:rPr>
                <w:rFonts w:eastAsia="Times New Roman"/>
                <w:color w:val="000000"/>
                <w:sz w:val="18"/>
                <w:szCs w:val="18"/>
              </w:rPr>
              <w:t>501 </w:t>
            </w:r>
          </w:p>
        </w:tc>
        <w:tc>
          <w:tcPr>
            <w:tcW w:w="0" w:type="auto"/>
            <w:shd w:val="clear" w:color="auto" w:fill="CCEEFF"/>
            <w:tcMar>
              <w:top w:w="30" w:type="dxa"/>
              <w:left w:w="0" w:type="dxa"/>
              <w:bottom w:w="30" w:type="dxa"/>
              <w:right w:w="20" w:type="dxa"/>
            </w:tcMar>
            <w:vAlign w:val="bottom"/>
            <w:hideMark/>
          </w:tcPr>
          <w:p w14:paraId="3E0FE69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0ED32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C748E5" w14:textId="77777777" w:rsidR="00000000" w:rsidRDefault="00E614A4">
            <w:pPr>
              <w:jc w:val="right"/>
              <w:rPr>
                <w:rFonts w:eastAsia="Times New Roman"/>
              </w:rPr>
            </w:pPr>
            <w:r>
              <w:rPr>
                <w:rFonts w:eastAsia="Times New Roman"/>
                <w:color w:val="000000"/>
                <w:sz w:val="18"/>
                <w:szCs w:val="18"/>
              </w:rPr>
              <w:t>518 </w:t>
            </w:r>
          </w:p>
        </w:tc>
        <w:tc>
          <w:tcPr>
            <w:tcW w:w="0" w:type="auto"/>
            <w:shd w:val="clear" w:color="auto" w:fill="CCEEFF"/>
            <w:tcMar>
              <w:top w:w="30" w:type="dxa"/>
              <w:left w:w="0" w:type="dxa"/>
              <w:bottom w:w="30" w:type="dxa"/>
              <w:right w:w="20" w:type="dxa"/>
            </w:tcMar>
            <w:vAlign w:val="bottom"/>
            <w:hideMark/>
          </w:tcPr>
          <w:p w14:paraId="7A446F34" w14:textId="77777777" w:rsidR="00000000" w:rsidRDefault="00E614A4">
            <w:pPr>
              <w:jc w:val="right"/>
              <w:rPr>
                <w:rFonts w:eastAsia="Times New Roman"/>
              </w:rPr>
            </w:pPr>
          </w:p>
        </w:tc>
      </w:tr>
      <w:tr w:rsidR="00000000" w14:paraId="6303455A" w14:textId="77777777">
        <w:trPr>
          <w:divId w:val="580985615"/>
          <w:jc w:val="center"/>
        </w:trPr>
        <w:tc>
          <w:tcPr>
            <w:tcW w:w="0" w:type="auto"/>
            <w:gridSpan w:val="12"/>
            <w:shd w:val="clear" w:color="auto" w:fill="FFFFFF"/>
            <w:tcMar>
              <w:top w:w="30" w:type="dxa"/>
              <w:left w:w="20" w:type="dxa"/>
              <w:bottom w:w="30" w:type="dxa"/>
              <w:right w:w="20" w:type="dxa"/>
            </w:tcMar>
            <w:vAlign w:val="bottom"/>
            <w:hideMark/>
          </w:tcPr>
          <w:p w14:paraId="5C9CA56A" w14:textId="77777777" w:rsidR="00000000" w:rsidRDefault="00E614A4">
            <w:pPr>
              <w:rPr>
                <w:rFonts w:eastAsia="Times New Roman"/>
              </w:rPr>
            </w:pPr>
            <w:r>
              <w:rPr>
                <w:rFonts w:eastAsia="Times New Roman"/>
                <w:color w:val="000000"/>
                <w:sz w:val="18"/>
                <w:szCs w:val="18"/>
              </w:rPr>
              <w:t>Total finance lease cost</w:t>
            </w:r>
          </w:p>
        </w:tc>
        <w:tc>
          <w:tcPr>
            <w:tcW w:w="0" w:type="auto"/>
            <w:gridSpan w:val="3"/>
            <w:shd w:val="clear" w:color="auto" w:fill="FFFFFF"/>
            <w:tcMar>
              <w:top w:w="0" w:type="dxa"/>
              <w:left w:w="20" w:type="dxa"/>
              <w:bottom w:w="0" w:type="dxa"/>
              <w:right w:w="20" w:type="dxa"/>
            </w:tcMar>
            <w:vAlign w:val="center"/>
            <w:hideMark/>
          </w:tcPr>
          <w:p w14:paraId="0082C34E" w14:textId="77777777" w:rsidR="00000000" w:rsidRDefault="00E614A4">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8B3B1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678EB7" w14:textId="77777777" w:rsidR="00000000" w:rsidRDefault="00E614A4">
            <w:pPr>
              <w:jc w:val="right"/>
              <w:rPr>
                <w:rFonts w:eastAsia="Times New Roman"/>
              </w:rPr>
            </w:pPr>
            <w:r>
              <w:rPr>
                <w:rFonts w:eastAsia="Times New Roman"/>
                <w:color w:val="000000"/>
                <w:sz w:val="18"/>
                <w:szCs w:val="18"/>
              </w:rPr>
              <w:t>2,153 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DAFD4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25EBC"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692E0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16E928" w14:textId="77777777" w:rsidR="00000000" w:rsidRDefault="00E614A4">
            <w:pPr>
              <w:jc w:val="right"/>
              <w:rPr>
                <w:rFonts w:eastAsia="Times New Roman"/>
              </w:rPr>
            </w:pPr>
            <w:r>
              <w:rPr>
                <w:rFonts w:eastAsia="Times New Roman"/>
                <w:color w:val="000000"/>
                <w:sz w:val="18"/>
                <w:szCs w:val="18"/>
              </w:rPr>
              <w:t>2,931 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FB629F" w14:textId="77777777" w:rsidR="00000000" w:rsidRDefault="00E614A4">
            <w:pPr>
              <w:jc w:val="right"/>
              <w:rPr>
                <w:rFonts w:eastAsia="Times New Roman"/>
              </w:rPr>
            </w:pPr>
          </w:p>
        </w:tc>
      </w:tr>
      <w:tr w:rsidR="00000000" w14:paraId="019EDDCE" w14:textId="77777777">
        <w:trPr>
          <w:divId w:val="580985615"/>
          <w:trHeight w:val="240"/>
          <w:jc w:val="center"/>
        </w:trPr>
        <w:tc>
          <w:tcPr>
            <w:tcW w:w="0" w:type="auto"/>
            <w:gridSpan w:val="12"/>
            <w:shd w:val="clear" w:color="auto" w:fill="CCEEFF"/>
            <w:tcMar>
              <w:top w:w="0" w:type="dxa"/>
              <w:left w:w="20" w:type="dxa"/>
              <w:bottom w:w="0" w:type="dxa"/>
              <w:right w:w="20" w:type="dxa"/>
            </w:tcMar>
            <w:vAlign w:val="center"/>
            <w:hideMark/>
          </w:tcPr>
          <w:p w14:paraId="0F887480" w14:textId="77777777" w:rsidR="00000000" w:rsidRDefault="00E614A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EA0E12"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E2A8B87"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377C5B"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8AA8AE2" w14:textId="77777777" w:rsidR="00000000" w:rsidRDefault="00E614A4">
            <w:pPr>
              <w:rPr>
                <w:rFonts w:eastAsia="Times New Roman"/>
                <w:sz w:val="20"/>
                <w:szCs w:val="20"/>
              </w:rPr>
            </w:pPr>
          </w:p>
        </w:tc>
      </w:tr>
      <w:tr w:rsidR="00000000" w14:paraId="0B1AD937" w14:textId="77777777">
        <w:trPr>
          <w:divId w:val="580985615"/>
          <w:jc w:val="center"/>
        </w:trPr>
        <w:tc>
          <w:tcPr>
            <w:tcW w:w="0" w:type="auto"/>
            <w:gridSpan w:val="12"/>
            <w:shd w:val="clear" w:color="auto" w:fill="FFFFFF"/>
            <w:tcMar>
              <w:top w:w="30" w:type="dxa"/>
              <w:left w:w="20" w:type="dxa"/>
              <w:bottom w:w="30" w:type="dxa"/>
              <w:right w:w="20" w:type="dxa"/>
            </w:tcMar>
            <w:vAlign w:val="bottom"/>
            <w:hideMark/>
          </w:tcPr>
          <w:p w14:paraId="46AFCD9A" w14:textId="77777777" w:rsidR="00000000" w:rsidRDefault="00E614A4">
            <w:pPr>
              <w:rPr>
                <w:rFonts w:eastAsia="Times New Roman"/>
              </w:rPr>
            </w:pPr>
            <w:r>
              <w:rPr>
                <w:rFonts w:eastAsia="Times New Roman"/>
                <w:b/>
                <w:bCs/>
                <w:color w:val="000000"/>
                <w:sz w:val="18"/>
                <w:szCs w:val="18"/>
              </w:rPr>
              <w:t>Operating lease cost</w:t>
            </w:r>
          </w:p>
        </w:tc>
        <w:tc>
          <w:tcPr>
            <w:tcW w:w="0" w:type="auto"/>
            <w:gridSpan w:val="3"/>
            <w:shd w:val="clear" w:color="auto" w:fill="FFFFFF"/>
            <w:tcMar>
              <w:top w:w="0" w:type="dxa"/>
              <w:left w:w="20" w:type="dxa"/>
              <w:bottom w:w="0" w:type="dxa"/>
              <w:right w:w="20" w:type="dxa"/>
            </w:tcMar>
            <w:vAlign w:val="center"/>
            <w:hideMark/>
          </w:tcPr>
          <w:p w14:paraId="616F5567"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2C282A"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0D7B45"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3EDFC1" w14:textId="77777777" w:rsidR="00000000" w:rsidRDefault="00E614A4">
            <w:pPr>
              <w:rPr>
                <w:rFonts w:eastAsia="Times New Roman"/>
                <w:sz w:val="20"/>
                <w:szCs w:val="20"/>
              </w:rPr>
            </w:pPr>
          </w:p>
        </w:tc>
      </w:tr>
      <w:tr w:rsidR="00000000" w14:paraId="49DA8567" w14:textId="77777777">
        <w:trPr>
          <w:divId w:val="580985615"/>
          <w:jc w:val="center"/>
        </w:trPr>
        <w:tc>
          <w:tcPr>
            <w:tcW w:w="0" w:type="auto"/>
            <w:gridSpan w:val="12"/>
            <w:shd w:val="clear" w:color="auto" w:fill="CCEEFF"/>
            <w:tcMar>
              <w:top w:w="30" w:type="dxa"/>
              <w:left w:w="245" w:type="dxa"/>
              <w:bottom w:w="30" w:type="dxa"/>
              <w:right w:w="20" w:type="dxa"/>
            </w:tcMar>
            <w:vAlign w:val="bottom"/>
            <w:hideMark/>
          </w:tcPr>
          <w:p w14:paraId="200BCE40" w14:textId="77777777" w:rsidR="00000000" w:rsidRDefault="00E614A4">
            <w:pPr>
              <w:rPr>
                <w:rFonts w:eastAsia="Times New Roman"/>
              </w:rPr>
            </w:pPr>
            <w:r>
              <w:rPr>
                <w:rFonts w:eastAsia="Times New Roman"/>
                <w:color w:val="000000"/>
                <w:sz w:val="18"/>
                <w:szCs w:val="18"/>
              </w:rPr>
              <w:t>Fixed lease cost</w:t>
            </w:r>
          </w:p>
        </w:tc>
        <w:tc>
          <w:tcPr>
            <w:tcW w:w="0" w:type="auto"/>
            <w:gridSpan w:val="3"/>
            <w:shd w:val="clear" w:color="auto" w:fill="CCEEFF"/>
            <w:tcMar>
              <w:top w:w="0" w:type="dxa"/>
              <w:left w:w="20" w:type="dxa"/>
              <w:bottom w:w="0" w:type="dxa"/>
              <w:right w:w="20" w:type="dxa"/>
            </w:tcMar>
            <w:vAlign w:val="center"/>
            <w:hideMark/>
          </w:tcPr>
          <w:p w14:paraId="7FF43AB9" w14:textId="77777777" w:rsidR="00000000" w:rsidRDefault="00E614A4">
            <w:pPr>
              <w:rPr>
                <w:rFonts w:eastAsia="Times New Roman"/>
              </w:rPr>
            </w:pPr>
          </w:p>
        </w:tc>
        <w:tc>
          <w:tcPr>
            <w:tcW w:w="0" w:type="auto"/>
            <w:shd w:val="clear" w:color="auto" w:fill="CCEEFF"/>
            <w:tcMar>
              <w:top w:w="30" w:type="dxa"/>
              <w:left w:w="20" w:type="dxa"/>
              <w:bottom w:w="30" w:type="dxa"/>
              <w:right w:w="0" w:type="dxa"/>
            </w:tcMar>
            <w:vAlign w:val="bottom"/>
            <w:hideMark/>
          </w:tcPr>
          <w:p w14:paraId="577DC45D"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EE3190D" w14:textId="77777777" w:rsidR="00000000" w:rsidRDefault="00E614A4">
            <w:pPr>
              <w:jc w:val="right"/>
              <w:rPr>
                <w:rFonts w:eastAsia="Times New Roman"/>
              </w:rPr>
            </w:pPr>
            <w:r>
              <w:rPr>
                <w:rFonts w:eastAsia="Times New Roman"/>
                <w:color w:val="000000"/>
                <w:sz w:val="18"/>
                <w:szCs w:val="18"/>
              </w:rPr>
              <w:t>12,057 </w:t>
            </w:r>
          </w:p>
        </w:tc>
        <w:tc>
          <w:tcPr>
            <w:tcW w:w="0" w:type="auto"/>
            <w:shd w:val="clear" w:color="auto" w:fill="CCEEFF"/>
            <w:tcMar>
              <w:top w:w="30" w:type="dxa"/>
              <w:left w:w="0" w:type="dxa"/>
              <w:bottom w:w="30" w:type="dxa"/>
              <w:right w:w="20" w:type="dxa"/>
            </w:tcMar>
            <w:vAlign w:val="bottom"/>
            <w:hideMark/>
          </w:tcPr>
          <w:p w14:paraId="3944C57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8337C"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BBD9F0"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9A4A761" w14:textId="77777777" w:rsidR="00000000" w:rsidRDefault="00E614A4">
            <w:pPr>
              <w:jc w:val="right"/>
              <w:rPr>
                <w:rFonts w:eastAsia="Times New Roman"/>
              </w:rPr>
            </w:pPr>
            <w:r>
              <w:rPr>
                <w:rFonts w:eastAsia="Times New Roman"/>
                <w:color w:val="000000"/>
                <w:sz w:val="18"/>
                <w:szCs w:val="18"/>
              </w:rPr>
              <w:t>12,556 </w:t>
            </w:r>
          </w:p>
        </w:tc>
        <w:tc>
          <w:tcPr>
            <w:tcW w:w="0" w:type="auto"/>
            <w:shd w:val="clear" w:color="auto" w:fill="CCEEFF"/>
            <w:tcMar>
              <w:top w:w="30" w:type="dxa"/>
              <w:left w:w="0" w:type="dxa"/>
              <w:bottom w:w="30" w:type="dxa"/>
              <w:right w:w="20" w:type="dxa"/>
            </w:tcMar>
            <w:vAlign w:val="bottom"/>
            <w:hideMark/>
          </w:tcPr>
          <w:p w14:paraId="5CB5E9E3" w14:textId="77777777" w:rsidR="00000000" w:rsidRDefault="00E614A4">
            <w:pPr>
              <w:jc w:val="right"/>
              <w:rPr>
                <w:rFonts w:eastAsia="Times New Roman"/>
              </w:rPr>
            </w:pPr>
          </w:p>
        </w:tc>
      </w:tr>
      <w:tr w:rsidR="00000000" w14:paraId="5E151E99" w14:textId="77777777">
        <w:trPr>
          <w:divId w:val="580985615"/>
          <w:jc w:val="center"/>
        </w:trPr>
        <w:tc>
          <w:tcPr>
            <w:tcW w:w="0" w:type="auto"/>
            <w:gridSpan w:val="12"/>
            <w:shd w:val="clear" w:color="auto" w:fill="FFFFFF"/>
            <w:tcMar>
              <w:top w:w="30" w:type="dxa"/>
              <w:left w:w="245" w:type="dxa"/>
              <w:bottom w:w="30" w:type="dxa"/>
              <w:right w:w="20" w:type="dxa"/>
            </w:tcMar>
            <w:vAlign w:val="bottom"/>
            <w:hideMark/>
          </w:tcPr>
          <w:p w14:paraId="5F3C9563" w14:textId="77777777" w:rsidR="00000000" w:rsidRDefault="00E614A4">
            <w:pPr>
              <w:rPr>
                <w:rFonts w:eastAsia="Times New Roman"/>
              </w:rPr>
            </w:pPr>
            <w:r>
              <w:rPr>
                <w:rFonts w:eastAsia="Times New Roman"/>
                <w:color w:val="000000"/>
                <w:sz w:val="18"/>
                <w:szCs w:val="18"/>
              </w:rPr>
              <w:t>Short-term lease cost</w:t>
            </w:r>
          </w:p>
        </w:tc>
        <w:tc>
          <w:tcPr>
            <w:tcW w:w="0" w:type="auto"/>
            <w:gridSpan w:val="3"/>
            <w:shd w:val="clear" w:color="auto" w:fill="FFFFFF"/>
            <w:tcMar>
              <w:top w:w="0" w:type="dxa"/>
              <w:left w:w="20" w:type="dxa"/>
              <w:bottom w:w="0" w:type="dxa"/>
              <w:right w:w="20" w:type="dxa"/>
            </w:tcMar>
            <w:vAlign w:val="center"/>
            <w:hideMark/>
          </w:tcPr>
          <w:p w14:paraId="323BD00E"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A981CD" w14:textId="77777777" w:rsidR="00000000" w:rsidRDefault="00E614A4">
            <w:pPr>
              <w:jc w:val="right"/>
              <w:rPr>
                <w:rFonts w:eastAsia="Times New Roman"/>
              </w:rPr>
            </w:pPr>
            <w:r>
              <w:rPr>
                <w:rFonts w:eastAsia="Times New Roman"/>
                <w:color w:val="000000"/>
                <w:sz w:val="18"/>
                <w:szCs w:val="18"/>
              </w:rPr>
              <w:t>824 </w:t>
            </w:r>
          </w:p>
        </w:tc>
        <w:tc>
          <w:tcPr>
            <w:tcW w:w="0" w:type="auto"/>
            <w:shd w:val="clear" w:color="auto" w:fill="FFFFFF"/>
            <w:tcMar>
              <w:top w:w="30" w:type="dxa"/>
              <w:left w:w="0" w:type="dxa"/>
              <w:bottom w:w="30" w:type="dxa"/>
              <w:right w:w="20" w:type="dxa"/>
            </w:tcMar>
            <w:vAlign w:val="bottom"/>
            <w:hideMark/>
          </w:tcPr>
          <w:p w14:paraId="70E571B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81D9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A43F56" w14:textId="77777777" w:rsidR="00000000" w:rsidRDefault="00E614A4">
            <w:pPr>
              <w:jc w:val="right"/>
              <w:rPr>
                <w:rFonts w:eastAsia="Times New Roman"/>
              </w:rPr>
            </w:pPr>
            <w:r>
              <w:rPr>
                <w:rFonts w:eastAsia="Times New Roman"/>
                <w:color w:val="000000"/>
                <w:sz w:val="18"/>
                <w:szCs w:val="18"/>
              </w:rPr>
              <w:t>830 </w:t>
            </w:r>
          </w:p>
        </w:tc>
        <w:tc>
          <w:tcPr>
            <w:tcW w:w="0" w:type="auto"/>
            <w:shd w:val="clear" w:color="auto" w:fill="FFFFFF"/>
            <w:tcMar>
              <w:top w:w="30" w:type="dxa"/>
              <w:left w:w="0" w:type="dxa"/>
              <w:bottom w:w="30" w:type="dxa"/>
              <w:right w:w="20" w:type="dxa"/>
            </w:tcMar>
            <w:vAlign w:val="bottom"/>
            <w:hideMark/>
          </w:tcPr>
          <w:p w14:paraId="321EAE65" w14:textId="77777777" w:rsidR="00000000" w:rsidRDefault="00E614A4">
            <w:pPr>
              <w:jc w:val="right"/>
              <w:rPr>
                <w:rFonts w:eastAsia="Times New Roman"/>
              </w:rPr>
            </w:pPr>
          </w:p>
        </w:tc>
      </w:tr>
      <w:tr w:rsidR="00000000" w14:paraId="7D29C8A3" w14:textId="77777777">
        <w:trPr>
          <w:divId w:val="580985615"/>
          <w:jc w:val="center"/>
        </w:trPr>
        <w:tc>
          <w:tcPr>
            <w:tcW w:w="0" w:type="auto"/>
            <w:gridSpan w:val="12"/>
            <w:shd w:val="clear" w:color="auto" w:fill="CCEEFF"/>
            <w:tcMar>
              <w:top w:w="30" w:type="dxa"/>
              <w:left w:w="245" w:type="dxa"/>
              <w:bottom w:w="30" w:type="dxa"/>
              <w:right w:w="20" w:type="dxa"/>
            </w:tcMar>
            <w:vAlign w:val="bottom"/>
            <w:hideMark/>
          </w:tcPr>
          <w:p w14:paraId="6B43BF7A" w14:textId="77777777" w:rsidR="00000000" w:rsidRDefault="00E614A4">
            <w:pPr>
              <w:rPr>
                <w:rFonts w:eastAsia="Times New Roman"/>
              </w:rPr>
            </w:pPr>
            <w:r>
              <w:rPr>
                <w:rFonts w:eastAsia="Times New Roman"/>
                <w:color w:val="000000"/>
                <w:sz w:val="18"/>
                <w:szCs w:val="18"/>
              </w:rPr>
              <w:t>Variable lease cost</w:t>
            </w:r>
          </w:p>
        </w:tc>
        <w:tc>
          <w:tcPr>
            <w:tcW w:w="0" w:type="auto"/>
            <w:gridSpan w:val="3"/>
            <w:shd w:val="clear" w:color="auto" w:fill="CCEEFF"/>
            <w:tcMar>
              <w:top w:w="0" w:type="dxa"/>
              <w:left w:w="20" w:type="dxa"/>
              <w:bottom w:w="0" w:type="dxa"/>
              <w:right w:w="20" w:type="dxa"/>
            </w:tcMar>
            <w:vAlign w:val="center"/>
            <w:hideMark/>
          </w:tcPr>
          <w:p w14:paraId="21159ABE"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DE2265" w14:textId="77777777" w:rsidR="00000000" w:rsidRDefault="00E614A4">
            <w:pPr>
              <w:jc w:val="right"/>
              <w:rPr>
                <w:rFonts w:eastAsia="Times New Roman"/>
              </w:rPr>
            </w:pPr>
            <w:r>
              <w:rPr>
                <w:rFonts w:eastAsia="Times New Roman"/>
                <w:color w:val="000000"/>
                <w:sz w:val="18"/>
                <w:szCs w:val="18"/>
              </w:rPr>
              <w:t>1,926 </w:t>
            </w:r>
          </w:p>
        </w:tc>
        <w:tc>
          <w:tcPr>
            <w:tcW w:w="0" w:type="auto"/>
            <w:shd w:val="clear" w:color="auto" w:fill="CCEEFF"/>
            <w:tcMar>
              <w:top w:w="30" w:type="dxa"/>
              <w:left w:w="0" w:type="dxa"/>
              <w:bottom w:w="30" w:type="dxa"/>
              <w:right w:w="20" w:type="dxa"/>
            </w:tcMar>
            <w:vAlign w:val="bottom"/>
            <w:hideMark/>
          </w:tcPr>
          <w:p w14:paraId="68DA5F7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8C81B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81EA5" w14:textId="77777777" w:rsidR="00000000" w:rsidRDefault="00E614A4">
            <w:pPr>
              <w:jc w:val="right"/>
              <w:rPr>
                <w:rFonts w:eastAsia="Times New Roman"/>
              </w:rPr>
            </w:pPr>
            <w:r>
              <w:rPr>
                <w:rFonts w:eastAsia="Times New Roman"/>
                <w:color w:val="000000"/>
                <w:sz w:val="18"/>
                <w:szCs w:val="18"/>
              </w:rPr>
              <w:t>1,986 </w:t>
            </w:r>
          </w:p>
        </w:tc>
        <w:tc>
          <w:tcPr>
            <w:tcW w:w="0" w:type="auto"/>
            <w:shd w:val="clear" w:color="auto" w:fill="CCEEFF"/>
            <w:tcMar>
              <w:top w:w="30" w:type="dxa"/>
              <w:left w:w="0" w:type="dxa"/>
              <w:bottom w:w="30" w:type="dxa"/>
              <w:right w:w="20" w:type="dxa"/>
            </w:tcMar>
            <w:vAlign w:val="bottom"/>
            <w:hideMark/>
          </w:tcPr>
          <w:p w14:paraId="309C7463" w14:textId="77777777" w:rsidR="00000000" w:rsidRDefault="00E614A4">
            <w:pPr>
              <w:jc w:val="right"/>
              <w:rPr>
                <w:rFonts w:eastAsia="Times New Roman"/>
              </w:rPr>
            </w:pPr>
          </w:p>
        </w:tc>
      </w:tr>
      <w:tr w:rsidR="00000000" w14:paraId="51AFC942" w14:textId="77777777">
        <w:trPr>
          <w:divId w:val="580985615"/>
          <w:jc w:val="center"/>
        </w:trPr>
        <w:tc>
          <w:tcPr>
            <w:tcW w:w="0" w:type="auto"/>
            <w:gridSpan w:val="12"/>
            <w:shd w:val="clear" w:color="auto" w:fill="FFFFFF"/>
            <w:tcMar>
              <w:top w:w="30" w:type="dxa"/>
              <w:left w:w="245" w:type="dxa"/>
              <w:bottom w:w="30" w:type="dxa"/>
              <w:right w:w="20" w:type="dxa"/>
            </w:tcMar>
            <w:vAlign w:val="bottom"/>
            <w:hideMark/>
          </w:tcPr>
          <w:p w14:paraId="47030AC7" w14:textId="77777777" w:rsidR="00000000" w:rsidRDefault="00E614A4">
            <w:pPr>
              <w:rPr>
                <w:rFonts w:eastAsia="Times New Roman"/>
              </w:rPr>
            </w:pPr>
            <w:r>
              <w:rPr>
                <w:rFonts w:eastAsia="Times New Roman"/>
                <w:color w:val="000000"/>
                <w:sz w:val="18"/>
                <w:szCs w:val="18"/>
              </w:rPr>
              <w:t>Sublease income</w:t>
            </w:r>
          </w:p>
        </w:tc>
        <w:tc>
          <w:tcPr>
            <w:tcW w:w="0" w:type="auto"/>
            <w:gridSpan w:val="3"/>
            <w:shd w:val="clear" w:color="auto" w:fill="FFFFFF"/>
            <w:tcMar>
              <w:top w:w="0" w:type="dxa"/>
              <w:left w:w="20" w:type="dxa"/>
              <w:bottom w:w="0" w:type="dxa"/>
              <w:right w:w="20" w:type="dxa"/>
            </w:tcMar>
            <w:vAlign w:val="center"/>
            <w:hideMark/>
          </w:tcPr>
          <w:p w14:paraId="5AC14DFB"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D98048" w14:textId="77777777" w:rsidR="00000000" w:rsidRDefault="00E614A4">
            <w:pPr>
              <w:jc w:val="right"/>
              <w:rPr>
                <w:rFonts w:eastAsia="Times New Roman"/>
              </w:rPr>
            </w:pPr>
            <w:r>
              <w:rPr>
                <w:rFonts w:eastAsia="Times New Roman"/>
                <w:color w:val="000000"/>
                <w:sz w:val="18"/>
                <w:szCs w:val="18"/>
              </w:rPr>
              <w:t>(2,579)</w:t>
            </w:r>
          </w:p>
        </w:tc>
        <w:tc>
          <w:tcPr>
            <w:tcW w:w="0" w:type="auto"/>
            <w:shd w:val="clear" w:color="auto" w:fill="FFFFFF"/>
            <w:tcMar>
              <w:top w:w="30" w:type="dxa"/>
              <w:left w:w="0" w:type="dxa"/>
              <w:bottom w:w="30" w:type="dxa"/>
              <w:right w:w="20" w:type="dxa"/>
            </w:tcMar>
            <w:vAlign w:val="bottom"/>
            <w:hideMark/>
          </w:tcPr>
          <w:p w14:paraId="671B2BC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BB1D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9317B7" w14:textId="77777777" w:rsidR="00000000" w:rsidRDefault="00E614A4">
            <w:pPr>
              <w:jc w:val="right"/>
              <w:rPr>
                <w:rFonts w:eastAsia="Times New Roman"/>
              </w:rPr>
            </w:pPr>
            <w:r>
              <w:rPr>
                <w:rFonts w:eastAsia="Times New Roman"/>
                <w:color w:val="000000"/>
                <w:sz w:val="18"/>
                <w:szCs w:val="18"/>
              </w:rPr>
              <w:t>(1,857)</w:t>
            </w:r>
          </w:p>
        </w:tc>
        <w:tc>
          <w:tcPr>
            <w:tcW w:w="0" w:type="auto"/>
            <w:shd w:val="clear" w:color="auto" w:fill="FFFFFF"/>
            <w:tcMar>
              <w:top w:w="30" w:type="dxa"/>
              <w:left w:w="0" w:type="dxa"/>
              <w:bottom w:w="30" w:type="dxa"/>
              <w:right w:w="20" w:type="dxa"/>
            </w:tcMar>
            <w:vAlign w:val="bottom"/>
            <w:hideMark/>
          </w:tcPr>
          <w:p w14:paraId="0401BCAC" w14:textId="77777777" w:rsidR="00000000" w:rsidRDefault="00E614A4">
            <w:pPr>
              <w:jc w:val="right"/>
              <w:rPr>
                <w:rFonts w:eastAsia="Times New Roman"/>
              </w:rPr>
            </w:pPr>
          </w:p>
        </w:tc>
      </w:tr>
      <w:tr w:rsidR="00000000" w14:paraId="4155CD86" w14:textId="77777777">
        <w:trPr>
          <w:divId w:val="580985615"/>
          <w:jc w:val="center"/>
        </w:trPr>
        <w:tc>
          <w:tcPr>
            <w:tcW w:w="0" w:type="auto"/>
            <w:gridSpan w:val="12"/>
            <w:shd w:val="clear" w:color="auto" w:fill="CCEEFF"/>
            <w:tcMar>
              <w:top w:w="30" w:type="dxa"/>
              <w:left w:w="20" w:type="dxa"/>
              <w:bottom w:w="30" w:type="dxa"/>
              <w:right w:w="20" w:type="dxa"/>
            </w:tcMar>
            <w:vAlign w:val="bottom"/>
            <w:hideMark/>
          </w:tcPr>
          <w:p w14:paraId="5FC8BA59" w14:textId="77777777" w:rsidR="00000000" w:rsidRDefault="00E614A4">
            <w:pPr>
              <w:rPr>
                <w:rFonts w:eastAsia="Times New Roman"/>
              </w:rPr>
            </w:pPr>
            <w:r>
              <w:rPr>
                <w:rFonts w:eastAsia="Times New Roman"/>
                <w:color w:val="000000"/>
                <w:sz w:val="18"/>
                <w:szCs w:val="18"/>
              </w:rPr>
              <w:t>Total operating lease cost</w:t>
            </w:r>
          </w:p>
        </w:tc>
        <w:tc>
          <w:tcPr>
            <w:tcW w:w="0" w:type="auto"/>
            <w:gridSpan w:val="3"/>
            <w:shd w:val="clear" w:color="auto" w:fill="CCEEFF"/>
            <w:tcMar>
              <w:top w:w="0" w:type="dxa"/>
              <w:left w:w="20" w:type="dxa"/>
              <w:bottom w:w="0" w:type="dxa"/>
              <w:right w:w="20" w:type="dxa"/>
            </w:tcMar>
            <w:vAlign w:val="center"/>
            <w:hideMark/>
          </w:tcPr>
          <w:p w14:paraId="32A1CC36"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24125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DFEAC4" w14:textId="77777777" w:rsidR="00000000" w:rsidRDefault="00E614A4">
            <w:pPr>
              <w:jc w:val="right"/>
              <w:rPr>
                <w:rFonts w:eastAsia="Times New Roman"/>
              </w:rPr>
            </w:pPr>
            <w:r>
              <w:rPr>
                <w:rFonts w:eastAsia="Times New Roman"/>
                <w:color w:val="000000"/>
                <w:sz w:val="18"/>
                <w:szCs w:val="18"/>
              </w:rPr>
              <w:t>12,228 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3E61A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44436"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29CCF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A8272C" w14:textId="77777777" w:rsidR="00000000" w:rsidRDefault="00E614A4">
            <w:pPr>
              <w:jc w:val="right"/>
              <w:rPr>
                <w:rFonts w:eastAsia="Times New Roman"/>
              </w:rPr>
            </w:pPr>
            <w:r>
              <w:rPr>
                <w:rFonts w:eastAsia="Times New Roman"/>
                <w:color w:val="000000"/>
                <w:sz w:val="18"/>
                <w:szCs w:val="18"/>
              </w:rPr>
              <w:t>13,515 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F392DB" w14:textId="77777777" w:rsidR="00000000" w:rsidRDefault="00E614A4">
            <w:pPr>
              <w:jc w:val="right"/>
              <w:rPr>
                <w:rFonts w:eastAsia="Times New Roman"/>
              </w:rPr>
            </w:pPr>
          </w:p>
        </w:tc>
      </w:tr>
    </w:tbl>
    <w:p w14:paraId="13BA7216" w14:textId="77777777" w:rsidR="00000000" w:rsidRDefault="00E614A4">
      <w:pPr>
        <w:jc w:val="center"/>
        <w:divId w:val="88619706"/>
        <w:rPr>
          <w:rFonts w:eastAsia="Times New Roman"/>
        </w:rPr>
      </w:pPr>
      <w:r>
        <w:rPr>
          <w:rFonts w:eastAsia="Times New Roman"/>
          <w:color w:val="000000"/>
          <w:sz w:val="20"/>
          <w:szCs w:val="20"/>
        </w:rPr>
        <w:t>8</w:t>
      </w:r>
      <w:r>
        <w:rPr>
          <w:rFonts w:eastAsia="Times New Roman"/>
          <w:color w:val="000000"/>
          <w:sz w:val="20"/>
          <w:szCs w:val="20"/>
        </w:rPr>
        <w:t>8</w:t>
      </w:r>
    </w:p>
    <w:p w14:paraId="72B778C0" w14:textId="77777777" w:rsidR="00000000" w:rsidRDefault="00E614A4">
      <w:pPr>
        <w:rPr>
          <w:rFonts w:eastAsia="Times New Roman"/>
        </w:rPr>
      </w:pPr>
      <w:r>
        <w:rPr>
          <w:rFonts w:eastAsia="Times New Roman"/>
        </w:rPr>
        <w:pict w14:anchorId="1A0E8737">
          <v:rect id="_x0000_i1116" style="width:0;height:1.5pt" o:hralign="center" o:hrstd="t" o:hr="t" fillcolor="#a0a0a0" stroked="f"/>
        </w:pict>
      </w:r>
    </w:p>
    <w:p w14:paraId="03A057E3" w14:textId="77777777" w:rsidR="00000000" w:rsidRDefault="00E614A4">
      <w:pPr>
        <w:divId w:val="193254649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95855F0" w14:textId="77777777" w:rsidR="00000000" w:rsidRDefault="00E614A4">
      <w:pPr>
        <w:divId w:val="1343508527"/>
        <w:rPr>
          <w:rFonts w:eastAsia="Times New Roman"/>
        </w:rPr>
      </w:pPr>
    </w:p>
    <w:p w14:paraId="0CE5B40E" w14:textId="77777777" w:rsidR="00000000" w:rsidRDefault="00E614A4">
      <w:pPr>
        <w:jc w:val="both"/>
        <w:divId w:val="1427536020"/>
        <w:rPr>
          <w:rFonts w:eastAsia="Times New Roman"/>
        </w:rPr>
      </w:pPr>
      <w:r>
        <w:rPr>
          <w:rFonts w:eastAsia="Times New Roman"/>
          <w:color w:val="000000"/>
          <w:sz w:val="20"/>
          <w:szCs w:val="20"/>
        </w:rPr>
        <w:t>Lease costs, net of sublease income, are reflected in the Consolidated Statements of Operations and Comprehensive Loss as follows:</w:t>
      </w:r>
    </w:p>
    <w:tbl>
      <w:tblPr>
        <w:tblW w:w="4986" w:type="pct"/>
        <w:jc w:val="center"/>
        <w:tblCellMar>
          <w:top w:w="15" w:type="dxa"/>
          <w:left w:w="15" w:type="dxa"/>
          <w:bottom w:w="15" w:type="dxa"/>
          <w:right w:w="15" w:type="dxa"/>
        </w:tblCellMar>
        <w:tblLook w:val="04A0" w:firstRow="1" w:lastRow="0" w:firstColumn="1" w:lastColumn="0" w:noHBand="0" w:noVBand="1"/>
      </w:tblPr>
      <w:tblGrid>
        <w:gridCol w:w="48"/>
        <w:gridCol w:w="1363"/>
        <w:gridCol w:w="38"/>
        <w:gridCol w:w="48"/>
        <w:gridCol w:w="1363"/>
        <w:gridCol w:w="37"/>
        <w:gridCol w:w="48"/>
        <w:gridCol w:w="1363"/>
        <w:gridCol w:w="36"/>
        <w:gridCol w:w="48"/>
        <w:gridCol w:w="1363"/>
        <w:gridCol w:w="36"/>
        <w:gridCol w:w="36"/>
        <w:gridCol w:w="36"/>
        <w:gridCol w:w="36"/>
        <w:gridCol w:w="110"/>
        <w:gridCol w:w="992"/>
        <w:gridCol w:w="36"/>
        <w:gridCol w:w="36"/>
        <w:gridCol w:w="36"/>
        <w:gridCol w:w="36"/>
        <w:gridCol w:w="110"/>
        <w:gridCol w:w="992"/>
        <w:gridCol w:w="36"/>
      </w:tblGrid>
      <w:tr w:rsidR="00000000" w14:paraId="6FAEE8B1" w14:textId="77777777">
        <w:trPr>
          <w:divId w:val="1137380292"/>
          <w:jc w:val="center"/>
        </w:trPr>
        <w:tc>
          <w:tcPr>
            <w:tcW w:w="50" w:type="pct"/>
            <w:vAlign w:val="center"/>
            <w:hideMark/>
          </w:tcPr>
          <w:p w14:paraId="633924B9" w14:textId="77777777" w:rsidR="00000000" w:rsidRDefault="00E614A4">
            <w:pPr>
              <w:jc w:val="both"/>
              <w:rPr>
                <w:rFonts w:eastAsia="Times New Roman"/>
              </w:rPr>
            </w:pPr>
          </w:p>
        </w:tc>
        <w:tc>
          <w:tcPr>
            <w:tcW w:w="843" w:type="pct"/>
            <w:vAlign w:val="center"/>
            <w:hideMark/>
          </w:tcPr>
          <w:p w14:paraId="2242AA6C" w14:textId="77777777" w:rsidR="00000000" w:rsidRDefault="00E614A4">
            <w:pPr>
              <w:rPr>
                <w:rFonts w:eastAsia="Times New Roman"/>
                <w:sz w:val="20"/>
                <w:szCs w:val="20"/>
              </w:rPr>
            </w:pPr>
          </w:p>
        </w:tc>
        <w:tc>
          <w:tcPr>
            <w:tcW w:w="5" w:type="pct"/>
            <w:vAlign w:val="center"/>
            <w:hideMark/>
          </w:tcPr>
          <w:p w14:paraId="7290A335" w14:textId="77777777" w:rsidR="00000000" w:rsidRDefault="00E614A4">
            <w:pPr>
              <w:rPr>
                <w:rFonts w:eastAsia="Times New Roman"/>
                <w:sz w:val="20"/>
                <w:szCs w:val="20"/>
              </w:rPr>
            </w:pPr>
          </w:p>
        </w:tc>
        <w:tc>
          <w:tcPr>
            <w:tcW w:w="50" w:type="pct"/>
            <w:vAlign w:val="center"/>
            <w:hideMark/>
          </w:tcPr>
          <w:p w14:paraId="31D22E60" w14:textId="77777777" w:rsidR="00000000" w:rsidRDefault="00E614A4">
            <w:pPr>
              <w:rPr>
                <w:rFonts w:eastAsia="Times New Roman"/>
                <w:sz w:val="20"/>
                <w:szCs w:val="20"/>
              </w:rPr>
            </w:pPr>
          </w:p>
        </w:tc>
        <w:tc>
          <w:tcPr>
            <w:tcW w:w="843" w:type="pct"/>
            <w:vAlign w:val="center"/>
            <w:hideMark/>
          </w:tcPr>
          <w:p w14:paraId="6749F81B" w14:textId="77777777" w:rsidR="00000000" w:rsidRDefault="00E614A4">
            <w:pPr>
              <w:rPr>
                <w:rFonts w:eastAsia="Times New Roman"/>
                <w:sz w:val="20"/>
                <w:szCs w:val="20"/>
              </w:rPr>
            </w:pPr>
          </w:p>
        </w:tc>
        <w:tc>
          <w:tcPr>
            <w:tcW w:w="5" w:type="pct"/>
            <w:vAlign w:val="center"/>
            <w:hideMark/>
          </w:tcPr>
          <w:p w14:paraId="1BC01ED8" w14:textId="77777777" w:rsidR="00000000" w:rsidRDefault="00E614A4">
            <w:pPr>
              <w:rPr>
                <w:rFonts w:eastAsia="Times New Roman"/>
                <w:sz w:val="20"/>
                <w:szCs w:val="20"/>
              </w:rPr>
            </w:pPr>
          </w:p>
        </w:tc>
        <w:tc>
          <w:tcPr>
            <w:tcW w:w="50" w:type="pct"/>
            <w:vAlign w:val="center"/>
            <w:hideMark/>
          </w:tcPr>
          <w:p w14:paraId="346C01B0" w14:textId="77777777" w:rsidR="00000000" w:rsidRDefault="00E614A4">
            <w:pPr>
              <w:rPr>
                <w:rFonts w:eastAsia="Times New Roman"/>
                <w:sz w:val="20"/>
                <w:szCs w:val="20"/>
              </w:rPr>
            </w:pPr>
          </w:p>
        </w:tc>
        <w:tc>
          <w:tcPr>
            <w:tcW w:w="843" w:type="pct"/>
            <w:vAlign w:val="center"/>
            <w:hideMark/>
          </w:tcPr>
          <w:p w14:paraId="2E897FC6" w14:textId="77777777" w:rsidR="00000000" w:rsidRDefault="00E614A4">
            <w:pPr>
              <w:rPr>
                <w:rFonts w:eastAsia="Times New Roman"/>
                <w:sz w:val="20"/>
                <w:szCs w:val="20"/>
              </w:rPr>
            </w:pPr>
          </w:p>
        </w:tc>
        <w:tc>
          <w:tcPr>
            <w:tcW w:w="5" w:type="pct"/>
            <w:vAlign w:val="center"/>
            <w:hideMark/>
          </w:tcPr>
          <w:p w14:paraId="6BF7A9AA" w14:textId="77777777" w:rsidR="00000000" w:rsidRDefault="00E614A4">
            <w:pPr>
              <w:rPr>
                <w:rFonts w:eastAsia="Times New Roman"/>
                <w:sz w:val="20"/>
                <w:szCs w:val="20"/>
              </w:rPr>
            </w:pPr>
          </w:p>
        </w:tc>
        <w:tc>
          <w:tcPr>
            <w:tcW w:w="50" w:type="pct"/>
            <w:vAlign w:val="center"/>
            <w:hideMark/>
          </w:tcPr>
          <w:p w14:paraId="1734DDB0" w14:textId="77777777" w:rsidR="00000000" w:rsidRDefault="00E614A4">
            <w:pPr>
              <w:rPr>
                <w:rFonts w:eastAsia="Times New Roman"/>
                <w:sz w:val="20"/>
                <w:szCs w:val="20"/>
              </w:rPr>
            </w:pPr>
          </w:p>
        </w:tc>
        <w:tc>
          <w:tcPr>
            <w:tcW w:w="843" w:type="pct"/>
            <w:vAlign w:val="center"/>
            <w:hideMark/>
          </w:tcPr>
          <w:p w14:paraId="62297763" w14:textId="77777777" w:rsidR="00000000" w:rsidRDefault="00E614A4">
            <w:pPr>
              <w:rPr>
                <w:rFonts w:eastAsia="Times New Roman"/>
                <w:sz w:val="20"/>
                <w:szCs w:val="20"/>
              </w:rPr>
            </w:pPr>
          </w:p>
        </w:tc>
        <w:tc>
          <w:tcPr>
            <w:tcW w:w="5" w:type="pct"/>
            <w:vAlign w:val="center"/>
            <w:hideMark/>
          </w:tcPr>
          <w:p w14:paraId="6BD5F19F" w14:textId="77777777" w:rsidR="00000000" w:rsidRDefault="00E614A4">
            <w:pPr>
              <w:rPr>
                <w:rFonts w:eastAsia="Times New Roman"/>
                <w:sz w:val="20"/>
                <w:szCs w:val="20"/>
              </w:rPr>
            </w:pPr>
          </w:p>
        </w:tc>
        <w:tc>
          <w:tcPr>
            <w:tcW w:w="5" w:type="pct"/>
            <w:vAlign w:val="center"/>
            <w:hideMark/>
          </w:tcPr>
          <w:p w14:paraId="09A346BE" w14:textId="77777777" w:rsidR="00000000" w:rsidRDefault="00E614A4">
            <w:pPr>
              <w:rPr>
                <w:rFonts w:eastAsia="Times New Roman"/>
                <w:sz w:val="20"/>
                <w:szCs w:val="20"/>
              </w:rPr>
            </w:pPr>
          </w:p>
        </w:tc>
        <w:tc>
          <w:tcPr>
            <w:tcW w:w="17" w:type="pct"/>
            <w:vAlign w:val="center"/>
            <w:hideMark/>
          </w:tcPr>
          <w:p w14:paraId="57DDA2BD" w14:textId="77777777" w:rsidR="00000000" w:rsidRDefault="00E614A4">
            <w:pPr>
              <w:rPr>
                <w:rFonts w:eastAsia="Times New Roman"/>
                <w:sz w:val="20"/>
                <w:szCs w:val="20"/>
              </w:rPr>
            </w:pPr>
          </w:p>
        </w:tc>
        <w:tc>
          <w:tcPr>
            <w:tcW w:w="5" w:type="pct"/>
            <w:vAlign w:val="center"/>
            <w:hideMark/>
          </w:tcPr>
          <w:p w14:paraId="6CB923F2" w14:textId="77777777" w:rsidR="00000000" w:rsidRDefault="00E614A4">
            <w:pPr>
              <w:rPr>
                <w:rFonts w:eastAsia="Times New Roman"/>
                <w:sz w:val="20"/>
                <w:szCs w:val="20"/>
              </w:rPr>
            </w:pPr>
          </w:p>
        </w:tc>
        <w:tc>
          <w:tcPr>
            <w:tcW w:w="50" w:type="pct"/>
            <w:vAlign w:val="center"/>
            <w:hideMark/>
          </w:tcPr>
          <w:p w14:paraId="15A4DB5A" w14:textId="77777777" w:rsidR="00000000" w:rsidRDefault="00E614A4">
            <w:pPr>
              <w:rPr>
                <w:rFonts w:eastAsia="Times New Roman"/>
                <w:sz w:val="20"/>
                <w:szCs w:val="20"/>
              </w:rPr>
            </w:pPr>
          </w:p>
        </w:tc>
        <w:tc>
          <w:tcPr>
            <w:tcW w:w="620" w:type="pct"/>
            <w:vAlign w:val="center"/>
            <w:hideMark/>
          </w:tcPr>
          <w:p w14:paraId="707FB67A" w14:textId="77777777" w:rsidR="00000000" w:rsidRDefault="00E614A4">
            <w:pPr>
              <w:rPr>
                <w:rFonts w:eastAsia="Times New Roman"/>
                <w:sz w:val="20"/>
                <w:szCs w:val="20"/>
              </w:rPr>
            </w:pPr>
          </w:p>
        </w:tc>
        <w:tc>
          <w:tcPr>
            <w:tcW w:w="5" w:type="pct"/>
            <w:vAlign w:val="center"/>
            <w:hideMark/>
          </w:tcPr>
          <w:p w14:paraId="6E885BA8" w14:textId="77777777" w:rsidR="00000000" w:rsidRDefault="00E614A4">
            <w:pPr>
              <w:rPr>
                <w:rFonts w:eastAsia="Times New Roman"/>
                <w:sz w:val="20"/>
                <w:szCs w:val="20"/>
              </w:rPr>
            </w:pPr>
          </w:p>
        </w:tc>
        <w:tc>
          <w:tcPr>
            <w:tcW w:w="5" w:type="pct"/>
            <w:vAlign w:val="center"/>
            <w:hideMark/>
          </w:tcPr>
          <w:p w14:paraId="00312742" w14:textId="77777777" w:rsidR="00000000" w:rsidRDefault="00E614A4">
            <w:pPr>
              <w:rPr>
                <w:rFonts w:eastAsia="Times New Roman"/>
                <w:sz w:val="20"/>
                <w:szCs w:val="20"/>
              </w:rPr>
            </w:pPr>
          </w:p>
        </w:tc>
        <w:tc>
          <w:tcPr>
            <w:tcW w:w="17" w:type="pct"/>
            <w:vAlign w:val="center"/>
            <w:hideMark/>
          </w:tcPr>
          <w:p w14:paraId="78BBBFC0" w14:textId="77777777" w:rsidR="00000000" w:rsidRDefault="00E614A4">
            <w:pPr>
              <w:rPr>
                <w:rFonts w:eastAsia="Times New Roman"/>
                <w:sz w:val="20"/>
                <w:szCs w:val="20"/>
              </w:rPr>
            </w:pPr>
          </w:p>
        </w:tc>
        <w:tc>
          <w:tcPr>
            <w:tcW w:w="5" w:type="pct"/>
            <w:vAlign w:val="center"/>
            <w:hideMark/>
          </w:tcPr>
          <w:p w14:paraId="55B83278" w14:textId="77777777" w:rsidR="00000000" w:rsidRDefault="00E614A4">
            <w:pPr>
              <w:rPr>
                <w:rFonts w:eastAsia="Times New Roman"/>
                <w:sz w:val="20"/>
                <w:szCs w:val="20"/>
              </w:rPr>
            </w:pPr>
          </w:p>
        </w:tc>
        <w:tc>
          <w:tcPr>
            <w:tcW w:w="50" w:type="pct"/>
            <w:vAlign w:val="center"/>
            <w:hideMark/>
          </w:tcPr>
          <w:p w14:paraId="16750847" w14:textId="77777777" w:rsidR="00000000" w:rsidRDefault="00E614A4">
            <w:pPr>
              <w:rPr>
                <w:rFonts w:eastAsia="Times New Roman"/>
                <w:sz w:val="20"/>
                <w:szCs w:val="20"/>
              </w:rPr>
            </w:pPr>
          </w:p>
        </w:tc>
        <w:tc>
          <w:tcPr>
            <w:tcW w:w="620" w:type="pct"/>
            <w:vAlign w:val="center"/>
            <w:hideMark/>
          </w:tcPr>
          <w:p w14:paraId="22CB47BD" w14:textId="77777777" w:rsidR="00000000" w:rsidRDefault="00E614A4">
            <w:pPr>
              <w:rPr>
                <w:rFonts w:eastAsia="Times New Roman"/>
                <w:sz w:val="20"/>
                <w:szCs w:val="20"/>
              </w:rPr>
            </w:pPr>
          </w:p>
        </w:tc>
        <w:tc>
          <w:tcPr>
            <w:tcW w:w="5" w:type="pct"/>
            <w:vAlign w:val="center"/>
            <w:hideMark/>
          </w:tcPr>
          <w:p w14:paraId="6B8BDD1F" w14:textId="77777777" w:rsidR="00000000" w:rsidRDefault="00E614A4">
            <w:pPr>
              <w:rPr>
                <w:rFonts w:eastAsia="Times New Roman"/>
                <w:sz w:val="20"/>
                <w:szCs w:val="20"/>
              </w:rPr>
            </w:pPr>
          </w:p>
        </w:tc>
      </w:tr>
      <w:tr w:rsidR="00000000" w14:paraId="58F521BC" w14:textId="77777777">
        <w:trPr>
          <w:divId w:val="1137380292"/>
          <w:jc w:val="center"/>
        </w:trPr>
        <w:tc>
          <w:tcPr>
            <w:tcW w:w="0" w:type="auto"/>
            <w:gridSpan w:val="12"/>
            <w:tcMar>
              <w:top w:w="0" w:type="dxa"/>
              <w:left w:w="20" w:type="dxa"/>
              <w:bottom w:w="0" w:type="dxa"/>
              <w:right w:w="20" w:type="dxa"/>
            </w:tcMar>
            <w:vAlign w:val="center"/>
            <w:hideMark/>
          </w:tcPr>
          <w:p w14:paraId="2421C70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EDC898B"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2D956FF7"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51987B92" w14:textId="77777777">
        <w:trPr>
          <w:divId w:val="1137380292"/>
          <w:jc w:val="center"/>
        </w:trPr>
        <w:tc>
          <w:tcPr>
            <w:tcW w:w="0" w:type="auto"/>
            <w:gridSpan w:val="12"/>
            <w:tcMar>
              <w:top w:w="30" w:type="dxa"/>
              <w:left w:w="20" w:type="dxa"/>
              <w:bottom w:w="30" w:type="dxa"/>
              <w:right w:w="20" w:type="dxa"/>
            </w:tcMar>
            <w:vAlign w:val="bottom"/>
            <w:hideMark/>
          </w:tcPr>
          <w:p w14:paraId="4F1BFC51"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7FAB9327"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39364D"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1E520FB"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2F2482" w14:textId="77777777" w:rsidR="00000000" w:rsidRDefault="00E614A4">
            <w:pPr>
              <w:jc w:val="center"/>
              <w:rPr>
                <w:rFonts w:eastAsia="Times New Roman"/>
              </w:rPr>
            </w:pPr>
            <w:r>
              <w:rPr>
                <w:rFonts w:eastAsia="Times New Roman"/>
                <w:b/>
                <w:bCs/>
                <w:color w:val="000000"/>
                <w:sz w:val="16"/>
                <w:szCs w:val="16"/>
              </w:rPr>
              <w:t>2019</w:t>
            </w:r>
          </w:p>
        </w:tc>
      </w:tr>
      <w:tr w:rsidR="00000000" w14:paraId="5BED810E" w14:textId="77777777">
        <w:trPr>
          <w:divId w:val="1137380292"/>
          <w:jc w:val="center"/>
        </w:trPr>
        <w:tc>
          <w:tcPr>
            <w:tcW w:w="0" w:type="auto"/>
            <w:gridSpan w:val="12"/>
            <w:shd w:val="clear" w:color="auto" w:fill="CCEEFF"/>
            <w:tcMar>
              <w:top w:w="30" w:type="dxa"/>
              <w:left w:w="20" w:type="dxa"/>
              <w:bottom w:w="30" w:type="dxa"/>
              <w:right w:w="20" w:type="dxa"/>
            </w:tcMar>
            <w:vAlign w:val="bottom"/>
            <w:hideMark/>
          </w:tcPr>
          <w:p w14:paraId="61C982E7" w14:textId="77777777" w:rsidR="00000000" w:rsidRDefault="00E614A4">
            <w:pPr>
              <w:rPr>
                <w:rFonts w:eastAsia="Times New Roman"/>
              </w:rPr>
            </w:pPr>
            <w:r>
              <w:rPr>
                <w:rFonts w:eastAsia="Times New Roman"/>
                <w:b/>
                <w:bCs/>
                <w:color w:val="000000"/>
                <w:sz w:val="18"/>
                <w:szCs w:val="18"/>
              </w:rPr>
              <w:t>Amortization of right-of-use assets</w:t>
            </w:r>
          </w:p>
        </w:tc>
        <w:tc>
          <w:tcPr>
            <w:tcW w:w="0" w:type="auto"/>
            <w:gridSpan w:val="3"/>
            <w:shd w:val="clear" w:color="auto" w:fill="CCEEFF"/>
            <w:tcMar>
              <w:top w:w="0" w:type="dxa"/>
              <w:left w:w="20" w:type="dxa"/>
              <w:bottom w:w="0" w:type="dxa"/>
              <w:right w:w="20" w:type="dxa"/>
            </w:tcMar>
            <w:vAlign w:val="center"/>
            <w:hideMark/>
          </w:tcPr>
          <w:p w14:paraId="0AAFC338" w14:textId="77777777" w:rsidR="00000000" w:rsidRDefault="00E614A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E0F30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D7B8B8"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D643A2" w14:textId="77777777" w:rsidR="00000000" w:rsidRDefault="00E614A4">
            <w:pPr>
              <w:rPr>
                <w:rFonts w:eastAsia="Times New Roman"/>
                <w:sz w:val="20"/>
                <w:szCs w:val="20"/>
              </w:rPr>
            </w:pPr>
          </w:p>
        </w:tc>
      </w:tr>
      <w:tr w:rsidR="00000000" w14:paraId="18FAE4A1" w14:textId="77777777">
        <w:trPr>
          <w:divId w:val="1137380292"/>
          <w:jc w:val="center"/>
        </w:trPr>
        <w:tc>
          <w:tcPr>
            <w:tcW w:w="0" w:type="auto"/>
            <w:gridSpan w:val="12"/>
            <w:shd w:val="clear" w:color="auto" w:fill="FFFFFF"/>
            <w:tcMar>
              <w:top w:w="30" w:type="dxa"/>
              <w:left w:w="20" w:type="dxa"/>
              <w:bottom w:w="30" w:type="dxa"/>
              <w:right w:w="20" w:type="dxa"/>
            </w:tcMar>
            <w:hideMark/>
          </w:tcPr>
          <w:p w14:paraId="417CE2CF" w14:textId="77777777" w:rsidR="00000000" w:rsidRDefault="00E614A4">
            <w:pPr>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14:paraId="6F15E82D"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36790367"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B846666" w14:textId="77777777" w:rsidR="00000000" w:rsidRDefault="00E614A4">
            <w:pPr>
              <w:jc w:val="right"/>
              <w:rPr>
                <w:rFonts w:eastAsia="Times New Roman"/>
              </w:rPr>
            </w:pPr>
            <w:r>
              <w:rPr>
                <w:rFonts w:eastAsia="Times New Roman"/>
                <w:color w:val="000000"/>
                <w:sz w:val="18"/>
                <w:szCs w:val="18"/>
              </w:rPr>
              <w:t>1,212 </w:t>
            </w:r>
          </w:p>
        </w:tc>
        <w:tc>
          <w:tcPr>
            <w:tcW w:w="0" w:type="auto"/>
            <w:shd w:val="clear" w:color="auto" w:fill="FFFFFF"/>
            <w:tcMar>
              <w:top w:w="30" w:type="dxa"/>
              <w:left w:w="0" w:type="dxa"/>
              <w:bottom w:w="30" w:type="dxa"/>
              <w:right w:w="20" w:type="dxa"/>
            </w:tcMar>
            <w:vAlign w:val="bottom"/>
            <w:hideMark/>
          </w:tcPr>
          <w:p w14:paraId="01594B0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0C5BA"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CE5D85"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E67A4E" w14:textId="77777777" w:rsidR="00000000" w:rsidRDefault="00E614A4">
            <w:pPr>
              <w:jc w:val="right"/>
              <w:rPr>
                <w:rFonts w:eastAsia="Times New Roman"/>
              </w:rPr>
            </w:pPr>
            <w:r>
              <w:rPr>
                <w:rFonts w:eastAsia="Times New Roman"/>
                <w:color w:val="000000"/>
                <w:sz w:val="18"/>
                <w:szCs w:val="18"/>
              </w:rPr>
              <w:t>1,771 </w:t>
            </w:r>
          </w:p>
        </w:tc>
        <w:tc>
          <w:tcPr>
            <w:tcW w:w="0" w:type="auto"/>
            <w:shd w:val="clear" w:color="auto" w:fill="FFFFFF"/>
            <w:tcMar>
              <w:top w:w="30" w:type="dxa"/>
              <w:left w:w="0" w:type="dxa"/>
              <w:bottom w:w="30" w:type="dxa"/>
              <w:right w:w="20" w:type="dxa"/>
            </w:tcMar>
            <w:vAlign w:val="bottom"/>
            <w:hideMark/>
          </w:tcPr>
          <w:p w14:paraId="2EEEC4A6" w14:textId="77777777" w:rsidR="00000000" w:rsidRDefault="00E614A4">
            <w:pPr>
              <w:jc w:val="right"/>
              <w:rPr>
                <w:rFonts w:eastAsia="Times New Roman"/>
              </w:rPr>
            </w:pPr>
          </w:p>
        </w:tc>
      </w:tr>
      <w:tr w:rsidR="00000000" w14:paraId="1F852E5B" w14:textId="77777777">
        <w:trPr>
          <w:divId w:val="1137380292"/>
          <w:jc w:val="center"/>
        </w:trPr>
        <w:tc>
          <w:tcPr>
            <w:tcW w:w="0" w:type="auto"/>
            <w:gridSpan w:val="12"/>
            <w:shd w:val="clear" w:color="auto" w:fill="CCEEFF"/>
            <w:tcMar>
              <w:top w:w="30" w:type="dxa"/>
              <w:left w:w="20" w:type="dxa"/>
              <w:bottom w:w="30" w:type="dxa"/>
              <w:right w:w="20" w:type="dxa"/>
            </w:tcMar>
            <w:hideMark/>
          </w:tcPr>
          <w:p w14:paraId="6C21C389" w14:textId="77777777" w:rsidR="00000000" w:rsidRDefault="00E614A4">
            <w:pPr>
              <w:rPr>
                <w:rFonts w:eastAsia="Times New Roman"/>
              </w:rPr>
            </w:pPr>
            <w:r>
              <w:rPr>
                <w:rFonts w:eastAsia="Times New Roman"/>
                <w:color w:val="000000"/>
                <w:sz w:val="18"/>
                <w:szCs w:val="18"/>
              </w:rPr>
              <w:t>Selling and marketing</w:t>
            </w:r>
          </w:p>
        </w:tc>
        <w:tc>
          <w:tcPr>
            <w:tcW w:w="0" w:type="auto"/>
            <w:gridSpan w:val="3"/>
            <w:shd w:val="clear" w:color="auto" w:fill="CCEEFF"/>
            <w:tcMar>
              <w:top w:w="0" w:type="dxa"/>
              <w:left w:w="20" w:type="dxa"/>
              <w:bottom w:w="0" w:type="dxa"/>
              <w:right w:w="20" w:type="dxa"/>
            </w:tcMar>
            <w:vAlign w:val="center"/>
            <w:hideMark/>
          </w:tcPr>
          <w:p w14:paraId="665750CF"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C400B9" w14:textId="77777777" w:rsidR="00000000" w:rsidRDefault="00E614A4">
            <w:pPr>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bottom"/>
            <w:hideMark/>
          </w:tcPr>
          <w:p w14:paraId="005C85C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53BE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58A6A7" w14:textId="77777777" w:rsidR="00000000" w:rsidRDefault="00E614A4">
            <w:pPr>
              <w:jc w:val="right"/>
              <w:rPr>
                <w:rFonts w:eastAsia="Times New Roman"/>
              </w:rPr>
            </w:pPr>
            <w:r>
              <w:rPr>
                <w:rFonts w:eastAsia="Times New Roman"/>
                <w:color w:val="000000"/>
                <w:sz w:val="18"/>
                <w:szCs w:val="18"/>
              </w:rPr>
              <w:t>258 </w:t>
            </w:r>
          </w:p>
        </w:tc>
        <w:tc>
          <w:tcPr>
            <w:tcW w:w="0" w:type="auto"/>
            <w:shd w:val="clear" w:color="auto" w:fill="CCEEFF"/>
            <w:tcMar>
              <w:top w:w="30" w:type="dxa"/>
              <w:left w:w="0" w:type="dxa"/>
              <w:bottom w:w="30" w:type="dxa"/>
              <w:right w:w="20" w:type="dxa"/>
            </w:tcMar>
            <w:vAlign w:val="bottom"/>
            <w:hideMark/>
          </w:tcPr>
          <w:p w14:paraId="25FE1555" w14:textId="77777777" w:rsidR="00000000" w:rsidRDefault="00E614A4">
            <w:pPr>
              <w:jc w:val="right"/>
              <w:rPr>
                <w:rFonts w:eastAsia="Times New Roman"/>
              </w:rPr>
            </w:pPr>
          </w:p>
        </w:tc>
      </w:tr>
      <w:tr w:rsidR="00000000" w14:paraId="700A7AE4" w14:textId="77777777">
        <w:trPr>
          <w:divId w:val="1137380292"/>
          <w:jc w:val="center"/>
        </w:trPr>
        <w:tc>
          <w:tcPr>
            <w:tcW w:w="0" w:type="auto"/>
            <w:gridSpan w:val="12"/>
            <w:shd w:val="clear" w:color="auto" w:fill="FFFFFF"/>
            <w:tcMar>
              <w:top w:w="30" w:type="dxa"/>
              <w:left w:w="20" w:type="dxa"/>
              <w:bottom w:w="30" w:type="dxa"/>
              <w:right w:w="20" w:type="dxa"/>
            </w:tcMar>
            <w:hideMark/>
          </w:tcPr>
          <w:p w14:paraId="53500FAE" w14:textId="77777777" w:rsidR="00000000" w:rsidRDefault="00E614A4">
            <w:pPr>
              <w:rPr>
                <w:rFonts w:eastAsia="Times New Roman"/>
              </w:rPr>
            </w:pPr>
            <w:r>
              <w:rPr>
                <w:rFonts w:eastAsia="Times New Roman"/>
                <w:color w:val="000000"/>
                <w:sz w:val="18"/>
                <w:szCs w:val="18"/>
              </w:rPr>
              <w:t>Research and development</w:t>
            </w:r>
          </w:p>
        </w:tc>
        <w:tc>
          <w:tcPr>
            <w:tcW w:w="0" w:type="auto"/>
            <w:gridSpan w:val="3"/>
            <w:shd w:val="clear" w:color="auto" w:fill="FFFFFF"/>
            <w:tcMar>
              <w:top w:w="0" w:type="dxa"/>
              <w:left w:w="20" w:type="dxa"/>
              <w:bottom w:w="0" w:type="dxa"/>
              <w:right w:w="20" w:type="dxa"/>
            </w:tcMar>
            <w:vAlign w:val="center"/>
            <w:hideMark/>
          </w:tcPr>
          <w:p w14:paraId="41767003"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B3E8D8" w14:textId="77777777" w:rsidR="00000000" w:rsidRDefault="00E614A4">
            <w:pPr>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bottom"/>
            <w:hideMark/>
          </w:tcPr>
          <w:p w14:paraId="4BF8AAC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CFF3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96E5A5" w14:textId="77777777" w:rsidR="00000000" w:rsidRDefault="00E614A4">
            <w:pPr>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14:paraId="15F4EBE5" w14:textId="77777777" w:rsidR="00000000" w:rsidRDefault="00E614A4">
            <w:pPr>
              <w:jc w:val="right"/>
              <w:rPr>
                <w:rFonts w:eastAsia="Times New Roman"/>
              </w:rPr>
            </w:pPr>
          </w:p>
        </w:tc>
      </w:tr>
      <w:tr w:rsidR="00000000" w14:paraId="049D004C" w14:textId="77777777">
        <w:trPr>
          <w:divId w:val="1137380292"/>
          <w:jc w:val="center"/>
        </w:trPr>
        <w:tc>
          <w:tcPr>
            <w:tcW w:w="0" w:type="auto"/>
            <w:gridSpan w:val="12"/>
            <w:shd w:val="clear" w:color="auto" w:fill="CCEEFF"/>
            <w:tcMar>
              <w:top w:w="30" w:type="dxa"/>
              <w:left w:w="20" w:type="dxa"/>
              <w:bottom w:w="30" w:type="dxa"/>
              <w:right w:w="20" w:type="dxa"/>
            </w:tcMar>
            <w:hideMark/>
          </w:tcPr>
          <w:p w14:paraId="5D1980B3" w14:textId="77777777" w:rsidR="00000000" w:rsidRDefault="00E614A4">
            <w:pPr>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14:paraId="366B473E"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98E4CC" w14:textId="77777777" w:rsidR="00000000" w:rsidRDefault="00E614A4">
            <w:pPr>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14:paraId="208E46B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AD35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C963D4" w14:textId="77777777" w:rsidR="00000000" w:rsidRDefault="00E614A4">
            <w:pPr>
              <w:jc w:val="right"/>
              <w:rPr>
                <w:rFonts w:eastAsia="Times New Roman"/>
              </w:rPr>
            </w:pPr>
            <w:r>
              <w:rPr>
                <w:rFonts w:eastAsia="Times New Roman"/>
                <w:color w:val="000000"/>
                <w:sz w:val="18"/>
                <w:szCs w:val="18"/>
              </w:rPr>
              <w:t>131 </w:t>
            </w:r>
          </w:p>
        </w:tc>
        <w:tc>
          <w:tcPr>
            <w:tcW w:w="0" w:type="auto"/>
            <w:shd w:val="clear" w:color="auto" w:fill="CCEEFF"/>
            <w:tcMar>
              <w:top w:w="30" w:type="dxa"/>
              <w:left w:w="0" w:type="dxa"/>
              <w:bottom w:w="30" w:type="dxa"/>
              <w:right w:w="20" w:type="dxa"/>
            </w:tcMar>
            <w:vAlign w:val="bottom"/>
            <w:hideMark/>
          </w:tcPr>
          <w:p w14:paraId="5D078598" w14:textId="77777777" w:rsidR="00000000" w:rsidRDefault="00E614A4">
            <w:pPr>
              <w:jc w:val="right"/>
              <w:rPr>
                <w:rFonts w:eastAsia="Times New Roman"/>
              </w:rPr>
            </w:pPr>
          </w:p>
        </w:tc>
      </w:tr>
      <w:tr w:rsidR="00000000" w14:paraId="48172F5C" w14:textId="77777777">
        <w:trPr>
          <w:divId w:val="1137380292"/>
          <w:jc w:val="center"/>
        </w:trPr>
        <w:tc>
          <w:tcPr>
            <w:tcW w:w="0" w:type="auto"/>
            <w:gridSpan w:val="12"/>
            <w:shd w:val="clear" w:color="auto" w:fill="FFFFFF"/>
            <w:tcMar>
              <w:top w:w="30" w:type="dxa"/>
              <w:left w:w="20" w:type="dxa"/>
              <w:bottom w:w="30" w:type="dxa"/>
              <w:right w:w="20" w:type="dxa"/>
            </w:tcMar>
            <w:vAlign w:val="bottom"/>
            <w:hideMark/>
          </w:tcPr>
          <w:p w14:paraId="1621228D" w14:textId="77777777" w:rsidR="00000000" w:rsidRDefault="00E614A4">
            <w:pPr>
              <w:rPr>
                <w:rFonts w:eastAsia="Times New Roman"/>
              </w:rPr>
            </w:pPr>
            <w:r>
              <w:rPr>
                <w:rFonts w:eastAsia="Times New Roman"/>
                <w:color w:val="000000"/>
                <w:sz w:val="18"/>
                <w:szCs w:val="18"/>
              </w:rPr>
              <w:t>Total amortization of right-of-use assets</w:t>
            </w:r>
          </w:p>
        </w:tc>
        <w:tc>
          <w:tcPr>
            <w:tcW w:w="0" w:type="auto"/>
            <w:gridSpan w:val="3"/>
            <w:shd w:val="clear" w:color="auto" w:fill="FFFFFF"/>
            <w:tcMar>
              <w:top w:w="0" w:type="dxa"/>
              <w:left w:w="20" w:type="dxa"/>
              <w:bottom w:w="0" w:type="dxa"/>
              <w:right w:w="20" w:type="dxa"/>
            </w:tcMar>
            <w:vAlign w:val="center"/>
            <w:hideMark/>
          </w:tcPr>
          <w:p w14:paraId="103744E1" w14:textId="77777777" w:rsidR="00000000" w:rsidRDefault="00E614A4">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5A346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99CE0E" w14:textId="77777777" w:rsidR="00000000" w:rsidRDefault="00E614A4">
            <w:pPr>
              <w:jc w:val="right"/>
              <w:rPr>
                <w:rFonts w:eastAsia="Times New Roman"/>
              </w:rPr>
            </w:pPr>
            <w:r>
              <w:rPr>
                <w:rFonts w:eastAsia="Times New Roman"/>
                <w:color w:val="000000"/>
                <w:sz w:val="18"/>
                <w:szCs w:val="18"/>
              </w:rPr>
              <w:t>1,652 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82B91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4790F"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A5011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281551" w14:textId="77777777" w:rsidR="00000000" w:rsidRDefault="00E614A4">
            <w:pPr>
              <w:jc w:val="right"/>
              <w:rPr>
                <w:rFonts w:eastAsia="Times New Roman"/>
              </w:rPr>
            </w:pPr>
            <w:r>
              <w:rPr>
                <w:rFonts w:eastAsia="Times New Roman"/>
                <w:color w:val="000000"/>
                <w:sz w:val="18"/>
                <w:szCs w:val="18"/>
              </w:rPr>
              <w:t>2,413 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C69A37" w14:textId="77777777" w:rsidR="00000000" w:rsidRDefault="00E614A4">
            <w:pPr>
              <w:jc w:val="right"/>
              <w:rPr>
                <w:rFonts w:eastAsia="Times New Roman"/>
              </w:rPr>
            </w:pPr>
          </w:p>
        </w:tc>
      </w:tr>
      <w:tr w:rsidR="00000000" w14:paraId="3FC3AB23" w14:textId="77777777">
        <w:trPr>
          <w:divId w:val="1137380292"/>
          <w:trHeight w:val="240"/>
          <w:jc w:val="center"/>
        </w:trPr>
        <w:tc>
          <w:tcPr>
            <w:tcW w:w="0" w:type="auto"/>
            <w:gridSpan w:val="12"/>
            <w:shd w:val="clear" w:color="auto" w:fill="CCEEFF"/>
            <w:tcMar>
              <w:top w:w="0" w:type="dxa"/>
              <w:left w:w="20" w:type="dxa"/>
              <w:bottom w:w="0" w:type="dxa"/>
              <w:right w:w="20" w:type="dxa"/>
            </w:tcMar>
            <w:vAlign w:val="center"/>
            <w:hideMark/>
          </w:tcPr>
          <w:p w14:paraId="3C80AE2B" w14:textId="77777777" w:rsidR="00000000" w:rsidRDefault="00E614A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A687FB"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BB724A"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1C4D03"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4C3348C" w14:textId="77777777" w:rsidR="00000000" w:rsidRDefault="00E614A4">
            <w:pPr>
              <w:rPr>
                <w:rFonts w:eastAsia="Times New Roman"/>
                <w:sz w:val="20"/>
                <w:szCs w:val="20"/>
              </w:rPr>
            </w:pPr>
          </w:p>
        </w:tc>
      </w:tr>
      <w:tr w:rsidR="00000000" w14:paraId="7F54A5D7" w14:textId="77777777">
        <w:trPr>
          <w:divId w:val="1137380292"/>
          <w:jc w:val="center"/>
        </w:trPr>
        <w:tc>
          <w:tcPr>
            <w:tcW w:w="0" w:type="auto"/>
            <w:gridSpan w:val="12"/>
            <w:shd w:val="clear" w:color="auto" w:fill="FFFFFF"/>
            <w:tcMar>
              <w:top w:w="30" w:type="dxa"/>
              <w:left w:w="20" w:type="dxa"/>
              <w:bottom w:w="30" w:type="dxa"/>
              <w:right w:w="20" w:type="dxa"/>
            </w:tcMar>
            <w:vAlign w:val="bottom"/>
            <w:hideMark/>
          </w:tcPr>
          <w:p w14:paraId="5089341B" w14:textId="77777777" w:rsidR="00000000" w:rsidRDefault="00E614A4">
            <w:pPr>
              <w:rPr>
                <w:rFonts w:eastAsia="Times New Roman"/>
              </w:rPr>
            </w:pPr>
            <w:r>
              <w:rPr>
                <w:rFonts w:eastAsia="Times New Roman"/>
                <w:b/>
                <w:bCs/>
                <w:color w:val="000000"/>
                <w:sz w:val="18"/>
                <w:szCs w:val="18"/>
              </w:rPr>
              <w:t>Operating lease cost</w:t>
            </w:r>
          </w:p>
        </w:tc>
        <w:tc>
          <w:tcPr>
            <w:tcW w:w="0" w:type="auto"/>
            <w:gridSpan w:val="3"/>
            <w:shd w:val="clear" w:color="auto" w:fill="FFFFFF"/>
            <w:tcMar>
              <w:top w:w="0" w:type="dxa"/>
              <w:left w:w="20" w:type="dxa"/>
              <w:bottom w:w="0" w:type="dxa"/>
              <w:right w:w="20" w:type="dxa"/>
            </w:tcMar>
            <w:vAlign w:val="center"/>
            <w:hideMark/>
          </w:tcPr>
          <w:p w14:paraId="3AA0DA35"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DFFA65"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95D80B"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8E18A7" w14:textId="77777777" w:rsidR="00000000" w:rsidRDefault="00E614A4">
            <w:pPr>
              <w:rPr>
                <w:rFonts w:eastAsia="Times New Roman"/>
                <w:sz w:val="20"/>
                <w:szCs w:val="20"/>
              </w:rPr>
            </w:pPr>
          </w:p>
        </w:tc>
      </w:tr>
      <w:tr w:rsidR="00000000" w14:paraId="27458073" w14:textId="77777777">
        <w:trPr>
          <w:divId w:val="1137380292"/>
          <w:jc w:val="center"/>
        </w:trPr>
        <w:tc>
          <w:tcPr>
            <w:tcW w:w="0" w:type="auto"/>
            <w:gridSpan w:val="12"/>
            <w:shd w:val="clear" w:color="auto" w:fill="CCEEFF"/>
            <w:tcMar>
              <w:top w:w="30" w:type="dxa"/>
              <w:left w:w="20" w:type="dxa"/>
              <w:bottom w:w="30" w:type="dxa"/>
              <w:right w:w="20" w:type="dxa"/>
            </w:tcMar>
            <w:hideMark/>
          </w:tcPr>
          <w:p w14:paraId="6D6B2DF3" w14:textId="77777777" w:rsidR="00000000" w:rsidRDefault="00E614A4">
            <w:pPr>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14:paraId="43CEC56E" w14:textId="77777777" w:rsidR="00000000" w:rsidRDefault="00E614A4">
            <w:pPr>
              <w:rPr>
                <w:rFonts w:eastAsia="Times New Roman"/>
              </w:rPr>
            </w:pPr>
          </w:p>
        </w:tc>
        <w:tc>
          <w:tcPr>
            <w:tcW w:w="0" w:type="auto"/>
            <w:shd w:val="clear" w:color="auto" w:fill="CCEEFF"/>
            <w:tcMar>
              <w:top w:w="30" w:type="dxa"/>
              <w:left w:w="20" w:type="dxa"/>
              <w:bottom w:w="30" w:type="dxa"/>
              <w:right w:w="0" w:type="dxa"/>
            </w:tcMar>
            <w:vAlign w:val="bottom"/>
            <w:hideMark/>
          </w:tcPr>
          <w:p w14:paraId="6E78D411"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C6C787A" w14:textId="77777777" w:rsidR="00000000" w:rsidRDefault="00E614A4">
            <w:pPr>
              <w:jc w:val="right"/>
              <w:rPr>
                <w:rFonts w:eastAsia="Times New Roman"/>
              </w:rPr>
            </w:pPr>
            <w:r>
              <w:rPr>
                <w:rFonts w:eastAsia="Times New Roman"/>
                <w:color w:val="000000"/>
                <w:sz w:val="18"/>
                <w:szCs w:val="18"/>
              </w:rPr>
              <w:t>3,532 </w:t>
            </w:r>
          </w:p>
        </w:tc>
        <w:tc>
          <w:tcPr>
            <w:tcW w:w="0" w:type="auto"/>
            <w:shd w:val="clear" w:color="auto" w:fill="CCEEFF"/>
            <w:tcMar>
              <w:top w:w="30" w:type="dxa"/>
              <w:left w:w="0" w:type="dxa"/>
              <w:bottom w:w="30" w:type="dxa"/>
              <w:right w:w="20" w:type="dxa"/>
            </w:tcMar>
            <w:vAlign w:val="bottom"/>
            <w:hideMark/>
          </w:tcPr>
          <w:p w14:paraId="5856B42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4A92EA"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F2E4CF"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540D62E" w14:textId="77777777" w:rsidR="00000000" w:rsidRDefault="00E614A4">
            <w:pPr>
              <w:jc w:val="right"/>
              <w:rPr>
                <w:rFonts w:eastAsia="Times New Roman"/>
              </w:rPr>
            </w:pPr>
            <w:r>
              <w:rPr>
                <w:rFonts w:eastAsia="Times New Roman"/>
                <w:color w:val="000000"/>
                <w:sz w:val="18"/>
                <w:szCs w:val="18"/>
              </w:rPr>
              <w:t>3,885 </w:t>
            </w:r>
          </w:p>
        </w:tc>
        <w:tc>
          <w:tcPr>
            <w:tcW w:w="0" w:type="auto"/>
            <w:shd w:val="clear" w:color="auto" w:fill="CCEEFF"/>
            <w:tcMar>
              <w:top w:w="30" w:type="dxa"/>
              <w:left w:w="0" w:type="dxa"/>
              <w:bottom w:w="30" w:type="dxa"/>
              <w:right w:w="20" w:type="dxa"/>
            </w:tcMar>
            <w:vAlign w:val="bottom"/>
            <w:hideMark/>
          </w:tcPr>
          <w:p w14:paraId="43657BA7" w14:textId="77777777" w:rsidR="00000000" w:rsidRDefault="00E614A4">
            <w:pPr>
              <w:jc w:val="right"/>
              <w:rPr>
                <w:rFonts w:eastAsia="Times New Roman"/>
              </w:rPr>
            </w:pPr>
          </w:p>
        </w:tc>
      </w:tr>
      <w:tr w:rsidR="00000000" w14:paraId="53215ED0" w14:textId="77777777">
        <w:trPr>
          <w:divId w:val="1137380292"/>
          <w:jc w:val="center"/>
        </w:trPr>
        <w:tc>
          <w:tcPr>
            <w:tcW w:w="0" w:type="auto"/>
            <w:gridSpan w:val="12"/>
            <w:shd w:val="clear" w:color="auto" w:fill="FFFFFF"/>
            <w:tcMar>
              <w:top w:w="30" w:type="dxa"/>
              <w:left w:w="20" w:type="dxa"/>
              <w:bottom w:w="30" w:type="dxa"/>
              <w:right w:w="20" w:type="dxa"/>
            </w:tcMar>
            <w:hideMark/>
          </w:tcPr>
          <w:p w14:paraId="305D79E5" w14:textId="77777777" w:rsidR="00000000" w:rsidRDefault="00E614A4">
            <w:pPr>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14:paraId="0D1A0FED"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E1A062" w14:textId="77777777" w:rsidR="00000000" w:rsidRDefault="00E614A4">
            <w:pPr>
              <w:jc w:val="right"/>
              <w:rPr>
                <w:rFonts w:eastAsia="Times New Roman"/>
              </w:rPr>
            </w:pPr>
            <w:r>
              <w:rPr>
                <w:rFonts w:eastAsia="Times New Roman"/>
                <w:color w:val="000000"/>
                <w:sz w:val="18"/>
                <w:szCs w:val="18"/>
              </w:rPr>
              <w:t>4,009 </w:t>
            </w:r>
          </w:p>
        </w:tc>
        <w:tc>
          <w:tcPr>
            <w:tcW w:w="0" w:type="auto"/>
            <w:shd w:val="clear" w:color="auto" w:fill="FFFFFF"/>
            <w:tcMar>
              <w:top w:w="30" w:type="dxa"/>
              <w:left w:w="0" w:type="dxa"/>
              <w:bottom w:w="30" w:type="dxa"/>
              <w:right w:w="20" w:type="dxa"/>
            </w:tcMar>
            <w:vAlign w:val="bottom"/>
            <w:hideMark/>
          </w:tcPr>
          <w:p w14:paraId="59D2ACA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6C02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6CCE6" w14:textId="77777777" w:rsidR="00000000" w:rsidRDefault="00E614A4">
            <w:pPr>
              <w:jc w:val="right"/>
              <w:rPr>
                <w:rFonts w:eastAsia="Times New Roman"/>
              </w:rPr>
            </w:pPr>
            <w:r>
              <w:rPr>
                <w:rFonts w:eastAsia="Times New Roman"/>
                <w:color w:val="000000"/>
                <w:sz w:val="18"/>
                <w:szCs w:val="18"/>
              </w:rPr>
              <w:t>4,192 </w:t>
            </w:r>
          </w:p>
        </w:tc>
        <w:tc>
          <w:tcPr>
            <w:tcW w:w="0" w:type="auto"/>
            <w:shd w:val="clear" w:color="auto" w:fill="FFFFFF"/>
            <w:tcMar>
              <w:top w:w="30" w:type="dxa"/>
              <w:left w:w="0" w:type="dxa"/>
              <w:bottom w:w="30" w:type="dxa"/>
              <w:right w:w="20" w:type="dxa"/>
            </w:tcMar>
            <w:vAlign w:val="bottom"/>
            <w:hideMark/>
          </w:tcPr>
          <w:p w14:paraId="2D9F4B88" w14:textId="77777777" w:rsidR="00000000" w:rsidRDefault="00E614A4">
            <w:pPr>
              <w:jc w:val="right"/>
              <w:rPr>
                <w:rFonts w:eastAsia="Times New Roman"/>
              </w:rPr>
            </w:pPr>
          </w:p>
        </w:tc>
      </w:tr>
      <w:tr w:rsidR="00000000" w14:paraId="437E46C5" w14:textId="77777777">
        <w:trPr>
          <w:divId w:val="1137380292"/>
          <w:jc w:val="center"/>
        </w:trPr>
        <w:tc>
          <w:tcPr>
            <w:tcW w:w="0" w:type="auto"/>
            <w:gridSpan w:val="12"/>
            <w:shd w:val="clear" w:color="auto" w:fill="CCEEFF"/>
            <w:tcMar>
              <w:top w:w="30" w:type="dxa"/>
              <w:left w:w="20" w:type="dxa"/>
              <w:bottom w:w="30" w:type="dxa"/>
              <w:right w:w="20" w:type="dxa"/>
            </w:tcMar>
            <w:hideMark/>
          </w:tcPr>
          <w:p w14:paraId="423F27EB" w14:textId="77777777" w:rsidR="00000000" w:rsidRDefault="00E614A4">
            <w:pPr>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14:paraId="0BEB3625"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88DFC3" w14:textId="77777777" w:rsidR="00000000" w:rsidRDefault="00E614A4">
            <w:pPr>
              <w:jc w:val="right"/>
              <w:rPr>
                <w:rFonts w:eastAsia="Times New Roman"/>
              </w:rPr>
            </w:pPr>
            <w:r>
              <w:rPr>
                <w:rFonts w:eastAsia="Times New Roman"/>
                <w:color w:val="000000"/>
                <w:sz w:val="18"/>
                <w:szCs w:val="18"/>
              </w:rPr>
              <w:t>2,609 </w:t>
            </w:r>
          </w:p>
        </w:tc>
        <w:tc>
          <w:tcPr>
            <w:tcW w:w="0" w:type="auto"/>
            <w:shd w:val="clear" w:color="auto" w:fill="CCEEFF"/>
            <w:tcMar>
              <w:top w:w="30" w:type="dxa"/>
              <w:left w:w="0" w:type="dxa"/>
              <w:bottom w:w="30" w:type="dxa"/>
              <w:right w:w="20" w:type="dxa"/>
            </w:tcMar>
            <w:vAlign w:val="bottom"/>
            <w:hideMark/>
          </w:tcPr>
          <w:p w14:paraId="72FD302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C383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60BF9" w14:textId="77777777" w:rsidR="00000000" w:rsidRDefault="00E614A4">
            <w:pPr>
              <w:jc w:val="right"/>
              <w:rPr>
                <w:rFonts w:eastAsia="Times New Roman"/>
              </w:rPr>
            </w:pPr>
            <w:r>
              <w:rPr>
                <w:rFonts w:eastAsia="Times New Roman"/>
                <w:color w:val="000000"/>
                <w:sz w:val="18"/>
                <w:szCs w:val="18"/>
              </w:rPr>
              <w:t>2,595 </w:t>
            </w:r>
          </w:p>
        </w:tc>
        <w:tc>
          <w:tcPr>
            <w:tcW w:w="0" w:type="auto"/>
            <w:shd w:val="clear" w:color="auto" w:fill="CCEEFF"/>
            <w:tcMar>
              <w:top w:w="30" w:type="dxa"/>
              <w:left w:w="0" w:type="dxa"/>
              <w:bottom w:w="30" w:type="dxa"/>
              <w:right w:w="20" w:type="dxa"/>
            </w:tcMar>
            <w:vAlign w:val="bottom"/>
            <w:hideMark/>
          </w:tcPr>
          <w:p w14:paraId="60B60F85" w14:textId="77777777" w:rsidR="00000000" w:rsidRDefault="00E614A4">
            <w:pPr>
              <w:jc w:val="right"/>
              <w:rPr>
                <w:rFonts w:eastAsia="Times New Roman"/>
              </w:rPr>
            </w:pPr>
          </w:p>
        </w:tc>
      </w:tr>
      <w:tr w:rsidR="00000000" w14:paraId="0B7EDB53" w14:textId="77777777">
        <w:trPr>
          <w:divId w:val="1137380292"/>
          <w:jc w:val="center"/>
        </w:trPr>
        <w:tc>
          <w:tcPr>
            <w:tcW w:w="0" w:type="auto"/>
            <w:gridSpan w:val="12"/>
            <w:shd w:val="clear" w:color="auto" w:fill="FFFFFF"/>
            <w:tcMar>
              <w:top w:w="30" w:type="dxa"/>
              <w:left w:w="20" w:type="dxa"/>
              <w:bottom w:w="30" w:type="dxa"/>
              <w:right w:w="20" w:type="dxa"/>
            </w:tcMar>
            <w:hideMark/>
          </w:tcPr>
          <w:p w14:paraId="5E6DCB28" w14:textId="77777777" w:rsidR="00000000" w:rsidRDefault="00E614A4">
            <w:pPr>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14:paraId="3517A455"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0832CF" w14:textId="77777777" w:rsidR="00000000" w:rsidRDefault="00E614A4">
            <w:pPr>
              <w:jc w:val="right"/>
              <w:rPr>
                <w:rFonts w:eastAsia="Times New Roman"/>
              </w:rPr>
            </w:pPr>
            <w:r>
              <w:rPr>
                <w:rFonts w:eastAsia="Times New Roman"/>
                <w:color w:val="000000"/>
                <w:sz w:val="18"/>
                <w:szCs w:val="18"/>
              </w:rPr>
              <w:t>2,078 </w:t>
            </w:r>
          </w:p>
        </w:tc>
        <w:tc>
          <w:tcPr>
            <w:tcW w:w="0" w:type="auto"/>
            <w:shd w:val="clear" w:color="auto" w:fill="FFFFFF"/>
            <w:tcMar>
              <w:top w:w="30" w:type="dxa"/>
              <w:left w:w="0" w:type="dxa"/>
              <w:bottom w:w="30" w:type="dxa"/>
              <w:right w:w="20" w:type="dxa"/>
            </w:tcMar>
            <w:vAlign w:val="bottom"/>
            <w:hideMark/>
          </w:tcPr>
          <w:p w14:paraId="4092188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49B8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8FA717" w14:textId="77777777" w:rsidR="00000000" w:rsidRDefault="00E614A4">
            <w:pPr>
              <w:jc w:val="right"/>
              <w:rPr>
                <w:rFonts w:eastAsia="Times New Roman"/>
              </w:rPr>
            </w:pPr>
            <w:r>
              <w:rPr>
                <w:rFonts w:eastAsia="Times New Roman"/>
                <w:color w:val="000000"/>
                <w:sz w:val="18"/>
                <w:szCs w:val="18"/>
              </w:rPr>
              <w:t>2,843 </w:t>
            </w:r>
          </w:p>
        </w:tc>
        <w:tc>
          <w:tcPr>
            <w:tcW w:w="0" w:type="auto"/>
            <w:shd w:val="clear" w:color="auto" w:fill="FFFFFF"/>
            <w:tcMar>
              <w:top w:w="30" w:type="dxa"/>
              <w:left w:w="0" w:type="dxa"/>
              <w:bottom w:w="30" w:type="dxa"/>
              <w:right w:w="20" w:type="dxa"/>
            </w:tcMar>
            <w:vAlign w:val="bottom"/>
            <w:hideMark/>
          </w:tcPr>
          <w:p w14:paraId="460A12C5" w14:textId="77777777" w:rsidR="00000000" w:rsidRDefault="00E614A4">
            <w:pPr>
              <w:jc w:val="right"/>
              <w:rPr>
                <w:rFonts w:eastAsia="Times New Roman"/>
              </w:rPr>
            </w:pPr>
          </w:p>
        </w:tc>
      </w:tr>
      <w:tr w:rsidR="00000000" w14:paraId="2F496157" w14:textId="77777777">
        <w:trPr>
          <w:divId w:val="1137380292"/>
          <w:jc w:val="center"/>
        </w:trPr>
        <w:tc>
          <w:tcPr>
            <w:tcW w:w="0" w:type="auto"/>
            <w:gridSpan w:val="12"/>
            <w:shd w:val="clear" w:color="auto" w:fill="CCEEFF"/>
            <w:tcMar>
              <w:top w:w="30" w:type="dxa"/>
              <w:left w:w="20" w:type="dxa"/>
              <w:bottom w:w="30" w:type="dxa"/>
              <w:right w:w="20" w:type="dxa"/>
            </w:tcMar>
            <w:vAlign w:val="bottom"/>
            <w:hideMark/>
          </w:tcPr>
          <w:p w14:paraId="1CB0A4C5" w14:textId="77777777" w:rsidR="00000000" w:rsidRDefault="00E614A4">
            <w:pPr>
              <w:rPr>
                <w:rFonts w:eastAsia="Times New Roman"/>
              </w:rPr>
            </w:pPr>
            <w:r>
              <w:rPr>
                <w:rFonts w:eastAsia="Times New Roman"/>
                <w:color w:val="000000"/>
                <w:sz w:val="18"/>
                <w:szCs w:val="18"/>
              </w:rPr>
              <w:t>Total operating lease cost</w:t>
            </w:r>
          </w:p>
        </w:tc>
        <w:tc>
          <w:tcPr>
            <w:tcW w:w="0" w:type="auto"/>
            <w:gridSpan w:val="3"/>
            <w:shd w:val="clear" w:color="auto" w:fill="CCEEFF"/>
            <w:tcMar>
              <w:top w:w="0" w:type="dxa"/>
              <w:left w:w="20" w:type="dxa"/>
              <w:bottom w:w="0" w:type="dxa"/>
              <w:right w:w="20" w:type="dxa"/>
            </w:tcMar>
            <w:vAlign w:val="center"/>
            <w:hideMark/>
          </w:tcPr>
          <w:p w14:paraId="3FADD416"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AE248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BB8B3B" w14:textId="77777777" w:rsidR="00000000" w:rsidRDefault="00E614A4">
            <w:pPr>
              <w:jc w:val="right"/>
              <w:rPr>
                <w:rFonts w:eastAsia="Times New Roman"/>
              </w:rPr>
            </w:pPr>
            <w:r>
              <w:rPr>
                <w:rFonts w:eastAsia="Times New Roman"/>
                <w:color w:val="000000"/>
                <w:sz w:val="18"/>
                <w:szCs w:val="18"/>
              </w:rPr>
              <w:t>12,228 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D947E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7365E"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DD6D6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BA8CD7" w14:textId="77777777" w:rsidR="00000000" w:rsidRDefault="00E614A4">
            <w:pPr>
              <w:jc w:val="right"/>
              <w:rPr>
                <w:rFonts w:eastAsia="Times New Roman"/>
              </w:rPr>
            </w:pPr>
            <w:r>
              <w:rPr>
                <w:rFonts w:eastAsia="Times New Roman"/>
                <w:color w:val="000000"/>
                <w:sz w:val="18"/>
                <w:szCs w:val="18"/>
              </w:rPr>
              <w:t>13,515 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B9E315" w14:textId="77777777" w:rsidR="00000000" w:rsidRDefault="00E614A4">
            <w:pPr>
              <w:jc w:val="right"/>
              <w:rPr>
                <w:rFonts w:eastAsia="Times New Roman"/>
              </w:rPr>
            </w:pPr>
          </w:p>
        </w:tc>
      </w:tr>
    </w:tbl>
    <w:p w14:paraId="2D280FBD" w14:textId="77777777" w:rsidR="00000000" w:rsidRDefault="00E614A4">
      <w:pPr>
        <w:jc w:val="both"/>
        <w:divId w:val="2003659820"/>
        <w:rPr>
          <w:rFonts w:eastAsia="Times New Roman"/>
        </w:rPr>
      </w:pPr>
      <w:r>
        <w:rPr>
          <w:rFonts w:eastAsia="Times New Roman"/>
          <w:color w:val="000000"/>
          <w:sz w:val="20"/>
          <w:szCs w:val="20"/>
        </w:rPr>
        <w:t>D</w:t>
      </w:r>
      <w:r>
        <w:rPr>
          <w:rFonts w:eastAsia="Times New Roman"/>
          <w:color w:val="000000"/>
          <w:sz w:val="20"/>
          <w:szCs w:val="20"/>
        </w:rPr>
        <w:t>uring 2020, the Company recorded an impairment charge related to certain facility leases and associated leasehold improvements. $2.8 million of this charge was recorded against the operating right-of-use assets line item in the Consolidated Balance Sheet.</w:t>
      </w:r>
    </w:p>
    <w:p w14:paraId="74F083EC" w14:textId="77777777" w:rsidR="00000000" w:rsidRDefault="00E614A4">
      <w:pPr>
        <w:jc w:val="both"/>
        <w:divId w:val="101925381"/>
        <w:rPr>
          <w:rFonts w:eastAsia="Times New Roman"/>
        </w:rPr>
      </w:pPr>
      <w:r>
        <w:rPr>
          <w:rFonts w:eastAsia="Times New Roman"/>
          <w:color w:val="000000"/>
          <w:sz w:val="20"/>
          <w:szCs w:val="20"/>
        </w:rPr>
        <w:t>Supplemental cash flow information related to leases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856"/>
        <w:gridCol w:w="37"/>
        <w:gridCol w:w="42"/>
        <w:gridCol w:w="2821"/>
        <w:gridCol w:w="36"/>
        <w:gridCol w:w="36"/>
        <w:gridCol w:w="36"/>
        <w:gridCol w:w="36"/>
        <w:gridCol w:w="111"/>
        <w:gridCol w:w="945"/>
        <w:gridCol w:w="36"/>
        <w:gridCol w:w="36"/>
        <w:gridCol w:w="36"/>
        <w:gridCol w:w="36"/>
        <w:gridCol w:w="110"/>
        <w:gridCol w:w="982"/>
        <w:gridCol w:w="36"/>
        <w:gridCol w:w="36"/>
      </w:tblGrid>
      <w:tr w:rsidR="00000000" w14:paraId="2312AE1F" w14:textId="77777777">
        <w:trPr>
          <w:divId w:val="615529683"/>
          <w:jc w:val="center"/>
        </w:trPr>
        <w:tc>
          <w:tcPr>
            <w:tcW w:w="50" w:type="pct"/>
            <w:vAlign w:val="center"/>
            <w:hideMark/>
          </w:tcPr>
          <w:p w14:paraId="4A01F2C3" w14:textId="77777777" w:rsidR="00000000" w:rsidRDefault="00E614A4">
            <w:pPr>
              <w:jc w:val="both"/>
              <w:rPr>
                <w:rFonts w:eastAsia="Times New Roman"/>
              </w:rPr>
            </w:pPr>
          </w:p>
        </w:tc>
        <w:tc>
          <w:tcPr>
            <w:tcW w:w="1750" w:type="pct"/>
            <w:vAlign w:val="center"/>
            <w:hideMark/>
          </w:tcPr>
          <w:p w14:paraId="47CB10C2" w14:textId="77777777" w:rsidR="00000000" w:rsidRDefault="00E614A4">
            <w:pPr>
              <w:rPr>
                <w:rFonts w:eastAsia="Times New Roman"/>
                <w:sz w:val="20"/>
                <w:szCs w:val="20"/>
              </w:rPr>
            </w:pPr>
          </w:p>
        </w:tc>
        <w:tc>
          <w:tcPr>
            <w:tcW w:w="5" w:type="pct"/>
            <w:vAlign w:val="center"/>
            <w:hideMark/>
          </w:tcPr>
          <w:p w14:paraId="544ECE39" w14:textId="77777777" w:rsidR="00000000" w:rsidRDefault="00E614A4">
            <w:pPr>
              <w:rPr>
                <w:rFonts w:eastAsia="Times New Roman"/>
                <w:sz w:val="20"/>
                <w:szCs w:val="20"/>
              </w:rPr>
            </w:pPr>
          </w:p>
        </w:tc>
        <w:tc>
          <w:tcPr>
            <w:tcW w:w="50" w:type="pct"/>
            <w:vAlign w:val="center"/>
            <w:hideMark/>
          </w:tcPr>
          <w:p w14:paraId="6E4A4230" w14:textId="77777777" w:rsidR="00000000" w:rsidRDefault="00E614A4">
            <w:pPr>
              <w:rPr>
                <w:rFonts w:eastAsia="Times New Roman"/>
                <w:sz w:val="20"/>
                <w:szCs w:val="20"/>
              </w:rPr>
            </w:pPr>
          </w:p>
        </w:tc>
        <w:tc>
          <w:tcPr>
            <w:tcW w:w="1729" w:type="pct"/>
            <w:vAlign w:val="center"/>
            <w:hideMark/>
          </w:tcPr>
          <w:p w14:paraId="31DA1157" w14:textId="77777777" w:rsidR="00000000" w:rsidRDefault="00E614A4">
            <w:pPr>
              <w:rPr>
                <w:rFonts w:eastAsia="Times New Roman"/>
                <w:sz w:val="20"/>
                <w:szCs w:val="20"/>
              </w:rPr>
            </w:pPr>
          </w:p>
        </w:tc>
        <w:tc>
          <w:tcPr>
            <w:tcW w:w="5" w:type="pct"/>
            <w:vAlign w:val="center"/>
            <w:hideMark/>
          </w:tcPr>
          <w:p w14:paraId="15D811A5" w14:textId="77777777" w:rsidR="00000000" w:rsidRDefault="00E614A4">
            <w:pPr>
              <w:rPr>
                <w:rFonts w:eastAsia="Times New Roman"/>
                <w:sz w:val="20"/>
                <w:szCs w:val="20"/>
              </w:rPr>
            </w:pPr>
          </w:p>
        </w:tc>
        <w:tc>
          <w:tcPr>
            <w:tcW w:w="5" w:type="pct"/>
            <w:vAlign w:val="center"/>
            <w:hideMark/>
          </w:tcPr>
          <w:p w14:paraId="1D29B505" w14:textId="77777777" w:rsidR="00000000" w:rsidRDefault="00E614A4">
            <w:pPr>
              <w:rPr>
                <w:rFonts w:eastAsia="Times New Roman"/>
                <w:sz w:val="20"/>
                <w:szCs w:val="20"/>
              </w:rPr>
            </w:pPr>
          </w:p>
        </w:tc>
        <w:tc>
          <w:tcPr>
            <w:tcW w:w="24" w:type="pct"/>
            <w:vAlign w:val="center"/>
            <w:hideMark/>
          </w:tcPr>
          <w:p w14:paraId="64123EA1" w14:textId="77777777" w:rsidR="00000000" w:rsidRDefault="00E614A4">
            <w:pPr>
              <w:rPr>
                <w:rFonts w:eastAsia="Times New Roman"/>
                <w:sz w:val="20"/>
                <w:szCs w:val="20"/>
              </w:rPr>
            </w:pPr>
          </w:p>
        </w:tc>
        <w:tc>
          <w:tcPr>
            <w:tcW w:w="5" w:type="pct"/>
            <w:vAlign w:val="center"/>
            <w:hideMark/>
          </w:tcPr>
          <w:p w14:paraId="2AF9A113" w14:textId="77777777" w:rsidR="00000000" w:rsidRDefault="00E614A4">
            <w:pPr>
              <w:rPr>
                <w:rFonts w:eastAsia="Times New Roman"/>
                <w:sz w:val="20"/>
                <w:szCs w:val="20"/>
              </w:rPr>
            </w:pPr>
          </w:p>
        </w:tc>
        <w:tc>
          <w:tcPr>
            <w:tcW w:w="50" w:type="pct"/>
            <w:vAlign w:val="center"/>
            <w:hideMark/>
          </w:tcPr>
          <w:p w14:paraId="45A50FAC" w14:textId="77777777" w:rsidR="00000000" w:rsidRDefault="00E614A4">
            <w:pPr>
              <w:rPr>
                <w:rFonts w:eastAsia="Times New Roman"/>
                <w:sz w:val="20"/>
                <w:szCs w:val="20"/>
              </w:rPr>
            </w:pPr>
          </w:p>
        </w:tc>
        <w:tc>
          <w:tcPr>
            <w:tcW w:w="618" w:type="pct"/>
            <w:vAlign w:val="center"/>
            <w:hideMark/>
          </w:tcPr>
          <w:p w14:paraId="6857150B" w14:textId="77777777" w:rsidR="00000000" w:rsidRDefault="00E614A4">
            <w:pPr>
              <w:rPr>
                <w:rFonts w:eastAsia="Times New Roman"/>
                <w:sz w:val="20"/>
                <w:szCs w:val="20"/>
              </w:rPr>
            </w:pPr>
          </w:p>
        </w:tc>
        <w:tc>
          <w:tcPr>
            <w:tcW w:w="5" w:type="pct"/>
            <w:vAlign w:val="center"/>
            <w:hideMark/>
          </w:tcPr>
          <w:p w14:paraId="6FCF45D9" w14:textId="77777777" w:rsidR="00000000" w:rsidRDefault="00E614A4">
            <w:pPr>
              <w:rPr>
                <w:rFonts w:eastAsia="Times New Roman"/>
                <w:sz w:val="20"/>
                <w:szCs w:val="20"/>
              </w:rPr>
            </w:pPr>
          </w:p>
        </w:tc>
        <w:tc>
          <w:tcPr>
            <w:tcW w:w="5" w:type="pct"/>
            <w:vAlign w:val="center"/>
            <w:hideMark/>
          </w:tcPr>
          <w:p w14:paraId="7DB78386" w14:textId="77777777" w:rsidR="00000000" w:rsidRDefault="00E614A4">
            <w:pPr>
              <w:rPr>
                <w:rFonts w:eastAsia="Times New Roman"/>
                <w:sz w:val="20"/>
                <w:szCs w:val="20"/>
              </w:rPr>
            </w:pPr>
          </w:p>
        </w:tc>
        <w:tc>
          <w:tcPr>
            <w:tcW w:w="17" w:type="pct"/>
            <w:vAlign w:val="center"/>
            <w:hideMark/>
          </w:tcPr>
          <w:p w14:paraId="043DA8E4" w14:textId="77777777" w:rsidR="00000000" w:rsidRDefault="00E614A4">
            <w:pPr>
              <w:rPr>
                <w:rFonts w:eastAsia="Times New Roman"/>
                <w:sz w:val="20"/>
                <w:szCs w:val="20"/>
              </w:rPr>
            </w:pPr>
          </w:p>
        </w:tc>
        <w:tc>
          <w:tcPr>
            <w:tcW w:w="5" w:type="pct"/>
            <w:vAlign w:val="center"/>
            <w:hideMark/>
          </w:tcPr>
          <w:p w14:paraId="4C84D405" w14:textId="77777777" w:rsidR="00000000" w:rsidRDefault="00E614A4">
            <w:pPr>
              <w:rPr>
                <w:rFonts w:eastAsia="Times New Roman"/>
                <w:sz w:val="20"/>
                <w:szCs w:val="20"/>
              </w:rPr>
            </w:pPr>
          </w:p>
        </w:tc>
        <w:tc>
          <w:tcPr>
            <w:tcW w:w="50" w:type="pct"/>
            <w:vAlign w:val="center"/>
            <w:hideMark/>
          </w:tcPr>
          <w:p w14:paraId="1EC6AF91" w14:textId="77777777" w:rsidR="00000000" w:rsidRDefault="00E614A4">
            <w:pPr>
              <w:rPr>
                <w:rFonts w:eastAsia="Times New Roman"/>
                <w:sz w:val="20"/>
                <w:szCs w:val="20"/>
              </w:rPr>
            </w:pPr>
          </w:p>
        </w:tc>
        <w:tc>
          <w:tcPr>
            <w:tcW w:w="618" w:type="pct"/>
            <w:vAlign w:val="center"/>
            <w:hideMark/>
          </w:tcPr>
          <w:p w14:paraId="474A08CB" w14:textId="77777777" w:rsidR="00000000" w:rsidRDefault="00E614A4">
            <w:pPr>
              <w:rPr>
                <w:rFonts w:eastAsia="Times New Roman"/>
                <w:sz w:val="20"/>
                <w:szCs w:val="20"/>
              </w:rPr>
            </w:pPr>
          </w:p>
        </w:tc>
        <w:tc>
          <w:tcPr>
            <w:tcW w:w="5" w:type="pct"/>
            <w:vAlign w:val="center"/>
            <w:hideMark/>
          </w:tcPr>
          <w:p w14:paraId="7E4039A5" w14:textId="77777777" w:rsidR="00000000" w:rsidRDefault="00E614A4">
            <w:pPr>
              <w:rPr>
                <w:rFonts w:eastAsia="Times New Roman"/>
                <w:sz w:val="20"/>
                <w:szCs w:val="20"/>
              </w:rPr>
            </w:pPr>
          </w:p>
        </w:tc>
        <w:tc>
          <w:tcPr>
            <w:tcW w:w="0" w:type="auto"/>
            <w:vAlign w:val="center"/>
            <w:hideMark/>
          </w:tcPr>
          <w:p w14:paraId="00F07059" w14:textId="77777777" w:rsidR="00000000" w:rsidRDefault="00E614A4">
            <w:pPr>
              <w:rPr>
                <w:rFonts w:eastAsia="Times New Roman"/>
                <w:sz w:val="20"/>
                <w:szCs w:val="20"/>
              </w:rPr>
            </w:pPr>
          </w:p>
        </w:tc>
      </w:tr>
      <w:tr w:rsidR="00000000" w14:paraId="0BC94F7A" w14:textId="77777777">
        <w:trPr>
          <w:divId w:val="615529683"/>
          <w:jc w:val="center"/>
        </w:trPr>
        <w:tc>
          <w:tcPr>
            <w:tcW w:w="0" w:type="auto"/>
            <w:gridSpan w:val="6"/>
            <w:tcMar>
              <w:top w:w="0" w:type="dxa"/>
              <w:left w:w="20" w:type="dxa"/>
              <w:bottom w:w="0" w:type="dxa"/>
              <w:right w:w="20" w:type="dxa"/>
            </w:tcMar>
            <w:vAlign w:val="center"/>
            <w:hideMark/>
          </w:tcPr>
          <w:p w14:paraId="1EAEA00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C3EC7F6"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7F89F128" w14:textId="77777777" w:rsidR="00000000" w:rsidRDefault="00E614A4">
            <w:pPr>
              <w:jc w:val="center"/>
              <w:rPr>
                <w:rFonts w:eastAsia="Times New Roman"/>
              </w:rPr>
            </w:pPr>
            <w:r>
              <w:rPr>
                <w:rFonts w:eastAsia="Times New Roman"/>
                <w:b/>
                <w:bCs/>
                <w:color w:val="000000"/>
                <w:sz w:val="16"/>
                <w:szCs w:val="16"/>
              </w:rPr>
              <w:t>Years Ended December 31,</w:t>
            </w:r>
          </w:p>
        </w:tc>
        <w:tc>
          <w:tcPr>
            <w:tcW w:w="0" w:type="auto"/>
            <w:vAlign w:val="center"/>
            <w:hideMark/>
          </w:tcPr>
          <w:p w14:paraId="69F58A58" w14:textId="77777777" w:rsidR="00000000" w:rsidRDefault="00E614A4">
            <w:pPr>
              <w:jc w:val="center"/>
              <w:rPr>
                <w:rFonts w:eastAsia="Times New Roman"/>
              </w:rPr>
            </w:pPr>
          </w:p>
        </w:tc>
      </w:tr>
      <w:tr w:rsidR="00000000" w14:paraId="059B2DDD" w14:textId="77777777">
        <w:trPr>
          <w:divId w:val="615529683"/>
          <w:jc w:val="center"/>
        </w:trPr>
        <w:tc>
          <w:tcPr>
            <w:tcW w:w="0" w:type="auto"/>
            <w:gridSpan w:val="6"/>
            <w:tcMar>
              <w:top w:w="30" w:type="dxa"/>
              <w:left w:w="20" w:type="dxa"/>
              <w:bottom w:w="30" w:type="dxa"/>
              <w:right w:w="20" w:type="dxa"/>
            </w:tcMar>
            <w:vAlign w:val="bottom"/>
            <w:hideMark/>
          </w:tcPr>
          <w:p w14:paraId="44FAB850"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17DA95B"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D6EF29"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CA1CF5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9BEF1B" w14:textId="77777777" w:rsidR="00000000" w:rsidRDefault="00E614A4">
            <w:pPr>
              <w:jc w:val="center"/>
              <w:rPr>
                <w:rFonts w:eastAsia="Times New Roman"/>
              </w:rPr>
            </w:pPr>
            <w:r>
              <w:rPr>
                <w:rFonts w:eastAsia="Times New Roman"/>
                <w:b/>
                <w:bCs/>
                <w:color w:val="000000"/>
                <w:sz w:val="16"/>
                <w:szCs w:val="16"/>
              </w:rPr>
              <w:t>2019</w:t>
            </w:r>
          </w:p>
        </w:tc>
        <w:tc>
          <w:tcPr>
            <w:tcW w:w="0" w:type="auto"/>
            <w:vAlign w:val="center"/>
            <w:hideMark/>
          </w:tcPr>
          <w:p w14:paraId="5730C8FB" w14:textId="77777777" w:rsidR="00000000" w:rsidRDefault="00E614A4">
            <w:pPr>
              <w:jc w:val="center"/>
              <w:rPr>
                <w:rFonts w:eastAsia="Times New Roman"/>
              </w:rPr>
            </w:pPr>
          </w:p>
        </w:tc>
      </w:tr>
      <w:tr w:rsidR="00000000" w14:paraId="355C51AC" w14:textId="77777777">
        <w:trPr>
          <w:divId w:val="615529683"/>
          <w:jc w:val="center"/>
        </w:trPr>
        <w:tc>
          <w:tcPr>
            <w:tcW w:w="0" w:type="auto"/>
            <w:gridSpan w:val="6"/>
            <w:shd w:val="clear" w:color="auto" w:fill="CCEEFF"/>
            <w:tcMar>
              <w:top w:w="30" w:type="dxa"/>
              <w:left w:w="20" w:type="dxa"/>
              <w:bottom w:w="30" w:type="dxa"/>
              <w:right w:w="20" w:type="dxa"/>
            </w:tcMar>
            <w:vAlign w:val="bottom"/>
            <w:hideMark/>
          </w:tcPr>
          <w:p w14:paraId="2D3B213F" w14:textId="77777777" w:rsidR="00000000" w:rsidRDefault="00E614A4">
            <w:pPr>
              <w:rPr>
                <w:rFonts w:eastAsia="Times New Roman"/>
              </w:rPr>
            </w:pPr>
            <w:r>
              <w:rPr>
                <w:rFonts w:eastAsia="Times New Roman"/>
                <w:color w:val="000000"/>
                <w:sz w:val="18"/>
                <w:szCs w:val="18"/>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14:paraId="50773CEF" w14:textId="77777777" w:rsidR="00000000" w:rsidRDefault="00E614A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698ED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9A9FA9"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EBD50A" w14:textId="77777777" w:rsidR="00000000" w:rsidRDefault="00E614A4">
            <w:pPr>
              <w:rPr>
                <w:rFonts w:eastAsia="Times New Roman"/>
                <w:sz w:val="20"/>
                <w:szCs w:val="20"/>
              </w:rPr>
            </w:pPr>
          </w:p>
        </w:tc>
        <w:tc>
          <w:tcPr>
            <w:tcW w:w="0" w:type="auto"/>
            <w:vAlign w:val="center"/>
            <w:hideMark/>
          </w:tcPr>
          <w:p w14:paraId="59588E6A" w14:textId="77777777" w:rsidR="00000000" w:rsidRDefault="00E614A4">
            <w:pPr>
              <w:rPr>
                <w:rFonts w:eastAsia="Times New Roman"/>
                <w:sz w:val="20"/>
                <w:szCs w:val="20"/>
              </w:rPr>
            </w:pPr>
          </w:p>
        </w:tc>
      </w:tr>
      <w:tr w:rsidR="00000000" w14:paraId="350E099D" w14:textId="77777777">
        <w:trPr>
          <w:divId w:val="615529683"/>
          <w:jc w:val="center"/>
        </w:trPr>
        <w:tc>
          <w:tcPr>
            <w:tcW w:w="0" w:type="auto"/>
            <w:gridSpan w:val="6"/>
            <w:shd w:val="clear" w:color="auto" w:fill="FFFFFF"/>
            <w:tcMar>
              <w:top w:w="30" w:type="dxa"/>
              <w:left w:w="245" w:type="dxa"/>
              <w:bottom w:w="30" w:type="dxa"/>
              <w:right w:w="20" w:type="dxa"/>
            </w:tcMar>
            <w:vAlign w:val="bottom"/>
            <w:hideMark/>
          </w:tcPr>
          <w:p w14:paraId="31B6132B" w14:textId="77777777" w:rsidR="00000000" w:rsidRDefault="00E614A4">
            <w:pPr>
              <w:rPr>
                <w:rFonts w:eastAsia="Times New Roman"/>
              </w:rPr>
            </w:pPr>
            <w:r>
              <w:rPr>
                <w:rFonts w:eastAsia="Times New Roman"/>
                <w:color w:val="000000"/>
                <w:sz w:val="18"/>
                <w:szCs w:val="18"/>
              </w:rPr>
              <w:t>Operating cash flows from finance leases</w:t>
            </w:r>
          </w:p>
        </w:tc>
        <w:tc>
          <w:tcPr>
            <w:tcW w:w="0" w:type="auto"/>
            <w:gridSpan w:val="3"/>
            <w:shd w:val="clear" w:color="auto" w:fill="FFFFFF"/>
            <w:tcMar>
              <w:top w:w="0" w:type="dxa"/>
              <w:left w:w="20" w:type="dxa"/>
              <w:bottom w:w="0" w:type="dxa"/>
              <w:right w:w="20" w:type="dxa"/>
            </w:tcMar>
            <w:vAlign w:val="center"/>
            <w:hideMark/>
          </w:tcPr>
          <w:p w14:paraId="310A30BD"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6EFC8D83"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9CDC609" w14:textId="77777777" w:rsidR="00000000" w:rsidRDefault="00E614A4">
            <w:pPr>
              <w:jc w:val="right"/>
              <w:rPr>
                <w:rFonts w:eastAsia="Times New Roman"/>
              </w:rPr>
            </w:pPr>
            <w:r>
              <w:rPr>
                <w:rFonts w:eastAsia="Times New Roman"/>
                <w:color w:val="000000"/>
                <w:sz w:val="18"/>
                <w:szCs w:val="18"/>
              </w:rPr>
              <w:t>493 </w:t>
            </w:r>
          </w:p>
        </w:tc>
        <w:tc>
          <w:tcPr>
            <w:tcW w:w="0" w:type="auto"/>
            <w:shd w:val="clear" w:color="auto" w:fill="FFFFFF"/>
            <w:tcMar>
              <w:top w:w="30" w:type="dxa"/>
              <w:left w:w="0" w:type="dxa"/>
              <w:bottom w:w="30" w:type="dxa"/>
              <w:right w:w="20" w:type="dxa"/>
            </w:tcMar>
            <w:vAlign w:val="bottom"/>
            <w:hideMark/>
          </w:tcPr>
          <w:p w14:paraId="1633336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7614A"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6C252E"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5DB329E" w14:textId="77777777" w:rsidR="00000000" w:rsidRDefault="00E614A4">
            <w:pPr>
              <w:jc w:val="right"/>
              <w:rPr>
                <w:rFonts w:eastAsia="Times New Roman"/>
              </w:rPr>
            </w:pPr>
            <w:r>
              <w:rPr>
                <w:rFonts w:eastAsia="Times New Roman"/>
                <w:color w:val="000000"/>
                <w:sz w:val="18"/>
                <w:szCs w:val="18"/>
              </w:rPr>
              <w:t>471 </w:t>
            </w:r>
          </w:p>
        </w:tc>
        <w:tc>
          <w:tcPr>
            <w:tcW w:w="0" w:type="auto"/>
            <w:shd w:val="clear" w:color="auto" w:fill="FFFFFF"/>
            <w:tcMar>
              <w:top w:w="30" w:type="dxa"/>
              <w:left w:w="0" w:type="dxa"/>
              <w:bottom w:w="30" w:type="dxa"/>
              <w:right w:w="20" w:type="dxa"/>
            </w:tcMar>
            <w:vAlign w:val="bottom"/>
            <w:hideMark/>
          </w:tcPr>
          <w:p w14:paraId="7531E097" w14:textId="77777777" w:rsidR="00000000" w:rsidRDefault="00E614A4">
            <w:pPr>
              <w:jc w:val="right"/>
              <w:rPr>
                <w:rFonts w:eastAsia="Times New Roman"/>
              </w:rPr>
            </w:pPr>
          </w:p>
        </w:tc>
        <w:tc>
          <w:tcPr>
            <w:tcW w:w="0" w:type="auto"/>
            <w:vAlign w:val="center"/>
            <w:hideMark/>
          </w:tcPr>
          <w:p w14:paraId="1581F12D" w14:textId="77777777" w:rsidR="00000000" w:rsidRDefault="00E614A4">
            <w:pPr>
              <w:jc w:val="right"/>
              <w:rPr>
                <w:rFonts w:eastAsia="Times New Roman"/>
                <w:sz w:val="20"/>
                <w:szCs w:val="20"/>
              </w:rPr>
            </w:pPr>
          </w:p>
        </w:tc>
      </w:tr>
      <w:tr w:rsidR="00000000" w14:paraId="184CAE44" w14:textId="77777777">
        <w:trPr>
          <w:divId w:val="615529683"/>
          <w:jc w:val="center"/>
        </w:trPr>
        <w:tc>
          <w:tcPr>
            <w:tcW w:w="0" w:type="auto"/>
            <w:gridSpan w:val="6"/>
            <w:shd w:val="clear" w:color="auto" w:fill="CCEEFF"/>
            <w:tcMar>
              <w:top w:w="30" w:type="dxa"/>
              <w:left w:w="245" w:type="dxa"/>
              <w:bottom w:w="30" w:type="dxa"/>
              <w:right w:w="20" w:type="dxa"/>
            </w:tcMar>
            <w:vAlign w:val="bottom"/>
            <w:hideMark/>
          </w:tcPr>
          <w:p w14:paraId="7693A3B3" w14:textId="77777777" w:rsidR="00000000" w:rsidRDefault="00E614A4">
            <w:pPr>
              <w:rPr>
                <w:rFonts w:eastAsia="Times New Roman"/>
              </w:rPr>
            </w:pPr>
            <w:r>
              <w:rPr>
                <w:rFonts w:eastAsia="Times New Roman"/>
                <w:color w:val="000000"/>
                <w:sz w:val="18"/>
                <w:szCs w:val="18"/>
              </w:rPr>
              <w:t>Operating cash flows from operating leases</w:t>
            </w:r>
          </w:p>
        </w:tc>
        <w:tc>
          <w:tcPr>
            <w:tcW w:w="0" w:type="auto"/>
            <w:gridSpan w:val="3"/>
            <w:shd w:val="clear" w:color="auto" w:fill="CCEEFF"/>
            <w:tcMar>
              <w:top w:w="0" w:type="dxa"/>
              <w:left w:w="20" w:type="dxa"/>
              <w:bottom w:w="0" w:type="dxa"/>
              <w:right w:w="20" w:type="dxa"/>
            </w:tcMar>
            <w:vAlign w:val="center"/>
            <w:hideMark/>
          </w:tcPr>
          <w:p w14:paraId="18FBF7CD"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5E2AFF" w14:textId="77777777" w:rsidR="00000000" w:rsidRDefault="00E614A4">
            <w:pPr>
              <w:jc w:val="right"/>
              <w:rPr>
                <w:rFonts w:eastAsia="Times New Roman"/>
              </w:rPr>
            </w:pPr>
            <w:r>
              <w:rPr>
                <w:rFonts w:eastAsia="Times New Roman"/>
                <w:color w:val="000000"/>
                <w:sz w:val="18"/>
                <w:szCs w:val="18"/>
              </w:rPr>
              <w:t>11,170 </w:t>
            </w:r>
          </w:p>
        </w:tc>
        <w:tc>
          <w:tcPr>
            <w:tcW w:w="0" w:type="auto"/>
            <w:shd w:val="clear" w:color="auto" w:fill="CCEEFF"/>
            <w:tcMar>
              <w:top w:w="30" w:type="dxa"/>
              <w:left w:w="0" w:type="dxa"/>
              <w:bottom w:w="30" w:type="dxa"/>
              <w:right w:w="20" w:type="dxa"/>
            </w:tcMar>
            <w:vAlign w:val="bottom"/>
            <w:hideMark/>
          </w:tcPr>
          <w:p w14:paraId="58A442F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A9DEC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D3C14B" w14:textId="77777777" w:rsidR="00000000" w:rsidRDefault="00E614A4">
            <w:pPr>
              <w:jc w:val="right"/>
              <w:rPr>
                <w:rFonts w:eastAsia="Times New Roman"/>
              </w:rPr>
            </w:pPr>
            <w:r>
              <w:rPr>
                <w:rFonts w:eastAsia="Times New Roman"/>
                <w:color w:val="000000"/>
                <w:sz w:val="18"/>
                <w:szCs w:val="18"/>
              </w:rPr>
              <w:t>15,546 </w:t>
            </w:r>
          </w:p>
        </w:tc>
        <w:tc>
          <w:tcPr>
            <w:tcW w:w="0" w:type="auto"/>
            <w:shd w:val="clear" w:color="auto" w:fill="CCEEFF"/>
            <w:tcMar>
              <w:top w:w="30" w:type="dxa"/>
              <w:left w:w="0" w:type="dxa"/>
              <w:bottom w:w="30" w:type="dxa"/>
              <w:right w:w="20" w:type="dxa"/>
            </w:tcMar>
            <w:vAlign w:val="bottom"/>
            <w:hideMark/>
          </w:tcPr>
          <w:p w14:paraId="79AB4E02" w14:textId="77777777" w:rsidR="00000000" w:rsidRDefault="00E614A4">
            <w:pPr>
              <w:jc w:val="right"/>
              <w:rPr>
                <w:rFonts w:eastAsia="Times New Roman"/>
              </w:rPr>
            </w:pPr>
          </w:p>
        </w:tc>
        <w:tc>
          <w:tcPr>
            <w:tcW w:w="0" w:type="auto"/>
            <w:vAlign w:val="center"/>
            <w:hideMark/>
          </w:tcPr>
          <w:p w14:paraId="3BDC94FE" w14:textId="77777777" w:rsidR="00000000" w:rsidRDefault="00E614A4">
            <w:pPr>
              <w:jc w:val="right"/>
              <w:rPr>
                <w:rFonts w:eastAsia="Times New Roman"/>
                <w:sz w:val="20"/>
                <w:szCs w:val="20"/>
              </w:rPr>
            </w:pPr>
          </w:p>
        </w:tc>
      </w:tr>
      <w:tr w:rsidR="00000000" w14:paraId="4B94C2B5" w14:textId="77777777">
        <w:trPr>
          <w:divId w:val="615529683"/>
          <w:jc w:val="center"/>
        </w:trPr>
        <w:tc>
          <w:tcPr>
            <w:tcW w:w="0" w:type="auto"/>
            <w:gridSpan w:val="6"/>
            <w:shd w:val="clear" w:color="auto" w:fill="FFFFFF"/>
            <w:tcMar>
              <w:top w:w="30" w:type="dxa"/>
              <w:left w:w="20" w:type="dxa"/>
              <w:bottom w:w="30" w:type="dxa"/>
              <w:right w:w="20" w:type="dxa"/>
            </w:tcMar>
            <w:vAlign w:val="bottom"/>
            <w:hideMark/>
          </w:tcPr>
          <w:p w14:paraId="50C61FF3" w14:textId="77777777" w:rsidR="00000000" w:rsidRDefault="00E614A4">
            <w:pPr>
              <w:rPr>
                <w:rFonts w:eastAsia="Times New Roman"/>
              </w:rPr>
            </w:pPr>
            <w:r>
              <w:rPr>
                <w:rFonts w:eastAsia="Times New Roman"/>
                <w:color w:val="000000"/>
                <w:sz w:val="18"/>
                <w:szCs w:val="18"/>
              </w:rPr>
              <w:t>Right-of-use assets obtained in exchange for lease obligations:</w:t>
            </w:r>
          </w:p>
        </w:tc>
        <w:tc>
          <w:tcPr>
            <w:tcW w:w="0" w:type="auto"/>
            <w:gridSpan w:val="3"/>
            <w:shd w:val="clear" w:color="auto" w:fill="FFFFFF"/>
            <w:tcMar>
              <w:top w:w="0" w:type="dxa"/>
              <w:left w:w="20" w:type="dxa"/>
              <w:bottom w:w="0" w:type="dxa"/>
              <w:right w:w="20" w:type="dxa"/>
            </w:tcMar>
            <w:vAlign w:val="center"/>
            <w:hideMark/>
          </w:tcPr>
          <w:p w14:paraId="5BC47E6C"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2EA93"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5DCE1C"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B8F7AA" w14:textId="77777777" w:rsidR="00000000" w:rsidRDefault="00E614A4">
            <w:pPr>
              <w:rPr>
                <w:rFonts w:eastAsia="Times New Roman"/>
                <w:sz w:val="20"/>
                <w:szCs w:val="20"/>
              </w:rPr>
            </w:pPr>
          </w:p>
        </w:tc>
        <w:tc>
          <w:tcPr>
            <w:tcW w:w="0" w:type="auto"/>
            <w:vAlign w:val="center"/>
            <w:hideMark/>
          </w:tcPr>
          <w:p w14:paraId="60021963" w14:textId="77777777" w:rsidR="00000000" w:rsidRDefault="00E614A4">
            <w:pPr>
              <w:rPr>
                <w:rFonts w:eastAsia="Times New Roman"/>
                <w:sz w:val="20"/>
                <w:szCs w:val="20"/>
              </w:rPr>
            </w:pPr>
          </w:p>
        </w:tc>
      </w:tr>
      <w:tr w:rsidR="00000000" w14:paraId="6D49CA50" w14:textId="77777777">
        <w:trPr>
          <w:divId w:val="615529683"/>
          <w:jc w:val="center"/>
        </w:trPr>
        <w:tc>
          <w:tcPr>
            <w:tcW w:w="0" w:type="auto"/>
            <w:gridSpan w:val="6"/>
            <w:shd w:val="clear" w:color="auto" w:fill="CCEEFF"/>
            <w:tcMar>
              <w:top w:w="30" w:type="dxa"/>
              <w:left w:w="245" w:type="dxa"/>
              <w:bottom w:w="30" w:type="dxa"/>
              <w:right w:w="20" w:type="dxa"/>
            </w:tcMar>
            <w:vAlign w:val="bottom"/>
            <w:hideMark/>
          </w:tcPr>
          <w:p w14:paraId="24FE6822" w14:textId="77777777" w:rsidR="00000000" w:rsidRDefault="00E614A4">
            <w:pPr>
              <w:rPr>
                <w:rFonts w:eastAsia="Times New Roman"/>
              </w:rPr>
            </w:pPr>
            <w:r>
              <w:rPr>
                <w:rFonts w:eastAsia="Times New Roman"/>
                <w:color w:val="000000"/>
                <w:sz w:val="18"/>
                <w:szCs w:val="18"/>
              </w:rPr>
              <w:t>Right-of-use assets obtained in exchange for new finance lease liabilities</w:t>
            </w:r>
          </w:p>
        </w:tc>
        <w:tc>
          <w:tcPr>
            <w:tcW w:w="0" w:type="auto"/>
            <w:gridSpan w:val="3"/>
            <w:shd w:val="clear" w:color="auto" w:fill="CCEEFF"/>
            <w:tcMar>
              <w:top w:w="0" w:type="dxa"/>
              <w:left w:w="20" w:type="dxa"/>
              <w:bottom w:w="0" w:type="dxa"/>
              <w:right w:w="20" w:type="dxa"/>
            </w:tcMar>
            <w:vAlign w:val="center"/>
            <w:hideMark/>
          </w:tcPr>
          <w:p w14:paraId="4EED93AD" w14:textId="77777777" w:rsidR="00000000" w:rsidRDefault="00E614A4">
            <w:pPr>
              <w:rPr>
                <w:rFonts w:eastAsia="Times New Roman"/>
              </w:rPr>
            </w:pPr>
          </w:p>
        </w:tc>
        <w:tc>
          <w:tcPr>
            <w:tcW w:w="0" w:type="auto"/>
            <w:shd w:val="clear" w:color="auto" w:fill="CCEEFF"/>
            <w:tcMar>
              <w:top w:w="30" w:type="dxa"/>
              <w:left w:w="20" w:type="dxa"/>
              <w:bottom w:w="30" w:type="dxa"/>
              <w:right w:w="0" w:type="dxa"/>
            </w:tcMar>
            <w:vAlign w:val="bottom"/>
            <w:hideMark/>
          </w:tcPr>
          <w:p w14:paraId="0B473DF3"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7204E8C" w14:textId="77777777" w:rsidR="00000000" w:rsidRDefault="00E614A4">
            <w:pPr>
              <w:jc w:val="right"/>
              <w:rPr>
                <w:rFonts w:eastAsia="Times New Roman"/>
              </w:rPr>
            </w:pPr>
            <w:r>
              <w:rPr>
                <w:rFonts w:eastAsia="Times New Roman"/>
                <w:color w:val="000000"/>
                <w:sz w:val="18"/>
                <w:szCs w:val="18"/>
              </w:rPr>
              <w:t>754 </w:t>
            </w:r>
          </w:p>
        </w:tc>
        <w:tc>
          <w:tcPr>
            <w:tcW w:w="0" w:type="auto"/>
            <w:shd w:val="clear" w:color="auto" w:fill="CCEEFF"/>
            <w:tcMar>
              <w:top w:w="30" w:type="dxa"/>
              <w:left w:w="0" w:type="dxa"/>
              <w:bottom w:w="30" w:type="dxa"/>
              <w:right w:w="20" w:type="dxa"/>
            </w:tcMar>
            <w:vAlign w:val="bottom"/>
            <w:hideMark/>
          </w:tcPr>
          <w:p w14:paraId="3D721E5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29C09"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28FA76"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01D37A4" w14:textId="77777777" w:rsidR="00000000" w:rsidRDefault="00E614A4">
            <w:pPr>
              <w:jc w:val="right"/>
              <w:rPr>
                <w:rFonts w:eastAsia="Times New Roman"/>
              </w:rPr>
            </w:pPr>
            <w:r>
              <w:rPr>
                <w:rFonts w:eastAsia="Times New Roman"/>
                <w:color w:val="000000"/>
                <w:sz w:val="18"/>
                <w:szCs w:val="18"/>
              </w:rPr>
              <w:t>4,049 </w:t>
            </w:r>
          </w:p>
        </w:tc>
        <w:tc>
          <w:tcPr>
            <w:tcW w:w="0" w:type="auto"/>
            <w:shd w:val="clear" w:color="auto" w:fill="CCEEFF"/>
            <w:tcMar>
              <w:top w:w="30" w:type="dxa"/>
              <w:left w:w="0" w:type="dxa"/>
              <w:bottom w:w="30" w:type="dxa"/>
              <w:right w:w="20" w:type="dxa"/>
            </w:tcMar>
            <w:vAlign w:val="bottom"/>
            <w:hideMark/>
          </w:tcPr>
          <w:p w14:paraId="6BEC5FF3" w14:textId="77777777" w:rsidR="00000000" w:rsidRDefault="00E614A4">
            <w:pPr>
              <w:jc w:val="right"/>
              <w:rPr>
                <w:rFonts w:eastAsia="Times New Roman"/>
              </w:rPr>
            </w:pPr>
          </w:p>
        </w:tc>
        <w:tc>
          <w:tcPr>
            <w:tcW w:w="0" w:type="auto"/>
            <w:vAlign w:val="center"/>
            <w:hideMark/>
          </w:tcPr>
          <w:p w14:paraId="6629D128" w14:textId="77777777" w:rsidR="00000000" w:rsidRDefault="00E614A4">
            <w:pPr>
              <w:jc w:val="right"/>
              <w:rPr>
                <w:rFonts w:eastAsia="Times New Roman"/>
                <w:sz w:val="20"/>
                <w:szCs w:val="20"/>
              </w:rPr>
            </w:pPr>
          </w:p>
        </w:tc>
      </w:tr>
      <w:tr w:rsidR="00000000" w14:paraId="5F8AE1B8" w14:textId="77777777">
        <w:trPr>
          <w:divId w:val="615529683"/>
          <w:jc w:val="center"/>
        </w:trPr>
        <w:tc>
          <w:tcPr>
            <w:tcW w:w="0" w:type="auto"/>
            <w:gridSpan w:val="6"/>
            <w:shd w:val="clear" w:color="auto" w:fill="FFFFFF"/>
            <w:tcMar>
              <w:top w:w="30" w:type="dxa"/>
              <w:left w:w="245" w:type="dxa"/>
              <w:bottom w:w="30" w:type="dxa"/>
              <w:right w:w="20" w:type="dxa"/>
            </w:tcMar>
            <w:vAlign w:val="bottom"/>
            <w:hideMark/>
          </w:tcPr>
          <w:p w14:paraId="42E356A6" w14:textId="77777777" w:rsidR="00000000" w:rsidRDefault="00E614A4">
            <w:pPr>
              <w:rPr>
                <w:rFonts w:eastAsia="Times New Roman"/>
              </w:rPr>
            </w:pPr>
            <w:r>
              <w:rPr>
                <w:rFonts w:eastAsia="Times New Roman"/>
                <w:color w:val="000000"/>
                <w:sz w:val="18"/>
                <w:szCs w:val="18"/>
              </w:rPr>
              <w:t>Right-of-use assets obtained in exchange for new operating lease liabilities</w:t>
            </w:r>
          </w:p>
        </w:tc>
        <w:tc>
          <w:tcPr>
            <w:tcW w:w="0" w:type="auto"/>
            <w:gridSpan w:val="3"/>
            <w:shd w:val="clear" w:color="auto" w:fill="FFFFFF"/>
            <w:tcMar>
              <w:top w:w="0" w:type="dxa"/>
              <w:left w:w="20" w:type="dxa"/>
              <w:bottom w:w="0" w:type="dxa"/>
              <w:right w:w="20" w:type="dxa"/>
            </w:tcMar>
            <w:vAlign w:val="center"/>
            <w:hideMark/>
          </w:tcPr>
          <w:p w14:paraId="267FF44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C9FBD7" w14:textId="77777777" w:rsidR="00000000" w:rsidRDefault="00E614A4">
            <w:pPr>
              <w:jc w:val="right"/>
              <w:rPr>
                <w:rFonts w:eastAsia="Times New Roman"/>
              </w:rPr>
            </w:pPr>
            <w:r>
              <w:rPr>
                <w:rFonts w:eastAsia="Times New Roman"/>
                <w:color w:val="000000"/>
                <w:sz w:val="18"/>
                <w:szCs w:val="18"/>
              </w:rPr>
              <w:t>669 </w:t>
            </w:r>
          </w:p>
        </w:tc>
        <w:tc>
          <w:tcPr>
            <w:tcW w:w="0" w:type="auto"/>
            <w:shd w:val="clear" w:color="auto" w:fill="FFFFFF"/>
            <w:tcMar>
              <w:top w:w="30" w:type="dxa"/>
              <w:left w:w="0" w:type="dxa"/>
              <w:bottom w:w="30" w:type="dxa"/>
              <w:right w:w="20" w:type="dxa"/>
            </w:tcMar>
            <w:vAlign w:val="bottom"/>
            <w:hideMark/>
          </w:tcPr>
          <w:p w14:paraId="00CF309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8B1C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1908B8" w14:textId="77777777" w:rsidR="00000000" w:rsidRDefault="00E614A4">
            <w:pPr>
              <w:jc w:val="right"/>
              <w:rPr>
                <w:rFonts w:eastAsia="Times New Roman"/>
              </w:rPr>
            </w:pPr>
            <w:r>
              <w:rPr>
                <w:rFonts w:eastAsia="Times New Roman"/>
                <w:color w:val="000000"/>
                <w:sz w:val="18"/>
                <w:szCs w:val="18"/>
              </w:rPr>
              <w:t>397 </w:t>
            </w:r>
          </w:p>
        </w:tc>
        <w:tc>
          <w:tcPr>
            <w:tcW w:w="0" w:type="auto"/>
            <w:shd w:val="clear" w:color="auto" w:fill="FFFFFF"/>
            <w:tcMar>
              <w:top w:w="30" w:type="dxa"/>
              <w:left w:w="0" w:type="dxa"/>
              <w:bottom w:w="30" w:type="dxa"/>
              <w:right w:w="20" w:type="dxa"/>
            </w:tcMar>
            <w:vAlign w:val="bottom"/>
            <w:hideMark/>
          </w:tcPr>
          <w:p w14:paraId="55704FA0" w14:textId="77777777" w:rsidR="00000000" w:rsidRDefault="00E614A4">
            <w:pPr>
              <w:jc w:val="right"/>
              <w:rPr>
                <w:rFonts w:eastAsia="Times New Roman"/>
              </w:rPr>
            </w:pPr>
          </w:p>
        </w:tc>
        <w:tc>
          <w:tcPr>
            <w:tcW w:w="0" w:type="auto"/>
            <w:vAlign w:val="center"/>
            <w:hideMark/>
          </w:tcPr>
          <w:p w14:paraId="50AB87F0" w14:textId="77777777" w:rsidR="00000000" w:rsidRDefault="00E614A4">
            <w:pPr>
              <w:jc w:val="right"/>
              <w:rPr>
                <w:rFonts w:eastAsia="Times New Roman"/>
                <w:sz w:val="20"/>
                <w:szCs w:val="20"/>
              </w:rPr>
            </w:pPr>
          </w:p>
        </w:tc>
      </w:tr>
    </w:tbl>
    <w:p w14:paraId="6E024062" w14:textId="77777777" w:rsidR="00000000" w:rsidRDefault="00E614A4">
      <w:pPr>
        <w:jc w:val="both"/>
        <w:divId w:val="75522685"/>
        <w:rPr>
          <w:rFonts w:eastAsia="Times New Roman"/>
        </w:rPr>
      </w:pPr>
      <w:r>
        <w:rPr>
          <w:rFonts w:eastAsia="Times New Roman"/>
          <w:color w:val="000000"/>
          <w:sz w:val="20"/>
          <w:szCs w:val="20"/>
        </w:rPr>
        <w:t>Maturities of operating and finance lease liabilities as of December 31, 2020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878"/>
        <w:gridCol w:w="36"/>
        <w:gridCol w:w="111"/>
        <w:gridCol w:w="977"/>
        <w:gridCol w:w="36"/>
        <w:gridCol w:w="36"/>
        <w:gridCol w:w="36"/>
        <w:gridCol w:w="36"/>
        <w:gridCol w:w="110"/>
        <w:gridCol w:w="977"/>
        <w:gridCol w:w="36"/>
      </w:tblGrid>
      <w:tr w:rsidR="00000000" w14:paraId="1C67860C" w14:textId="77777777">
        <w:trPr>
          <w:divId w:val="1385985675"/>
          <w:jc w:val="center"/>
        </w:trPr>
        <w:tc>
          <w:tcPr>
            <w:tcW w:w="50" w:type="pct"/>
            <w:vAlign w:val="center"/>
            <w:hideMark/>
          </w:tcPr>
          <w:p w14:paraId="676CE90F" w14:textId="77777777" w:rsidR="00000000" w:rsidRDefault="00E614A4">
            <w:pPr>
              <w:jc w:val="both"/>
              <w:rPr>
                <w:rFonts w:eastAsia="Times New Roman"/>
              </w:rPr>
            </w:pPr>
          </w:p>
        </w:tc>
        <w:tc>
          <w:tcPr>
            <w:tcW w:w="3570" w:type="pct"/>
            <w:vAlign w:val="center"/>
            <w:hideMark/>
          </w:tcPr>
          <w:p w14:paraId="5835CF39" w14:textId="77777777" w:rsidR="00000000" w:rsidRDefault="00E614A4">
            <w:pPr>
              <w:rPr>
                <w:rFonts w:eastAsia="Times New Roman"/>
                <w:sz w:val="20"/>
                <w:szCs w:val="20"/>
              </w:rPr>
            </w:pPr>
          </w:p>
        </w:tc>
        <w:tc>
          <w:tcPr>
            <w:tcW w:w="5" w:type="pct"/>
            <w:vAlign w:val="center"/>
            <w:hideMark/>
          </w:tcPr>
          <w:p w14:paraId="235B9154" w14:textId="77777777" w:rsidR="00000000" w:rsidRDefault="00E614A4">
            <w:pPr>
              <w:rPr>
                <w:rFonts w:eastAsia="Times New Roman"/>
                <w:sz w:val="20"/>
                <w:szCs w:val="20"/>
              </w:rPr>
            </w:pPr>
          </w:p>
        </w:tc>
        <w:tc>
          <w:tcPr>
            <w:tcW w:w="50" w:type="pct"/>
            <w:vAlign w:val="center"/>
            <w:hideMark/>
          </w:tcPr>
          <w:p w14:paraId="0AE31245" w14:textId="77777777" w:rsidR="00000000" w:rsidRDefault="00E614A4">
            <w:pPr>
              <w:rPr>
                <w:rFonts w:eastAsia="Times New Roman"/>
                <w:sz w:val="20"/>
                <w:szCs w:val="20"/>
              </w:rPr>
            </w:pPr>
          </w:p>
        </w:tc>
        <w:tc>
          <w:tcPr>
            <w:tcW w:w="618" w:type="pct"/>
            <w:vAlign w:val="center"/>
            <w:hideMark/>
          </w:tcPr>
          <w:p w14:paraId="444090DF" w14:textId="77777777" w:rsidR="00000000" w:rsidRDefault="00E614A4">
            <w:pPr>
              <w:rPr>
                <w:rFonts w:eastAsia="Times New Roman"/>
                <w:sz w:val="20"/>
                <w:szCs w:val="20"/>
              </w:rPr>
            </w:pPr>
          </w:p>
        </w:tc>
        <w:tc>
          <w:tcPr>
            <w:tcW w:w="5" w:type="pct"/>
            <w:vAlign w:val="center"/>
            <w:hideMark/>
          </w:tcPr>
          <w:p w14:paraId="7C029080" w14:textId="77777777" w:rsidR="00000000" w:rsidRDefault="00E614A4">
            <w:pPr>
              <w:rPr>
                <w:rFonts w:eastAsia="Times New Roman"/>
                <w:sz w:val="20"/>
                <w:szCs w:val="20"/>
              </w:rPr>
            </w:pPr>
          </w:p>
        </w:tc>
        <w:tc>
          <w:tcPr>
            <w:tcW w:w="5" w:type="pct"/>
            <w:vAlign w:val="center"/>
            <w:hideMark/>
          </w:tcPr>
          <w:p w14:paraId="096E885F" w14:textId="77777777" w:rsidR="00000000" w:rsidRDefault="00E614A4">
            <w:pPr>
              <w:rPr>
                <w:rFonts w:eastAsia="Times New Roman"/>
                <w:sz w:val="20"/>
                <w:szCs w:val="20"/>
              </w:rPr>
            </w:pPr>
          </w:p>
        </w:tc>
        <w:tc>
          <w:tcPr>
            <w:tcW w:w="17" w:type="pct"/>
            <w:vAlign w:val="center"/>
            <w:hideMark/>
          </w:tcPr>
          <w:p w14:paraId="70726060" w14:textId="77777777" w:rsidR="00000000" w:rsidRDefault="00E614A4">
            <w:pPr>
              <w:rPr>
                <w:rFonts w:eastAsia="Times New Roman"/>
                <w:sz w:val="20"/>
                <w:szCs w:val="20"/>
              </w:rPr>
            </w:pPr>
          </w:p>
        </w:tc>
        <w:tc>
          <w:tcPr>
            <w:tcW w:w="5" w:type="pct"/>
            <w:vAlign w:val="center"/>
            <w:hideMark/>
          </w:tcPr>
          <w:p w14:paraId="6EE84818" w14:textId="77777777" w:rsidR="00000000" w:rsidRDefault="00E614A4">
            <w:pPr>
              <w:rPr>
                <w:rFonts w:eastAsia="Times New Roman"/>
                <w:sz w:val="20"/>
                <w:szCs w:val="20"/>
              </w:rPr>
            </w:pPr>
          </w:p>
        </w:tc>
        <w:tc>
          <w:tcPr>
            <w:tcW w:w="50" w:type="pct"/>
            <w:vAlign w:val="center"/>
            <w:hideMark/>
          </w:tcPr>
          <w:p w14:paraId="6022BF6C" w14:textId="77777777" w:rsidR="00000000" w:rsidRDefault="00E614A4">
            <w:pPr>
              <w:rPr>
                <w:rFonts w:eastAsia="Times New Roman"/>
                <w:sz w:val="20"/>
                <w:szCs w:val="20"/>
              </w:rPr>
            </w:pPr>
          </w:p>
        </w:tc>
        <w:tc>
          <w:tcPr>
            <w:tcW w:w="618" w:type="pct"/>
            <w:vAlign w:val="center"/>
            <w:hideMark/>
          </w:tcPr>
          <w:p w14:paraId="30167212" w14:textId="77777777" w:rsidR="00000000" w:rsidRDefault="00E614A4">
            <w:pPr>
              <w:rPr>
                <w:rFonts w:eastAsia="Times New Roman"/>
                <w:sz w:val="20"/>
                <w:szCs w:val="20"/>
              </w:rPr>
            </w:pPr>
          </w:p>
        </w:tc>
        <w:tc>
          <w:tcPr>
            <w:tcW w:w="5" w:type="pct"/>
            <w:vAlign w:val="center"/>
            <w:hideMark/>
          </w:tcPr>
          <w:p w14:paraId="6822DC3A" w14:textId="77777777" w:rsidR="00000000" w:rsidRDefault="00E614A4">
            <w:pPr>
              <w:rPr>
                <w:rFonts w:eastAsia="Times New Roman"/>
                <w:sz w:val="20"/>
                <w:szCs w:val="20"/>
              </w:rPr>
            </w:pPr>
          </w:p>
        </w:tc>
      </w:tr>
      <w:tr w:rsidR="00000000" w14:paraId="4086F1D0" w14:textId="77777777">
        <w:trPr>
          <w:divId w:val="1385985675"/>
          <w:jc w:val="center"/>
        </w:trPr>
        <w:tc>
          <w:tcPr>
            <w:tcW w:w="0" w:type="auto"/>
            <w:gridSpan w:val="3"/>
            <w:tcMar>
              <w:top w:w="30" w:type="dxa"/>
              <w:left w:w="20" w:type="dxa"/>
              <w:bottom w:w="30" w:type="dxa"/>
              <w:right w:w="20" w:type="dxa"/>
            </w:tcMar>
            <w:vAlign w:val="bottom"/>
            <w:hideMark/>
          </w:tcPr>
          <w:p w14:paraId="4A8E4031"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4E417CBB" w14:textId="77777777" w:rsidR="00000000" w:rsidRDefault="00E614A4">
            <w:pPr>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14:paraId="415ADF1C"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562E1275" w14:textId="77777777" w:rsidR="00000000" w:rsidRDefault="00E614A4">
            <w:pPr>
              <w:jc w:val="center"/>
              <w:rPr>
                <w:rFonts w:eastAsia="Times New Roman"/>
              </w:rPr>
            </w:pPr>
            <w:r>
              <w:rPr>
                <w:rFonts w:eastAsia="Times New Roman"/>
                <w:b/>
                <w:bCs/>
                <w:color w:val="000000"/>
                <w:sz w:val="16"/>
                <w:szCs w:val="16"/>
              </w:rPr>
              <w:t>Finance Leases</w:t>
            </w:r>
          </w:p>
        </w:tc>
      </w:tr>
      <w:tr w:rsidR="00000000" w14:paraId="0B159AA1" w14:textId="77777777">
        <w:trPr>
          <w:divId w:val="1385985675"/>
          <w:jc w:val="center"/>
        </w:trPr>
        <w:tc>
          <w:tcPr>
            <w:tcW w:w="0" w:type="auto"/>
            <w:gridSpan w:val="3"/>
            <w:shd w:val="clear" w:color="auto" w:fill="CCEEFF"/>
            <w:tcMar>
              <w:top w:w="30" w:type="dxa"/>
              <w:left w:w="20" w:type="dxa"/>
              <w:bottom w:w="30" w:type="dxa"/>
              <w:right w:w="20" w:type="dxa"/>
            </w:tcMar>
            <w:hideMark/>
          </w:tcPr>
          <w:p w14:paraId="13F79434" w14:textId="77777777" w:rsidR="00000000" w:rsidRDefault="00E614A4">
            <w:pPr>
              <w:rPr>
                <w:rFonts w:eastAsia="Times New Roman"/>
              </w:rPr>
            </w:pPr>
            <w:r>
              <w:rPr>
                <w:rFonts w:eastAsia="Times New Roman"/>
                <w:color w:val="000000"/>
                <w:sz w:val="18"/>
                <w:szCs w:val="18"/>
              </w:rPr>
              <w:t>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FD47F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BF781F" w14:textId="77777777" w:rsidR="00000000" w:rsidRDefault="00E614A4">
            <w:pPr>
              <w:jc w:val="right"/>
              <w:rPr>
                <w:rFonts w:eastAsia="Times New Roman"/>
              </w:rPr>
            </w:pPr>
            <w:r>
              <w:rPr>
                <w:rFonts w:eastAsia="Times New Roman"/>
                <w:color w:val="000000"/>
                <w:sz w:val="18"/>
                <w:szCs w:val="18"/>
              </w:rPr>
              <w:t>12,175 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70147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CE76A5"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AA683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6BE7E1" w14:textId="77777777" w:rsidR="00000000" w:rsidRDefault="00E614A4">
            <w:pPr>
              <w:jc w:val="right"/>
              <w:rPr>
                <w:rFonts w:eastAsia="Times New Roman"/>
              </w:rPr>
            </w:pPr>
            <w:r>
              <w:rPr>
                <w:rFonts w:eastAsia="Times New Roman"/>
                <w:color w:val="000000"/>
                <w:sz w:val="18"/>
                <w:szCs w:val="18"/>
              </w:rPr>
              <w:t>2,201 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AB98E7" w14:textId="77777777" w:rsidR="00000000" w:rsidRDefault="00E614A4">
            <w:pPr>
              <w:jc w:val="right"/>
              <w:rPr>
                <w:rFonts w:eastAsia="Times New Roman"/>
              </w:rPr>
            </w:pPr>
          </w:p>
        </w:tc>
      </w:tr>
      <w:tr w:rsidR="00000000" w14:paraId="3E489A69" w14:textId="77777777">
        <w:trPr>
          <w:divId w:val="1385985675"/>
          <w:jc w:val="center"/>
        </w:trPr>
        <w:tc>
          <w:tcPr>
            <w:tcW w:w="0" w:type="auto"/>
            <w:gridSpan w:val="3"/>
            <w:shd w:val="clear" w:color="auto" w:fill="FFFFFF"/>
            <w:tcMar>
              <w:top w:w="30" w:type="dxa"/>
              <w:left w:w="20" w:type="dxa"/>
              <w:bottom w:w="30" w:type="dxa"/>
              <w:right w:w="20" w:type="dxa"/>
            </w:tcMar>
            <w:hideMark/>
          </w:tcPr>
          <w:p w14:paraId="56D9DB9E" w14:textId="77777777" w:rsidR="00000000" w:rsidRDefault="00E614A4">
            <w:pPr>
              <w:rPr>
                <w:rFonts w:eastAsia="Times New Roman"/>
              </w:rPr>
            </w:pPr>
            <w:r>
              <w:rPr>
                <w:rFonts w:eastAsia="Times New Roman"/>
                <w:color w:val="000000"/>
                <w:sz w:val="18"/>
                <w:szCs w:val="18"/>
              </w:rPr>
              <w:t>2022</w:t>
            </w:r>
          </w:p>
        </w:tc>
        <w:tc>
          <w:tcPr>
            <w:tcW w:w="0" w:type="auto"/>
            <w:gridSpan w:val="2"/>
            <w:shd w:val="clear" w:color="auto" w:fill="FFFFFF"/>
            <w:tcMar>
              <w:top w:w="30" w:type="dxa"/>
              <w:left w:w="20" w:type="dxa"/>
              <w:bottom w:w="30" w:type="dxa"/>
              <w:right w:w="0" w:type="dxa"/>
            </w:tcMar>
            <w:vAlign w:val="bottom"/>
            <w:hideMark/>
          </w:tcPr>
          <w:p w14:paraId="7ECB2106" w14:textId="77777777" w:rsidR="00000000" w:rsidRDefault="00E614A4">
            <w:pPr>
              <w:jc w:val="right"/>
              <w:rPr>
                <w:rFonts w:eastAsia="Times New Roman"/>
              </w:rPr>
            </w:pPr>
            <w:r>
              <w:rPr>
                <w:rFonts w:eastAsia="Times New Roman"/>
                <w:color w:val="000000"/>
                <w:sz w:val="18"/>
                <w:szCs w:val="18"/>
              </w:rPr>
              <w:t>9,406 </w:t>
            </w:r>
          </w:p>
        </w:tc>
        <w:tc>
          <w:tcPr>
            <w:tcW w:w="0" w:type="auto"/>
            <w:shd w:val="clear" w:color="auto" w:fill="FFFFFF"/>
            <w:tcMar>
              <w:top w:w="30" w:type="dxa"/>
              <w:left w:w="0" w:type="dxa"/>
              <w:bottom w:w="30" w:type="dxa"/>
              <w:right w:w="20" w:type="dxa"/>
            </w:tcMar>
            <w:vAlign w:val="bottom"/>
            <w:hideMark/>
          </w:tcPr>
          <w:p w14:paraId="51BEE13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29C2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BE2FBC" w14:textId="77777777" w:rsidR="00000000" w:rsidRDefault="00E614A4">
            <w:pPr>
              <w:jc w:val="right"/>
              <w:rPr>
                <w:rFonts w:eastAsia="Times New Roman"/>
              </w:rPr>
            </w:pPr>
            <w:r>
              <w:rPr>
                <w:rFonts w:eastAsia="Times New Roman"/>
                <w:color w:val="000000"/>
                <w:sz w:val="18"/>
                <w:szCs w:val="18"/>
              </w:rPr>
              <w:t>1,108 </w:t>
            </w:r>
          </w:p>
        </w:tc>
        <w:tc>
          <w:tcPr>
            <w:tcW w:w="0" w:type="auto"/>
            <w:shd w:val="clear" w:color="auto" w:fill="FFFFFF"/>
            <w:tcMar>
              <w:top w:w="30" w:type="dxa"/>
              <w:left w:w="0" w:type="dxa"/>
              <w:bottom w:w="30" w:type="dxa"/>
              <w:right w:w="20" w:type="dxa"/>
            </w:tcMar>
            <w:vAlign w:val="bottom"/>
            <w:hideMark/>
          </w:tcPr>
          <w:p w14:paraId="0F39FA6B" w14:textId="77777777" w:rsidR="00000000" w:rsidRDefault="00E614A4">
            <w:pPr>
              <w:jc w:val="right"/>
              <w:rPr>
                <w:rFonts w:eastAsia="Times New Roman"/>
              </w:rPr>
            </w:pPr>
          </w:p>
        </w:tc>
      </w:tr>
      <w:tr w:rsidR="00000000" w14:paraId="70B14093" w14:textId="77777777">
        <w:trPr>
          <w:divId w:val="1385985675"/>
          <w:jc w:val="center"/>
        </w:trPr>
        <w:tc>
          <w:tcPr>
            <w:tcW w:w="0" w:type="auto"/>
            <w:gridSpan w:val="3"/>
            <w:shd w:val="clear" w:color="auto" w:fill="CCEEFF"/>
            <w:tcMar>
              <w:top w:w="30" w:type="dxa"/>
              <w:left w:w="20" w:type="dxa"/>
              <w:bottom w:w="30" w:type="dxa"/>
              <w:right w:w="20" w:type="dxa"/>
            </w:tcMar>
            <w:hideMark/>
          </w:tcPr>
          <w:p w14:paraId="02588930" w14:textId="77777777" w:rsidR="00000000" w:rsidRDefault="00E614A4">
            <w:pPr>
              <w:rPr>
                <w:rFonts w:eastAsia="Times New Roman"/>
              </w:rPr>
            </w:pPr>
            <w:r>
              <w:rPr>
                <w:rFonts w:eastAsia="Times New Roman"/>
                <w:color w:val="000000"/>
                <w:sz w:val="18"/>
                <w:szCs w:val="18"/>
              </w:rPr>
              <w:t>2023</w:t>
            </w:r>
          </w:p>
        </w:tc>
        <w:tc>
          <w:tcPr>
            <w:tcW w:w="0" w:type="auto"/>
            <w:gridSpan w:val="2"/>
            <w:shd w:val="clear" w:color="auto" w:fill="CCEEFF"/>
            <w:tcMar>
              <w:top w:w="30" w:type="dxa"/>
              <w:left w:w="20" w:type="dxa"/>
              <w:bottom w:w="30" w:type="dxa"/>
              <w:right w:w="0" w:type="dxa"/>
            </w:tcMar>
            <w:vAlign w:val="bottom"/>
            <w:hideMark/>
          </w:tcPr>
          <w:p w14:paraId="19939E27" w14:textId="77777777" w:rsidR="00000000" w:rsidRDefault="00E614A4">
            <w:pPr>
              <w:jc w:val="right"/>
              <w:rPr>
                <w:rFonts w:eastAsia="Times New Roman"/>
              </w:rPr>
            </w:pPr>
            <w:r>
              <w:rPr>
                <w:rFonts w:eastAsia="Times New Roman"/>
                <w:color w:val="000000"/>
                <w:sz w:val="18"/>
                <w:szCs w:val="18"/>
              </w:rPr>
              <w:t>9,796 </w:t>
            </w:r>
          </w:p>
        </w:tc>
        <w:tc>
          <w:tcPr>
            <w:tcW w:w="0" w:type="auto"/>
            <w:shd w:val="clear" w:color="auto" w:fill="CCEEFF"/>
            <w:tcMar>
              <w:top w:w="30" w:type="dxa"/>
              <w:left w:w="0" w:type="dxa"/>
              <w:bottom w:w="30" w:type="dxa"/>
              <w:right w:w="20" w:type="dxa"/>
            </w:tcMar>
            <w:vAlign w:val="bottom"/>
            <w:hideMark/>
          </w:tcPr>
          <w:p w14:paraId="4F26FBF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DDDC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51A5A2" w14:textId="77777777" w:rsidR="00000000" w:rsidRDefault="00E614A4">
            <w:pPr>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bottom"/>
            <w:hideMark/>
          </w:tcPr>
          <w:p w14:paraId="3B4C143D" w14:textId="77777777" w:rsidR="00000000" w:rsidRDefault="00E614A4">
            <w:pPr>
              <w:jc w:val="right"/>
              <w:rPr>
                <w:rFonts w:eastAsia="Times New Roman"/>
              </w:rPr>
            </w:pPr>
          </w:p>
        </w:tc>
      </w:tr>
      <w:tr w:rsidR="00000000" w14:paraId="021504C7" w14:textId="77777777">
        <w:trPr>
          <w:divId w:val="1385985675"/>
          <w:jc w:val="center"/>
        </w:trPr>
        <w:tc>
          <w:tcPr>
            <w:tcW w:w="0" w:type="auto"/>
            <w:gridSpan w:val="3"/>
            <w:shd w:val="clear" w:color="auto" w:fill="FFFFFF"/>
            <w:tcMar>
              <w:top w:w="30" w:type="dxa"/>
              <w:left w:w="20" w:type="dxa"/>
              <w:bottom w:w="30" w:type="dxa"/>
              <w:right w:w="20" w:type="dxa"/>
            </w:tcMar>
            <w:hideMark/>
          </w:tcPr>
          <w:p w14:paraId="5B072E21" w14:textId="77777777" w:rsidR="00000000" w:rsidRDefault="00E614A4">
            <w:pPr>
              <w:rPr>
                <w:rFonts w:eastAsia="Times New Roman"/>
              </w:rPr>
            </w:pPr>
            <w:r>
              <w:rPr>
                <w:rFonts w:eastAsia="Times New Roman"/>
                <w:color w:val="000000"/>
                <w:sz w:val="18"/>
                <w:szCs w:val="18"/>
              </w:rPr>
              <w:t>2024</w:t>
            </w:r>
          </w:p>
        </w:tc>
        <w:tc>
          <w:tcPr>
            <w:tcW w:w="0" w:type="auto"/>
            <w:gridSpan w:val="2"/>
            <w:shd w:val="clear" w:color="auto" w:fill="FFFFFF"/>
            <w:tcMar>
              <w:top w:w="30" w:type="dxa"/>
              <w:left w:w="20" w:type="dxa"/>
              <w:bottom w:w="30" w:type="dxa"/>
              <w:right w:w="0" w:type="dxa"/>
            </w:tcMar>
            <w:vAlign w:val="bottom"/>
            <w:hideMark/>
          </w:tcPr>
          <w:p w14:paraId="3D818307" w14:textId="77777777" w:rsidR="00000000" w:rsidRDefault="00E614A4">
            <w:pPr>
              <w:jc w:val="right"/>
              <w:rPr>
                <w:rFonts w:eastAsia="Times New Roman"/>
              </w:rPr>
            </w:pPr>
            <w:r>
              <w:rPr>
                <w:rFonts w:eastAsia="Times New Roman"/>
                <w:color w:val="000000"/>
                <w:sz w:val="18"/>
                <w:szCs w:val="18"/>
              </w:rPr>
              <w:t>8,798 </w:t>
            </w:r>
          </w:p>
        </w:tc>
        <w:tc>
          <w:tcPr>
            <w:tcW w:w="0" w:type="auto"/>
            <w:shd w:val="clear" w:color="auto" w:fill="FFFFFF"/>
            <w:tcMar>
              <w:top w:w="30" w:type="dxa"/>
              <w:left w:w="0" w:type="dxa"/>
              <w:bottom w:w="30" w:type="dxa"/>
              <w:right w:w="20" w:type="dxa"/>
            </w:tcMar>
            <w:vAlign w:val="bottom"/>
            <w:hideMark/>
          </w:tcPr>
          <w:p w14:paraId="2C8C719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F9E9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A367F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D90EAE" w14:textId="77777777" w:rsidR="00000000" w:rsidRDefault="00E614A4">
            <w:pPr>
              <w:jc w:val="right"/>
              <w:rPr>
                <w:rFonts w:eastAsia="Times New Roman"/>
              </w:rPr>
            </w:pPr>
          </w:p>
        </w:tc>
      </w:tr>
      <w:tr w:rsidR="00000000" w14:paraId="5852678E" w14:textId="77777777">
        <w:trPr>
          <w:divId w:val="1385985675"/>
          <w:jc w:val="center"/>
        </w:trPr>
        <w:tc>
          <w:tcPr>
            <w:tcW w:w="0" w:type="auto"/>
            <w:gridSpan w:val="3"/>
            <w:shd w:val="clear" w:color="auto" w:fill="CCEEFF"/>
            <w:tcMar>
              <w:top w:w="30" w:type="dxa"/>
              <w:left w:w="20" w:type="dxa"/>
              <w:bottom w:w="30" w:type="dxa"/>
              <w:right w:w="20" w:type="dxa"/>
            </w:tcMar>
            <w:hideMark/>
          </w:tcPr>
          <w:p w14:paraId="7B64F86B" w14:textId="77777777" w:rsidR="00000000" w:rsidRDefault="00E614A4">
            <w:pPr>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14:paraId="6B9B0E91" w14:textId="77777777" w:rsidR="00000000" w:rsidRDefault="00E614A4">
            <w:pPr>
              <w:jc w:val="right"/>
              <w:rPr>
                <w:rFonts w:eastAsia="Times New Roman"/>
              </w:rPr>
            </w:pPr>
            <w:r>
              <w:rPr>
                <w:rFonts w:eastAsia="Times New Roman"/>
                <w:color w:val="000000"/>
                <w:sz w:val="18"/>
                <w:szCs w:val="18"/>
              </w:rPr>
              <w:t>8,442 </w:t>
            </w:r>
          </w:p>
        </w:tc>
        <w:tc>
          <w:tcPr>
            <w:tcW w:w="0" w:type="auto"/>
            <w:shd w:val="clear" w:color="auto" w:fill="CCEEFF"/>
            <w:tcMar>
              <w:top w:w="30" w:type="dxa"/>
              <w:left w:w="0" w:type="dxa"/>
              <w:bottom w:w="30" w:type="dxa"/>
              <w:right w:w="20" w:type="dxa"/>
            </w:tcMar>
            <w:vAlign w:val="bottom"/>
            <w:hideMark/>
          </w:tcPr>
          <w:p w14:paraId="368ABE9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BEB90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CD9D1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101069" w14:textId="77777777" w:rsidR="00000000" w:rsidRDefault="00E614A4">
            <w:pPr>
              <w:jc w:val="right"/>
              <w:rPr>
                <w:rFonts w:eastAsia="Times New Roman"/>
              </w:rPr>
            </w:pPr>
          </w:p>
        </w:tc>
      </w:tr>
      <w:tr w:rsidR="00000000" w14:paraId="15B62D34" w14:textId="77777777">
        <w:trPr>
          <w:divId w:val="1385985675"/>
          <w:jc w:val="center"/>
        </w:trPr>
        <w:tc>
          <w:tcPr>
            <w:tcW w:w="0" w:type="auto"/>
            <w:gridSpan w:val="3"/>
            <w:shd w:val="clear" w:color="auto" w:fill="FFFFFF"/>
            <w:tcMar>
              <w:top w:w="30" w:type="dxa"/>
              <w:left w:w="20" w:type="dxa"/>
              <w:bottom w:w="30" w:type="dxa"/>
              <w:right w:w="20" w:type="dxa"/>
            </w:tcMar>
            <w:hideMark/>
          </w:tcPr>
          <w:p w14:paraId="6C5BA380" w14:textId="77777777" w:rsidR="00000000" w:rsidRDefault="00E614A4">
            <w:pPr>
              <w:rPr>
                <w:rFonts w:eastAsia="Times New Roman"/>
              </w:rPr>
            </w:pPr>
            <w:r>
              <w:rPr>
                <w:rFonts w:eastAsia="Times New Roman"/>
                <w:color w:val="000000"/>
                <w:sz w:val="18"/>
                <w:szCs w:val="18"/>
              </w:rPr>
              <w:t>Thereafter</w:t>
            </w:r>
          </w:p>
        </w:tc>
        <w:tc>
          <w:tcPr>
            <w:tcW w:w="0" w:type="auto"/>
            <w:gridSpan w:val="2"/>
            <w:shd w:val="clear" w:color="auto" w:fill="FFFFFF"/>
            <w:tcMar>
              <w:top w:w="30" w:type="dxa"/>
              <w:left w:w="20" w:type="dxa"/>
              <w:bottom w:w="30" w:type="dxa"/>
              <w:right w:w="0" w:type="dxa"/>
            </w:tcMar>
            <w:vAlign w:val="bottom"/>
            <w:hideMark/>
          </w:tcPr>
          <w:p w14:paraId="129C5B71" w14:textId="77777777" w:rsidR="00000000" w:rsidRDefault="00E614A4">
            <w:pPr>
              <w:jc w:val="right"/>
              <w:rPr>
                <w:rFonts w:eastAsia="Times New Roman"/>
              </w:rPr>
            </w:pPr>
            <w:r>
              <w:rPr>
                <w:rFonts w:eastAsia="Times New Roman"/>
                <w:color w:val="000000"/>
                <w:sz w:val="18"/>
                <w:szCs w:val="18"/>
              </w:rPr>
              <w:t>14,283 </w:t>
            </w:r>
          </w:p>
        </w:tc>
        <w:tc>
          <w:tcPr>
            <w:tcW w:w="0" w:type="auto"/>
            <w:shd w:val="clear" w:color="auto" w:fill="FFFFFF"/>
            <w:tcMar>
              <w:top w:w="30" w:type="dxa"/>
              <w:left w:w="0" w:type="dxa"/>
              <w:bottom w:w="30" w:type="dxa"/>
              <w:right w:w="20" w:type="dxa"/>
            </w:tcMar>
            <w:vAlign w:val="bottom"/>
            <w:hideMark/>
          </w:tcPr>
          <w:p w14:paraId="136CADE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95FE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1C01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F42181" w14:textId="77777777" w:rsidR="00000000" w:rsidRDefault="00E614A4">
            <w:pPr>
              <w:jc w:val="right"/>
              <w:rPr>
                <w:rFonts w:eastAsia="Times New Roman"/>
              </w:rPr>
            </w:pPr>
          </w:p>
        </w:tc>
      </w:tr>
      <w:tr w:rsidR="00000000" w14:paraId="6497D1A2" w14:textId="77777777">
        <w:trPr>
          <w:divId w:val="1385985675"/>
          <w:jc w:val="center"/>
        </w:trPr>
        <w:tc>
          <w:tcPr>
            <w:tcW w:w="0" w:type="auto"/>
            <w:gridSpan w:val="3"/>
            <w:shd w:val="clear" w:color="auto" w:fill="CCEEFF"/>
            <w:tcMar>
              <w:top w:w="30" w:type="dxa"/>
              <w:left w:w="20" w:type="dxa"/>
              <w:bottom w:w="30" w:type="dxa"/>
              <w:right w:w="20" w:type="dxa"/>
            </w:tcMar>
            <w:hideMark/>
          </w:tcPr>
          <w:p w14:paraId="08F0E77B" w14:textId="77777777" w:rsidR="00000000" w:rsidRDefault="00E614A4">
            <w:pPr>
              <w:rPr>
                <w:rFonts w:eastAsia="Times New Roman"/>
              </w:rPr>
            </w:pPr>
            <w:r>
              <w:rPr>
                <w:rFonts w:eastAsia="Times New Roman"/>
                <w:color w:val="000000"/>
                <w:sz w:val="18"/>
                <w:szCs w:val="18"/>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ED0705" w14:textId="77777777" w:rsidR="00000000" w:rsidRDefault="00E614A4">
            <w:pPr>
              <w:jc w:val="right"/>
              <w:rPr>
                <w:rFonts w:eastAsia="Times New Roman"/>
              </w:rPr>
            </w:pPr>
            <w:r>
              <w:rPr>
                <w:rFonts w:eastAsia="Times New Roman"/>
                <w:color w:val="000000"/>
                <w:sz w:val="18"/>
                <w:szCs w:val="18"/>
              </w:rPr>
              <w:t>62,900 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32FA2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43C0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6FD4C6" w14:textId="77777777" w:rsidR="00000000" w:rsidRDefault="00E614A4">
            <w:pPr>
              <w:jc w:val="right"/>
              <w:rPr>
                <w:rFonts w:eastAsia="Times New Roman"/>
              </w:rPr>
            </w:pPr>
            <w:r>
              <w:rPr>
                <w:rFonts w:eastAsia="Times New Roman"/>
                <w:color w:val="000000"/>
                <w:sz w:val="18"/>
                <w:szCs w:val="18"/>
              </w:rPr>
              <w:t>3,476 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428FEB" w14:textId="77777777" w:rsidR="00000000" w:rsidRDefault="00E614A4">
            <w:pPr>
              <w:jc w:val="right"/>
              <w:rPr>
                <w:rFonts w:eastAsia="Times New Roman"/>
              </w:rPr>
            </w:pPr>
          </w:p>
        </w:tc>
      </w:tr>
      <w:tr w:rsidR="00000000" w14:paraId="5DAC8CF1" w14:textId="77777777">
        <w:trPr>
          <w:divId w:val="1385985675"/>
          <w:jc w:val="center"/>
        </w:trPr>
        <w:tc>
          <w:tcPr>
            <w:tcW w:w="0" w:type="auto"/>
            <w:gridSpan w:val="3"/>
            <w:shd w:val="clear" w:color="auto" w:fill="FFFFFF"/>
            <w:tcMar>
              <w:top w:w="30" w:type="dxa"/>
              <w:left w:w="20" w:type="dxa"/>
              <w:bottom w:w="30" w:type="dxa"/>
              <w:right w:w="20" w:type="dxa"/>
            </w:tcMar>
            <w:hideMark/>
          </w:tcPr>
          <w:p w14:paraId="2F521496" w14:textId="77777777" w:rsidR="00000000" w:rsidRDefault="00E614A4">
            <w:pPr>
              <w:rPr>
                <w:rFonts w:eastAsia="Times New Roman"/>
              </w:rPr>
            </w:pPr>
            <w:r>
              <w:rPr>
                <w:rFonts w:eastAsia="Times New Roman"/>
                <w:color w:val="000000"/>
                <w:sz w:val="18"/>
                <w:szCs w:val="18"/>
              </w:rPr>
              <w:t>Less: imputed interest</w:t>
            </w:r>
          </w:p>
        </w:tc>
        <w:tc>
          <w:tcPr>
            <w:tcW w:w="0" w:type="auto"/>
            <w:gridSpan w:val="2"/>
            <w:shd w:val="clear" w:color="auto" w:fill="FFFFFF"/>
            <w:tcMar>
              <w:top w:w="30" w:type="dxa"/>
              <w:left w:w="20" w:type="dxa"/>
              <w:bottom w:w="30" w:type="dxa"/>
              <w:right w:w="0" w:type="dxa"/>
            </w:tcMar>
            <w:vAlign w:val="bottom"/>
            <w:hideMark/>
          </w:tcPr>
          <w:p w14:paraId="7AEC8512" w14:textId="77777777" w:rsidR="00000000" w:rsidRDefault="00E614A4">
            <w:pPr>
              <w:jc w:val="right"/>
              <w:rPr>
                <w:rFonts w:eastAsia="Times New Roman"/>
              </w:rPr>
            </w:pPr>
            <w:r>
              <w:rPr>
                <w:rFonts w:eastAsia="Times New Roman"/>
                <w:color w:val="000000"/>
                <w:sz w:val="18"/>
                <w:szCs w:val="18"/>
              </w:rPr>
              <w:t>(19,749)</w:t>
            </w:r>
          </w:p>
        </w:tc>
        <w:tc>
          <w:tcPr>
            <w:tcW w:w="0" w:type="auto"/>
            <w:shd w:val="clear" w:color="auto" w:fill="FFFFFF"/>
            <w:tcMar>
              <w:top w:w="30" w:type="dxa"/>
              <w:left w:w="0" w:type="dxa"/>
              <w:bottom w:w="30" w:type="dxa"/>
              <w:right w:w="20" w:type="dxa"/>
            </w:tcMar>
            <w:vAlign w:val="bottom"/>
            <w:hideMark/>
          </w:tcPr>
          <w:p w14:paraId="5EBA07C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99AC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43F905" w14:textId="77777777" w:rsidR="00000000" w:rsidRDefault="00E614A4">
            <w:pPr>
              <w:jc w:val="right"/>
              <w:rPr>
                <w:rFonts w:eastAsia="Times New Roman"/>
              </w:rPr>
            </w:pPr>
            <w:r>
              <w:rPr>
                <w:rFonts w:eastAsia="Times New Roman"/>
                <w:color w:val="000000"/>
                <w:sz w:val="18"/>
                <w:szCs w:val="18"/>
              </w:rPr>
              <w:t>(343)</w:t>
            </w:r>
          </w:p>
        </w:tc>
        <w:tc>
          <w:tcPr>
            <w:tcW w:w="0" w:type="auto"/>
            <w:shd w:val="clear" w:color="auto" w:fill="FFFFFF"/>
            <w:tcMar>
              <w:top w:w="30" w:type="dxa"/>
              <w:left w:w="0" w:type="dxa"/>
              <w:bottom w:w="30" w:type="dxa"/>
              <w:right w:w="20" w:type="dxa"/>
            </w:tcMar>
            <w:vAlign w:val="bottom"/>
            <w:hideMark/>
          </w:tcPr>
          <w:p w14:paraId="20B51327" w14:textId="77777777" w:rsidR="00000000" w:rsidRDefault="00E614A4">
            <w:pPr>
              <w:jc w:val="right"/>
              <w:rPr>
                <w:rFonts w:eastAsia="Times New Roman"/>
              </w:rPr>
            </w:pPr>
          </w:p>
        </w:tc>
      </w:tr>
      <w:tr w:rsidR="00000000" w14:paraId="6A7497F3" w14:textId="77777777">
        <w:trPr>
          <w:divId w:val="1385985675"/>
          <w:jc w:val="center"/>
        </w:trPr>
        <w:tc>
          <w:tcPr>
            <w:tcW w:w="0" w:type="auto"/>
            <w:gridSpan w:val="3"/>
            <w:shd w:val="clear" w:color="auto" w:fill="CCEEFF"/>
            <w:tcMar>
              <w:top w:w="30" w:type="dxa"/>
              <w:left w:w="20" w:type="dxa"/>
              <w:bottom w:w="30" w:type="dxa"/>
              <w:right w:w="20" w:type="dxa"/>
            </w:tcMar>
            <w:hideMark/>
          </w:tcPr>
          <w:p w14:paraId="3FA7E838" w14:textId="77777777" w:rsidR="00000000" w:rsidRDefault="00E614A4">
            <w:pPr>
              <w:rPr>
                <w:rFonts w:eastAsia="Times New Roman"/>
              </w:rPr>
            </w:pPr>
            <w:r>
              <w:rPr>
                <w:rFonts w:eastAsia="Times New Roman"/>
                <w:color w:val="000000"/>
                <w:sz w:val="18"/>
                <w:szCs w:val="18"/>
              </w:rPr>
              <w:t>Total lease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84910D" w14:textId="77777777" w:rsidR="00000000" w:rsidRDefault="00E614A4">
            <w:pPr>
              <w:jc w:val="right"/>
              <w:rPr>
                <w:rFonts w:eastAsia="Times New Roman"/>
              </w:rPr>
            </w:pPr>
            <w:r>
              <w:rPr>
                <w:rFonts w:eastAsia="Times New Roman"/>
                <w:color w:val="000000"/>
                <w:sz w:val="18"/>
                <w:szCs w:val="18"/>
              </w:rPr>
              <w:t>43,151 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BD57F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594EC"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8EFFEB" w14:textId="77777777" w:rsidR="00000000" w:rsidRDefault="00E614A4">
            <w:pPr>
              <w:jc w:val="right"/>
              <w:rPr>
                <w:rFonts w:eastAsia="Times New Roman"/>
              </w:rPr>
            </w:pPr>
            <w:r>
              <w:rPr>
                <w:rFonts w:eastAsia="Times New Roman"/>
                <w:color w:val="000000"/>
                <w:sz w:val="18"/>
                <w:szCs w:val="18"/>
              </w:rPr>
              <w:t>3,133 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FCC093" w14:textId="77777777" w:rsidR="00000000" w:rsidRDefault="00E614A4">
            <w:pPr>
              <w:jc w:val="right"/>
              <w:rPr>
                <w:rFonts w:eastAsia="Times New Roman"/>
              </w:rPr>
            </w:pPr>
          </w:p>
        </w:tc>
      </w:tr>
      <w:tr w:rsidR="00000000" w14:paraId="44ABC707" w14:textId="77777777">
        <w:trPr>
          <w:divId w:val="1385985675"/>
          <w:jc w:val="center"/>
        </w:trPr>
        <w:tc>
          <w:tcPr>
            <w:tcW w:w="0" w:type="auto"/>
            <w:gridSpan w:val="3"/>
            <w:shd w:val="clear" w:color="auto" w:fill="FFFFFF"/>
            <w:tcMar>
              <w:top w:w="30" w:type="dxa"/>
              <w:left w:w="20" w:type="dxa"/>
              <w:bottom w:w="30" w:type="dxa"/>
              <w:right w:w="20" w:type="dxa"/>
            </w:tcMar>
            <w:hideMark/>
          </w:tcPr>
          <w:p w14:paraId="15F6293C" w14:textId="77777777" w:rsidR="00000000" w:rsidRDefault="00E614A4">
            <w:pPr>
              <w:rPr>
                <w:rFonts w:eastAsia="Times New Roman"/>
              </w:rPr>
            </w:pPr>
            <w:r>
              <w:rPr>
                <w:rFonts w:eastAsia="Times New Roman"/>
                <w:color w:val="000000"/>
                <w:sz w:val="18"/>
                <w:szCs w:val="18"/>
              </w:rPr>
              <w:t>Less: current lease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98A21D" w14:textId="77777777" w:rsidR="00000000" w:rsidRDefault="00E614A4">
            <w:pPr>
              <w:jc w:val="right"/>
              <w:rPr>
                <w:rFonts w:eastAsia="Times New Roman"/>
              </w:rPr>
            </w:pPr>
            <w:r>
              <w:rPr>
                <w:rFonts w:eastAsia="Times New Roman"/>
                <w:color w:val="000000"/>
                <w:sz w:val="18"/>
                <w:szCs w:val="18"/>
              </w:rPr>
              <w:t>(7,024)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8FF8A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3928F"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5A5B01" w14:textId="77777777" w:rsidR="00000000" w:rsidRDefault="00E614A4">
            <w:pPr>
              <w:jc w:val="right"/>
              <w:rPr>
                <w:rFonts w:eastAsia="Times New Roman"/>
              </w:rPr>
            </w:pPr>
            <w:r>
              <w:rPr>
                <w:rFonts w:eastAsia="Times New Roman"/>
                <w:color w:val="000000"/>
                <w:sz w:val="18"/>
                <w:szCs w:val="18"/>
              </w:rPr>
              <w:t>(1,922)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621425" w14:textId="77777777" w:rsidR="00000000" w:rsidRDefault="00E614A4">
            <w:pPr>
              <w:jc w:val="right"/>
              <w:rPr>
                <w:rFonts w:eastAsia="Times New Roman"/>
              </w:rPr>
            </w:pPr>
          </w:p>
        </w:tc>
      </w:tr>
      <w:tr w:rsidR="00000000" w14:paraId="0266D593" w14:textId="77777777">
        <w:trPr>
          <w:divId w:val="1385985675"/>
          <w:jc w:val="center"/>
        </w:trPr>
        <w:tc>
          <w:tcPr>
            <w:tcW w:w="0" w:type="auto"/>
            <w:gridSpan w:val="3"/>
            <w:shd w:val="clear" w:color="auto" w:fill="CCEEFF"/>
            <w:tcMar>
              <w:top w:w="30" w:type="dxa"/>
              <w:left w:w="20" w:type="dxa"/>
              <w:bottom w:w="30" w:type="dxa"/>
              <w:right w:w="20" w:type="dxa"/>
            </w:tcMar>
            <w:hideMark/>
          </w:tcPr>
          <w:p w14:paraId="0CFF2D7D" w14:textId="77777777" w:rsidR="00000000" w:rsidRDefault="00E614A4">
            <w:pPr>
              <w:rPr>
                <w:rFonts w:eastAsia="Times New Roman"/>
              </w:rPr>
            </w:pPr>
            <w:r>
              <w:rPr>
                <w:rFonts w:eastAsia="Times New Roman"/>
                <w:color w:val="000000"/>
                <w:sz w:val="18"/>
                <w:szCs w:val="18"/>
              </w:rPr>
              <w:t>Total non-current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80D50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782A81" w14:textId="77777777" w:rsidR="00000000" w:rsidRDefault="00E614A4">
            <w:pPr>
              <w:jc w:val="right"/>
              <w:rPr>
                <w:rFonts w:eastAsia="Times New Roman"/>
              </w:rPr>
            </w:pPr>
            <w:r>
              <w:rPr>
                <w:rFonts w:eastAsia="Times New Roman"/>
                <w:color w:val="000000"/>
                <w:sz w:val="18"/>
                <w:szCs w:val="18"/>
              </w:rPr>
              <w:t>36,127 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0377F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E4E85"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B70D9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9172CA" w14:textId="77777777" w:rsidR="00000000" w:rsidRDefault="00E614A4">
            <w:pPr>
              <w:jc w:val="right"/>
              <w:rPr>
                <w:rFonts w:eastAsia="Times New Roman"/>
              </w:rPr>
            </w:pPr>
            <w:r>
              <w:rPr>
                <w:rFonts w:eastAsia="Times New Roman"/>
                <w:color w:val="000000"/>
                <w:sz w:val="18"/>
                <w:szCs w:val="18"/>
              </w:rPr>
              <w:t>1,211 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ED5871" w14:textId="77777777" w:rsidR="00000000" w:rsidRDefault="00E614A4">
            <w:pPr>
              <w:jc w:val="right"/>
              <w:rPr>
                <w:rFonts w:eastAsia="Times New Roman"/>
              </w:rPr>
            </w:pPr>
          </w:p>
        </w:tc>
      </w:tr>
    </w:tbl>
    <w:p w14:paraId="3E1C18CE" w14:textId="77777777" w:rsidR="00000000" w:rsidRDefault="00E614A4">
      <w:pPr>
        <w:jc w:val="both"/>
        <w:divId w:val="1593974296"/>
        <w:rPr>
          <w:rFonts w:eastAsia="Times New Roman"/>
        </w:rPr>
      </w:pPr>
      <w:r>
        <w:rPr>
          <w:rFonts w:eastAsia="Times New Roman"/>
          <w:color w:val="000000"/>
          <w:sz w:val="20"/>
          <w:szCs w:val="20"/>
        </w:rPr>
        <w:t>As of December 31, 2020, the Company subleases seven real estate properties. One sublease has a noncancelable term of less than one year. The remaining six subleases are noncancelable and have remaining lease terms of two years to seven years. None of thes</w:t>
      </w:r>
      <w:r>
        <w:rPr>
          <w:rFonts w:eastAsia="Times New Roman"/>
          <w:color w:val="000000"/>
          <w:sz w:val="20"/>
          <w:szCs w:val="20"/>
        </w:rPr>
        <w:t>e subleases contain any options to renew or terminate the sublease agreement. Future expected cash receipts from these subleases as of December 31, 2020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7069"/>
        <w:gridCol w:w="36"/>
        <w:gridCol w:w="111"/>
        <w:gridCol w:w="999"/>
        <w:gridCol w:w="36"/>
      </w:tblGrid>
      <w:tr w:rsidR="00000000" w14:paraId="6578705E" w14:textId="77777777">
        <w:trPr>
          <w:divId w:val="474179467"/>
          <w:jc w:val="center"/>
        </w:trPr>
        <w:tc>
          <w:tcPr>
            <w:tcW w:w="50" w:type="pct"/>
            <w:vAlign w:val="center"/>
            <w:hideMark/>
          </w:tcPr>
          <w:p w14:paraId="56F07DB7" w14:textId="77777777" w:rsidR="00000000" w:rsidRDefault="00E614A4">
            <w:pPr>
              <w:jc w:val="both"/>
              <w:rPr>
                <w:rFonts w:eastAsia="Times New Roman"/>
              </w:rPr>
            </w:pPr>
          </w:p>
        </w:tc>
        <w:tc>
          <w:tcPr>
            <w:tcW w:w="4271" w:type="pct"/>
            <w:vAlign w:val="center"/>
            <w:hideMark/>
          </w:tcPr>
          <w:p w14:paraId="6313AF05" w14:textId="77777777" w:rsidR="00000000" w:rsidRDefault="00E614A4">
            <w:pPr>
              <w:rPr>
                <w:rFonts w:eastAsia="Times New Roman"/>
                <w:sz w:val="20"/>
                <w:szCs w:val="20"/>
              </w:rPr>
            </w:pPr>
          </w:p>
        </w:tc>
        <w:tc>
          <w:tcPr>
            <w:tcW w:w="5" w:type="pct"/>
            <w:vAlign w:val="center"/>
            <w:hideMark/>
          </w:tcPr>
          <w:p w14:paraId="052E2EFB" w14:textId="77777777" w:rsidR="00000000" w:rsidRDefault="00E614A4">
            <w:pPr>
              <w:rPr>
                <w:rFonts w:eastAsia="Times New Roman"/>
                <w:sz w:val="20"/>
                <w:szCs w:val="20"/>
              </w:rPr>
            </w:pPr>
          </w:p>
        </w:tc>
        <w:tc>
          <w:tcPr>
            <w:tcW w:w="50" w:type="pct"/>
            <w:vAlign w:val="center"/>
            <w:hideMark/>
          </w:tcPr>
          <w:p w14:paraId="57CD16B1" w14:textId="77777777" w:rsidR="00000000" w:rsidRDefault="00E614A4">
            <w:pPr>
              <w:rPr>
                <w:rFonts w:eastAsia="Times New Roman"/>
                <w:sz w:val="20"/>
                <w:szCs w:val="20"/>
              </w:rPr>
            </w:pPr>
          </w:p>
        </w:tc>
        <w:tc>
          <w:tcPr>
            <w:tcW w:w="618" w:type="pct"/>
            <w:vAlign w:val="center"/>
            <w:hideMark/>
          </w:tcPr>
          <w:p w14:paraId="71EC7763" w14:textId="77777777" w:rsidR="00000000" w:rsidRDefault="00E614A4">
            <w:pPr>
              <w:rPr>
                <w:rFonts w:eastAsia="Times New Roman"/>
                <w:sz w:val="20"/>
                <w:szCs w:val="20"/>
              </w:rPr>
            </w:pPr>
          </w:p>
        </w:tc>
        <w:tc>
          <w:tcPr>
            <w:tcW w:w="5" w:type="pct"/>
            <w:vAlign w:val="center"/>
            <w:hideMark/>
          </w:tcPr>
          <w:p w14:paraId="17AD112C" w14:textId="77777777" w:rsidR="00000000" w:rsidRDefault="00E614A4">
            <w:pPr>
              <w:rPr>
                <w:rFonts w:eastAsia="Times New Roman"/>
                <w:sz w:val="20"/>
                <w:szCs w:val="20"/>
              </w:rPr>
            </w:pPr>
          </w:p>
        </w:tc>
      </w:tr>
      <w:tr w:rsidR="00000000" w14:paraId="5CB3F001" w14:textId="77777777">
        <w:trPr>
          <w:divId w:val="474179467"/>
          <w:jc w:val="center"/>
        </w:trPr>
        <w:tc>
          <w:tcPr>
            <w:tcW w:w="0" w:type="auto"/>
            <w:gridSpan w:val="3"/>
            <w:tcMar>
              <w:top w:w="30" w:type="dxa"/>
              <w:left w:w="20" w:type="dxa"/>
              <w:bottom w:w="30" w:type="dxa"/>
              <w:right w:w="20" w:type="dxa"/>
            </w:tcMar>
            <w:vAlign w:val="bottom"/>
            <w:hideMark/>
          </w:tcPr>
          <w:p w14:paraId="587BA681"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center"/>
            <w:hideMark/>
          </w:tcPr>
          <w:p w14:paraId="1AAF9355" w14:textId="77777777" w:rsidR="00000000" w:rsidRDefault="00E614A4">
            <w:pPr>
              <w:jc w:val="center"/>
              <w:rPr>
                <w:rFonts w:eastAsia="Times New Roman"/>
              </w:rPr>
            </w:pPr>
            <w:r>
              <w:rPr>
                <w:rFonts w:eastAsia="Times New Roman"/>
                <w:b/>
                <w:bCs/>
                <w:color w:val="000000"/>
                <w:sz w:val="16"/>
                <w:szCs w:val="16"/>
              </w:rPr>
              <w:t>Sublease Receipts</w:t>
            </w:r>
          </w:p>
        </w:tc>
      </w:tr>
      <w:tr w:rsidR="00000000" w14:paraId="24D3F841" w14:textId="77777777">
        <w:trPr>
          <w:divId w:val="474179467"/>
          <w:jc w:val="center"/>
        </w:trPr>
        <w:tc>
          <w:tcPr>
            <w:tcW w:w="0" w:type="auto"/>
            <w:gridSpan w:val="3"/>
            <w:shd w:val="clear" w:color="auto" w:fill="CCEEFF"/>
            <w:tcMar>
              <w:top w:w="30" w:type="dxa"/>
              <w:left w:w="20" w:type="dxa"/>
              <w:bottom w:w="30" w:type="dxa"/>
              <w:right w:w="20" w:type="dxa"/>
            </w:tcMar>
            <w:hideMark/>
          </w:tcPr>
          <w:p w14:paraId="7E0B452E" w14:textId="77777777" w:rsidR="00000000" w:rsidRDefault="00E614A4">
            <w:pPr>
              <w:rPr>
                <w:rFonts w:eastAsia="Times New Roman"/>
              </w:rPr>
            </w:pPr>
            <w:r>
              <w:rPr>
                <w:rFonts w:eastAsia="Times New Roman"/>
                <w:color w:val="000000"/>
                <w:sz w:val="18"/>
                <w:szCs w:val="18"/>
              </w:rPr>
              <w:t>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69E85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039B3D" w14:textId="77777777" w:rsidR="00000000" w:rsidRDefault="00E614A4">
            <w:pPr>
              <w:jc w:val="right"/>
              <w:rPr>
                <w:rFonts w:eastAsia="Times New Roman"/>
              </w:rPr>
            </w:pPr>
            <w:r>
              <w:rPr>
                <w:rFonts w:eastAsia="Times New Roman"/>
                <w:color w:val="000000"/>
                <w:sz w:val="18"/>
                <w:szCs w:val="18"/>
              </w:rPr>
              <w:t>2,416 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674522" w14:textId="77777777" w:rsidR="00000000" w:rsidRDefault="00E614A4">
            <w:pPr>
              <w:jc w:val="right"/>
              <w:rPr>
                <w:rFonts w:eastAsia="Times New Roman"/>
              </w:rPr>
            </w:pPr>
          </w:p>
        </w:tc>
      </w:tr>
      <w:tr w:rsidR="00000000" w14:paraId="4D9BACB3" w14:textId="77777777">
        <w:trPr>
          <w:divId w:val="474179467"/>
          <w:jc w:val="center"/>
        </w:trPr>
        <w:tc>
          <w:tcPr>
            <w:tcW w:w="0" w:type="auto"/>
            <w:gridSpan w:val="3"/>
            <w:shd w:val="clear" w:color="auto" w:fill="FFFFFF"/>
            <w:tcMar>
              <w:top w:w="30" w:type="dxa"/>
              <w:left w:w="20" w:type="dxa"/>
              <w:bottom w:w="30" w:type="dxa"/>
              <w:right w:w="20" w:type="dxa"/>
            </w:tcMar>
            <w:hideMark/>
          </w:tcPr>
          <w:p w14:paraId="72E7935A" w14:textId="77777777" w:rsidR="00000000" w:rsidRDefault="00E614A4">
            <w:pPr>
              <w:rPr>
                <w:rFonts w:eastAsia="Times New Roman"/>
              </w:rPr>
            </w:pPr>
            <w:r>
              <w:rPr>
                <w:rFonts w:eastAsia="Times New Roman"/>
                <w:color w:val="000000"/>
                <w:sz w:val="18"/>
                <w:szCs w:val="18"/>
              </w:rPr>
              <w:t>2022</w:t>
            </w:r>
          </w:p>
        </w:tc>
        <w:tc>
          <w:tcPr>
            <w:tcW w:w="0" w:type="auto"/>
            <w:gridSpan w:val="2"/>
            <w:shd w:val="clear" w:color="auto" w:fill="FFFFFF"/>
            <w:tcMar>
              <w:top w:w="30" w:type="dxa"/>
              <w:left w:w="20" w:type="dxa"/>
              <w:bottom w:w="30" w:type="dxa"/>
              <w:right w:w="0" w:type="dxa"/>
            </w:tcMar>
            <w:vAlign w:val="bottom"/>
            <w:hideMark/>
          </w:tcPr>
          <w:p w14:paraId="390CD74F" w14:textId="77777777" w:rsidR="00000000" w:rsidRDefault="00E614A4">
            <w:pPr>
              <w:jc w:val="right"/>
              <w:rPr>
                <w:rFonts w:eastAsia="Times New Roman"/>
              </w:rPr>
            </w:pPr>
            <w:r>
              <w:rPr>
                <w:rFonts w:eastAsia="Times New Roman"/>
                <w:color w:val="000000"/>
                <w:sz w:val="18"/>
                <w:szCs w:val="18"/>
              </w:rPr>
              <w:t>2,430 </w:t>
            </w:r>
          </w:p>
        </w:tc>
        <w:tc>
          <w:tcPr>
            <w:tcW w:w="0" w:type="auto"/>
            <w:shd w:val="clear" w:color="auto" w:fill="FFFFFF"/>
            <w:tcMar>
              <w:top w:w="30" w:type="dxa"/>
              <w:left w:w="0" w:type="dxa"/>
              <w:bottom w:w="30" w:type="dxa"/>
              <w:right w:w="20" w:type="dxa"/>
            </w:tcMar>
            <w:vAlign w:val="bottom"/>
            <w:hideMark/>
          </w:tcPr>
          <w:p w14:paraId="3CACD607" w14:textId="77777777" w:rsidR="00000000" w:rsidRDefault="00E614A4">
            <w:pPr>
              <w:jc w:val="right"/>
              <w:rPr>
                <w:rFonts w:eastAsia="Times New Roman"/>
              </w:rPr>
            </w:pPr>
          </w:p>
        </w:tc>
      </w:tr>
      <w:tr w:rsidR="00000000" w14:paraId="688652A9" w14:textId="77777777">
        <w:trPr>
          <w:divId w:val="474179467"/>
          <w:jc w:val="center"/>
        </w:trPr>
        <w:tc>
          <w:tcPr>
            <w:tcW w:w="0" w:type="auto"/>
            <w:gridSpan w:val="3"/>
            <w:shd w:val="clear" w:color="auto" w:fill="CCEEFF"/>
            <w:tcMar>
              <w:top w:w="30" w:type="dxa"/>
              <w:left w:w="20" w:type="dxa"/>
              <w:bottom w:w="30" w:type="dxa"/>
              <w:right w:w="20" w:type="dxa"/>
            </w:tcMar>
            <w:hideMark/>
          </w:tcPr>
          <w:p w14:paraId="683D26EB" w14:textId="77777777" w:rsidR="00000000" w:rsidRDefault="00E614A4">
            <w:pPr>
              <w:rPr>
                <w:rFonts w:eastAsia="Times New Roman"/>
              </w:rPr>
            </w:pPr>
            <w:r>
              <w:rPr>
                <w:rFonts w:eastAsia="Times New Roman"/>
                <w:color w:val="000000"/>
                <w:sz w:val="18"/>
                <w:szCs w:val="18"/>
              </w:rPr>
              <w:t>2023</w:t>
            </w:r>
          </w:p>
        </w:tc>
        <w:tc>
          <w:tcPr>
            <w:tcW w:w="0" w:type="auto"/>
            <w:gridSpan w:val="2"/>
            <w:shd w:val="clear" w:color="auto" w:fill="CCEEFF"/>
            <w:tcMar>
              <w:top w:w="30" w:type="dxa"/>
              <w:left w:w="20" w:type="dxa"/>
              <w:bottom w:w="30" w:type="dxa"/>
              <w:right w:w="0" w:type="dxa"/>
            </w:tcMar>
            <w:vAlign w:val="bottom"/>
            <w:hideMark/>
          </w:tcPr>
          <w:p w14:paraId="0D0AE1B0" w14:textId="77777777" w:rsidR="00000000" w:rsidRDefault="00E614A4">
            <w:pPr>
              <w:jc w:val="right"/>
              <w:rPr>
                <w:rFonts w:eastAsia="Times New Roman"/>
              </w:rPr>
            </w:pPr>
            <w:r>
              <w:rPr>
                <w:rFonts w:eastAsia="Times New Roman"/>
                <w:color w:val="000000"/>
                <w:sz w:val="18"/>
                <w:szCs w:val="18"/>
              </w:rPr>
              <w:t>1,522 </w:t>
            </w:r>
          </w:p>
        </w:tc>
        <w:tc>
          <w:tcPr>
            <w:tcW w:w="0" w:type="auto"/>
            <w:shd w:val="clear" w:color="auto" w:fill="CCEEFF"/>
            <w:tcMar>
              <w:top w:w="30" w:type="dxa"/>
              <w:left w:w="0" w:type="dxa"/>
              <w:bottom w:w="30" w:type="dxa"/>
              <w:right w:w="20" w:type="dxa"/>
            </w:tcMar>
            <w:vAlign w:val="bottom"/>
            <w:hideMark/>
          </w:tcPr>
          <w:p w14:paraId="7580C805" w14:textId="77777777" w:rsidR="00000000" w:rsidRDefault="00E614A4">
            <w:pPr>
              <w:jc w:val="right"/>
              <w:rPr>
                <w:rFonts w:eastAsia="Times New Roman"/>
              </w:rPr>
            </w:pPr>
          </w:p>
        </w:tc>
      </w:tr>
      <w:tr w:rsidR="00000000" w14:paraId="2A921A06" w14:textId="77777777">
        <w:trPr>
          <w:divId w:val="474179467"/>
          <w:jc w:val="center"/>
        </w:trPr>
        <w:tc>
          <w:tcPr>
            <w:tcW w:w="0" w:type="auto"/>
            <w:gridSpan w:val="3"/>
            <w:shd w:val="clear" w:color="auto" w:fill="FFFFFF"/>
            <w:tcMar>
              <w:top w:w="30" w:type="dxa"/>
              <w:left w:w="20" w:type="dxa"/>
              <w:bottom w:w="30" w:type="dxa"/>
              <w:right w:w="20" w:type="dxa"/>
            </w:tcMar>
            <w:hideMark/>
          </w:tcPr>
          <w:p w14:paraId="041E1E80" w14:textId="77777777" w:rsidR="00000000" w:rsidRDefault="00E614A4">
            <w:pPr>
              <w:rPr>
                <w:rFonts w:eastAsia="Times New Roman"/>
              </w:rPr>
            </w:pPr>
            <w:r>
              <w:rPr>
                <w:rFonts w:eastAsia="Times New Roman"/>
                <w:color w:val="000000"/>
                <w:sz w:val="18"/>
                <w:szCs w:val="18"/>
              </w:rPr>
              <w:t>2024</w:t>
            </w:r>
          </w:p>
        </w:tc>
        <w:tc>
          <w:tcPr>
            <w:tcW w:w="0" w:type="auto"/>
            <w:gridSpan w:val="2"/>
            <w:shd w:val="clear" w:color="auto" w:fill="FFFFFF"/>
            <w:tcMar>
              <w:top w:w="30" w:type="dxa"/>
              <w:left w:w="20" w:type="dxa"/>
              <w:bottom w:w="30" w:type="dxa"/>
              <w:right w:w="0" w:type="dxa"/>
            </w:tcMar>
            <w:vAlign w:val="bottom"/>
            <w:hideMark/>
          </w:tcPr>
          <w:p w14:paraId="1284C6B4" w14:textId="77777777" w:rsidR="00000000" w:rsidRDefault="00E614A4">
            <w:pPr>
              <w:jc w:val="right"/>
              <w:rPr>
                <w:rFonts w:eastAsia="Times New Roman"/>
              </w:rPr>
            </w:pPr>
            <w:r>
              <w:rPr>
                <w:rFonts w:eastAsia="Times New Roman"/>
                <w:color w:val="000000"/>
                <w:sz w:val="18"/>
                <w:szCs w:val="18"/>
              </w:rPr>
              <w:t>1,080 </w:t>
            </w:r>
          </w:p>
        </w:tc>
        <w:tc>
          <w:tcPr>
            <w:tcW w:w="0" w:type="auto"/>
            <w:shd w:val="clear" w:color="auto" w:fill="FFFFFF"/>
            <w:tcMar>
              <w:top w:w="30" w:type="dxa"/>
              <w:left w:w="0" w:type="dxa"/>
              <w:bottom w:w="30" w:type="dxa"/>
              <w:right w:w="20" w:type="dxa"/>
            </w:tcMar>
            <w:vAlign w:val="bottom"/>
            <w:hideMark/>
          </w:tcPr>
          <w:p w14:paraId="0AC7B5B2" w14:textId="77777777" w:rsidR="00000000" w:rsidRDefault="00E614A4">
            <w:pPr>
              <w:jc w:val="right"/>
              <w:rPr>
                <w:rFonts w:eastAsia="Times New Roman"/>
              </w:rPr>
            </w:pPr>
          </w:p>
        </w:tc>
      </w:tr>
      <w:tr w:rsidR="00000000" w14:paraId="4DC6ED09" w14:textId="77777777">
        <w:trPr>
          <w:divId w:val="474179467"/>
          <w:jc w:val="center"/>
        </w:trPr>
        <w:tc>
          <w:tcPr>
            <w:tcW w:w="0" w:type="auto"/>
            <w:gridSpan w:val="3"/>
            <w:shd w:val="clear" w:color="auto" w:fill="CCEEFF"/>
            <w:tcMar>
              <w:top w:w="30" w:type="dxa"/>
              <w:left w:w="20" w:type="dxa"/>
              <w:bottom w:w="30" w:type="dxa"/>
              <w:right w:w="20" w:type="dxa"/>
            </w:tcMar>
            <w:hideMark/>
          </w:tcPr>
          <w:p w14:paraId="41FD2009" w14:textId="77777777" w:rsidR="00000000" w:rsidRDefault="00E614A4">
            <w:pPr>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14:paraId="26C2DA87" w14:textId="77777777" w:rsidR="00000000" w:rsidRDefault="00E614A4">
            <w:pPr>
              <w:jc w:val="right"/>
              <w:rPr>
                <w:rFonts w:eastAsia="Times New Roman"/>
              </w:rPr>
            </w:pPr>
            <w:r>
              <w:rPr>
                <w:rFonts w:eastAsia="Times New Roman"/>
                <w:color w:val="000000"/>
                <w:sz w:val="18"/>
                <w:szCs w:val="18"/>
              </w:rPr>
              <w:t>808 </w:t>
            </w:r>
          </w:p>
        </w:tc>
        <w:tc>
          <w:tcPr>
            <w:tcW w:w="0" w:type="auto"/>
            <w:shd w:val="clear" w:color="auto" w:fill="CCEEFF"/>
            <w:tcMar>
              <w:top w:w="30" w:type="dxa"/>
              <w:left w:w="0" w:type="dxa"/>
              <w:bottom w:w="30" w:type="dxa"/>
              <w:right w:w="20" w:type="dxa"/>
            </w:tcMar>
            <w:vAlign w:val="bottom"/>
            <w:hideMark/>
          </w:tcPr>
          <w:p w14:paraId="1C463E0B" w14:textId="77777777" w:rsidR="00000000" w:rsidRDefault="00E614A4">
            <w:pPr>
              <w:jc w:val="right"/>
              <w:rPr>
                <w:rFonts w:eastAsia="Times New Roman"/>
              </w:rPr>
            </w:pPr>
          </w:p>
        </w:tc>
      </w:tr>
      <w:tr w:rsidR="00000000" w14:paraId="56F2B545" w14:textId="77777777">
        <w:trPr>
          <w:divId w:val="474179467"/>
          <w:jc w:val="center"/>
        </w:trPr>
        <w:tc>
          <w:tcPr>
            <w:tcW w:w="0" w:type="auto"/>
            <w:gridSpan w:val="3"/>
            <w:shd w:val="clear" w:color="auto" w:fill="FFFFFF"/>
            <w:tcMar>
              <w:top w:w="30" w:type="dxa"/>
              <w:left w:w="20" w:type="dxa"/>
              <w:bottom w:w="30" w:type="dxa"/>
              <w:right w:w="20" w:type="dxa"/>
            </w:tcMar>
            <w:hideMark/>
          </w:tcPr>
          <w:p w14:paraId="63803F38" w14:textId="77777777" w:rsidR="00000000" w:rsidRDefault="00E614A4">
            <w:pPr>
              <w:rPr>
                <w:rFonts w:eastAsia="Times New Roman"/>
              </w:rPr>
            </w:pPr>
            <w:r>
              <w:rPr>
                <w:rFonts w:eastAsia="Times New Roman"/>
                <w:color w:val="000000"/>
                <w:sz w:val="18"/>
                <w:szCs w:val="18"/>
              </w:rPr>
              <w:t>Thereafter</w:t>
            </w:r>
          </w:p>
        </w:tc>
        <w:tc>
          <w:tcPr>
            <w:tcW w:w="0" w:type="auto"/>
            <w:gridSpan w:val="2"/>
            <w:shd w:val="clear" w:color="auto" w:fill="FFFFFF"/>
            <w:tcMar>
              <w:top w:w="30" w:type="dxa"/>
              <w:left w:w="20" w:type="dxa"/>
              <w:bottom w:w="30" w:type="dxa"/>
              <w:right w:w="0" w:type="dxa"/>
            </w:tcMar>
            <w:vAlign w:val="bottom"/>
            <w:hideMark/>
          </w:tcPr>
          <w:p w14:paraId="4A063616" w14:textId="77777777" w:rsidR="00000000" w:rsidRDefault="00E614A4">
            <w:pPr>
              <w:jc w:val="right"/>
              <w:rPr>
                <w:rFonts w:eastAsia="Times New Roman"/>
              </w:rPr>
            </w:pPr>
            <w:r>
              <w:rPr>
                <w:rFonts w:eastAsia="Times New Roman"/>
                <w:color w:val="000000"/>
                <w:sz w:val="18"/>
                <w:szCs w:val="18"/>
              </w:rPr>
              <w:t>1,312 </w:t>
            </w:r>
          </w:p>
        </w:tc>
        <w:tc>
          <w:tcPr>
            <w:tcW w:w="0" w:type="auto"/>
            <w:shd w:val="clear" w:color="auto" w:fill="FFFFFF"/>
            <w:tcMar>
              <w:top w:w="30" w:type="dxa"/>
              <w:left w:w="0" w:type="dxa"/>
              <w:bottom w:w="30" w:type="dxa"/>
              <w:right w:w="20" w:type="dxa"/>
            </w:tcMar>
            <w:vAlign w:val="bottom"/>
            <w:hideMark/>
          </w:tcPr>
          <w:p w14:paraId="6B55D5A9" w14:textId="77777777" w:rsidR="00000000" w:rsidRDefault="00E614A4">
            <w:pPr>
              <w:jc w:val="right"/>
              <w:rPr>
                <w:rFonts w:eastAsia="Times New Roman"/>
              </w:rPr>
            </w:pPr>
          </w:p>
        </w:tc>
      </w:tr>
      <w:tr w:rsidR="00000000" w14:paraId="3D43DCCF" w14:textId="77777777">
        <w:trPr>
          <w:divId w:val="474179467"/>
          <w:jc w:val="center"/>
        </w:trPr>
        <w:tc>
          <w:tcPr>
            <w:tcW w:w="0" w:type="auto"/>
            <w:gridSpan w:val="3"/>
            <w:shd w:val="clear" w:color="auto" w:fill="CCEEFF"/>
            <w:tcMar>
              <w:top w:w="30" w:type="dxa"/>
              <w:left w:w="20" w:type="dxa"/>
              <w:bottom w:w="30" w:type="dxa"/>
              <w:right w:w="20" w:type="dxa"/>
            </w:tcMar>
            <w:hideMark/>
          </w:tcPr>
          <w:p w14:paraId="38210217" w14:textId="77777777" w:rsidR="00000000" w:rsidRDefault="00E614A4">
            <w:pPr>
              <w:rPr>
                <w:rFonts w:eastAsia="Times New Roman"/>
              </w:rPr>
            </w:pPr>
            <w:r>
              <w:rPr>
                <w:rFonts w:eastAsia="Times New Roman"/>
                <w:color w:val="000000"/>
                <w:sz w:val="18"/>
                <w:szCs w:val="18"/>
              </w:rPr>
              <w:t>Total expected sublease receipts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5A070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CC1C6A" w14:textId="77777777" w:rsidR="00000000" w:rsidRDefault="00E614A4">
            <w:pPr>
              <w:jc w:val="right"/>
              <w:rPr>
                <w:rFonts w:eastAsia="Times New Roman"/>
              </w:rPr>
            </w:pPr>
            <w:r>
              <w:rPr>
                <w:rFonts w:eastAsia="Times New Roman"/>
                <w:color w:val="000000"/>
                <w:sz w:val="18"/>
                <w:szCs w:val="18"/>
              </w:rPr>
              <w:t>9,568 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6AE0EE" w14:textId="77777777" w:rsidR="00000000" w:rsidRDefault="00E614A4">
            <w:pPr>
              <w:jc w:val="right"/>
              <w:rPr>
                <w:rFonts w:eastAsia="Times New Roman"/>
              </w:rPr>
            </w:pPr>
          </w:p>
        </w:tc>
      </w:tr>
    </w:tbl>
    <w:p w14:paraId="6F7ABC93" w14:textId="77777777" w:rsidR="00000000" w:rsidRDefault="00E614A4">
      <w:pPr>
        <w:jc w:val="both"/>
        <w:divId w:val="1768114398"/>
        <w:rPr>
          <w:rFonts w:eastAsia="Times New Roman"/>
        </w:rPr>
      </w:pPr>
    </w:p>
    <w:p w14:paraId="52A14944" w14:textId="77777777" w:rsidR="00000000" w:rsidRDefault="00E614A4">
      <w:pPr>
        <w:jc w:val="center"/>
        <w:divId w:val="382566053"/>
        <w:rPr>
          <w:rFonts w:eastAsia="Times New Roman"/>
        </w:rPr>
      </w:pPr>
      <w:r>
        <w:rPr>
          <w:rFonts w:eastAsia="Times New Roman"/>
          <w:color w:val="000000"/>
          <w:sz w:val="20"/>
          <w:szCs w:val="20"/>
        </w:rPr>
        <w:t>89</w:t>
      </w:r>
    </w:p>
    <w:p w14:paraId="108484E8" w14:textId="77777777" w:rsidR="00000000" w:rsidRDefault="00E614A4">
      <w:pPr>
        <w:rPr>
          <w:rFonts w:eastAsia="Times New Roman"/>
        </w:rPr>
      </w:pPr>
      <w:r>
        <w:rPr>
          <w:rFonts w:eastAsia="Times New Roman"/>
        </w:rPr>
        <w:pict w14:anchorId="3A660A3E">
          <v:rect id="_x0000_i1117" style="width:0;height:1.5pt" o:hralign="center" o:hrstd="t" o:hr="t" fillcolor="#a0a0a0" stroked="f"/>
        </w:pict>
      </w:r>
    </w:p>
    <w:p w14:paraId="46EB6B88" w14:textId="77777777" w:rsidR="00000000" w:rsidRDefault="00E614A4">
      <w:pPr>
        <w:divId w:val="214480679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0892389" w14:textId="77777777" w:rsidR="00000000" w:rsidRDefault="00E614A4">
      <w:pPr>
        <w:divId w:val="1993366792"/>
        <w:rPr>
          <w:rFonts w:eastAsia="Times New Roman"/>
        </w:rPr>
      </w:pPr>
    </w:p>
    <w:p w14:paraId="38252486" w14:textId="77777777" w:rsidR="00000000" w:rsidRDefault="00E614A4">
      <w:pPr>
        <w:ind w:hanging="360"/>
        <w:divId w:val="1769963413"/>
        <w:rPr>
          <w:rFonts w:eastAsia="Times New Roman"/>
        </w:rPr>
      </w:pPr>
      <w:r>
        <w:rPr>
          <w:rFonts w:eastAsia="Times New Roman"/>
          <w:b/>
          <w:bCs/>
          <w:color w:val="000000"/>
          <w:sz w:val="20"/>
          <w:szCs w:val="20"/>
        </w:rPr>
        <w:t>9.Goodwill and Intangible Assets</w:t>
      </w:r>
    </w:p>
    <w:p w14:paraId="03F6F5C9" w14:textId="77777777" w:rsidR="00000000" w:rsidRDefault="00E614A4">
      <w:pPr>
        <w:jc w:val="both"/>
        <w:divId w:val="647444758"/>
        <w:rPr>
          <w:rFonts w:eastAsia="Times New Roman"/>
        </w:rPr>
      </w:pPr>
      <w:r>
        <w:rPr>
          <w:rFonts w:eastAsia="Times New Roman"/>
          <w:color w:val="000000"/>
          <w:sz w:val="20"/>
          <w:szCs w:val="20"/>
        </w:rPr>
        <w:t>In 2019, the Company concluded it was more likely t</w:t>
      </w:r>
      <w:r>
        <w:rPr>
          <w:rFonts w:eastAsia="Times New Roman"/>
          <w:color w:val="000000"/>
          <w:sz w:val="20"/>
          <w:szCs w:val="20"/>
        </w:rPr>
        <w:t xml:space="preserve">han not that the estimated fair value of its reporting unit was less than its carrying value. In its assessment, the Company considered the sustained decline in the Company's stock price and market capitalization, changes in management, and lower revenue, </w:t>
      </w:r>
      <w:r>
        <w:rPr>
          <w:rFonts w:eastAsia="Times New Roman"/>
          <w:color w:val="000000"/>
          <w:sz w:val="20"/>
          <w:szCs w:val="20"/>
        </w:rPr>
        <w:t>among other factors. Accordingly, the Company performed a quantitative goodwill impairment test as of June 30, 2019, relying in part on the work of an independent valuation firm engaged by the Company to provide inputs as to the fair value of the reporting</w:t>
      </w:r>
      <w:r>
        <w:rPr>
          <w:rFonts w:eastAsia="Times New Roman"/>
          <w:color w:val="000000"/>
          <w:sz w:val="20"/>
          <w:szCs w:val="20"/>
        </w:rPr>
        <w:t xml:space="preserve"> unit and to assist in the related calculations and analysis.</w:t>
      </w:r>
    </w:p>
    <w:p w14:paraId="343FCFFA" w14:textId="77777777" w:rsidR="00000000" w:rsidRDefault="00E614A4">
      <w:pPr>
        <w:jc w:val="both"/>
        <w:divId w:val="576600937"/>
        <w:rPr>
          <w:rFonts w:eastAsia="Times New Roman"/>
        </w:rPr>
      </w:pPr>
      <w:r>
        <w:rPr>
          <w:rFonts w:eastAsia="Times New Roman"/>
          <w:color w:val="000000"/>
          <w:sz w:val="20"/>
          <w:szCs w:val="20"/>
        </w:rPr>
        <w:t>The fair value of the reporting unit was determined using a combination of the discounted cash flow model and market value approach. The Company's reporting unit failed the goodwill impairment t</w:t>
      </w:r>
      <w:r>
        <w:rPr>
          <w:rFonts w:eastAsia="Times New Roman"/>
          <w:color w:val="000000"/>
          <w:sz w:val="20"/>
          <w:szCs w:val="20"/>
        </w:rPr>
        <w:t xml:space="preserve">est; and as a result, the Company recorded a $224.3 million impairment charge. </w:t>
      </w:r>
    </w:p>
    <w:p w14:paraId="0F1A66E4" w14:textId="77777777" w:rsidR="00000000" w:rsidRDefault="00E614A4">
      <w:pPr>
        <w:divId w:val="1295022052"/>
        <w:rPr>
          <w:rFonts w:eastAsia="Times New Roman"/>
        </w:rPr>
      </w:pPr>
      <w:r>
        <w:rPr>
          <w:rFonts w:eastAsia="Times New Roman"/>
          <w:color w:val="000000"/>
          <w:sz w:val="20"/>
          <w:szCs w:val="20"/>
        </w:rPr>
        <w:t>The change in the carrying value of goodwill is as follows:</w:t>
      </w:r>
    </w:p>
    <w:tbl>
      <w:tblPr>
        <w:tblW w:w="5000" w:type="pct"/>
        <w:tblCellMar>
          <w:top w:w="15" w:type="dxa"/>
          <w:left w:w="15" w:type="dxa"/>
          <w:bottom w:w="15" w:type="dxa"/>
          <w:right w:w="15" w:type="dxa"/>
        </w:tblCellMar>
        <w:tblLook w:val="04A0" w:firstRow="1" w:lastRow="0" w:firstColumn="1" w:lastColumn="0" w:noHBand="0" w:noVBand="1"/>
      </w:tblPr>
      <w:tblGrid>
        <w:gridCol w:w="54"/>
        <w:gridCol w:w="7069"/>
        <w:gridCol w:w="38"/>
        <w:gridCol w:w="110"/>
        <w:gridCol w:w="999"/>
        <w:gridCol w:w="36"/>
      </w:tblGrid>
      <w:tr w:rsidR="00000000" w14:paraId="083EED0D" w14:textId="77777777">
        <w:trPr>
          <w:divId w:val="1392927792"/>
        </w:trPr>
        <w:tc>
          <w:tcPr>
            <w:tcW w:w="50" w:type="pct"/>
            <w:vAlign w:val="center"/>
            <w:hideMark/>
          </w:tcPr>
          <w:p w14:paraId="02E9EDBB" w14:textId="77777777" w:rsidR="00000000" w:rsidRDefault="00E614A4">
            <w:pPr>
              <w:rPr>
                <w:rFonts w:eastAsia="Times New Roman"/>
              </w:rPr>
            </w:pPr>
          </w:p>
        </w:tc>
        <w:tc>
          <w:tcPr>
            <w:tcW w:w="4271" w:type="pct"/>
            <w:vAlign w:val="center"/>
            <w:hideMark/>
          </w:tcPr>
          <w:p w14:paraId="6351DB8C" w14:textId="77777777" w:rsidR="00000000" w:rsidRDefault="00E614A4">
            <w:pPr>
              <w:rPr>
                <w:rFonts w:eastAsia="Times New Roman"/>
                <w:sz w:val="20"/>
                <w:szCs w:val="20"/>
              </w:rPr>
            </w:pPr>
          </w:p>
        </w:tc>
        <w:tc>
          <w:tcPr>
            <w:tcW w:w="5" w:type="pct"/>
            <w:vAlign w:val="center"/>
            <w:hideMark/>
          </w:tcPr>
          <w:p w14:paraId="5660880A" w14:textId="77777777" w:rsidR="00000000" w:rsidRDefault="00E614A4">
            <w:pPr>
              <w:rPr>
                <w:rFonts w:eastAsia="Times New Roman"/>
                <w:sz w:val="20"/>
                <w:szCs w:val="20"/>
              </w:rPr>
            </w:pPr>
          </w:p>
        </w:tc>
        <w:tc>
          <w:tcPr>
            <w:tcW w:w="50" w:type="pct"/>
            <w:vAlign w:val="center"/>
            <w:hideMark/>
          </w:tcPr>
          <w:p w14:paraId="504FD3FA" w14:textId="77777777" w:rsidR="00000000" w:rsidRDefault="00E614A4">
            <w:pPr>
              <w:rPr>
                <w:rFonts w:eastAsia="Times New Roman"/>
                <w:sz w:val="20"/>
                <w:szCs w:val="20"/>
              </w:rPr>
            </w:pPr>
          </w:p>
        </w:tc>
        <w:tc>
          <w:tcPr>
            <w:tcW w:w="618" w:type="pct"/>
            <w:vAlign w:val="center"/>
            <w:hideMark/>
          </w:tcPr>
          <w:p w14:paraId="218410B0" w14:textId="77777777" w:rsidR="00000000" w:rsidRDefault="00E614A4">
            <w:pPr>
              <w:rPr>
                <w:rFonts w:eastAsia="Times New Roman"/>
                <w:sz w:val="20"/>
                <w:szCs w:val="20"/>
              </w:rPr>
            </w:pPr>
          </w:p>
        </w:tc>
        <w:tc>
          <w:tcPr>
            <w:tcW w:w="5" w:type="pct"/>
            <w:vAlign w:val="center"/>
            <w:hideMark/>
          </w:tcPr>
          <w:p w14:paraId="6280F4DF" w14:textId="77777777" w:rsidR="00000000" w:rsidRDefault="00E614A4">
            <w:pPr>
              <w:rPr>
                <w:rFonts w:eastAsia="Times New Roman"/>
                <w:sz w:val="20"/>
                <w:szCs w:val="20"/>
              </w:rPr>
            </w:pPr>
          </w:p>
        </w:tc>
      </w:tr>
      <w:tr w:rsidR="00000000" w14:paraId="01B1A34B" w14:textId="77777777">
        <w:trPr>
          <w:divId w:val="1392927792"/>
        </w:trPr>
        <w:tc>
          <w:tcPr>
            <w:tcW w:w="0" w:type="auto"/>
            <w:gridSpan w:val="3"/>
            <w:tcMar>
              <w:top w:w="30" w:type="dxa"/>
              <w:left w:w="20" w:type="dxa"/>
              <w:bottom w:w="30" w:type="dxa"/>
              <w:right w:w="20" w:type="dxa"/>
            </w:tcMar>
            <w:vAlign w:val="bottom"/>
            <w:hideMark/>
          </w:tcPr>
          <w:p w14:paraId="7118BD9F"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5D2F7BEA" w14:textId="77777777" w:rsidR="00000000" w:rsidRDefault="00E614A4">
            <w:pPr>
              <w:jc w:val="center"/>
              <w:rPr>
                <w:rFonts w:eastAsia="Times New Roman"/>
              </w:rPr>
            </w:pPr>
          </w:p>
        </w:tc>
      </w:tr>
      <w:tr w:rsidR="00000000" w14:paraId="6706A98B" w14:textId="77777777">
        <w:trPr>
          <w:divId w:val="1392927792"/>
        </w:trPr>
        <w:tc>
          <w:tcPr>
            <w:tcW w:w="0" w:type="auto"/>
            <w:gridSpan w:val="3"/>
            <w:shd w:val="clear" w:color="auto" w:fill="CCEEFF"/>
            <w:tcMar>
              <w:top w:w="30" w:type="dxa"/>
              <w:left w:w="20" w:type="dxa"/>
              <w:bottom w:w="30" w:type="dxa"/>
              <w:right w:w="20" w:type="dxa"/>
            </w:tcMar>
            <w:hideMark/>
          </w:tcPr>
          <w:p w14:paraId="16D21B36" w14:textId="77777777" w:rsidR="00000000" w:rsidRDefault="00E614A4">
            <w:pPr>
              <w:rPr>
                <w:rFonts w:eastAsia="Times New Roman"/>
              </w:rPr>
            </w:pPr>
            <w:r>
              <w:rPr>
                <w:rFonts w:eastAsia="Times New Roman"/>
                <w:color w:val="000000"/>
                <w:sz w:val="18"/>
                <w:szCs w:val="18"/>
              </w:rPr>
              <w:t>Balance as of December 31, 2018</w:t>
            </w:r>
          </w:p>
        </w:tc>
        <w:tc>
          <w:tcPr>
            <w:tcW w:w="0" w:type="auto"/>
            <w:shd w:val="clear" w:color="auto" w:fill="CCEEFF"/>
            <w:tcMar>
              <w:top w:w="30" w:type="dxa"/>
              <w:left w:w="20" w:type="dxa"/>
              <w:bottom w:w="30" w:type="dxa"/>
              <w:right w:w="0" w:type="dxa"/>
            </w:tcMar>
            <w:vAlign w:val="bottom"/>
            <w:hideMark/>
          </w:tcPr>
          <w:p w14:paraId="156AAB7B"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8415564" w14:textId="77777777" w:rsidR="00000000" w:rsidRDefault="00E614A4">
            <w:pPr>
              <w:jc w:val="right"/>
              <w:rPr>
                <w:rFonts w:eastAsia="Times New Roman"/>
              </w:rPr>
            </w:pPr>
            <w:r>
              <w:rPr>
                <w:rFonts w:eastAsia="Times New Roman"/>
                <w:color w:val="000000"/>
                <w:sz w:val="18"/>
                <w:szCs w:val="18"/>
              </w:rPr>
              <w:t>641,191 </w:t>
            </w:r>
          </w:p>
        </w:tc>
        <w:tc>
          <w:tcPr>
            <w:tcW w:w="0" w:type="auto"/>
            <w:shd w:val="clear" w:color="auto" w:fill="CCEEFF"/>
            <w:tcMar>
              <w:top w:w="30" w:type="dxa"/>
              <w:left w:w="0" w:type="dxa"/>
              <w:bottom w:w="30" w:type="dxa"/>
              <w:right w:w="20" w:type="dxa"/>
            </w:tcMar>
            <w:vAlign w:val="bottom"/>
            <w:hideMark/>
          </w:tcPr>
          <w:p w14:paraId="3D75B0A6" w14:textId="77777777" w:rsidR="00000000" w:rsidRDefault="00E614A4">
            <w:pPr>
              <w:jc w:val="right"/>
              <w:rPr>
                <w:rFonts w:eastAsia="Times New Roman"/>
              </w:rPr>
            </w:pPr>
          </w:p>
        </w:tc>
      </w:tr>
      <w:tr w:rsidR="00000000" w14:paraId="05535EF5" w14:textId="77777777">
        <w:trPr>
          <w:divId w:val="1392927792"/>
        </w:trPr>
        <w:tc>
          <w:tcPr>
            <w:tcW w:w="0" w:type="auto"/>
            <w:gridSpan w:val="3"/>
            <w:shd w:val="clear" w:color="auto" w:fill="FFFFFF"/>
            <w:tcMar>
              <w:top w:w="30" w:type="dxa"/>
              <w:left w:w="380" w:type="dxa"/>
              <w:bottom w:w="30" w:type="dxa"/>
              <w:right w:w="20" w:type="dxa"/>
            </w:tcMar>
            <w:hideMark/>
          </w:tcPr>
          <w:p w14:paraId="05A32027" w14:textId="77777777" w:rsidR="00000000" w:rsidRDefault="00E614A4">
            <w:pPr>
              <w:rPr>
                <w:rFonts w:eastAsia="Times New Roman"/>
              </w:rPr>
            </w:pPr>
            <w:r>
              <w:rPr>
                <w:rFonts w:eastAsia="Times New Roman"/>
                <w:color w:val="000000"/>
                <w:sz w:val="18"/>
                <w:szCs w:val="18"/>
              </w:rPr>
              <w:t>Translation adjustments</w:t>
            </w:r>
          </w:p>
        </w:tc>
        <w:tc>
          <w:tcPr>
            <w:tcW w:w="0" w:type="auto"/>
            <w:gridSpan w:val="2"/>
            <w:shd w:val="clear" w:color="auto" w:fill="FFFFFF"/>
            <w:tcMar>
              <w:top w:w="30" w:type="dxa"/>
              <w:left w:w="20" w:type="dxa"/>
              <w:bottom w:w="30" w:type="dxa"/>
              <w:right w:w="0" w:type="dxa"/>
            </w:tcMar>
            <w:vAlign w:val="bottom"/>
            <w:hideMark/>
          </w:tcPr>
          <w:p w14:paraId="5E1525CC" w14:textId="77777777" w:rsidR="00000000" w:rsidRDefault="00E614A4">
            <w:pPr>
              <w:jc w:val="right"/>
              <w:rPr>
                <w:rFonts w:eastAsia="Times New Roman"/>
              </w:rPr>
            </w:pPr>
            <w:r>
              <w:rPr>
                <w:rFonts w:eastAsia="Times New Roman"/>
                <w:color w:val="000000"/>
                <w:sz w:val="18"/>
                <w:szCs w:val="18"/>
              </w:rPr>
              <w:t>(501)</w:t>
            </w:r>
          </w:p>
        </w:tc>
        <w:tc>
          <w:tcPr>
            <w:tcW w:w="0" w:type="auto"/>
            <w:shd w:val="clear" w:color="auto" w:fill="FFFFFF"/>
            <w:tcMar>
              <w:top w:w="30" w:type="dxa"/>
              <w:left w:w="0" w:type="dxa"/>
              <w:bottom w:w="30" w:type="dxa"/>
              <w:right w:w="20" w:type="dxa"/>
            </w:tcMar>
            <w:vAlign w:val="bottom"/>
            <w:hideMark/>
          </w:tcPr>
          <w:p w14:paraId="6C57F4B3" w14:textId="77777777" w:rsidR="00000000" w:rsidRDefault="00E614A4">
            <w:pPr>
              <w:jc w:val="right"/>
              <w:rPr>
                <w:rFonts w:eastAsia="Times New Roman"/>
              </w:rPr>
            </w:pPr>
          </w:p>
        </w:tc>
      </w:tr>
      <w:tr w:rsidR="00000000" w14:paraId="3B0D1F84" w14:textId="77777777">
        <w:trPr>
          <w:divId w:val="1392927792"/>
        </w:trPr>
        <w:tc>
          <w:tcPr>
            <w:tcW w:w="0" w:type="auto"/>
            <w:gridSpan w:val="3"/>
            <w:shd w:val="clear" w:color="auto" w:fill="CCEEFF"/>
            <w:tcMar>
              <w:top w:w="30" w:type="dxa"/>
              <w:left w:w="380" w:type="dxa"/>
              <w:bottom w:w="30" w:type="dxa"/>
              <w:right w:w="20" w:type="dxa"/>
            </w:tcMar>
            <w:hideMark/>
          </w:tcPr>
          <w:p w14:paraId="6A6E8E14" w14:textId="77777777" w:rsidR="00000000" w:rsidRDefault="00E614A4">
            <w:pPr>
              <w:rPr>
                <w:rFonts w:eastAsia="Times New Roman"/>
              </w:rPr>
            </w:pPr>
            <w:r>
              <w:rPr>
                <w:rFonts w:eastAsia="Times New Roman"/>
                <w:color w:val="000000"/>
                <w:sz w:val="18"/>
                <w:szCs w:val="18"/>
              </w:rPr>
              <w:t>Impairment charge</w:t>
            </w:r>
          </w:p>
        </w:tc>
        <w:tc>
          <w:tcPr>
            <w:tcW w:w="0" w:type="auto"/>
            <w:gridSpan w:val="2"/>
            <w:shd w:val="clear" w:color="auto" w:fill="CCEEFF"/>
            <w:tcMar>
              <w:top w:w="30" w:type="dxa"/>
              <w:left w:w="20" w:type="dxa"/>
              <w:bottom w:w="30" w:type="dxa"/>
              <w:right w:w="0" w:type="dxa"/>
            </w:tcMar>
            <w:vAlign w:val="bottom"/>
            <w:hideMark/>
          </w:tcPr>
          <w:p w14:paraId="2E4D947F" w14:textId="77777777" w:rsidR="00000000" w:rsidRDefault="00E614A4">
            <w:pPr>
              <w:jc w:val="right"/>
              <w:rPr>
                <w:rFonts w:eastAsia="Times New Roman"/>
              </w:rPr>
            </w:pPr>
            <w:r>
              <w:rPr>
                <w:rFonts w:eastAsia="Times New Roman"/>
                <w:color w:val="000000"/>
                <w:sz w:val="18"/>
                <w:szCs w:val="18"/>
              </w:rPr>
              <w:t>(224,272)</w:t>
            </w:r>
          </w:p>
        </w:tc>
        <w:tc>
          <w:tcPr>
            <w:tcW w:w="0" w:type="auto"/>
            <w:shd w:val="clear" w:color="auto" w:fill="CCEEFF"/>
            <w:tcMar>
              <w:top w:w="30" w:type="dxa"/>
              <w:left w:w="0" w:type="dxa"/>
              <w:bottom w:w="30" w:type="dxa"/>
              <w:right w:w="20" w:type="dxa"/>
            </w:tcMar>
            <w:vAlign w:val="bottom"/>
            <w:hideMark/>
          </w:tcPr>
          <w:p w14:paraId="71468FF2" w14:textId="77777777" w:rsidR="00000000" w:rsidRDefault="00E614A4">
            <w:pPr>
              <w:jc w:val="right"/>
              <w:rPr>
                <w:rFonts w:eastAsia="Times New Roman"/>
              </w:rPr>
            </w:pPr>
          </w:p>
        </w:tc>
      </w:tr>
      <w:tr w:rsidR="00000000" w14:paraId="3D5F3C34" w14:textId="77777777">
        <w:trPr>
          <w:divId w:val="1392927792"/>
        </w:trPr>
        <w:tc>
          <w:tcPr>
            <w:tcW w:w="0" w:type="auto"/>
            <w:gridSpan w:val="3"/>
            <w:tcMar>
              <w:top w:w="30" w:type="dxa"/>
              <w:left w:w="20" w:type="dxa"/>
              <w:bottom w:w="30" w:type="dxa"/>
              <w:right w:w="20" w:type="dxa"/>
            </w:tcMar>
            <w:vAlign w:val="bottom"/>
            <w:hideMark/>
          </w:tcPr>
          <w:p w14:paraId="017ED450" w14:textId="77777777" w:rsidR="00000000" w:rsidRDefault="00E614A4">
            <w:pPr>
              <w:rPr>
                <w:rFonts w:eastAsia="Times New Roman"/>
              </w:rPr>
            </w:pPr>
            <w:r>
              <w:rPr>
                <w:rFonts w:eastAsia="Times New Roman"/>
                <w:color w:val="000000"/>
                <w:sz w:val="18"/>
                <w:szCs w:val="18"/>
              </w:rPr>
              <w:t>Balance as of December 31, 2019</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A3ADD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520F52" w14:textId="77777777" w:rsidR="00000000" w:rsidRDefault="00E614A4">
            <w:pPr>
              <w:jc w:val="right"/>
              <w:rPr>
                <w:rFonts w:eastAsia="Times New Roman"/>
              </w:rPr>
            </w:pPr>
            <w:r>
              <w:rPr>
                <w:rFonts w:eastAsia="Times New Roman"/>
                <w:color w:val="000000"/>
                <w:sz w:val="18"/>
                <w:szCs w:val="18"/>
              </w:rPr>
              <w:t>416,418 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226A92" w14:textId="77777777" w:rsidR="00000000" w:rsidRDefault="00E614A4">
            <w:pPr>
              <w:jc w:val="right"/>
              <w:rPr>
                <w:rFonts w:eastAsia="Times New Roman"/>
              </w:rPr>
            </w:pPr>
          </w:p>
        </w:tc>
      </w:tr>
      <w:tr w:rsidR="00000000" w14:paraId="758BF711" w14:textId="77777777">
        <w:trPr>
          <w:divId w:val="1392927792"/>
        </w:trPr>
        <w:tc>
          <w:tcPr>
            <w:tcW w:w="0" w:type="auto"/>
            <w:gridSpan w:val="3"/>
            <w:shd w:val="clear" w:color="auto" w:fill="CCEEFF"/>
            <w:tcMar>
              <w:top w:w="30" w:type="dxa"/>
              <w:left w:w="380" w:type="dxa"/>
              <w:bottom w:w="30" w:type="dxa"/>
              <w:right w:w="20" w:type="dxa"/>
            </w:tcMar>
            <w:hideMark/>
          </w:tcPr>
          <w:p w14:paraId="09957694" w14:textId="77777777" w:rsidR="00000000" w:rsidRDefault="00E614A4">
            <w:pPr>
              <w:rPr>
                <w:rFonts w:eastAsia="Times New Roman"/>
              </w:rPr>
            </w:pPr>
            <w:r>
              <w:rPr>
                <w:rFonts w:eastAsia="Times New Roman"/>
                <w:color w:val="000000"/>
                <w:sz w:val="18"/>
                <w:szCs w:val="18"/>
              </w:rPr>
              <w:t>Translation adjustments</w:t>
            </w:r>
          </w:p>
        </w:tc>
        <w:tc>
          <w:tcPr>
            <w:tcW w:w="0" w:type="auto"/>
            <w:gridSpan w:val="2"/>
            <w:shd w:val="clear" w:color="auto" w:fill="CCEEFF"/>
            <w:tcMar>
              <w:top w:w="30" w:type="dxa"/>
              <w:left w:w="20" w:type="dxa"/>
              <w:bottom w:w="30" w:type="dxa"/>
              <w:right w:w="0" w:type="dxa"/>
            </w:tcMar>
            <w:vAlign w:val="bottom"/>
            <w:hideMark/>
          </w:tcPr>
          <w:p w14:paraId="45F2BD85" w14:textId="77777777" w:rsidR="00000000" w:rsidRDefault="00E614A4">
            <w:pPr>
              <w:jc w:val="right"/>
              <w:rPr>
                <w:rFonts w:eastAsia="Times New Roman"/>
              </w:rPr>
            </w:pPr>
            <w:r>
              <w:rPr>
                <w:rFonts w:eastAsia="Times New Roman"/>
                <w:color w:val="000000"/>
                <w:sz w:val="18"/>
                <w:szCs w:val="18"/>
              </w:rPr>
              <w:t>1,909 </w:t>
            </w:r>
          </w:p>
        </w:tc>
        <w:tc>
          <w:tcPr>
            <w:tcW w:w="0" w:type="auto"/>
            <w:shd w:val="clear" w:color="auto" w:fill="CCEEFF"/>
            <w:tcMar>
              <w:top w:w="30" w:type="dxa"/>
              <w:left w:w="0" w:type="dxa"/>
              <w:bottom w:w="30" w:type="dxa"/>
              <w:right w:w="20" w:type="dxa"/>
            </w:tcMar>
            <w:vAlign w:val="bottom"/>
            <w:hideMark/>
          </w:tcPr>
          <w:p w14:paraId="0C5D622C" w14:textId="77777777" w:rsidR="00000000" w:rsidRDefault="00E614A4">
            <w:pPr>
              <w:jc w:val="right"/>
              <w:rPr>
                <w:rFonts w:eastAsia="Times New Roman"/>
              </w:rPr>
            </w:pPr>
          </w:p>
        </w:tc>
      </w:tr>
      <w:tr w:rsidR="00000000" w14:paraId="51C1C676" w14:textId="77777777">
        <w:trPr>
          <w:divId w:val="1392927792"/>
        </w:trPr>
        <w:tc>
          <w:tcPr>
            <w:tcW w:w="0" w:type="auto"/>
            <w:gridSpan w:val="3"/>
            <w:shd w:val="clear" w:color="auto" w:fill="FFFFFF"/>
            <w:tcMar>
              <w:top w:w="30" w:type="dxa"/>
              <w:left w:w="20" w:type="dxa"/>
              <w:bottom w:w="30" w:type="dxa"/>
              <w:right w:w="20" w:type="dxa"/>
            </w:tcMar>
            <w:vAlign w:val="bottom"/>
            <w:hideMark/>
          </w:tcPr>
          <w:p w14:paraId="15923326" w14:textId="77777777" w:rsidR="00000000" w:rsidRDefault="00E614A4">
            <w:pPr>
              <w:rPr>
                <w:rFonts w:eastAsia="Times New Roman"/>
              </w:rPr>
            </w:pPr>
            <w:r>
              <w:rPr>
                <w:rFonts w:eastAsia="Times New Roman"/>
                <w:color w:val="000000"/>
                <w:sz w:val="18"/>
                <w:szCs w:val="18"/>
              </w:rPr>
              <w:t>Balance as of December 31,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C108E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7F666E" w14:textId="77777777" w:rsidR="00000000" w:rsidRDefault="00E614A4">
            <w:pPr>
              <w:jc w:val="right"/>
              <w:rPr>
                <w:rFonts w:eastAsia="Times New Roman"/>
              </w:rPr>
            </w:pPr>
            <w:r>
              <w:rPr>
                <w:rFonts w:eastAsia="Times New Roman"/>
                <w:color w:val="000000"/>
                <w:sz w:val="18"/>
                <w:szCs w:val="18"/>
              </w:rPr>
              <w:t>418,327 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893BA3" w14:textId="77777777" w:rsidR="00000000" w:rsidRDefault="00E614A4">
            <w:pPr>
              <w:jc w:val="right"/>
              <w:rPr>
                <w:rFonts w:eastAsia="Times New Roman"/>
              </w:rPr>
            </w:pPr>
          </w:p>
        </w:tc>
      </w:tr>
      <w:tr w:rsidR="00000000" w14:paraId="1411D004" w14:textId="77777777">
        <w:trPr>
          <w:divId w:val="1392927792"/>
        </w:trPr>
        <w:tc>
          <w:tcPr>
            <w:tcW w:w="0" w:type="auto"/>
            <w:gridSpan w:val="3"/>
            <w:shd w:val="clear" w:color="auto" w:fill="CCEEFF"/>
            <w:tcMar>
              <w:top w:w="30" w:type="dxa"/>
              <w:left w:w="380" w:type="dxa"/>
              <w:bottom w:w="30" w:type="dxa"/>
              <w:right w:w="20" w:type="dxa"/>
            </w:tcMar>
            <w:hideMark/>
          </w:tcPr>
          <w:p w14:paraId="11E78C70" w14:textId="77777777" w:rsidR="00000000" w:rsidRDefault="00E614A4">
            <w:pPr>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14:paraId="7B0369EB" w14:textId="77777777" w:rsidR="00000000" w:rsidRDefault="00E614A4">
            <w:pPr>
              <w:jc w:val="right"/>
              <w:rPr>
                <w:rFonts w:eastAsia="Times New Roman"/>
              </w:rPr>
            </w:pPr>
            <w:r>
              <w:rPr>
                <w:rFonts w:eastAsia="Times New Roman"/>
                <w:color w:val="000000"/>
                <w:sz w:val="18"/>
                <w:szCs w:val="18"/>
              </w:rPr>
              <w:t>642,599 </w:t>
            </w:r>
          </w:p>
        </w:tc>
        <w:tc>
          <w:tcPr>
            <w:tcW w:w="0" w:type="auto"/>
            <w:shd w:val="clear" w:color="auto" w:fill="CCEEFF"/>
            <w:tcMar>
              <w:top w:w="30" w:type="dxa"/>
              <w:left w:w="0" w:type="dxa"/>
              <w:bottom w:w="30" w:type="dxa"/>
              <w:right w:w="20" w:type="dxa"/>
            </w:tcMar>
            <w:vAlign w:val="bottom"/>
            <w:hideMark/>
          </w:tcPr>
          <w:p w14:paraId="4D035647" w14:textId="77777777" w:rsidR="00000000" w:rsidRDefault="00E614A4">
            <w:pPr>
              <w:jc w:val="right"/>
              <w:rPr>
                <w:rFonts w:eastAsia="Times New Roman"/>
              </w:rPr>
            </w:pPr>
          </w:p>
        </w:tc>
      </w:tr>
      <w:tr w:rsidR="00000000" w14:paraId="25718054" w14:textId="77777777">
        <w:trPr>
          <w:divId w:val="1392927792"/>
        </w:trPr>
        <w:tc>
          <w:tcPr>
            <w:tcW w:w="0" w:type="auto"/>
            <w:gridSpan w:val="3"/>
            <w:shd w:val="clear" w:color="auto" w:fill="FFFFFF"/>
            <w:tcMar>
              <w:top w:w="30" w:type="dxa"/>
              <w:left w:w="380" w:type="dxa"/>
              <w:bottom w:w="30" w:type="dxa"/>
              <w:right w:w="20" w:type="dxa"/>
            </w:tcMar>
            <w:hideMark/>
          </w:tcPr>
          <w:p w14:paraId="0A65E45A" w14:textId="77777777" w:rsidR="00000000" w:rsidRDefault="00E614A4">
            <w:pPr>
              <w:rPr>
                <w:rFonts w:eastAsia="Times New Roman"/>
              </w:rPr>
            </w:pPr>
            <w:r>
              <w:rPr>
                <w:rFonts w:eastAsia="Times New Roman"/>
                <w:color w:val="000000"/>
                <w:sz w:val="18"/>
                <w:szCs w:val="18"/>
              </w:rPr>
              <w:t>Accumulated impairment</w:t>
            </w:r>
          </w:p>
        </w:tc>
        <w:tc>
          <w:tcPr>
            <w:tcW w:w="0" w:type="auto"/>
            <w:gridSpan w:val="2"/>
            <w:shd w:val="clear" w:color="auto" w:fill="FFFFFF"/>
            <w:tcMar>
              <w:top w:w="30" w:type="dxa"/>
              <w:left w:w="20" w:type="dxa"/>
              <w:bottom w:w="30" w:type="dxa"/>
              <w:right w:w="0" w:type="dxa"/>
            </w:tcMar>
            <w:vAlign w:val="bottom"/>
            <w:hideMark/>
          </w:tcPr>
          <w:p w14:paraId="01F5FB55" w14:textId="77777777" w:rsidR="00000000" w:rsidRDefault="00E614A4">
            <w:pPr>
              <w:jc w:val="right"/>
              <w:rPr>
                <w:rFonts w:eastAsia="Times New Roman"/>
              </w:rPr>
            </w:pPr>
            <w:r>
              <w:rPr>
                <w:rFonts w:eastAsia="Times New Roman"/>
                <w:color w:val="000000"/>
                <w:sz w:val="18"/>
                <w:szCs w:val="18"/>
              </w:rPr>
              <w:t>(224,272)</w:t>
            </w:r>
          </w:p>
        </w:tc>
        <w:tc>
          <w:tcPr>
            <w:tcW w:w="0" w:type="auto"/>
            <w:shd w:val="clear" w:color="auto" w:fill="FFFFFF"/>
            <w:tcMar>
              <w:top w:w="30" w:type="dxa"/>
              <w:left w:w="0" w:type="dxa"/>
              <w:bottom w:w="30" w:type="dxa"/>
              <w:right w:w="20" w:type="dxa"/>
            </w:tcMar>
            <w:vAlign w:val="bottom"/>
            <w:hideMark/>
          </w:tcPr>
          <w:p w14:paraId="54B7ACEA" w14:textId="77777777" w:rsidR="00000000" w:rsidRDefault="00E614A4">
            <w:pPr>
              <w:jc w:val="right"/>
              <w:rPr>
                <w:rFonts w:eastAsia="Times New Roman"/>
              </w:rPr>
            </w:pPr>
          </w:p>
        </w:tc>
      </w:tr>
      <w:tr w:rsidR="00000000" w14:paraId="6A10AA5E" w14:textId="77777777">
        <w:trPr>
          <w:divId w:val="1392927792"/>
        </w:trPr>
        <w:tc>
          <w:tcPr>
            <w:tcW w:w="0" w:type="auto"/>
            <w:gridSpan w:val="3"/>
            <w:shd w:val="clear" w:color="auto" w:fill="CCEEFF"/>
            <w:tcMar>
              <w:top w:w="30" w:type="dxa"/>
              <w:left w:w="20" w:type="dxa"/>
              <w:bottom w:w="30" w:type="dxa"/>
              <w:right w:w="20" w:type="dxa"/>
            </w:tcMar>
            <w:hideMark/>
          </w:tcPr>
          <w:p w14:paraId="0E54CF8A" w14:textId="77777777" w:rsidR="00000000" w:rsidRDefault="00E614A4">
            <w:pPr>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AA9D6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644737" w14:textId="77777777" w:rsidR="00000000" w:rsidRDefault="00E614A4">
            <w:pPr>
              <w:jc w:val="right"/>
              <w:rPr>
                <w:rFonts w:eastAsia="Times New Roman"/>
              </w:rPr>
            </w:pPr>
            <w:r>
              <w:rPr>
                <w:rFonts w:eastAsia="Times New Roman"/>
                <w:color w:val="000000"/>
                <w:sz w:val="18"/>
                <w:szCs w:val="18"/>
              </w:rPr>
              <w:t>418,327 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0CCC91" w14:textId="77777777" w:rsidR="00000000" w:rsidRDefault="00E614A4">
            <w:pPr>
              <w:jc w:val="right"/>
              <w:rPr>
                <w:rFonts w:eastAsia="Times New Roman"/>
              </w:rPr>
            </w:pPr>
          </w:p>
        </w:tc>
      </w:tr>
    </w:tbl>
    <w:p w14:paraId="1C64D43B" w14:textId="77777777" w:rsidR="00000000" w:rsidRDefault="00E614A4">
      <w:pPr>
        <w:jc w:val="both"/>
        <w:divId w:val="940991837"/>
        <w:rPr>
          <w:rFonts w:eastAsia="Times New Roman"/>
        </w:rPr>
      </w:pPr>
      <w:r>
        <w:rPr>
          <w:rFonts w:eastAsia="Times New Roman"/>
          <w:color w:val="000000"/>
          <w:sz w:val="20"/>
          <w:szCs w:val="20"/>
        </w:rPr>
        <w:t xml:space="preserve">The Company also recorded a $17.3 </w:t>
      </w:r>
      <w:r>
        <w:rPr>
          <w:rFonts w:eastAsia="Times New Roman"/>
          <w:color w:val="000000"/>
          <w:sz w:val="20"/>
          <w:szCs w:val="20"/>
        </w:rPr>
        <w:t>million impairment charge related to its strategic alliance intangible asset during 2019. Changes in the Company's projected revenue in certain non-U.S. geographic markets due to the changing international competitive landscape as well as significant reduc</w:t>
      </w:r>
      <w:r>
        <w:rPr>
          <w:rFonts w:eastAsia="Times New Roman"/>
          <w:color w:val="000000"/>
          <w:sz w:val="20"/>
          <w:szCs w:val="20"/>
        </w:rPr>
        <w:t>tions in international staffing, resulted in a change in the Company's long-term view of the viability of the intangible asset. As such, the Company's assessment yielded that the benefit of the strategic alliance would not be realized. The fair value of th</w:t>
      </w:r>
      <w:r>
        <w:rPr>
          <w:rFonts w:eastAsia="Times New Roman"/>
          <w:color w:val="000000"/>
          <w:sz w:val="20"/>
          <w:szCs w:val="20"/>
        </w:rPr>
        <w:t>e strategic alliance intangible asset was estimated using an income approach resulting in an impairment charge for the full carrying value of the long-lived asset of $17.3 million.</w:t>
      </w:r>
    </w:p>
    <w:p w14:paraId="632EAD7A" w14:textId="77777777" w:rsidR="00000000" w:rsidRDefault="00E614A4">
      <w:pPr>
        <w:divId w:val="1342393300"/>
        <w:rPr>
          <w:rFonts w:eastAsia="Times New Roman"/>
        </w:rPr>
      </w:pPr>
      <w:r>
        <w:rPr>
          <w:rFonts w:eastAsia="Times New Roman"/>
          <w:color w:val="000000"/>
          <w:sz w:val="20"/>
          <w:szCs w:val="20"/>
        </w:rPr>
        <w:t>The carrying values of the Company's amortizable acquired intangible assets</w:t>
      </w:r>
      <w:r>
        <w:rPr>
          <w:rFonts w:eastAsia="Times New Roman"/>
          <w:color w:val="000000"/>
          <w:sz w:val="20"/>
          <w:szCs w:val="20"/>
        </w:rPr>
        <w:t xml:space="preserve">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1073"/>
        <w:gridCol w:w="36"/>
        <w:gridCol w:w="36"/>
        <w:gridCol w:w="36"/>
        <w:gridCol w:w="36"/>
        <w:gridCol w:w="110"/>
        <w:gridCol w:w="630"/>
        <w:gridCol w:w="36"/>
        <w:gridCol w:w="36"/>
        <w:gridCol w:w="36"/>
        <w:gridCol w:w="36"/>
        <w:gridCol w:w="111"/>
        <w:gridCol w:w="844"/>
        <w:gridCol w:w="36"/>
        <w:gridCol w:w="36"/>
        <w:gridCol w:w="36"/>
        <w:gridCol w:w="36"/>
        <w:gridCol w:w="36"/>
        <w:gridCol w:w="46"/>
        <w:gridCol w:w="110"/>
        <w:gridCol w:w="540"/>
        <w:gridCol w:w="36"/>
        <w:gridCol w:w="36"/>
        <w:gridCol w:w="36"/>
        <w:gridCol w:w="36"/>
        <w:gridCol w:w="110"/>
        <w:gridCol w:w="630"/>
        <w:gridCol w:w="36"/>
        <w:gridCol w:w="36"/>
        <w:gridCol w:w="36"/>
        <w:gridCol w:w="36"/>
        <w:gridCol w:w="111"/>
        <w:gridCol w:w="844"/>
        <w:gridCol w:w="36"/>
        <w:gridCol w:w="36"/>
        <w:gridCol w:w="36"/>
        <w:gridCol w:w="36"/>
        <w:gridCol w:w="111"/>
        <w:gridCol w:w="836"/>
        <w:gridCol w:w="36"/>
        <w:gridCol w:w="36"/>
        <w:gridCol w:w="36"/>
        <w:gridCol w:w="36"/>
        <w:gridCol w:w="110"/>
        <w:gridCol w:w="540"/>
        <w:gridCol w:w="36"/>
        <w:gridCol w:w="36"/>
        <w:gridCol w:w="36"/>
        <w:gridCol w:w="36"/>
        <w:gridCol w:w="36"/>
        <w:gridCol w:w="36"/>
        <w:gridCol w:w="36"/>
        <w:gridCol w:w="36"/>
        <w:gridCol w:w="36"/>
        <w:gridCol w:w="36"/>
        <w:gridCol w:w="36"/>
        <w:gridCol w:w="36"/>
        <w:gridCol w:w="36"/>
      </w:tblGrid>
      <w:tr w:rsidR="00000000" w14:paraId="22C12410" w14:textId="77777777">
        <w:trPr>
          <w:divId w:val="1655524247"/>
        </w:trPr>
        <w:tc>
          <w:tcPr>
            <w:tcW w:w="50" w:type="pct"/>
            <w:vAlign w:val="center"/>
            <w:hideMark/>
          </w:tcPr>
          <w:p w14:paraId="10C21D8E" w14:textId="77777777" w:rsidR="00000000" w:rsidRDefault="00E614A4">
            <w:pPr>
              <w:rPr>
                <w:rFonts w:eastAsia="Times New Roman"/>
              </w:rPr>
            </w:pPr>
          </w:p>
        </w:tc>
        <w:tc>
          <w:tcPr>
            <w:tcW w:w="1445" w:type="pct"/>
            <w:vAlign w:val="center"/>
            <w:hideMark/>
          </w:tcPr>
          <w:p w14:paraId="01F48A36" w14:textId="77777777" w:rsidR="00000000" w:rsidRDefault="00E614A4">
            <w:pPr>
              <w:rPr>
                <w:rFonts w:eastAsia="Times New Roman"/>
                <w:sz w:val="20"/>
                <w:szCs w:val="20"/>
              </w:rPr>
            </w:pPr>
          </w:p>
        </w:tc>
        <w:tc>
          <w:tcPr>
            <w:tcW w:w="5" w:type="pct"/>
            <w:vAlign w:val="center"/>
            <w:hideMark/>
          </w:tcPr>
          <w:p w14:paraId="1D66E0E2" w14:textId="77777777" w:rsidR="00000000" w:rsidRDefault="00E614A4">
            <w:pPr>
              <w:rPr>
                <w:rFonts w:eastAsia="Times New Roman"/>
                <w:sz w:val="20"/>
                <w:szCs w:val="20"/>
              </w:rPr>
            </w:pPr>
          </w:p>
        </w:tc>
        <w:tc>
          <w:tcPr>
            <w:tcW w:w="5" w:type="pct"/>
            <w:vAlign w:val="center"/>
            <w:hideMark/>
          </w:tcPr>
          <w:p w14:paraId="0ECDF87A" w14:textId="77777777" w:rsidR="00000000" w:rsidRDefault="00E614A4">
            <w:pPr>
              <w:rPr>
                <w:rFonts w:eastAsia="Times New Roman"/>
                <w:sz w:val="20"/>
                <w:szCs w:val="20"/>
              </w:rPr>
            </w:pPr>
          </w:p>
        </w:tc>
        <w:tc>
          <w:tcPr>
            <w:tcW w:w="17" w:type="pct"/>
            <w:vAlign w:val="center"/>
            <w:hideMark/>
          </w:tcPr>
          <w:p w14:paraId="0EC2178C" w14:textId="77777777" w:rsidR="00000000" w:rsidRDefault="00E614A4">
            <w:pPr>
              <w:rPr>
                <w:rFonts w:eastAsia="Times New Roman"/>
                <w:sz w:val="20"/>
                <w:szCs w:val="20"/>
              </w:rPr>
            </w:pPr>
          </w:p>
        </w:tc>
        <w:tc>
          <w:tcPr>
            <w:tcW w:w="5" w:type="pct"/>
            <w:vAlign w:val="center"/>
            <w:hideMark/>
          </w:tcPr>
          <w:p w14:paraId="470E0451" w14:textId="77777777" w:rsidR="00000000" w:rsidRDefault="00E614A4">
            <w:pPr>
              <w:rPr>
                <w:rFonts w:eastAsia="Times New Roman"/>
                <w:sz w:val="20"/>
                <w:szCs w:val="20"/>
              </w:rPr>
            </w:pPr>
          </w:p>
        </w:tc>
        <w:tc>
          <w:tcPr>
            <w:tcW w:w="50" w:type="pct"/>
            <w:vAlign w:val="center"/>
            <w:hideMark/>
          </w:tcPr>
          <w:p w14:paraId="7FC86293" w14:textId="77777777" w:rsidR="00000000" w:rsidRDefault="00E614A4">
            <w:pPr>
              <w:rPr>
                <w:rFonts w:eastAsia="Times New Roman"/>
                <w:sz w:val="20"/>
                <w:szCs w:val="20"/>
              </w:rPr>
            </w:pPr>
          </w:p>
        </w:tc>
        <w:tc>
          <w:tcPr>
            <w:tcW w:w="417" w:type="pct"/>
            <w:vAlign w:val="center"/>
            <w:hideMark/>
          </w:tcPr>
          <w:p w14:paraId="457AA8B9" w14:textId="77777777" w:rsidR="00000000" w:rsidRDefault="00E614A4">
            <w:pPr>
              <w:rPr>
                <w:rFonts w:eastAsia="Times New Roman"/>
                <w:sz w:val="20"/>
                <w:szCs w:val="20"/>
              </w:rPr>
            </w:pPr>
          </w:p>
        </w:tc>
        <w:tc>
          <w:tcPr>
            <w:tcW w:w="5" w:type="pct"/>
            <w:vAlign w:val="center"/>
            <w:hideMark/>
          </w:tcPr>
          <w:p w14:paraId="0DA79CD9" w14:textId="77777777" w:rsidR="00000000" w:rsidRDefault="00E614A4">
            <w:pPr>
              <w:rPr>
                <w:rFonts w:eastAsia="Times New Roman"/>
                <w:sz w:val="20"/>
                <w:szCs w:val="20"/>
              </w:rPr>
            </w:pPr>
          </w:p>
        </w:tc>
        <w:tc>
          <w:tcPr>
            <w:tcW w:w="5" w:type="pct"/>
            <w:vAlign w:val="center"/>
            <w:hideMark/>
          </w:tcPr>
          <w:p w14:paraId="7238E9ED" w14:textId="77777777" w:rsidR="00000000" w:rsidRDefault="00E614A4">
            <w:pPr>
              <w:rPr>
                <w:rFonts w:eastAsia="Times New Roman"/>
                <w:sz w:val="20"/>
                <w:szCs w:val="20"/>
              </w:rPr>
            </w:pPr>
          </w:p>
        </w:tc>
        <w:tc>
          <w:tcPr>
            <w:tcW w:w="17" w:type="pct"/>
            <w:vAlign w:val="center"/>
            <w:hideMark/>
          </w:tcPr>
          <w:p w14:paraId="0C7312AD" w14:textId="77777777" w:rsidR="00000000" w:rsidRDefault="00E614A4">
            <w:pPr>
              <w:rPr>
                <w:rFonts w:eastAsia="Times New Roman"/>
                <w:sz w:val="20"/>
                <w:szCs w:val="20"/>
              </w:rPr>
            </w:pPr>
          </w:p>
        </w:tc>
        <w:tc>
          <w:tcPr>
            <w:tcW w:w="5" w:type="pct"/>
            <w:vAlign w:val="center"/>
            <w:hideMark/>
          </w:tcPr>
          <w:p w14:paraId="35A027C7" w14:textId="77777777" w:rsidR="00000000" w:rsidRDefault="00E614A4">
            <w:pPr>
              <w:rPr>
                <w:rFonts w:eastAsia="Times New Roman"/>
                <w:sz w:val="20"/>
                <w:szCs w:val="20"/>
              </w:rPr>
            </w:pPr>
          </w:p>
        </w:tc>
        <w:tc>
          <w:tcPr>
            <w:tcW w:w="50" w:type="pct"/>
            <w:vAlign w:val="center"/>
            <w:hideMark/>
          </w:tcPr>
          <w:p w14:paraId="5C22C838" w14:textId="77777777" w:rsidR="00000000" w:rsidRDefault="00E614A4">
            <w:pPr>
              <w:rPr>
                <w:rFonts w:eastAsia="Times New Roman"/>
                <w:sz w:val="20"/>
                <w:szCs w:val="20"/>
              </w:rPr>
            </w:pPr>
          </w:p>
        </w:tc>
        <w:tc>
          <w:tcPr>
            <w:tcW w:w="417" w:type="pct"/>
            <w:vAlign w:val="center"/>
            <w:hideMark/>
          </w:tcPr>
          <w:p w14:paraId="3D67FEC2" w14:textId="77777777" w:rsidR="00000000" w:rsidRDefault="00E614A4">
            <w:pPr>
              <w:rPr>
                <w:rFonts w:eastAsia="Times New Roman"/>
                <w:sz w:val="20"/>
                <w:szCs w:val="20"/>
              </w:rPr>
            </w:pPr>
          </w:p>
        </w:tc>
        <w:tc>
          <w:tcPr>
            <w:tcW w:w="5" w:type="pct"/>
            <w:vAlign w:val="center"/>
            <w:hideMark/>
          </w:tcPr>
          <w:p w14:paraId="59A54053" w14:textId="77777777" w:rsidR="00000000" w:rsidRDefault="00E614A4">
            <w:pPr>
              <w:rPr>
                <w:rFonts w:eastAsia="Times New Roman"/>
                <w:sz w:val="20"/>
                <w:szCs w:val="20"/>
              </w:rPr>
            </w:pPr>
          </w:p>
        </w:tc>
        <w:tc>
          <w:tcPr>
            <w:tcW w:w="5" w:type="pct"/>
            <w:vAlign w:val="center"/>
            <w:hideMark/>
          </w:tcPr>
          <w:p w14:paraId="33A1A6EA" w14:textId="77777777" w:rsidR="00000000" w:rsidRDefault="00E614A4">
            <w:pPr>
              <w:rPr>
                <w:rFonts w:eastAsia="Times New Roman"/>
                <w:sz w:val="20"/>
                <w:szCs w:val="20"/>
              </w:rPr>
            </w:pPr>
          </w:p>
        </w:tc>
        <w:tc>
          <w:tcPr>
            <w:tcW w:w="17" w:type="pct"/>
            <w:vAlign w:val="center"/>
            <w:hideMark/>
          </w:tcPr>
          <w:p w14:paraId="5B8D3506" w14:textId="77777777" w:rsidR="00000000" w:rsidRDefault="00E614A4">
            <w:pPr>
              <w:rPr>
                <w:rFonts w:eastAsia="Times New Roman"/>
                <w:sz w:val="20"/>
                <w:szCs w:val="20"/>
              </w:rPr>
            </w:pPr>
          </w:p>
        </w:tc>
        <w:tc>
          <w:tcPr>
            <w:tcW w:w="5" w:type="pct"/>
            <w:vAlign w:val="center"/>
            <w:hideMark/>
          </w:tcPr>
          <w:p w14:paraId="53381519" w14:textId="77777777" w:rsidR="00000000" w:rsidRDefault="00E614A4">
            <w:pPr>
              <w:rPr>
                <w:rFonts w:eastAsia="Times New Roman"/>
                <w:sz w:val="20"/>
                <w:szCs w:val="20"/>
              </w:rPr>
            </w:pPr>
          </w:p>
        </w:tc>
        <w:tc>
          <w:tcPr>
            <w:tcW w:w="0" w:type="auto"/>
            <w:vAlign w:val="center"/>
            <w:hideMark/>
          </w:tcPr>
          <w:p w14:paraId="298E4BD5" w14:textId="77777777" w:rsidR="00000000" w:rsidRDefault="00E614A4">
            <w:pPr>
              <w:rPr>
                <w:rFonts w:eastAsia="Times New Roman"/>
                <w:sz w:val="20"/>
                <w:szCs w:val="20"/>
              </w:rPr>
            </w:pPr>
          </w:p>
        </w:tc>
        <w:tc>
          <w:tcPr>
            <w:tcW w:w="0" w:type="auto"/>
            <w:vAlign w:val="center"/>
            <w:hideMark/>
          </w:tcPr>
          <w:p w14:paraId="52FFE57F" w14:textId="77777777" w:rsidR="00000000" w:rsidRDefault="00E614A4">
            <w:pPr>
              <w:rPr>
                <w:rFonts w:eastAsia="Times New Roman"/>
                <w:sz w:val="20"/>
                <w:szCs w:val="20"/>
              </w:rPr>
            </w:pPr>
          </w:p>
        </w:tc>
        <w:tc>
          <w:tcPr>
            <w:tcW w:w="50" w:type="pct"/>
            <w:vAlign w:val="center"/>
            <w:hideMark/>
          </w:tcPr>
          <w:p w14:paraId="3E141F0A" w14:textId="77777777" w:rsidR="00000000" w:rsidRDefault="00E614A4">
            <w:pPr>
              <w:rPr>
                <w:rFonts w:eastAsia="Times New Roman"/>
                <w:sz w:val="20"/>
                <w:szCs w:val="20"/>
              </w:rPr>
            </w:pPr>
          </w:p>
        </w:tc>
        <w:tc>
          <w:tcPr>
            <w:tcW w:w="417" w:type="pct"/>
            <w:vAlign w:val="center"/>
            <w:hideMark/>
          </w:tcPr>
          <w:p w14:paraId="24F79DAC" w14:textId="77777777" w:rsidR="00000000" w:rsidRDefault="00E614A4">
            <w:pPr>
              <w:rPr>
                <w:rFonts w:eastAsia="Times New Roman"/>
                <w:sz w:val="20"/>
                <w:szCs w:val="20"/>
              </w:rPr>
            </w:pPr>
          </w:p>
        </w:tc>
        <w:tc>
          <w:tcPr>
            <w:tcW w:w="5" w:type="pct"/>
            <w:vAlign w:val="center"/>
            <w:hideMark/>
          </w:tcPr>
          <w:p w14:paraId="4A689D8F" w14:textId="77777777" w:rsidR="00000000" w:rsidRDefault="00E614A4">
            <w:pPr>
              <w:rPr>
                <w:rFonts w:eastAsia="Times New Roman"/>
                <w:sz w:val="20"/>
                <w:szCs w:val="20"/>
              </w:rPr>
            </w:pPr>
          </w:p>
        </w:tc>
        <w:tc>
          <w:tcPr>
            <w:tcW w:w="5" w:type="pct"/>
            <w:vAlign w:val="center"/>
            <w:hideMark/>
          </w:tcPr>
          <w:p w14:paraId="2A715B21" w14:textId="77777777" w:rsidR="00000000" w:rsidRDefault="00E614A4">
            <w:pPr>
              <w:rPr>
                <w:rFonts w:eastAsia="Times New Roman"/>
                <w:sz w:val="20"/>
                <w:szCs w:val="20"/>
              </w:rPr>
            </w:pPr>
          </w:p>
        </w:tc>
        <w:tc>
          <w:tcPr>
            <w:tcW w:w="17" w:type="pct"/>
            <w:vAlign w:val="center"/>
            <w:hideMark/>
          </w:tcPr>
          <w:p w14:paraId="59C1D535" w14:textId="77777777" w:rsidR="00000000" w:rsidRDefault="00E614A4">
            <w:pPr>
              <w:rPr>
                <w:rFonts w:eastAsia="Times New Roman"/>
                <w:sz w:val="20"/>
                <w:szCs w:val="20"/>
              </w:rPr>
            </w:pPr>
          </w:p>
        </w:tc>
        <w:tc>
          <w:tcPr>
            <w:tcW w:w="5" w:type="pct"/>
            <w:vAlign w:val="center"/>
            <w:hideMark/>
          </w:tcPr>
          <w:p w14:paraId="7C1D3262" w14:textId="77777777" w:rsidR="00000000" w:rsidRDefault="00E614A4">
            <w:pPr>
              <w:rPr>
                <w:rFonts w:eastAsia="Times New Roman"/>
                <w:sz w:val="20"/>
                <w:szCs w:val="20"/>
              </w:rPr>
            </w:pPr>
          </w:p>
        </w:tc>
        <w:tc>
          <w:tcPr>
            <w:tcW w:w="50" w:type="pct"/>
            <w:vAlign w:val="center"/>
            <w:hideMark/>
          </w:tcPr>
          <w:p w14:paraId="0722DB88" w14:textId="77777777" w:rsidR="00000000" w:rsidRDefault="00E614A4">
            <w:pPr>
              <w:rPr>
                <w:rFonts w:eastAsia="Times New Roman"/>
                <w:sz w:val="20"/>
                <w:szCs w:val="20"/>
              </w:rPr>
            </w:pPr>
          </w:p>
        </w:tc>
        <w:tc>
          <w:tcPr>
            <w:tcW w:w="417" w:type="pct"/>
            <w:vAlign w:val="center"/>
            <w:hideMark/>
          </w:tcPr>
          <w:p w14:paraId="5F4CA2AE" w14:textId="77777777" w:rsidR="00000000" w:rsidRDefault="00E614A4">
            <w:pPr>
              <w:rPr>
                <w:rFonts w:eastAsia="Times New Roman"/>
                <w:sz w:val="20"/>
                <w:szCs w:val="20"/>
              </w:rPr>
            </w:pPr>
          </w:p>
        </w:tc>
        <w:tc>
          <w:tcPr>
            <w:tcW w:w="5" w:type="pct"/>
            <w:vAlign w:val="center"/>
            <w:hideMark/>
          </w:tcPr>
          <w:p w14:paraId="1A09E8D8" w14:textId="77777777" w:rsidR="00000000" w:rsidRDefault="00E614A4">
            <w:pPr>
              <w:rPr>
                <w:rFonts w:eastAsia="Times New Roman"/>
                <w:sz w:val="20"/>
                <w:szCs w:val="20"/>
              </w:rPr>
            </w:pPr>
          </w:p>
        </w:tc>
        <w:tc>
          <w:tcPr>
            <w:tcW w:w="5" w:type="pct"/>
            <w:vAlign w:val="center"/>
            <w:hideMark/>
          </w:tcPr>
          <w:p w14:paraId="09367512" w14:textId="77777777" w:rsidR="00000000" w:rsidRDefault="00E614A4">
            <w:pPr>
              <w:rPr>
                <w:rFonts w:eastAsia="Times New Roman"/>
                <w:sz w:val="20"/>
                <w:szCs w:val="20"/>
              </w:rPr>
            </w:pPr>
          </w:p>
        </w:tc>
        <w:tc>
          <w:tcPr>
            <w:tcW w:w="17" w:type="pct"/>
            <w:vAlign w:val="center"/>
            <w:hideMark/>
          </w:tcPr>
          <w:p w14:paraId="0935FBC6" w14:textId="77777777" w:rsidR="00000000" w:rsidRDefault="00E614A4">
            <w:pPr>
              <w:rPr>
                <w:rFonts w:eastAsia="Times New Roman"/>
                <w:sz w:val="20"/>
                <w:szCs w:val="20"/>
              </w:rPr>
            </w:pPr>
          </w:p>
        </w:tc>
        <w:tc>
          <w:tcPr>
            <w:tcW w:w="5" w:type="pct"/>
            <w:vAlign w:val="center"/>
            <w:hideMark/>
          </w:tcPr>
          <w:p w14:paraId="7708924C" w14:textId="77777777" w:rsidR="00000000" w:rsidRDefault="00E614A4">
            <w:pPr>
              <w:rPr>
                <w:rFonts w:eastAsia="Times New Roman"/>
                <w:sz w:val="20"/>
                <w:szCs w:val="20"/>
              </w:rPr>
            </w:pPr>
          </w:p>
        </w:tc>
        <w:tc>
          <w:tcPr>
            <w:tcW w:w="50" w:type="pct"/>
            <w:vAlign w:val="center"/>
            <w:hideMark/>
          </w:tcPr>
          <w:p w14:paraId="1EE176BB" w14:textId="77777777" w:rsidR="00000000" w:rsidRDefault="00E614A4">
            <w:pPr>
              <w:rPr>
                <w:rFonts w:eastAsia="Times New Roman"/>
                <w:sz w:val="20"/>
                <w:szCs w:val="20"/>
              </w:rPr>
            </w:pPr>
          </w:p>
        </w:tc>
        <w:tc>
          <w:tcPr>
            <w:tcW w:w="417" w:type="pct"/>
            <w:vAlign w:val="center"/>
            <w:hideMark/>
          </w:tcPr>
          <w:p w14:paraId="4A94A6FE" w14:textId="77777777" w:rsidR="00000000" w:rsidRDefault="00E614A4">
            <w:pPr>
              <w:rPr>
                <w:rFonts w:eastAsia="Times New Roman"/>
                <w:sz w:val="20"/>
                <w:szCs w:val="20"/>
              </w:rPr>
            </w:pPr>
          </w:p>
        </w:tc>
        <w:tc>
          <w:tcPr>
            <w:tcW w:w="5" w:type="pct"/>
            <w:vAlign w:val="center"/>
            <w:hideMark/>
          </w:tcPr>
          <w:p w14:paraId="43D74DEB" w14:textId="77777777" w:rsidR="00000000" w:rsidRDefault="00E614A4">
            <w:pPr>
              <w:rPr>
                <w:rFonts w:eastAsia="Times New Roman"/>
                <w:sz w:val="20"/>
                <w:szCs w:val="20"/>
              </w:rPr>
            </w:pPr>
          </w:p>
        </w:tc>
        <w:tc>
          <w:tcPr>
            <w:tcW w:w="5" w:type="pct"/>
            <w:vAlign w:val="center"/>
            <w:hideMark/>
          </w:tcPr>
          <w:p w14:paraId="35D4FC93" w14:textId="77777777" w:rsidR="00000000" w:rsidRDefault="00E614A4">
            <w:pPr>
              <w:rPr>
                <w:rFonts w:eastAsia="Times New Roman"/>
                <w:sz w:val="20"/>
                <w:szCs w:val="20"/>
              </w:rPr>
            </w:pPr>
          </w:p>
        </w:tc>
        <w:tc>
          <w:tcPr>
            <w:tcW w:w="17" w:type="pct"/>
            <w:vAlign w:val="center"/>
            <w:hideMark/>
          </w:tcPr>
          <w:p w14:paraId="46EA62D4" w14:textId="77777777" w:rsidR="00000000" w:rsidRDefault="00E614A4">
            <w:pPr>
              <w:rPr>
                <w:rFonts w:eastAsia="Times New Roman"/>
                <w:sz w:val="20"/>
                <w:szCs w:val="20"/>
              </w:rPr>
            </w:pPr>
          </w:p>
        </w:tc>
        <w:tc>
          <w:tcPr>
            <w:tcW w:w="5" w:type="pct"/>
            <w:vAlign w:val="center"/>
            <w:hideMark/>
          </w:tcPr>
          <w:p w14:paraId="28DE272C" w14:textId="77777777" w:rsidR="00000000" w:rsidRDefault="00E614A4">
            <w:pPr>
              <w:rPr>
                <w:rFonts w:eastAsia="Times New Roman"/>
                <w:sz w:val="20"/>
                <w:szCs w:val="20"/>
              </w:rPr>
            </w:pPr>
          </w:p>
        </w:tc>
        <w:tc>
          <w:tcPr>
            <w:tcW w:w="50" w:type="pct"/>
            <w:vAlign w:val="center"/>
            <w:hideMark/>
          </w:tcPr>
          <w:p w14:paraId="6D9199C0" w14:textId="77777777" w:rsidR="00000000" w:rsidRDefault="00E614A4">
            <w:pPr>
              <w:rPr>
                <w:rFonts w:eastAsia="Times New Roman"/>
                <w:sz w:val="20"/>
                <w:szCs w:val="20"/>
              </w:rPr>
            </w:pPr>
          </w:p>
        </w:tc>
        <w:tc>
          <w:tcPr>
            <w:tcW w:w="417" w:type="pct"/>
            <w:vAlign w:val="center"/>
            <w:hideMark/>
          </w:tcPr>
          <w:p w14:paraId="05C441A1" w14:textId="77777777" w:rsidR="00000000" w:rsidRDefault="00E614A4">
            <w:pPr>
              <w:rPr>
                <w:rFonts w:eastAsia="Times New Roman"/>
                <w:sz w:val="20"/>
                <w:szCs w:val="20"/>
              </w:rPr>
            </w:pPr>
          </w:p>
        </w:tc>
        <w:tc>
          <w:tcPr>
            <w:tcW w:w="5" w:type="pct"/>
            <w:vAlign w:val="center"/>
            <w:hideMark/>
          </w:tcPr>
          <w:p w14:paraId="55168019" w14:textId="77777777" w:rsidR="00000000" w:rsidRDefault="00E614A4">
            <w:pPr>
              <w:rPr>
                <w:rFonts w:eastAsia="Times New Roman"/>
                <w:sz w:val="20"/>
                <w:szCs w:val="20"/>
              </w:rPr>
            </w:pPr>
          </w:p>
        </w:tc>
        <w:tc>
          <w:tcPr>
            <w:tcW w:w="5" w:type="pct"/>
            <w:vAlign w:val="center"/>
            <w:hideMark/>
          </w:tcPr>
          <w:p w14:paraId="5B3D2B47" w14:textId="77777777" w:rsidR="00000000" w:rsidRDefault="00E614A4">
            <w:pPr>
              <w:rPr>
                <w:rFonts w:eastAsia="Times New Roman"/>
                <w:sz w:val="20"/>
                <w:szCs w:val="20"/>
              </w:rPr>
            </w:pPr>
          </w:p>
        </w:tc>
        <w:tc>
          <w:tcPr>
            <w:tcW w:w="17" w:type="pct"/>
            <w:vAlign w:val="center"/>
            <w:hideMark/>
          </w:tcPr>
          <w:p w14:paraId="54B227B8" w14:textId="77777777" w:rsidR="00000000" w:rsidRDefault="00E614A4">
            <w:pPr>
              <w:rPr>
                <w:rFonts w:eastAsia="Times New Roman"/>
                <w:sz w:val="20"/>
                <w:szCs w:val="20"/>
              </w:rPr>
            </w:pPr>
          </w:p>
        </w:tc>
        <w:tc>
          <w:tcPr>
            <w:tcW w:w="5" w:type="pct"/>
            <w:vAlign w:val="center"/>
            <w:hideMark/>
          </w:tcPr>
          <w:p w14:paraId="51AAB162" w14:textId="77777777" w:rsidR="00000000" w:rsidRDefault="00E614A4">
            <w:pPr>
              <w:rPr>
                <w:rFonts w:eastAsia="Times New Roman"/>
                <w:sz w:val="20"/>
                <w:szCs w:val="20"/>
              </w:rPr>
            </w:pPr>
          </w:p>
        </w:tc>
        <w:tc>
          <w:tcPr>
            <w:tcW w:w="50" w:type="pct"/>
            <w:vAlign w:val="center"/>
            <w:hideMark/>
          </w:tcPr>
          <w:p w14:paraId="1C63D9E4" w14:textId="77777777" w:rsidR="00000000" w:rsidRDefault="00E614A4">
            <w:pPr>
              <w:rPr>
                <w:rFonts w:eastAsia="Times New Roman"/>
                <w:sz w:val="20"/>
                <w:szCs w:val="20"/>
              </w:rPr>
            </w:pPr>
          </w:p>
        </w:tc>
        <w:tc>
          <w:tcPr>
            <w:tcW w:w="417" w:type="pct"/>
            <w:vAlign w:val="center"/>
            <w:hideMark/>
          </w:tcPr>
          <w:p w14:paraId="3DAAB8C6" w14:textId="77777777" w:rsidR="00000000" w:rsidRDefault="00E614A4">
            <w:pPr>
              <w:rPr>
                <w:rFonts w:eastAsia="Times New Roman"/>
                <w:sz w:val="20"/>
                <w:szCs w:val="20"/>
              </w:rPr>
            </w:pPr>
          </w:p>
        </w:tc>
        <w:tc>
          <w:tcPr>
            <w:tcW w:w="5" w:type="pct"/>
            <w:vAlign w:val="center"/>
            <w:hideMark/>
          </w:tcPr>
          <w:p w14:paraId="597F5F91" w14:textId="77777777" w:rsidR="00000000" w:rsidRDefault="00E614A4">
            <w:pPr>
              <w:rPr>
                <w:rFonts w:eastAsia="Times New Roman"/>
                <w:sz w:val="20"/>
                <w:szCs w:val="20"/>
              </w:rPr>
            </w:pPr>
          </w:p>
        </w:tc>
        <w:tc>
          <w:tcPr>
            <w:tcW w:w="0" w:type="auto"/>
            <w:gridSpan w:val="3"/>
            <w:vAlign w:val="center"/>
            <w:hideMark/>
          </w:tcPr>
          <w:p w14:paraId="06821D23" w14:textId="77777777" w:rsidR="00000000" w:rsidRDefault="00E614A4">
            <w:pPr>
              <w:rPr>
                <w:rFonts w:eastAsia="Times New Roman"/>
                <w:sz w:val="20"/>
                <w:szCs w:val="20"/>
              </w:rPr>
            </w:pPr>
          </w:p>
        </w:tc>
        <w:tc>
          <w:tcPr>
            <w:tcW w:w="0" w:type="auto"/>
            <w:gridSpan w:val="3"/>
            <w:vAlign w:val="center"/>
            <w:hideMark/>
          </w:tcPr>
          <w:p w14:paraId="48A48AED" w14:textId="77777777" w:rsidR="00000000" w:rsidRDefault="00E614A4">
            <w:pPr>
              <w:rPr>
                <w:rFonts w:eastAsia="Times New Roman"/>
                <w:sz w:val="20"/>
                <w:szCs w:val="20"/>
              </w:rPr>
            </w:pPr>
          </w:p>
        </w:tc>
        <w:tc>
          <w:tcPr>
            <w:tcW w:w="0" w:type="auto"/>
            <w:gridSpan w:val="3"/>
            <w:vAlign w:val="center"/>
            <w:hideMark/>
          </w:tcPr>
          <w:p w14:paraId="6B727D50" w14:textId="77777777" w:rsidR="00000000" w:rsidRDefault="00E614A4">
            <w:pPr>
              <w:rPr>
                <w:rFonts w:eastAsia="Times New Roman"/>
                <w:sz w:val="20"/>
                <w:szCs w:val="20"/>
              </w:rPr>
            </w:pPr>
          </w:p>
        </w:tc>
        <w:tc>
          <w:tcPr>
            <w:tcW w:w="0" w:type="auto"/>
            <w:gridSpan w:val="2"/>
            <w:vAlign w:val="center"/>
            <w:hideMark/>
          </w:tcPr>
          <w:p w14:paraId="223E5063" w14:textId="77777777" w:rsidR="00000000" w:rsidRDefault="00E614A4">
            <w:pPr>
              <w:rPr>
                <w:rFonts w:eastAsia="Times New Roman"/>
                <w:sz w:val="20"/>
                <w:szCs w:val="20"/>
              </w:rPr>
            </w:pPr>
          </w:p>
        </w:tc>
        <w:tc>
          <w:tcPr>
            <w:tcW w:w="0" w:type="auto"/>
            <w:vAlign w:val="center"/>
            <w:hideMark/>
          </w:tcPr>
          <w:p w14:paraId="4B9EB636" w14:textId="77777777" w:rsidR="00000000" w:rsidRDefault="00E614A4">
            <w:pPr>
              <w:rPr>
                <w:rFonts w:eastAsia="Times New Roman"/>
                <w:sz w:val="20"/>
                <w:szCs w:val="20"/>
              </w:rPr>
            </w:pPr>
          </w:p>
        </w:tc>
      </w:tr>
      <w:tr w:rsidR="00000000" w14:paraId="52359DEB" w14:textId="77777777">
        <w:trPr>
          <w:divId w:val="1655524247"/>
        </w:trPr>
        <w:tc>
          <w:tcPr>
            <w:tcW w:w="0" w:type="auto"/>
            <w:gridSpan w:val="3"/>
            <w:tcMar>
              <w:top w:w="0" w:type="dxa"/>
              <w:left w:w="20" w:type="dxa"/>
              <w:bottom w:w="0" w:type="dxa"/>
              <w:right w:w="20" w:type="dxa"/>
            </w:tcMar>
            <w:vAlign w:val="center"/>
            <w:hideMark/>
          </w:tcPr>
          <w:p w14:paraId="6691499C"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EC1D0AB" w14:textId="77777777" w:rsidR="00000000" w:rsidRDefault="00E614A4">
            <w:pPr>
              <w:rPr>
                <w:rFonts w:eastAsia="Times New Roman"/>
                <w:sz w:val="20"/>
                <w:szCs w:val="20"/>
              </w:rPr>
            </w:pPr>
          </w:p>
        </w:tc>
        <w:tc>
          <w:tcPr>
            <w:tcW w:w="0" w:type="auto"/>
            <w:gridSpan w:val="13"/>
            <w:tcBorders>
              <w:bottom w:val="single" w:sz="8" w:space="0" w:color="000000"/>
            </w:tcBorders>
            <w:tcMar>
              <w:top w:w="30" w:type="dxa"/>
              <w:left w:w="20" w:type="dxa"/>
              <w:bottom w:w="30" w:type="dxa"/>
              <w:right w:w="20" w:type="dxa"/>
            </w:tcMar>
            <w:vAlign w:val="bottom"/>
            <w:hideMark/>
          </w:tcPr>
          <w:p w14:paraId="1C6F18A6" w14:textId="77777777" w:rsidR="00000000" w:rsidRDefault="00E614A4">
            <w:pPr>
              <w:jc w:val="center"/>
              <w:rPr>
                <w:rFonts w:eastAsia="Times New Roman"/>
              </w:rPr>
            </w:pPr>
            <w:r>
              <w:rPr>
                <w:rFonts w:eastAsia="Times New Roman"/>
                <w:b/>
                <w:bCs/>
                <w:color w:val="000000"/>
                <w:sz w:val="16"/>
                <w:szCs w:val="16"/>
              </w:rPr>
              <w:t>As of</w:t>
            </w:r>
          </w:p>
        </w:tc>
        <w:tc>
          <w:tcPr>
            <w:tcW w:w="0" w:type="auto"/>
            <w:tcMar>
              <w:top w:w="0" w:type="dxa"/>
              <w:left w:w="20" w:type="dxa"/>
              <w:bottom w:w="0" w:type="dxa"/>
              <w:right w:w="20" w:type="dxa"/>
            </w:tcMar>
            <w:vAlign w:val="center"/>
            <w:hideMark/>
          </w:tcPr>
          <w:p w14:paraId="6D115AC3" w14:textId="77777777" w:rsidR="00000000" w:rsidRDefault="00E614A4">
            <w:pPr>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4DD3EF76" w14:textId="77777777" w:rsidR="00000000" w:rsidRDefault="00E614A4">
            <w:pPr>
              <w:jc w:val="center"/>
              <w:rPr>
                <w:rFonts w:eastAsia="Times New Roman"/>
              </w:rPr>
            </w:pPr>
            <w:r>
              <w:rPr>
                <w:rFonts w:eastAsia="Times New Roman"/>
                <w:b/>
                <w:bCs/>
                <w:color w:val="000000"/>
                <w:sz w:val="16"/>
                <w:szCs w:val="16"/>
              </w:rPr>
              <w:t>As of</w:t>
            </w:r>
          </w:p>
        </w:tc>
        <w:tc>
          <w:tcPr>
            <w:tcW w:w="0" w:type="auto"/>
            <w:gridSpan w:val="3"/>
            <w:vAlign w:val="center"/>
            <w:hideMark/>
          </w:tcPr>
          <w:p w14:paraId="56966F30" w14:textId="77777777" w:rsidR="00000000" w:rsidRDefault="00E614A4">
            <w:pPr>
              <w:jc w:val="center"/>
              <w:rPr>
                <w:rFonts w:eastAsia="Times New Roman"/>
              </w:rPr>
            </w:pPr>
          </w:p>
        </w:tc>
        <w:tc>
          <w:tcPr>
            <w:tcW w:w="0" w:type="auto"/>
            <w:gridSpan w:val="3"/>
            <w:vAlign w:val="center"/>
            <w:hideMark/>
          </w:tcPr>
          <w:p w14:paraId="64345ECD" w14:textId="77777777" w:rsidR="00000000" w:rsidRDefault="00E614A4">
            <w:pPr>
              <w:rPr>
                <w:rFonts w:eastAsia="Times New Roman"/>
                <w:sz w:val="20"/>
                <w:szCs w:val="20"/>
              </w:rPr>
            </w:pPr>
          </w:p>
        </w:tc>
        <w:tc>
          <w:tcPr>
            <w:tcW w:w="0" w:type="auto"/>
            <w:vAlign w:val="center"/>
            <w:hideMark/>
          </w:tcPr>
          <w:p w14:paraId="4825BA8F" w14:textId="77777777" w:rsidR="00000000" w:rsidRDefault="00E614A4">
            <w:pPr>
              <w:rPr>
                <w:rFonts w:eastAsia="Times New Roman"/>
                <w:sz w:val="20"/>
                <w:szCs w:val="20"/>
              </w:rPr>
            </w:pPr>
          </w:p>
        </w:tc>
        <w:tc>
          <w:tcPr>
            <w:tcW w:w="0" w:type="auto"/>
            <w:vAlign w:val="center"/>
            <w:hideMark/>
          </w:tcPr>
          <w:p w14:paraId="6A72E2DA" w14:textId="77777777" w:rsidR="00000000" w:rsidRDefault="00E614A4">
            <w:pPr>
              <w:rPr>
                <w:rFonts w:eastAsia="Times New Roman"/>
                <w:sz w:val="20"/>
                <w:szCs w:val="20"/>
              </w:rPr>
            </w:pPr>
          </w:p>
        </w:tc>
        <w:tc>
          <w:tcPr>
            <w:tcW w:w="0" w:type="auto"/>
            <w:vAlign w:val="center"/>
            <w:hideMark/>
          </w:tcPr>
          <w:p w14:paraId="5475BC68" w14:textId="77777777" w:rsidR="00000000" w:rsidRDefault="00E614A4">
            <w:pPr>
              <w:rPr>
                <w:rFonts w:eastAsia="Times New Roman"/>
                <w:sz w:val="20"/>
                <w:szCs w:val="20"/>
              </w:rPr>
            </w:pPr>
          </w:p>
        </w:tc>
        <w:tc>
          <w:tcPr>
            <w:tcW w:w="0" w:type="auto"/>
            <w:vAlign w:val="center"/>
            <w:hideMark/>
          </w:tcPr>
          <w:p w14:paraId="43C9BB3F" w14:textId="77777777" w:rsidR="00000000" w:rsidRDefault="00E614A4">
            <w:pPr>
              <w:rPr>
                <w:rFonts w:eastAsia="Times New Roman"/>
                <w:sz w:val="20"/>
                <w:szCs w:val="20"/>
              </w:rPr>
            </w:pPr>
          </w:p>
        </w:tc>
        <w:tc>
          <w:tcPr>
            <w:tcW w:w="0" w:type="auto"/>
            <w:vAlign w:val="center"/>
            <w:hideMark/>
          </w:tcPr>
          <w:p w14:paraId="2D213515" w14:textId="77777777" w:rsidR="00000000" w:rsidRDefault="00E614A4">
            <w:pPr>
              <w:rPr>
                <w:rFonts w:eastAsia="Times New Roman"/>
                <w:sz w:val="20"/>
                <w:szCs w:val="20"/>
              </w:rPr>
            </w:pPr>
          </w:p>
        </w:tc>
        <w:tc>
          <w:tcPr>
            <w:tcW w:w="0" w:type="auto"/>
            <w:vAlign w:val="center"/>
            <w:hideMark/>
          </w:tcPr>
          <w:p w14:paraId="6DFE2E42" w14:textId="77777777" w:rsidR="00000000" w:rsidRDefault="00E614A4">
            <w:pPr>
              <w:rPr>
                <w:rFonts w:eastAsia="Times New Roman"/>
                <w:sz w:val="20"/>
                <w:szCs w:val="20"/>
              </w:rPr>
            </w:pPr>
          </w:p>
        </w:tc>
        <w:tc>
          <w:tcPr>
            <w:tcW w:w="0" w:type="auto"/>
            <w:vAlign w:val="center"/>
            <w:hideMark/>
          </w:tcPr>
          <w:p w14:paraId="4B418CB1" w14:textId="77777777" w:rsidR="00000000" w:rsidRDefault="00E614A4">
            <w:pPr>
              <w:rPr>
                <w:rFonts w:eastAsia="Times New Roman"/>
                <w:sz w:val="20"/>
                <w:szCs w:val="20"/>
              </w:rPr>
            </w:pPr>
          </w:p>
        </w:tc>
        <w:tc>
          <w:tcPr>
            <w:tcW w:w="0" w:type="auto"/>
            <w:vAlign w:val="center"/>
            <w:hideMark/>
          </w:tcPr>
          <w:p w14:paraId="2CBF3FBD" w14:textId="77777777" w:rsidR="00000000" w:rsidRDefault="00E614A4">
            <w:pPr>
              <w:rPr>
                <w:rFonts w:eastAsia="Times New Roman"/>
                <w:sz w:val="20"/>
                <w:szCs w:val="20"/>
              </w:rPr>
            </w:pPr>
          </w:p>
        </w:tc>
        <w:tc>
          <w:tcPr>
            <w:tcW w:w="0" w:type="auto"/>
            <w:vAlign w:val="center"/>
            <w:hideMark/>
          </w:tcPr>
          <w:p w14:paraId="3FFCFC8B" w14:textId="77777777" w:rsidR="00000000" w:rsidRDefault="00E614A4">
            <w:pPr>
              <w:rPr>
                <w:rFonts w:eastAsia="Times New Roman"/>
                <w:sz w:val="20"/>
                <w:szCs w:val="20"/>
              </w:rPr>
            </w:pPr>
          </w:p>
        </w:tc>
        <w:tc>
          <w:tcPr>
            <w:tcW w:w="0" w:type="auto"/>
            <w:vAlign w:val="center"/>
            <w:hideMark/>
          </w:tcPr>
          <w:p w14:paraId="677133E4" w14:textId="77777777" w:rsidR="00000000" w:rsidRDefault="00E614A4">
            <w:pPr>
              <w:rPr>
                <w:rFonts w:eastAsia="Times New Roman"/>
                <w:sz w:val="20"/>
                <w:szCs w:val="20"/>
              </w:rPr>
            </w:pPr>
          </w:p>
        </w:tc>
        <w:tc>
          <w:tcPr>
            <w:tcW w:w="0" w:type="auto"/>
            <w:vAlign w:val="center"/>
            <w:hideMark/>
          </w:tcPr>
          <w:p w14:paraId="7CE09208" w14:textId="77777777" w:rsidR="00000000" w:rsidRDefault="00E614A4">
            <w:pPr>
              <w:rPr>
                <w:rFonts w:eastAsia="Times New Roman"/>
                <w:sz w:val="20"/>
                <w:szCs w:val="20"/>
              </w:rPr>
            </w:pPr>
          </w:p>
        </w:tc>
        <w:tc>
          <w:tcPr>
            <w:tcW w:w="0" w:type="auto"/>
            <w:vAlign w:val="center"/>
            <w:hideMark/>
          </w:tcPr>
          <w:p w14:paraId="4E4F45CD" w14:textId="77777777" w:rsidR="00000000" w:rsidRDefault="00E614A4">
            <w:pPr>
              <w:rPr>
                <w:rFonts w:eastAsia="Times New Roman"/>
                <w:sz w:val="20"/>
                <w:szCs w:val="20"/>
              </w:rPr>
            </w:pPr>
          </w:p>
        </w:tc>
      </w:tr>
      <w:tr w:rsidR="00000000" w14:paraId="4C100A4D" w14:textId="77777777">
        <w:trPr>
          <w:divId w:val="1655524247"/>
        </w:trPr>
        <w:tc>
          <w:tcPr>
            <w:tcW w:w="0" w:type="auto"/>
            <w:gridSpan w:val="3"/>
            <w:tcMar>
              <w:top w:w="30" w:type="dxa"/>
              <w:left w:w="20" w:type="dxa"/>
              <w:bottom w:w="30" w:type="dxa"/>
              <w:right w:w="20" w:type="dxa"/>
            </w:tcMar>
            <w:vAlign w:val="bottom"/>
            <w:hideMark/>
          </w:tcPr>
          <w:p w14:paraId="6DF80F0B"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0660E8F" w14:textId="77777777" w:rsidR="00000000" w:rsidRDefault="00E614A4">
            <w:pPr>
              <w:rPr>
                <w:rFonts w:eastAsia="Times New Roman"/>
              </w:rPr>
            </w:pPr>
          </w:p>
        </w:tc>
        <w:tc>
          <w:tcPr>
            <w:tcW w:w="0" w:type="auto"/>
            <w:gridSpan w:val="13"/>
            <w:tcBorders>
              <w:top w:val="single" w:sz="8" w:space="0" w:color="000000"/>
            </w:tcBorders>
            <w:tcMar>
              <w:top w:w="30" w:type="dxa"/>
              <w:left w:w="20" w:type="dxa"/>
              <w:bottom w:w="30" w:type="dxa"/>
              <w:right w:w="20" w:type="dxa"/>
            </w:tcMar>
            <w:vAlign w:val="bottom"/>
            <w:hideMark/>
          </w:tcPr>
          <w:p w14:paraId="46495DA3" w14:textId="77777777" w:rsidR="00000000" w:rsidRDefault="00E614A4">
            <w:pPr>
              <w:jc w:val="center"/>
              <w:rPr>
                <w:rFonts w:eastAsia="Times New Roman"/>
              </w:rPr>
            </w:pPr>
            <w:r>
              <w:rPr>
                <w:rFonts w:eastAsia="Times New Roman"/>
                <w:b/>
                <w:bCs/>
                <w:color w:val="000000"/>
                <w:sz w:val="16"/>
                <w:szCs w:val="16"/>
              </w:rPr>
              <w:t>December 31, 2020</w:t>
            </w:r>
          </w:p>
        </w:tc>
        <w:tc>
          <w:tcPr>
            <w:tcW w:w="0" w:type="auto"/>
            <w:tcMar>
              <w:top w:w="0" w:type="dxa"/>
              <w:left w:w="20" w:type="dxa"/>
              <w:bottom w:w="0" w:type="dxa"/>
              <w:right w:w="20" w:type="dxa"/>
            </w:tcMar>
            <w:vAlign w:val="center"/>
            <w:hideMark/>
          </w:tcPr>
          <w:p w14:paraId="079A2051" w14:textId="77777777" w:rsidR="00000000" w:rsidRDefault="00E614A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3ED67EB2" w14:textId="77777777" w:rsidR="00000000" w:rsidRDefault="00E614A4">
            <w:pPr>
              <w:jc w:val="center"/>
              <w:rPr>
                <w:rFonts w:eastAsia="Times New Roman"/>
              </w:rPr>
            </w:pPr>
            <w:r>
              <w:rPr>
                <w:rFonts w:eastAsia="Times New Roman"/>
                <w:b/>
                <w:bCs/>
                <w:color w:val="000000"/>
                <w:sz w:val="16"/>
                <w:szCs w:val="16"/>
              </w:rPr>
              <w:t>December 31, 2019</w:t>
            </w:r>
          </w:p>
        </w:tc>
        <w:tc>
          <w:tcPr>
            <w:tcW w:w="0" w:type="auto"/>
            <w:gridSpan w:val="3"/>
            <w:vAlign w:val="center"/>
            <w:hideMark/>
          </w:tcPr>
          <w:p w14:paraId="45C74024" w14:textId="77777777" w:rsidR="00000000" w:rsidRDefault="00E614A4">
            <w:pPr>
              <w:jc w:val="center"/>
              <w:rPr>
                <w:rFonts w:eastAsia="Times New Roman"/>
              </w:rPr>
            </w:pPr>
          </w:p>
        </w:tc>
        <w:tc>
          <w:tcPr>
            <w:tcW w:w="0" w:type="auto"/>
            <w:gridSpan w:val="3"/>
            <w:vAlign w:val="center"/>
            <w:hideMark/>
          </w:tcPr>
          <w:p w14:paraId="07F477E1" w14:textId="77777777" w:rsidR="00000000" w:rsidRDefault="00E614A4">
            <w:pPr>
              <w:rPr>
                <w:rFonts w:eastAsia="Times New Roman"/>
                <w:sz w:val="20"/>
                <w:szCs w:val="20"/>
              </w:rPr>
            </w:pPr>
          </w:p>
        </w:tc>
        <w:tc>
          <w:tcPr>
            <w:tcW w:w="0" w:type="auto"/>
            <w:vAlign w:val="center"/>
            <w:hideMark/>
          </w:tcPr>
          <w:p w14:paraId="48A79B33" w14:textId="77777777" w:rsidR="00000000" w:rsidRDefault="00E614A4">
            <w:pPr>
              <w:rPr>
                <w:rFonts w:eastAsia="Times New Roman"/>
                <w:sz w:val="20"/>
                <w:szCs w:val="20"/>
              </w:rPr>
            </w:pPr>
          </w:p>
        </w:tc>
        <w:tc>
          <w:tcPr>
            <w:tcW w:w="0" w:type="auto"/>
            <w:vAlign w:val="center"/>
            <w:hideMark/>
          </w:tcPr>
          <w:p w14:paraId="60F9D0A9" w14:textId="77777777" w:rsidR="00000000" w:rsidRDefault="00E614A4">
            <w:pPr>
              <w:rPr>
                <w:rFonts w:eastAsia="Times New Roman"/>
                <w:sz w:val="20"/>
                <w:szCs w:val="20"/>
              </w:rPr>
            </w:pPr>
          </w:p>
        </w:tc>
        <w:tc>
          <w:tcPr>
            <w:tcW w:w="0" w:type="auto"/>
            <w:vAlign w:val="center"/>
            <w:hideMark/>
          </w:tcPr>
          <w:p w14:paraId="6AC6DB21" w14:textId="77777777" w:rsidR="00000000" w:rsidRDefault="00E614A4">
            <w:pPr>
              <w:rPr>
                <w:rFonts w:eastAsia="Times New Roman"/>
                <w:sz w:val="20"/>
                <w:szCs w:val="20"/>
              </w:rPr>
            </w:pPr>
          </w:p>
        </w:tc>
        <w:tc>
          <w:tcPr>
            <w:tcW w:w="0" w:type="auto"/>
            <w:vAlign w:val="center"/>
            <w:hideMark/>
          </w:tcPr>
          <w:p w14:paraId="69D164DE" w14:textId="77777777" w:rsidR="00000000" w:rsidRDefault="00E614A4">
            <w:pPr>
              <w:rPr>
                <w:rFonts w:eastAsia="Times New Roman"/>
                <w:sz w:val="20"/>
                <w:szCs w:val="20"/>
              </w:rPr>
            </w:pPr>
          </w:p>
        </w:tc>
        <w:tc>
          <w:tcPr>
            <w:tcW w:w="0" w:type="auto"/>
            <w:vAlign w:val="center"/>
            <w:hideMark/>
          </w:tcPr>
          <w:p w14:paraId="2117776F" w14:textId="77777777" w:rsidR="00000000" w:rsidRDefault="00E614A4">
            <w:pPr>
              <w:rPr>
                <w:rFonts w:eastAsia="Times New Roman"/>
                <w:sz w:val="20"/>
                <w:szCs w:val="20"/>
              </w:rPr>
            </w:pPr>
          </w:p>
        </w:tc>
        <w:tc>
          <w:tcPr>
            <w:tcW w:w="0" w:type="auto"/>
            <w:vAlign w:val="center"/>
            <w:hideMark/>
          </w:tcPr>
          <w:p w14:paraId="1C4DAE8D" w14:textId="77777777" w:rsidR="00000000" w:rsidRDefault="00E614A4">
            <w:pPr>
              <w:rPr>
                <w:rFonts w:eastAsia="Times New Roman"/>
                <w:sz w:val="20"/>
                <w:szCs w:val="20"/>
              </w:rPr>
            </w:pPr>
          </w:p>
        </w:tc>
        <w:tc>
          <w:tcPr>
            <w:tcW w:w="0" w:type="auto"/>
            <w:vAlign w:val="center"/>
            <w:hideMark/>
          </w:tcPr>
          <w:p w14:paraId="6B2E06CD" w14:textId="77777777" w:rsidR="00000000" w:rsidRDefault="00E614A4">
            <w:pPr>
              <w:rPr>
                <w:rFonts w:eastAsia="Times New Roman"/>
                <w:sz w:val="20"/>
                <w:szCs w:val="20"/>
              </w:rPr>
            </w:pPr>
          </w:p>
        </w:tc>
        <w:tc>
          <w:tcPr>
            <w:tcW w:w="0" w:type="auto"/>
            <w:vAlign w:val="center"/>
            <w:hideMark/>
          </w:tcPr>
          <w:p w14:paraId="5FC7CD6C" w14:textId="77777777" w:rsidR="00000000" w:rsidRDefault="00E614A4">
            <w:pPr>
              <w:rPr>
                <w:rFonts w:eastAsia="Times New Roman"/>
                <w:sz w:val="20"/>
                <w:szCs w:val="20"/>
              </w:rPr>
            </w:pPr>
          </w:p>
        </w:tc>
        <w:tc>
          <w:tcPr>
            <w:tcW w:w="0" w:type="auto"/>
            <w:vAlign w:val="center"/>
            <w:hideMark/>
          </w:tcPr>
          <w:p w14:paraId="0F209841" w14:textId="77777777" w:rsidR="00000000" w:rsidRDefault="00E614A4">
            <w:pPr>
              <w:rPr>
                <w:rFonts w:eastAsia="Times New Roman"/>
                <w:sz w:val="20"/>
                <w:szCs w:val="20"/>
              </w:rPr>
            </w:pPr>
          </w:p>
        </w:tc>
        <w:tc>
          <w:tcPr>
            <w:tcW w:w="0" w:type="auto"/>
            <w:vAlign w:val="center"/>
            <w:hideMark/>
          </w:tcPr>
          <w:p w14:paraId="707DBE4B" w14:textId="77777777" w:rsidR="00000000" w:rsidRDefault="00E614A4">
            <w:pPr>
              <w:rPr>
                <w:rFonts w:eastAsia="Times New Roman"/>
                <w:sz w:val="20"/>
                <w:szCs w:val="20"/>
              </w:rPr>
            </w:pPr>
          </w:p>
        </w:tc>
        <w:tc>
          <w:tcPr>
            <w:tcW w:w="0" w:type="auto"/>
            <w:vAlign w:val="center"/>
            <w:hideMark/>
          </w:tcPr>
          <w:p w14:paraId="22FA246E" w14:textId="77777777" w:rsidR="00000000" w:rsidRDefault="00E614A4">
            <w:pPr>
              <w:rPr>
                <w:rFonts w:eastAsia="Times New Roman"/>
                <w:sz w:val="20"/>
                <w:szCs w:val="20"/>
              </w:rPr>
            </w:pPr>
          </w:p>
        </w:tc>
        <w:tc>
          <w:tcPr>
            <w:tcW w:w="0" w:type="auto"/>
            <w:vAlign w:val="center"/>
            <w:hideMark/>
          </w:tcPr>
          <w:p w14:paraId="71545A10" w14:textId="77777777" w:rsidR="00000000" w:rsidRDefault="00E614A4">
            <w:pPr>
              <w:rPr>
                <w:rFonts w:eastAsia="Times New Roman"/>
                <w:sz w:val="20"/>
                <w:szCs w:val="20"/>
              </w:rPr>
            </w:pPr>
          </w:p>
        </w:tc>
      </w:tr>
      <w:tr w:rsidR="00000000" w14:paraId="733A9720" w14:textId="77777777">
        <w:trPr>
          <w:divId w:val="1655524247"/>
        </w:trPr>
        <w:tc>
          <w:tcPr>
            <w:tcW w:w="0" w:type="auto"/>
            <w:gridSpan w:val="3"/>
            <w:tcMar>
              <w:top w:w="30" w:type="dxa"/>
              <w:left w:w="20" w:type="dxa"/>
              <w:bottom w:w="30" w:type="dxa"/>
              <w:right w:w="20" w:type="dxa"/>
            </w:tcMar>
            <w:vAlign w:val="bottom"/>
            <w:hideMark/>
          </w:tcPr>
          <w:p w14:paraId="1E681ACB"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1AD8AA07"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FF7E93" w14:textId="77777777" w:rsidR="00000000" w:rsidRDefault="00E614A4">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58A7917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834CD5" w14:textId="77777777" w:rsidR="00000000" w:rsidRDefault="00E614A4">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5B27445F" w14:textId="77777777" w:rsidR="00000000" w:rsidRDefault="00E614A4">
            <w:pPr>
              <w:jc w:val="center"/>
              <w:rPr>
                <w:rFonts w:eastAsia="Times New Roman"/>
              </w:rPr>
            </w:pPr>
          </w:p>
        </w:tc>
        <w:tc>
          <w:tcPr>
            <w:tcW w:w="0" w:type="auto"/>
            <w:vAlign w:val="center"/>
            <w:hideMark/>
          </w:tcPr>
          <w:p w14:paraId="0C76C4CF" w14:textId="77777777" w:rsidR="00000000" w:rsidRDefault="00E614A4">
            <w:pPr>
              <w:rPr>
                <w:rFonts w:eastAsia="Times New Roman"/>
                <w:sz w:val="20"/>
                <w:szCs w:val="20"/>
              </w:rPr>
            </w:pPr>
          </w:p>
        </w:tc>
        <w:tc>
          <w:tcPr>
            <w:tcW w:w="0" w:type="auto"/>
            <w:vAlign w:val="center"/>
            <w:hideMark/>
          </w:tcPr>
          <w:p w14:paraId="4368F9F0" w14:textId="77777777" w:rsidR="00000000" w:rsidRDefault="00E614A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D4943A1" w14:textId="77777777" w:rsidR="00000000" w:rsidRDefault="00E614A4">
            <w:pPr>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Mar>
              <w:top w:w="0" w:type="dxa"/>
              <w:left w:w="20" w:type="dxa"/>
              <w:bottom w:w="0" w:type="dxa"/>
              <w:right w:w="20" w:type="dxa"/>
            </w:tcMar>
            <w:vAlign w:val="center"/>
            <w:hideMark/>
          </w:tcPr>
          <w:p w14:paraId="6EB4505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7B76DF" w14:textId="77777777" w:rsidR="00000000" w:rsidRDefault="00E614A4">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198C0B53"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9B3F7A" w14:textId="77777777" w:rsidR="00000000" w:rsidRDefault="00E614A4">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5ADEFA5E"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37DA31" w14:textId="77777777" w:rsidR="00000000" w:rsidRDefault="00E614A4">
            <w:pPr>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0" w:type="dxa"/>
              <w:left w:w="20" w:type="dxa"/>
              <w:bottom w:w="0" w:type="dxa"/>
              <w:right w:w="20" w:type="dxa"/>
            </w:tcMar>
            <w:vAlign w:val="center"/>
            <w:hideMark/>
          </w:tcPr>
          <w:p w14:paraId="74BA4ECF"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6E4034" w14:textId="77777777" w:rsidR="00000000" w:rsidRDefault="00E614A4">
            <w:pPr>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vAlign w:val="center"/>
            <w:hideMark/>
          </w:tcPr>
          <w:p w14:paraId="62A1DF09" w14:textId="77777777" w:rsidR="00000000" w:rsidRDefault="00E614A4">
            <w:pPr>
              <w:jc w:val="center"/>
              <w:rPr>
                <w:rFonts w:eastAsia="Times New Roman"/>
              </w:rPr>
            </w:pPr>
          </w:p>
        </w:tc>
        <w:tc>
          <w:tcPr>
            <w:tcW w:w="0" w:type="auto"/>
            <w:gridSpan w:val="3"/>
            <w:vAlign w:val="center"/>
            <w:hideMark/>
          </w:tcPr>
          <w:p w14:paraId="76F6356E" w14:textId="77777777" w:rsidR="00000000" w:rsidRDefault="00E614A4">
            <w:pPr>
              <w:rPr>
                <w:rFonts w:eastAsia="Times New Roman"/>
                <w:sz w:val="20"/>
                <w:szCs w:val="20"/>
              </w:rPr>
            </w:pPr>
          </w:p>
        </w:tc>
        <w:tc>
          <w:tcPr>
            <w:tcW w:w="0" w:type="auto"/>
            <w:gridSpan w:val="3"/>
            <w:vAlign w:val="center"/>
            <w:hideMark/>
          </w:tcPr>
          <w:p w14:paraId="5E6CC302" w14:textId="77777777" w:rsidR="00000000" w:rsidRDefault="00E614A4">
            <w:pPr>
              <w:rPr>
                <w:rFonts w:eastAsia="Times New Roman"/>
                <w:sz w:val="20"/>
                <w:szCs w:val="20"/>
              </w:rPr>
            </w:pPr>
          </w:p>
        </w:tc>
        <w:tc>
          <w:tcPr>
            <w:tcW w:w="0" w:type="auto"/>
            <w:gridSpan w:val="2"/>
            <w:vAlign w:val="center"/>
            <w:hideMark/>
          </w:tcPr>
          <w:p w14:paraId="0D81FBEC" w14:textId="77777777" w:rsidR="00000000" w:rsidRDefault="00E614A4">
            <w:pPr>
              <w:rPr>
                <w:rFonts w:eastAsia="Times New Roman"/>
                <w:sz w:val="20"/>
                <w:szCs w:val="20"/>
              </w:rPr>
            </w:pPr>
          </w:p>
        </w:tc>
        <w:tc>
          <w:tcPr>
            <w:tcW w:w="0" w:type="auto"/>
            <w:vAlign w:val="center"/>
            <w:hideMark/>
          </w:tcPr>
          <w:p w14:paraId="4EAA3831" w14:textId="77777777" w:rsidR="00000000" w:rsidRDefault="00E614A4">
            <w:pPr>
              <w:rPr>
                <w:rFonts w:eastAsia="Times New Roman"/>
                <w:sz w:val="20"/>
                <w:szCs w:val="20"/>
              </w:rPr>
            </w:pPr>
          </w:p>
        </w:tc>
      </w:tr>
      <w:tr w:rsidR="00E614A4" w14:paraId="62553F17" w14:textId="77777777">
        <w:trPr>
          <w:divId w:val="1655524247"/>
        </w:trPr>
        <w:tc>
          <w:tcPr>
            <w:tcW w:w="0" w:type="auto"/>
            <w:gridSpan w:val="3"/>
            <w:shd w:val="clear" w:color="auto" w:fill="CCEEFF"/>
            <w:tcMar>
              <w:top w:w="30" w:type="dxa"/>
              <w:left w:w="20" w:type="dxa"/>
              <w:bottom w:w="30" w:type="dxa"/>
              <w:right w:w="20" w:type="dxa"/>
            </w:tcMar>
            <w:hideMark/>
          </w:tcPr>
          <w:p w14:paraId="29C492F9" w14:textId="77777777" w:rsidR="00000000" w:rsidRDefault="00E614A4">
            <w:pPr>
              <w:rPr>
                <w:rFonts w:eastAsia="Times New Roman"/>
              </w:rPr>
            </w:pPr>
            <w:r>
              <w:rPr>
                <w:rFonts w:eastAsia="Times New Roman"/>
                <w:color w:val="000000"/>
                <w:sz w:val="18"/>
                <w:szCs w:val="18"/>
              </w:rPr>
              <w:t>Acquired methodologies and technology</w:t>
            </w:r>
          </w:p>
        </w:tc>
        <w:tc>
          <w:tcPr>
            <w:tcW w:w="0" w:type="auto"/>
            <w:gridSpan w:val="3"/>
            <w:shd w:val="clear" w:color="auto" w:fill="CCEEFF"/>
            <w:tcMar>
              <w:top w:w="0" w:type="dxa"/>
              <w:left w:w="20" w:type="dxa"/>
              <w:bottom w:w="0" w:type="dxa"/>
              <w:right w:w="20" w:type="dxa"/>
            </w:tcMar>
            <w:vAlign w:val="center"/>
            <w:hideMark/>
          </w:tcPr>
          <w:p w14:paraId="7547271B"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B4300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A3EBF1" w14:textId="77777777" w:rsidR="00000000" w:rsidRDefault="00E614A4">
            <w:pPr>
              <w:jc w:val="right"/>
              <w:rPr>
                <w:rFonts w:eastAsia="Times New Roman"/>
              </w:rPr>
            </w:pPr>
            <w:r>
              <w:rPr>
                <w:rFonts w:eastAsia="Times New Roman"/>
                <w:color w:val="000000"/>
                <w:sz w:val="18"/>
                <w:szCs w:val="18"/>
              </w:rPr>
              <w:t>148,403 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9F3D2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95796"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A1D03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BE7739" w14:textId="77777777" w:rsidR="00000000" w:rsidRDefault="00E614A4">
            <w:pPr>
              <w:jc w:val="right"/>
              <w:rPr>
                <w:rFonts w:eastAsia="Times New Roman"/>
              </w:rPr>
            </w:pPr>
            <w:r>
              <w:rPr>
                <w:rFonts w:eastAsia="Times New Roman"/>
                <w:color w:val="000000"/>
                <w:sz w:val="18"/>
                <w:szCs w:val="18"/>
              </w:rPr>
              <w:t>(106,771)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F08EF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A4C1C" w14:textId="77777777" w:rsidR="00000000" w:rsidRDefault="00E614A4">
            <w:pPr>
              <w:jc w:val="right"/>
              <w:rPr>
                <w:rFonts w:eastAsia="Times New Roman"/>
                <w:sz w:val="20"/>
                <w:szCs w:val="20"/>
              </w:rPr>
            </w:pPr>
          </w:p>
        </w:tc>
        <w:tc>
          <w:tcPr>
            <w:tcW w:w="0" w:type="auto"/>
            <w:vAlign w:val="center"/>
            <w:hideMark/>
          </w:tcPr>
          <w:p w14:paraId="0C36C3F6" w14:textId="77777777" w:rsidR="00000000" w:rsidRDefault="00E614A4">
            <w:pPr>
              <w:rPr>
                <w:rFonts w:eastAsia="Times New Roman"/>
                <w:sz w:val="20"/>
                <w:szCs w:val="20"/>
              </w:rPr>
            </w:pPr>
          </w:p>
        </w:tc>
        <w:tc>
          <w:tcPr>
            <w:tcW w:w="0" w:type="auto"/>
            <w:vAlign w:val="center"/>
            <w:hideMark/>
          </w:tcPr>
          <w:p w14:paraId="2C087C86" w14:textId="77777777" w:rsidR="00000000" w:rsidRDefault="00E614A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9DF77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2AB74B" w14:textId="77777777" w:rsidR="00000000" w:rsidRDefault="00E614A4">
            <w:pPr>
              <w:jc w:val="right"/>
              <w:rPr>
                <w:rFonts w:eastAsia="Times New Roman"/>
              </w:rPr>
            </w:pPr>
            <w:r>
              <w:rPr>
                <w:rFonts w:eastAsia="Times New Roman"/>
                <w:color w:val="000000"/>
                <w:sz w:val="18"/>
                <w:szCs w:val="18"/>
              </w:rPr>
              <w:t>41,632 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C67AC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12FE2"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76DA27" w14:textId="77777777" w:rsidR="00000000" w:rsidRDefault="00E614A4">
            <w:pPr>
              <w:jc w:val="right"/>
              <w:rPr>
                <w:rFonts w:eastAsia="Times New Roman"/>
              </w:rPr>
            </w:pPr>
            <w:r>
              <w:rPr>
                <w:rFonts w:eastAsia="Times New Roman"/>
                <w:color w:val="000000"/>
                <w:sz w:val="18"/>
                <w:szCs w:val="18"/>
              </w:rPr>
              <w:t>148,386 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9BD6F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2C8E6"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32137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21BC6F" w14:textId="77777777" w:rsidR="00000000" w:rsidRDefault="00E614A4">
            <w:pPr>
              <w:jc w:val="right"/>
              <w:rPr>
                <w:rFonts w:eastAsia="Times New Roman"/>
              </w:rPr>
            </w:pPr>
            <w:r>
              <w:rPr>
                <w:rFonts w:eastAsia="Times New Roman"/>
                <w:color w:val="000000"/>
                <w:sz w:val="18"/>
                <w:szCs w:val="18"/>
              </w:rPr>
              <w:t>(86,771)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46BFF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407307"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89A1C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0FCE51"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6AEBC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39F16"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5AE38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D6EE3B" w14:textId="77777777" w:rsidR="00000000" w:rsidRDefault="00E614A4">
            <w:pPr>
              <w:jc w:val="right"/>
              <w:rPr>
                <w:rFonts w:eastAsia="Times New Roman"/>
              </w:rPr>
            </w:pPr>
            <w:r>
              <w:rPr>
                <w:rFonts w:eastAsia="Times New Roman"/>
                <w:color w:val="000000"/>
                <w:sz w:val="18"/>
                <w:szCs w:val="18"/>
              </w:rPr>
              <w:t>61,615 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7E3EF4" w14:textId="77777777" w:rsidR="00000000" w:rsidRDefault="00E614A4">
            <w:pPr>
              <w:jc w:val="right"/>
              <w:rPr>
                <w:rFonts w:eastAsia="Times New Roman"/>
              </w:rPr>
            </w:pPr>
          </w:p>
        </w:tc>
        <w:tc>
          <w:tcPr>
            <w:tcW w:w="0" w:type="auto"/>
            <w:gridSpan w:val="3"/>
            <w:vAlign w:val="center"/>
            <w:hideMark/>
          </w:tcPr>
          <w:p w14:paraId="7841D13B" w14:textId="77777777" w:rsidR="00000000" w:rsidRDefault="00E614A4">
            <w:pPr>
              <w:jc w:val="right"/>
              <w:rPr>
                <w:rFonts w:eastAsia="Times New Roman"/>
                <w:sz w:val="20"/>
                <w:szCs w:val="20"/>
              </w:rPr>
            </w:pPr>
          </w:p>
        </w:tc>
        <w:tc>
          <w:tcPr>
            <w:tcW w:w="0" w:type="auto"/>
            <w:gridSpan w:val="3"/>
            <w:vAlign w:val="center"/>
            <w:hideMark/>
          </w:tcPr>
          <w:p w14:paraId="1004C64A" w14:textId="77777777" w:rsidR="00000000" w:rsidRDefault="00E614A4">
            <w:pPr>
              <w:rPr>
                <w:rFonts w:eastAsia="Times New Roman"/>
                <w:sz w:val="20"/>
                <w:szCs w:val="20"/>
              </w:rPr>
            </w:pPr>
          </w:p>
        </w:tc>
        <w:tc>
          <w:tcPr>
            <w:tcW w:w="0" w:type="auto"/>
            <w:gridSpan w:val="3"/>
            <w:vAlign w:val="center"/>
            <w:hideMark/>
          </w:tcPr>
          <w:p w14:paraId="2237B01E" w14:textId="77777777" w:rsidR="00000000" w:rsidRDefault="00E614A4">
            <w:pPr>
              <w:rPr>
                <w:rFonts w:eastAsia="Times New Roman"/>
                <w:sz w:val="20"/>
                <w:szCs w:val="20"/>
              </w:rPr>
            </w:pPr>
          </w:p>
        </w:tc>
        <w:tc>
          <w:tcPr>
            <w:tcW w:w="0" w:type="auto"/>
            <w:gridSpan w:val="2"/>
            <w:vAlign w:val="center"/>
            <w:hideMark/>
          </w:tcPr>
          <w:p w14:paraId="4D6C4152" w14:textId="77777777" w:rsidR="00000000" w:rsidRDefault="00E614A4">
            <w:pPr>
              <w:rPr>
                <w:rFonts w:eastAsia="Times New Roman"/>
                <w:sz w:val="20"/>
                <w:szCs w:val="20"/>
              </w:rPr>
            </w:pPr>
          </w:p>
        </w:tc>
        <w:tc>
          <w:tcPr>
            <w:tcW w:w="0" w:type="auto"/>
            <w:vAlign w:val="center"/>
            <w:hideMark/>
          </w:tcPr>
          <w:p w14:paraId="4D12B923" w14:textId="77777777" w:rsidR="00000000" w:rsidRDefault="00E614A4">
            <w:pPr>
              <w:rPr>
                <w:rFonts w:eastAsia="Times New Roman"/>
                <w:sz w:val="20"/>
                <w:szCs w:val="20"/>
              </w:rPr>
            </w:pPr>
          </w:p>
        </w:tc>
      </w:tr>
      <w:tr w:rsidR="00000000" w14:paraId="1C6D737D" w14:textId="77777777">
        <w:trPr>
          <w:divId w:val="1655524247"/>
        </w:trPr>
        <w:tc>
          <w:tcPr>
            <w:tcW w:w="0" w:type="auto"/>
            <w:gridSpan w:val="3"/>
            <w:shd w:val="clear" w:color="auto" w:fill="FFFFFF"/>
            <w:tcMar>
              <w:top w:w="30" w:type="dxa"/>
              <w:left w:w="20" w:type="dxa"/>
              <w:bottom w:w="30" w:type="dxa"/>
              <w:right w:w="20" w:type="dxa"/>
            </w:tcMar>
            <w:hideMark/>
          </w:tcPr>
          <w:p w14:paraId="7B624B37" w14:textId="77777777" w:rsidR="00000000" w:rsidRDefault="00E614A4">
            <w:pPr>
              <w:rPr>
                <w:rFonts w:eastAsia="Times New Roman"/>
              </w:rPr>
            </w:pPr>
            <w:r>
              <w:rPr>
                <w:rFonts w:eastAsia="Times New Roman"/>
                <w:color w:val="000000"/>
                <w:sz w:val="18"/>
                <w:szCs w:val="18"/>
              </w:rPr>
              <w:t>Customer relationships</w:t>
            </w:r>
          </w:p>
        </w:tc>
        <w:tc>
          <w:tcPr>
            <w:tcW w:w="0" w:type="auto"/>
            <w:gridSpan w:val="3"/>
            <w:shd w:val="clear" w:color="auto" w:fill="FFFFFF"/>
            <w:tcMar>
              <w:top w:w="0" w:type="dxa"/>
              <w:left w:w="20" w:type="dxa"/>
              <w:bottom w:w="0" w:type="dxa"/>
              <w:right w:w="20" w:type="dxa"/>
            </w:tcMar>
            <w:vAlign w:val="center"/>
            <w:hideMark/>
          </w:tcPr>
          <w:p w14:paraId="04EC7279"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F0383C" w14:textId="77777777" w:rsidR="00000000" w:rsidRDefault="00E614A4">
            <w:pPr>
              <w:jc w:val="right"/>
              <w:rPr>
                <w:rFonts w:eastAsia="Times New Roman"/>
              </w:rPr>
            </w:pPr>
            <w:r>
              <w:rPr>
                <w:rFonts w:eastAsia="Times New Roman"/>
                <w:color w:val="000000"/>
                <w:sz w:val="18"/>
                <w:szCs w:val="18"/>
              </w:rPr>
              <w:t>40,168 </w:t>
            </w:r>
          </w:p>
        </w:tc>
        <w:tc>
          <w:tcPr>
            <w:tcW w:w="0" w:type="auto"/>
            <w:shd w:val="clear" w:color="auto" w:fill="FFFFFF"/>
            <w:tcMar>
              <w:top w:w="30" w:type="dxa"/>
              <w:left w:w="0" w:type="dxa"/>
              <w:bottom w:w="30" w:type="dxa"/>
              <w:right w:w="20" w:type="dxa"/>
            </w:tcMar>
            <w:vAlign w:val="bottom"/>
            <w:hideMark/>
          </w:tcPr>
          <w:p w14:paraId="03AA636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498A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51DD0B" w14:textId="77777777" w:rsidR="00000000" w:rsidRDefault="00E614A4">
            <w:pPr>
              <w:jc w:val="right"/>
              <w:rPr>
                <w:rFonts w:eastAsia="Times New Roman"/>
              </w:rPr>
            </w:pPr>
            <w:r>
              <w:rPr>
                <w:rFonts w:eastAsia="Times New Roman"/>
                <w:color w:val="000000"/>
                <w:sz w:val="18"/>
                <w:szCs w:val="18"/>
              </w:rPr>
              <w:t>(31,170)</w:t>
            </w:r>
          </w:p>
        </w:tc>
        <w:tc>
          <w:tcPr>
            <w:tcW w:w="0" w:type="auto"/>
            <w:shd w:val="clear" w:color="auto" w:fill="FFFFFF"/>
            <w:tcMar>
              <w:top w:w="30" w:type="dxa"/>
              <w:left w:w="0" w:type="dxa"/>
              <w:bottom w:w="30" w:type="dxa"/>
              <w:right w:w="20" w:type="dxa"/>
            </w:tcMar>
            <w:vAlign w:val="bottom"/>
            <w:hideMark/>
          </w:tcPr>
          <w:p w14:paraId="0899D1A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DBC28" w14:textId="77777777" w:rsidR="00000000" w:rsidRDefault="00E614A4">
            <w:pPr>
              <w:jc w:val="right"/>
              <w:rPr>
                <w:rFonts w:eastAsia="Times New Roman"/>
                <w:sz w:val="20"/>
                <w:szCs w:val="20"/>
              </w:rPr>
            </w:pPr>
          </w:p>
        </w:tc>
        <w:tc>
          <w:tcPr>
            <w:tcW w:w="0" w:type="auto"/>
            <w:vAlign w:val="center"/>
            <w:hideMark/>
          </w:tcPr>
          <w:p w14:paraId="79F809FE" w14:textId="77777777" w:rsidR="00000000" w:rsidRDefault="00E614A4">
            <w:pPr>
              <w:rPr>
                <w:rFonts w:eastAsia="Times New Roman"/>
                <w:sz w:val="20"/>
                <w:szCs w:val="20"/>
              </w:rPr>
            </w:pPr>
          </w:p>
        </w:tc>
        <w:tc>
          <w:tcPr>
            <w:tcW w:w="0" w:type="auto"/>
            <w:vAlign w:val="center"/>
            <w:hideMark/>
          </w:tcPr>
          <w:p w14:paraId="3BA44FB5" w14:textId="77777777" w:rsidR="00000000" w:rsidRDefault="00E614A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92A51A" w14:textId="77777777" w:rsidR="00000000" w:rsidRDefault="00E614A4">
            <w:pPr>
              <w:jc w:val="right"/>
              <w:rPr>
                <w:rFonts w:eastAsia="Times New Roman"/>
              </w:rPr>
            </w:pPr>
            <w:r>
              <w:rPr>
                <w:rFonts w:eastAsia="Times New Roman"/>
                <w:color w:val="000000"/>
                <w:sz w:val="18"/>
                <w:szCs w:val="18"/>
              </w:rPr>
              <w:t>8,998 </w:t>
            </w:r>
          </w:p>
        </w:tc>
        <w:tc>
          <w:tcPr>
            <w:tcW w:w="0" w:type="auto"/>
            <w:shd w:val="clear" w:color="auto" w:fill="FFFFFF"/>
            <w:tcMar>
              <w:top w:w="30" w:type="dxa"/>
              <w:left w:w="0" w:type="dxa"/>
              <w:bottom w:w="30" w:type="dxa"/>
              <w:right w:w="20" w:type="dxa"/>
            </w:tcMar>
            <w:vAlign w:val="bottom"/>
            <w:hideMark/>
          </w:tcPr>
          <w:p w14:paraId="79D4A1D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0EB2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5A065E" w14:textId="77777777" w:rsidR="00000000" w:rsidRDefault="00E614A4">
            <w:pPr>
              <w:jc w:val="right"/>
              <w:rPr>
                <w:rFonts w:eastAsia="Times New Roman"/>
              </w:rPr>
            </w:pPr>
            <w:r>
              <w:rPr>
                <w:rFonts w:eastAsia="Times New Roman"/>
                <w:color w:val="000000"/>
                <w:sz w:val="18"/>
                <w:szCs w:val="18"/>
              </w:rPr>
              <w:t>40,143 </w:t>
            </w:r>
          </w:p>
        </w:tc>
        <w:tc>
          <w:tcPr>
            <w:tcW w:w="0" w:type="auto"/>
            <w:shd w:val="clear" w:color="auto" w:fill="FFFFFF"/>
            <w:tcMar>
              <w:top w:w="30" w:type="dxa"/>
              <w:left w:w="0" w:type="dxa"/>
              <w:bottom w:w="30" w:type="dxa"/>
              <w:right w:w="20" w:type="dxa"/>
            </w:tcMar>
            <w:vAlign w:val="bottom"/>
            <w:hideMark/>
          </w:tcPr>
          <w:p w14:paraId="1CB31DD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C84D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D10DBE" w14:textId="77777777" w:rsidR="00000000" w:rsidRDefault="00E614A4">
            <w:pPr>
              <w:jc w:val="right"/>
              <w:rPr>
                <w:rFonts w:eastAsia="Times New Roman"/>
              </w:rPr>
            </w:pPr>
            <w:r>
              <w:rPr>
                <w:rFonts w:eastAsia="Times New Roman"/>
                <w:color w:val="000000"/>
                <w:sz w:val="18"/>
                <w:szCs w:val="18"/>
              </w:rPr>
              <w:t>(25,864)</w:t>
            </w:r>
          </w:p>
        </w:tc>
        <w:tc>
          <w:tcPr>
            <w:tcW w:w="0" w:type="auto"/>
            <w:shd w:val="clear" w:color="auto" w:fill="FFFFFF"/>
            <w:tcMar>
              <w:top w:w="30" w:type="dxa"/>
              <w:left w:w="0" w:type="dxa"/>
              <w:bottom w:w="30" w:type="dxa"/>
              <w:right w:w="20" w:type="dxa"/>
            </w:tcMar>
            <w:vAlign w:val="bottom"/>
            <w:hideMark/>
          </w:tcPr>
          <w:p w14:paraId="6208D92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EE68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5DFE6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F605A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35C5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394CF0" w14:textId="77777777" w:rsidR="00000000" w:rsidRDefault="00E614A4">
            <w:pPr>
              <w:jc w:val="right"/>
              <w:rPr>
                <w:rFonts w:eastAsia="Times New Roman"/>
              </w:rPr>
            </w:pPr>
            <w:r>
              <w:rPr>
                <w:rFonts w:eastAsia="Times New Roman"/>
                <w:color w:val="000000"/>
                <w:sz w:val="18"/>
                <w:szCs w:val="18"/>
              </w:rPr>
              <w:t>14,279 </w:t>
            </w:r>
          </w:p>
        </w:tc>
        <w:tc>
          <w:tcPr>
            <w:tcW w:w="0" w:type="auto"/>
            <w:shd w:val="clear" w:color="auto" w:fill="FFFFFF"/>
            <w:tcMar>
              <w:top w:w="30" w:type="dxa"/>
              <w:left w:w="0" w:type="dxa"/>
              <w:bottom w:w="30" w:type="dxa"/>
              <w:right w:w="20" w:type="dxa"/>
            </w:tcMar>
            <w:vAlign w:val="bottom"/>
            <w:hideMark/>
          </w:tcPr>
          <w:p w14:paraId="60499842" w14:textId="77777777" w:rsidR="00000000" w:rsidRDefault="00E614A4">
            <w:pPr>
              <w:jc w:val="right"/>
              <w:rPr>
                <w:rFonts w:eastAsia="Times New Roman"/>
              </w:rPr>
            </w:pPr>
          </w:p>
        </w:tc>
        <w:tc>
          <w:tcPr>
            <w:tcW w:w="0" w:type="auto"/>
            <w:gridSpan w:val="3"/>
            <w:vAlign w:val="center"/>
            <w:hideMark/>
          </w:tcPr>
          <w:p w14:paraId="02630C99" w14:textId="77777777" w:rsidR="00000000" w:rsidRDefault="00E614A4">
            <w:pPr>
              <w:jc w:val="right"/>
              <w:rPr>
                <w:rFonts w:eastAsia="Times New Roman"/>
                <w:sz w:val="20"/>
                <w:szCs w:val="20"/>
              </w:rPr>
            </w:pPr>
          </w:p>
        </w:tc>
        <w:tc>
          <w:tcPr>
            <w:tcW w:w="0" w:type="auto"/>
            <w:gridSpan w:val="3"/>
            <w:vAlign w:val="center"/>
            <w:hideMark/>
          </w:tcPr>
          <w:p w14:paraId="2CE6FD49" w14:textId="77777777" w:rsidR="00000000" w:rsidRDefault="00E614A4">
            <w:pPr>
              <w:rPr>
                <w:rFonts w:eastAsia="Times New Roman"/>
                <w:sz w:val="20"/>
                <w:szCs w:val="20"/>
              </w:rPr>
            </w:pPr>
          </w:p>
        </w:tc>
        <w:tc>
          <w:tcPr>
            <w:tcW w:w="0" w:type="auto"/>
            <w:gridSpan w:val="3"/>
            <w:vAlign w:val="center"/>
            <w:hideMark/>
          </w:tcPr>
          <w:p w14:paraId="348F99BD" w14:textId="77777777" w:rsidR="00000000" w:rsidRDefault="00E614A4">
            <w:pPr>
              <w:rPr>
                <w:rFonts w:eastAsia="Times New Roman"/>
                <w:sz w:val="20"/>
                <w:szCs w:val="20"/>
              </w:rPr>
            </w:pPr>
          </w:p>
        </w:tc>
        <w:tc>
          <w:tcPr>
            <w:tcW w:w="0" w:type="auto"/>
            <w:gridSpan w:val="2"/>
            <w:vAlign w:val="center"/>
            <w:hideMark/>
          </w:tcPr>
          <w:p w14:paraId="0409A555" w14:textId="77777777" w:rsidR="00000000" w:rsidRDefault="00E614A4">
            <w:pPr>
              <w:rPr>
                <w:rFonts w:eastAsia="Times New Roman"/>
                <w:sz w:val="20"/>
                <w:szCs w:val="20"/>
              </w:rPr>
            </w:pPr>
          </w:p>
        </w:tc>
        <w:tc>
          <w:tcPr>
            <w:tcW w:w="0" w:type="auto"/>
            <w:vAlign w:val="center"/>
            <w:hideMark/>
          </w:tcPr>
          <w:p w14:paraId="01184DCD" w14:textId="77777777" w:rsidR="00000000" w:rsidRDefault="00E614A4">
            <w:pPr>
              <w:rPr>
                <w:rFonts w:eastAsia="Times New Roman"/>
                <w:sz w:val="20"/>
                <w:szCs w:val="20"/>
              </w:rPr>
            </w:pPr>
          </w:p>
        </w:tc>
      </w:tr>
      <w:tr w:rsidR="00000000" w14:paraId="61E06CAE" w14:textId="77777777">
        <w:trPr>
          <w:divId w:val="1655524247"/>
        </w:trPr>
        <w:tc>
          <w:tcPr>
            <w:tcW w:w="0" w:type="auto"/>
            <w:gridSpan w:val="3"/>
            <w:shd w:val="clear" w:color="auto" w:fill="CCEEFF"/>
            <w:tcMar>
              <w:top w:w="30" w:type="dxa"/>
              <w:left w:w="20" w:type="dxa"/>
              <w:bottom w:w="30" w:type="dxa"/>
              <w:right w:w="20" w:type="dxa"/>
            </w:tcMar>
            <w:hideMark/>
          </w:tcPr>
          <w:p w14:paraId="2DF436DD" w14:textId="77777777" w:rsidR="00000000" w:rsidRDefault="00E614A4">
            <w:pPr>
              <w:rPr>
                <w:rFonts w:eastAsia="Times New Roman"/>
              </w:rPr>
            </w:pPr>
            <w:r>
              <w:rPr>
                <w:rFonts w:eastAsia="Times New Roman"/>
                <w:color w:val="000000"/>
                <w:sz w:val="18"/>
                <w:szCs w:val="18"/>
              </w:rPr>
              <w:t>Intellectual property</w:t>
            </w:r>
          </w:p>
        </w:tc>
        <w:tc>
          <w:tcPr>
            <w:tcW w:w="0" w:type="auto"/>
            <w:gridSpan w:val="3"/>
            <w:shd w:val="clear" w:color="auto" w:fill="CCEEFF"/>
            <w:tcMar>
              <w:top w:w="0" w:type="dxa"/>
              <w:left w:w="20" w:type="dxa"/>
              <w:bottom w:w="0" w:type="dxa"/>
              <w:right w:w="20" w:type="dxa"/>
            </w:tcMar>
            <w:vAlign w:val="center"/>
            <w:hideMark/>
          </w:tcPr>
          <w:p w14:paraId="0CE980F6"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050FD4" w14:textId="77777777" w:rsidR="00000000" w:rsidRDefault="00E614A4">
            <w:pPr>
              <w:jc w:val="right"/>
              <w:rPr>
                <w:rFonts w:eastAsia="Times New Roman"/>
              </w:rPr>
            </w:pPr>
            <w:r>
              <w:rPr>
                <w:rFonts w:eastAsia="Times New Roman"/>
                <w:color w:val="000000"/>
                <w:sz w:val="18"/>
                <w:szCs w:val="18"/>
              </w:rPr>
              <w:t>14,379 </w:t>
            </w:r>
          </w:p>
        </w:tc>
        <w:tc>
          <w:tcPr>
            <w:tcW w:w="0" w:type="auto"/>
            <w:shd w:val="clear" w:color="auto" w:fill="CCEEFF"/>
            <w:tcMar>
              <w:top w:w="30" w:type="dxa"/>
              <w:left w:w="0" w:type="dxa"/>
              <w:bottom w:w="30" w:type="dxa"/>
              <w:right w:w="20" w:type="dxa"/>
            </w:tcMar>
            <w:vAlign w:val="bottom"/>
            <w:hideMark/>
          </w:tcPr>
          <w:p w14:paraId="5E3D31E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FA90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F564E4" w14:textId="77777777" w:rsidR="00000000" w:rsidRDefault="00E614A4">
            <w:pPr>
              <w:jc w:val="right"/>
              <w:rPr>
                <w:rFonts w:eastAsia="Times New Roman"/>
              </w:rPr>
            </w:pPr>
            <w:r>
              <w:rPr>
                <w:rFonts w:eastAsia="Times New Roman"/>
                <w:color w:val="000000"/>
                <w:sz w:val="18"/>
                <w:szCs w:val="18"/>
              </w:rPr>
              <w:t>(12,787)</w:t>
            </w:r>
          </w:p>
        </w:tc>
        <w:tc>
          <w:tcPr>
            <w:tcW w:w="0" w:type="auto"/>
            <w:shd w:val="clear" w:color="auto" w:fill="CCEEFF"/>
            <w:tcMar>
              <w:top w:w="30" w:type="dxa"/>
              <w:left w:w="0" w:type="dxa"/>
              <w:bottom w:w="30" w:type="dxa"/>
              <w:right w:w="20" w:type="dxa"/>
            </w:tcMar>
            <w:vAlign w:val="bottom"/>
            <w:hideMark/>
          </w:tcPr>
          <w:p w14:paraId="462C3A6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91E0B" w14:textId="77777777" w:rsidR="00000000" w:rsidRDefault="00E614A4">
            <w:pPr>
              <w:jc w:val="right"/>
              <w:rPr>
                <w:rFonts w:eastAsia="Times New Roman"/>
                <w:sz w:val="20"/>
                <w:szCs w:val="20"/>
              </w:rPr>
            </w:pPr>
          </w:p>
        </w:tc>
        <w:tc>
          <w:tcPr>
            <w:tcW w:w="0" w:type="auto"/>
            <w:vAlign w:val="center"/>
            <w:hideMark/>
          </w:tcPr>
          <w:p w14:paraId="23924E4F" w14:textId="77777777" w:rsidR="00000000" w:rsidRDefault="00E614A4">
            <w:pPr>
              <w:rPr>
                <w:rFonts w:eastAsia="Times New Roman"/>
                <w:sz w:val="20"/>
                <w:szCs w:val="20"/>
              </w:rPr>
            </w:pPr>
          </w:p>
        </w:tc>
        <w:tc>
          <w:tcPr>
            <w:tcW w:w="0" w:type="auto"/>
            <w:vAlign w:val="center"/>
            <w:hideMark/>
          </w:tcPr>
          <w:p w14:paraId="3ED2FD06" w14:textId="77777777" w:rsidR="00000000" w:rsidRDefault="00E614A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19E3B" w14:textId="77777777" w:rsidR="00000000" w:rsidRDefault="00E614A4">
            <w:pPr>
              <w:jc w:val="right"/>
              <w:rPr>
                <w:rFonts w:eastAsia="Times New Roman"/>
              </w:rPr>
            </w:pPr>
            <w:r>
              <w:rPr>
                <w:rFonts w:eastAsia="Times New Roman"/>
                <w:color w:val="000000"/>
                <w:sz w:val="18"/>
                <w:szCs w:val="18"/>
              </w:rPr>
              <w:t>1,592 </w:t>
            </w:r>
          </w:p>
        </w:tc>
        <w:tc>
          <w:tcPr>
            <w:tcW w:w="0" w:type="auto"/>
            <w:shd w:val="clear" w:color="auto" w:fill="CCEEFF"/>
            <w:tcMar>
              <w:top w:w="30" w:type="dxa"/>
              <w:left w:w="0" w:type="dxa"/>
              <w:bottom w:w="30" w:type="dxa"/>
              <w:right w:w="20" w:type="dxa"/>
            </w:tcMar>
            <w:vAlign w:val="bottom"/>
            <w:hideMark/>
          </w:tcPr>
          <w:p w14:paraId="5360091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4A628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B35381" w14:textId="77777777" w:rsidR="00000000" w:rsidRDefault="00E614A4">
            <w:pPr>
              <w:jc w:val="right"/>
              <w:rPr>
                <w:rFonts w:eastAsia="Times New Roman"/>
              </w:rPr>
            </w:pPr>
            <w:r>
              <w:rPr>
                <w:rFonts w:eastAsia="Times New Roman"/>
                <w:color w:val="000000"/>
                <w:sz w:val="18"/>
                <w:szCs w:val="18"/>
              </w:rPr>
              <w:t>14,372 </w:t>
            </w:r>
          </w:p>
        </w:tc>
        <w:tc>
          <w:tcPr>
            <w:tcW w:w="0" w:type="auto"/>
            <w:shd w:val="clear" w:color="auto" w:fill="CCEEFF"/>
            <w:tcMar>
              <w:top w:w="30" w:type="dxa"/>
              <w:left w:w="0" w:type="dxa"/>
              <w:bottom w:w="30" w:type="dxa"/>
              <w:right w:w="20" w:type="dxa"/>
            </w:tcMar>
            <w:vAlign w:val="bottom"/>
            <w:hideMark/>
          </w:tcPr>
          <w:p w14:paraId="109729A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5781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D837E" w14:textId="77777777" w:rsidR="00000000" w:rsidRDefault="00E614A4">
            <w:pPr>
              <w:jc w:val="right"/>
              <w:rPr>
                <w:rFonts w:eastAsia="Times New Roman"/>
              </w:rPr>
            </w:pPr>
            <w:r>
              <w:rPr>
                <w:rFonts w:eastAsia="Times New Roman"/>
                <w:color w:val="000000"/>
                <w:sz w:val="18"/>
                <w:szCs w:val="18"/>
              </w:rPr>
              <w:t>(12,346)</w:t>
            </w:r>
          </w:p>
        </w:tc>
        <w:tc>
          <w:tcPr>
            <w:tcW w:w="0" w:type="auto"/>
            <w:shd w:val="clear" w:color="auto" w:fill="CCEEFF"/>
            <w:tcMar>
              <w:top w:w="30" w:type="dxa"/>
              <w:left w:w="0" w:type="dxa"/>
              <w:bottom w:w="30" w:type="dxa"/>
              <w:right w:w="20" w:type="dxa"/>
            </w:tcMar>
            <w:vAlign w:val="bottom"/>
            <w:hideMark/>
          </w:tcPr>
          <w:p w14:paraId="642A50E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E05AE"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DCCFA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174C0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B926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BBB982" w14:textId="77777777" w:rsidR="00000000" w:rsidRDefault="00E614A4">
            <w:pPr>
              <w:jc w:val="right"/>
              <w:rPr>
                <w:rFonts w:eastAsia="Times New Roman"/>
              </w:rPr>
            </w:pPr>
            <w:r>
              <w:rPr>
                <w:rFonts w:eastAsia="Times New Roman"/>
                <w:color w:val="000000"/>
                <w:sz w:val="18"/>
                <w:szCs w:val="18"/>
              </w:rPr>
              <w:t>2,026 </w:t>
            </w:r>
          </w:p>
        </w:tc>
        <w:tc>
          <w:tcPr>
            <w:tcW w:w="0" w:type="auto"/>
            <w:shd w:val="clear" w:color="auto" w:fill="CCEEFF"/>
            <w:tcMar>
              <w:top w:w="30" w:type="dxa"/>
              <w:left w:w="0" w:type="dxa"/>
              <w:bottom w:w="30" w:type="dxa"/>
              <w:right w:w="20" w:type="dxa"/>
            </w:tcMar>
            <w:vAlign w:val="bottom"/>
            <w:hideMark/>
          </w:tcPr>
          <w:p w14:paraId="4FC87D07" w14:textId="77777777" w:rsidR="00000000" w:rsidRDefault="00E614A4">
            <w:pPr>
              <w:jc w:val="right"/>
              <w:rPr>
                <w:rFonts w:eastAsia="Times New Roman"/>
              </w:rPr>
            </w:pPr>
          </w:p>
        </w:tc>
        <w:tc>
          <w:tcPr>
            <w:tcW w:w="0" w:type="auto"/>
            <w:gridSpan w:val="3"/>
            <w:vAlign w:val="center"/>
            <w:hideMark/>
          </w:tcPr>
          <w:p w14:paraId="59715659" w14:textId="77777777" w:rsidR="00000000" w:rsidRDefault="00E614A4">
            <w:pPr>
              <w:jc w:val="right"/>
              <w:rPr>
                <w:rFonts w:eastAsia="Times New Roman"/>
                <w:sz w:val="20"/>
                <w:szCs w:val="20"/>
              </w:rPr>
            </w:pPr>
          </w:p>
        </w:tc>
        <w:tc>
          <w:tcPr>
            <w:tcW w:w="0" w:type="auto"/>
            <w:gridSpan w:val="3"/>
            <w:vAlign w:val="center"/>
            <w:hideMark/>
          </w:tcPr>
          <w:p w14:paraId="6C0A883E" w14:textId="77777777" w:rsidR="00000000" w:rsidRDefault="00E614A4">
            <w:pPr>
              <w:rPr>
                <w:rFonts w:eastAsia="Times New Roman"/>
                <w:sz w:val="20"/>
                <w:szCs w:val="20"/>
              </w:rPr>
            </w:pPr>
          </w:p>
        </w:tc>
        <w:tc>
          <w:tcPr>
            <w:tcW w:w="0" w:type="auto"/>
            <w:gridSpan w:val="3"/>
            <w:vAlign w:val="center"/>
            <w:hideMark/>
          </w:tcPr>
          <w:p w14:paraId="6B19B2A6" w14:textId="77777777" w:rsidR="00000000" w:rsidRDefault="00E614A4">
            <w:pPr>
              <w:rPr>
                <w:rFonts w:eastAsia="Times New Roman"/>
                <w:sz w:val="20"/>
                <w:szCs w:val="20"/>
              </w:rPr>
            </w:pPr>
          </w:p>
        </w:tc>
        <w:tc>
          <w:tcPr>
            <w:tcW w:w="0" w:type="auto"/>
            <w:gridSpan w:val="2"/>
            <w:vAlign w:val="center"/>
            <w:hideMark/>
          </w:tcPr>
          <w:p w14:paraId="53E77B85" w14:textId="77777777" w:rsidR="00000000" w:rsidRDefault="00E614A4">
            <w:pPr>
              <w:rPr>
                <w:rFonts w:eastAsia="Times New Roman"/>
                <w:sz w:val="20"/>
                <w:szCs w:val="20"/>
              </w:rPr>
            </w:pPr>
          </w:p>
        </w:tc>
        <w:tc>
          <w:tcPr>
            <w:tcW w:w="0" w:type="auto"/>
            <w:vAlign w:val="center"/>
            <w:hideMark/>
          </w:tcPr>
          <w:p w14:paraId="727A88D6" w14:textId="77777777" w:rsidR="00000000" w:rsidRDefault="00E614A4">
            <w:pPr>
              <w:rPr>
                <w:rFonts w:eastAsia="Times New Roman"/>
                <w:sz w:val="20"/>
                <w:szCs w:val="20"/>
              </w:rPr>
            </w:pPr>
          </w:p>
        </w:tc>
      </w:tr>
      <w:tr w:rsidR="00000000" w14:paraId="1C0E54C2" w14:textId="77777777">
        <w:trPr>
          <w:divId w:val="1655524247"/>
        </w:trPr>
        <w:tc>
          <w:tcPr>
            <w:tcW w:w="0" w:type="auto"/>
            <w:gridSpan w:val="3"/>
            <w:shd w:val="clear" w:color="auto" w:fill="FFFFFF"/>
            <w:tcMar>
              <w:top w:w="30" w:type="dxa"/>
              <w:left w:w="20" w:type="dxa"/>
              <w:bottom w:w="30" w:type="dxa"/>
              <w:right w:w="20" w:type="dxa"/>
            </w:tcMar>
            <w:hideMark/>
          </w:tcPr>
          <w:p w14:paraId="79B641A0" w14:textId="77777777" w:rsidR="00000000" w:rsidRDefault="00E614A4">
            <w:pPr>
              <w:rPr>
                <w:rFonts w:eastAsia="Times New Roman"/>
              </w:rPr>
            </w:pPr>
            <w:r>
              <w:rPr>
                <w:rFonts w:eastAsia="Times New Roman"/>
                <w:color w:val="000000"/>
                <w:sz w:val="18"/>
                <w:szCs w:val="18"/>
              </w:rPr>
              <w:t>Acquired software</w:t>
            </w:r>
          </w:p>
        </w:tc>
        <w:tc>
          <w:tcPr>
            <w:tcW w:w="0" w:type="auto"/>
            <w:gridSpan w:val="3"/>
            <w:shd w:val="clear" w:color="auto" w:fill="FFFFFF"/>
            <w:tcMar>
              <w:top w:w="0" w:type="dxa"/>
              <w:left w:w="20" w:type="dxa"/>
              <w:bottom w:w="0" w:type="dxa"/>
              <w:right w:w="20" w:type="dxa"/>
            </w:tcMar>
            <w:vAlign w:val="center"/>
            <w:hideMark/>
          </w:tcPr>
          <w:p w14:paraId="60007EF9"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140D5F" w14:textId="77777777" w:rsidR="00000000" w:rsidRDefault="00E614A4">
            <w:pPr>
              <w:jc w:val="right"/>
              <w:rPr>
                <w:rFonts w:eastAsia="Times New Roman"/>
              </w:rPr>
            </w:pPr>
            <w:r>
              <w:rPr>
                <w:rFonts w:eastAsia="Times New Roman"/>
                <w:color w:val="000000"/>
                <w:sz w:val="18"/>
                <w:szCs w:val="18"/>
              </w:rPr>
              <w:t>9,287 </w:t>
            </w:r>
          </w:p>
        </w:tc>
        <w:tc>
          <w:tcPr>
            <w:tcW w:w="0" w:type="auto"/>
            <w:shd w:val="clear" w:color="auto" w:fill="FFFFFF"/>
            <w:tcMar>
              <w:top w:w="30" w:type="dxa"/>
              <w:left w:w="0" w:type="dxa"/>
              <w:bottom w:w="30" w:type="dxa"/>
              <w:right w:w="20" w:type="dxa"/>
            </w:tcMar>
            <w:vAlign w:val="bottom"/>
            <w:hideMark/>
          </w:tcPr>
          <w:p w14:paraId="3251B31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0D22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99DBC2" w14:textId="77777777" w:rsidR="00000000" w:rsidRDefault="00E614A4">
            <w:pPr>
              <w:jc w:val="right"/>
              <w:rPr>
                <w:rFonts w:eastAsia="Times New Roman"/>
              </w:rPr>
            </w:pPr>
            <w:r>
              <w:rPr>
                <w:rFonts w:eastAsia="Times New Roman"/>
                <w:color w:val="000000"/>
                <w:sz w:val="18"/>
                <w:szCs w:val="18"/>
              </w:rPr>
              <w:t>(9,286)</w:t>
            </w:r>
          </w:p>
        </w:tc>
        <w:tc>
          <w:tcPr>
            <w:tcW w:w="0" w:type="auto"/>
            <w:shd w:val="clear" w:color="auto" w:fill="FFFFFF"/>
            <w:tcMar>
              <w:top w:w="30" w:type="dxa"/>
              <w:left w:w="0" w:type="dxa"/>
              <w:bottom w:w="30" w:type="dxa"/>
              <w:right w:w="20" w:type="dxa"/>
            </w:tcMar>
            <w:vAlign w:val="bottom"/>
            <w:hideMark/>
          </w:tcPr>
          <w:p w14:paraId="7F907BE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EBA10" w14:textId="77777777" w:rsidR="00000000" w:rsidRDefault="00E614A4">
            <w:pPr>
              <w:jc w:val="right"/>
              <w:rPr>
                <w:rFonts w:eastAsia="Times New Roman"/>
                <w:sz w:val="20"/>
                <w:szCs w:val="20"/>
              </w:rPr>
            </w:pPr>
          </w:p>
        </w:tc>
        <w:tc>
          <w:tcPr>
            <w:tcW w:w="0" w:type="auto"/>
            <w:vAlign w:val="center"/>
            <w:hideMark/>
          </w:tcPr>
          <w:p w14:paraId="3564F3F8" w14:textId="77777777" w:rsidR="00000000" w:rsidRDefault="00E614A4">
            <w:pPr>
              <w:rPr>
                <w:rFonts w:eastAsia="Times New Roman"/>
                <w:sz w:val="20"/>
                <w:szCs w:val="20"/>
              </w:rPr>
            </w:pPr>
          </w:p>
        </w:tc>
        <w:tc>
          <w:tcPr>
            <w:tcW w:w="0" w:type="auto"/>
            <w:vAlign w:val="center"/>
            <w:hideMark/>
          </w:tcPr>
          <w:p w14:paraId="7CF04A1B" w14:textId="77777777" w:rsidR="00000000" w:rsidRDefault="00E614A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57E5EC" w14:textId="77777777" w:rsidR="00000000" w:rsidRDefault="00E614A4">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2C1C48C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1D7E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64CDA7" w14:textId="77777777" w:rsidR="00000000" w:rsidRDefault="00E614A4">
            <w:pPr>
              <w:jc w:val="right"/>
              <w:rPr>
                <w:rFonts w:eastAsia="Times New Roman"/>
              </w:rPr>
            </w:pPr>
            <w:r>
              <w:rPr>
                <w:rFonts w:eastAsia="Times New Roman"/>
                <w:color w:val="000000"/>
                <w:sz w:val="18"/>
                <w:szCs w:val="18"/>
              </w:rPr>
              <w:t>9,287 </w:t>
            </w:r>
          </w:p>
        </w:tc>
        <w:tc>
          <w:tcPr>
            <w:tcW w:w="0" w:type="auto"/>
            <w:shd w:val="clear" w:color="auto" w:fill="FFFFFF"/>
            <w:tcMar>
              <w:top w:w="30" w:type="dxa"/>
              <w:left w:w="0" w:type="dxa"/>
              <w:bottom w:w="30" w:type="dxa"/>
              <w:right w:w="20" w:type="dxa"/>
            </w:tcMar>
            <w:vAlign w:val="bottom"/>
            <w:hideMark/>
          </w:tcPr>
          <w:p w14:paraId="0332488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41F4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FFE8C5" w14:textId="77777777" w:rsidR="00000000" w:rsidRDefault="00E614A4">
            <w:pPr>
              <w:jc w:val="right"/>
              <w:rPr>
                <w:rFonts w:eastAsia="Times New Roman"/>
              </w:rPr>
            </w:pPr>
            <w:r>
              <w:rPr>
                <w:rFonts w:eastAsia="Times New Roman"/>
                <w:color w:val="000000"/>
                <w:sz w:val="18"/>
                <w:szCs w:val="18"/>
              </w:rPr>
              <w:t>(7,928)</w:t>
            </w:r>
          </w:p>
        </w:tc>
        <w:tc>
          <w:tcPr>
            <w:tcW w:w="0" w:type="auto"/>
            <w:shd w:val="clear" w:color="auto" w:fill="FFFFFF"/>
            <w:tcMar>
              <w:top w:w="30" w:type="dxa"/>
              <w:left w:w="0" w:type="dxa"/>
              <w:bottom w:w="30" w:type="dxa"/>
              <w:right w:w="20" w:type="dxa"/>
            </w:tcMar>
            <w:vAlign w:val="bottom"/>
            <w:hideMark/>
          </w:tcPr>
          <w:p w14:paraId="2D91841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862F5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D3F30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1F312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C93C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AF375B" w14:textId="77777777" w:rsidR="00000000" w:rsidRDefault="00E614A4">
            <w:pPr>
              <w:jc w:val="right"/>
              <w:rPr>
                <w:rFonts w:eastAsia="Times New Roman"/>
              </w:rPr>
            </w:pPr>
            <w:r>
              <w:rPr>
                <w:rFonts w:eastAsia="Times New Roman"/>
                <w:color w:val="000000"/>
                <w:sz w:val="18"/>
                <w:szCs w:val="18"/>
              </w:rPr>
              <w:t>1,359 </w:t>
            </w:r>
          </w:p>
        </w:tc>
        <w:tc>
          <w:tcPr>
            <w:tcW w:w="0" w:type="auto"/>
            <w:shd w:val="clear" w:color="auto" w:fill="FFFFFF"/>
            <w:tcMar>
              <w:top w:w="30" w:type="dxa"/>
              <w:left w:w="0" w:type="dxa"/>
              <w:bottom w:w="30" w:type="dxa"/>
              <w:right w:w="20" w:type="dxa"/>
            </w:tcMar>
            <w:vAlign w:val="bottom"/>
            <w:hideMark/>
          </w:tcPr>
          <w:p w14:paraId="5CEB58A7" w14:textId="77777777" w:rsidR="00000000" w:rsidRDefault="00E614A4">
            <w:pPr>
              <w:jc w:val="right"/>
              <w:rPr>
                <w:rFonts w:eastAsia="Times New Roman"/>
              </w:rPr>
            </w:pPr>
          </w:p>
        </w:tc>
        <w:tc>
          <w:tcPr>
            <w:tcW w:w="0" w:type="auto"/>
            <w:gridSpan w:val="3"/>
            <w:vAlign w:val="center"/>
            <w:hideMark/>
          </w:tcPr>
          <w:p w14:paraId="4BB4DA28" w14:textId="77777777" w:rsidR="00000000" w:rsidRDefault="00E614A4">
            <w:pPr>
              <w:jc w:val="right"/>
              <w:rPr>
                <w:rFonts w:eastAsia="Times New Roman"/>
                <w:sz w:val="20"/>
                <w:szCs w:val="20"/>
              </w:rPr>
            </w:pPr>
          </w:p>
        </w:tc>
        <w:tc>
          <w:tcPr>
            <w:tcW w:w="0" w:type="auto"/>
            <w:gridSpan w:val="3"/>
            <w:vAlign w:val="center"/>
            <w:hideMark/>
          </w:tcPr>
          <w:p w14:paraId="74220D84" w14:textId="77777777" w:rsidR="00000000" w:rsidRDefault="00E614A4">
            <w:pPr>
              <w:rPr>
                <w:rFonts w:eastAsia="Times New Roman"/>
                <w:sz w:val="20"/>
                <w:szCs w:val="20"/>
              </w:rPr>
            </w:pPr>
          </w:p>
        </w:tc>
        <w:tc>
          <w:tcPr>
            <w:tcW w:w="0" w:type="auto"/>
            <w:gridSpan w:val="3"/>
            <w:vAlign w:val="center"/>
            <w:hideMark/>
          </w:tcPr>
          <w:p w14:paraId="596D6AC0" w14:textId="77777777" w:rsidR="00000000" w:rsidRDefault="00E614A4">
            <w:pPr>
              <w:rPr>
                <w:rFonts w:eastAsia="Times New Roman"/>
                <w:sz w:val="20"/>
                <w:szCs w:val="20"/>
              </w:rPr>
            </w:pPr>
          </w:p>
        </w:tc>
        <w:tc>
          <w:tcPr>
            <w:tcW w:w="0" w:type="auto"/>
            <w:gridSpan w:val="2"/>
            <w:vAlign w:val="center"/>
            <w:hideMark/>
          </w:tcPr>
          <w:p w14:paraId="55A533DF" w14:textId="77777777" w:rsidR="00000000" w:rsidRDefault="00E614A4">
            <w:pPr>
              <w:rPr>
                <w:rFonts w:eastAsia="Times New Roman"/>
                <w:sz w:val="20"/>
                <w:szCs w:val="20"/>
              </w:rPr>
            </w:pPr>
          </w:p>
        </w:tc>
        <w:tc>
          <w:tcPr>
            <w:tcW w:w="0" w:type="auto"/>
            <w:vAlign w:val="center"/>
            <w:hideMark/>
          </w:tcPr>
          <w:p w14:paraId="3DC3CFF9" w14:textId="77777777" w:rsidR="00000000" w:rsidRDefault="00E614A4">
            <w:pPr>
              <w:rPr>
                <w:rFonts w:eastAsia="Times New Roman"/>
                <w:sz w:val="20"/>
                <w:szCs w:val="20"/>
              </w:rPr>
            </w:pPr>
          </w:p>
        </w:tc>
      </w:tr>
      <w:tr w:rsidR="00000000" w14:paraId="39BA6C76" w14:textId="77777777">
        <w:trPr>
          <w:divId w:val="1655524247"/>
        </w:trPr>
        <w:tc>
          <w:tcPr>
            <w:tcW w:w="0" w:type="auto"/>
            <w:gridSpan w:val="3"/>
            <w:shd w:val="clear" w:color="auto" w:fill="CCEEFF"/>
            <w:tcMar>
              <w:top w:w="30" w:type="dxa"/>
              <w:left w:w="20" w:type="dxa"/>
              <w:bottom w:w="30" w:type="dxa"/>
              <w:right w:w="20" w:type="dxa"/>
            </w:tcMar>
            <w:hideMark/>
          </w:tcPr>
          <w:p w14:paraId="6CD64D06" w14:textId="77777777" w:rsidR="00000000" w:rsidRDefault="00E614A4">
            <w:pPr>
              <w:rPr>
                <w:rFonts w:eastAsia="Times New Roman"/>
              </w:rPr>
            </w:pPr>
            <w:r>
              <w:rPr>
                <w:rFonts w:eastAsia="Times New Roman"/>
                <w:color w:val="000000"/>
                <w:sz w:val="18"/>
                <w:szCs w:val="18"/>
              </w:rPr>
              <w:t>Panel</w:t>
            </w:r>
          </w:p>
        </w:tc>
        <w:tc>
          <w:tcPr>
            <w:tcW w:w="0" w:type="auto"/>
            <w:gridSpan w:val="3"/>
            <w:shd w:val="clear" w:color="auto" w:fill="CCEEFF"/>
            <w:tcMar>
              <w:top w:w="0" w:type="dxa"/>
              <w:left w:w="20" w:type="dxa"/>
              <w:bottom w:w="0" w:type="dxa"/>
              <w:right w:w="20" w:type="dxa"/>
            </w:tcMar>
            <w:vAlign w:val="center"/>
            <w:hideMark/>
          </w:tcPr>
          <w:p w14:paraId="7455C20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00B70C" w14:textId="77777777" w:rsidR="00000000" w:rsidRDefault="00E614A4">
            <w:pPr>
              <w:jc w:val="right"/>
              <w:rPr>
                <w:rFonts w:eastAsia="Times New Roman"/>
              </w:rPr>
            </w:pPr>
            <w:r>
              <w:rPr>
                <w:rFonts w:eastAsia="Times New Roman"/>
                <w:color w:val="000000"/>
                <w:sz w:val="18"/>
                <w:szCs w:val="18"/>
              </w:rPr>
              <w:t>3,139 </w:t>
            </w:r>
          </w:p>
        </w:tc>
        <w:tc>
          <w:tcPr>
            <w:tcW w:w="0" w:type="auto"/>
            <w:shd w:val="clear" w:color="auto" w:fill="CCEEFF"/>
            <w:tcMar>
              <w:top w:w="30" w:type="dxa"/>
              <w:left w:w="0" w:type="dxa"/>
              <w:bottom w:w="30" w:type="dxa"/>
              <w:right w:w="20" w:type="dxa"/>
            </w:tcMar>
            <w:vAlign w:val="bottom"/>
            <w:hideMark/>
          </w:tcPr>
          <w:p w14:paraId="4B7B05A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3A2C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D90D27" w14:textId="77777777" w:rsidR="00000000" w:rsidRDefault="00E614A4">
            <w:pPr>
              <w:jc w:val="right"/>
              <w:rPr>
                <w:rFonts w:eastAsia="Times New Roman"/>
              </w:rPr>
            </w:pPr>
            <w:r>
              <w:rPr>
                <w:rFonts w:eastAsia="Times New Roman"/>
                <w:color w:val="000000"/>
                <w:sz w:val="18"/>
                <w:szCs w:val="18"/>
              </w:rPr>
              <w:t>(3,139)</w:t>
            </w:r>
          </w:p>
        </w:tc>
        <w:tc>
          <w:tcPr>
            <w:tcW w:w="0" w:type="auto"/>
            <w:shd w:val="clear" w:color="auto" w:fill="CCEEFF"/>
            <w:tcMar>
              <w:top w:w="30" w:type="dxa"/>
              <w:left w:w="0" w:type="dxa"/>
              <w:bottom w:w="30" w:type="dxa"/>
              <w:right w:w="20" w:type="dxa"/>
            </w:tcMar>
            <w:vAlign w:val="bottom"/>
            <w:hideMark/>
          </w:tcPr>
          <w:p w14:paraId="04DA6EF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0568B" w14:textId="77777777" w:rsidR="00000000" w:rsidRDefault="00E614A4">
            <w:pPr>
              <w:jc w:val="right"/>
              <w:rPr>
                <w:rFonts w:eastAsia="Times New Roman"/>
                <w:sz w:val="20"/>
                <w:szCs w:val="20"/>
              </w:rPr>
            </w:pPr>
          </w:p>
        </w:tc>
        <w:tc>
          <w:tcPr>
            <w:tcW w:w="0" w:type="auto"/>
            <w:vAlign w:val="center"/>
            <w:hideMark/>
          </w:tcPr>
          <w:p w14:paraId="1B64F7A7" w14:textId="77777777" w:rsidR="00000000" w:rsidRDefault="00E614A4">
            <w:pPr>
              <w:rPr>
                <w:rFonts w:eastAsia="Times New Roman"/>
                <w:sz w:val="20"/>
                <w:szCs w:val="20"/>
              </w:rPr>
            </w:pPr>
          </w:p>
        </w:tc>
        <w:tc>
          <w:tcPr>
            <w:tcW w:w="0" w:type="auto"/>
            <w:vAlign w:val="center"/>
            <w:hideMark/>
          </w:tcPr>
          <w:p w14:paraId="0B7D7D64" w14:textId="77777777" w:rsidR="00000000" w:rsidRDefault="00E614A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00FE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AE57E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EE3A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1F5FA6" w14:textId="77777777" w:rsidR="00000000" w:rsidRDefault="00E614A4">
            <w:pPr>
              <w:jc w:val="right"/>
              <w:rPr>
                <w:rFonts w:eastAsia="Times New Roman"/>
              </w:rPr>
            </w:pPr>
            <w:r>
              <w:rPr>
                <w:rFonts w:eastAsia="Times New Roman"/>
                <w:color w:val="000000"/>
                <w:sz w:val="18"/>
                <w:szCs w:val="18"/>
              </w:rPr>
              <w:t>3,123 </w:t>
            </w:r>
          </w:p>
        </w:tc>
        <w:tc>
          <w:tcPr>
            <w:tcW w:w="0" w:type="auto"/>
            <w:shd w:val="clear" w:color="auto" w:fill="CCEEFF"/>
            <w:tcMar>
              <w:top w:w="30" w:type="dxa"/>
              <w:left w:w="0" w:type="dxa"/>
              <w:bottom w:w="30" w:type="dxa"/>
              <w:right w:w="20" w:type="dxa"/>
            </w:tcMar>
            <w:vAlign w:val="bottom"/>
            <w:hideMark/>
          </w:tcPr>
          <w:p w14:paraId="42A513B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1EDA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362263" w14:textId="77777777" w:rsidR="00000000" w:rsidRDefault="00E614A4">
            <w:pPr>
              <w:jc w:val="right"/>
              <w:rPr>
                <w:rFonts w:eastAsia="Times New Roman"/>
              </w:rPr>
            </w:pPr>
            <w:r>
              <w:rPr>
                <w:rFonts w:eastAsia="Times New Roman"/>
                <w:color w:val="000000"/>
                <w:sz w:val="18"/>
                <w:szCs w:val="18"/>
              </w:rPr>
              <w:t>(3,123)</w:t>
            </w:r>
          </w:p>
        </w:tc>
        <w:tc>
          <w:tcPr>
            <w:tcW w:w="0" w:type="auto"/>
            <w:shd w:val="clear" w:color="auto" w:fill="CCEEFF"/>
            <w:tcMar>
              <w:top w:w="30" w:type="dxa"/>
              <w:left w:w="0" w:type="dxa"/>
              <w:bottom w:w="30" w:type="dxa"/>
              <w:right w:w="20" w:type="dxa"/>
            </w:tcMar>
            <w:vAlign w:val="bottom"/>
            <w:hideMark/>
          </w:tcPr>
          <w:p w14:paraId="3CD2153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3E1D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7C34F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09FB7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011F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BE0A7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A574D8" w14:textId="77777777" w:rsidR="00000000" w:rsidRDefault="00E614A4">
            <w:pPr>
              <w:jc w:val="right"/>
              <w:rPr>
                <w:rFonts w:eastAsia="Times New Roman"/>
              </w:rPr>
            </w:pPr>
          </w:p>
        </w:tc>
        <w:tc>
          <w:tcPr>
            <w:tcW w:w="0" w:type="auto"/>
            <w:gridSpan w:val="3"/>
            <w:vAlign w:val="center"/>
            <w:hideMark/>
          </w:tcPr>
          <w:p w14:paraId="1E80399E" w14:textId="77777777" w:rsidR="00000000" w:rsidRDefault="00E614A4">
            <w:pPr>
              <w:jc w:val="right"/>
              <w:rPr>
                <w:rFonts w:eastAsia="Times New Roman"/>
                <w:sz w:val="20"/>
                <w:szCs w:val="20"/>
              </w:rPr>
            </w:pPr>
          </w:p>
        </w:tc>
        <w:tc>
          <w:tcPr>
            <w:tcW w:w="0" w:type="auto"/>
            <w:gridSpan w:val="3"/>
            <w:vAlign w:val="center"/>
            <w:hideMark/>
          </w:tcPr>
          <w:p w14:paraId="382F3040" w14:textId="77777777" w:rsidR="00000000" w:rsidRDefault="00E614A4">
            <w:pPr>
              <w:rPr>
                <w:rFonts w:eastAsia="Times New Roman"/>
                <w:sz w:val="20"/>
                <w:szCs w:val="20"/>
              </w:rPr>
            </w:pPr>
          </w:p>
        </w:tc>
        <w:tc>
          <w:tcPr>
            <w:tcW w:w="0" w:type="auto"/>
            <w:gridSpan w:val="3"/>
            <w:vAlign w:val="center"/>
            <w:hideMark/>
          </w:tcPr>
          <w:p w14:paraId="055AD687" w14:textId="77777777" w:rsidR="00000000" w:rsidRDefault="00E614A4">
            <w:pPr>
              <w:rPr>
                <w:rFonts w:eastAsia="Times New Roman"/>
                <w:sz w:val="20"/>
                <w:szCs w:val="20"/>
              </w:rPr>
            </w:pPr>
          </w:p>
        </w:tc>
        <w:tc>
          <w:tcPr>
            <w:tcW w:w="0" w:type="auto"/>
            <w:gridSpan w:val="2"/>
            <w:vAlign w:val="center"/>
            <w:hideMark/>
          </w:tcPr>
          <w:p w14:paraId="08E4B344" w14:textId="77777777" w:rsidR="00000000" w:rsidRDefault="00E614A4">
            <w:pPr>
              <w:rPr>
                <w:rFonts w:eastAsia="Times New Roman"/>
                <w:sz w:val="20"/>
                <w:szCs w:val="20"/>
              </w:rPr>
            </w:pPr>
          </w:p>
        </w:tc>
        <w:tc>
          <w:tcPr>
            <w:tcW w:w="0" w:type="auto"/>
            <w:vAlign w:val="center"/>
            <w:hideMark/>
          </w:tcPr>
          <w:p w14:paraId="48BDF059" w14:textId="77777777" w:rsidR="00000000" w:rsidRDefault="00E614A4">
            <w:pPr>
              <w:rPr>
                <w:rFonts w:eastAsia="Times New Roman"/>
                <w:sz w:val="20"/>
                <w:szCs w:val="20"/>
              </w:rPr>
            </w:pPr>
          </w:p>
        </w:tc>
      </w:tr>
      <w:tr w:rsidR="00000000" w14:paraId="3759624D" w14:textId="77777777">
        <w:trPr>
          <w:divId w:val="1655524247"/>
        </w:trPr>
        <w:tc>
          <w:tcPr>
            <w:tcW w:w="0" w:type="auto"/>
            <w:gridSpan w:val="3"/>
            <w:shd w:val="clear" w:color="auto" w:fill="FFFFFF"/>
            <w:tcMar>
              <w:top w:w="30" w:type="dxa"/>
              <w:left w:w="20" w:type="dxa"/>
              <w:bottom w:w="30" w:type="dxa"/>
              <w:right w:w="20" w:type="dxa"/>
            </w:tcMar>
            <w:hideMark/>
          </w:tcPr>
          <w:p w14:paraId="3FDFB472" w14:textId="77777777" w:rsidR="00000000" w:rsidRDefault="00E614A4">
            <w:pPr>
              <w:rPr>
                <w:rFonts w:eastAsia="Times New Roman"/>
              </w:rPr>
            </w:pPr>
            <w:r>
              <w:rPr>
                <w:rFonts w:eastAsia="Times New Roman"/>
                <w:color w:val="000000"/>
                <w:sz w:val="18"/>
                <w:szCs w:val="18"/>
              </w:rPr>
              <w:t>Trade names</w:t>
            </w:r>
          </w:p>
        </w:tc>
        <w:tc>
          <w:tcPr>
            <w:tcW w:w="0" w:type="auto"/>
            <w:gridSpan w:val="3"/>
            <w:shd w:val="clear" w:color="auto" w:fill="FFFFFF"/>
            <w:tcMar>
              <w:top w:w="0" w:type="dxa"/>
              <w:left w:w="20" w:type="dxa"/>
              <w:bottom w:w="0" w:type="dxa"/>
              <w:right w:w="20" w:type="dxa"/>
            </w:tcMar>
            <w:vAlign w:val="center"/>
            <w:hideMark/>
          </w:tcPr>
          <w:p w14:paraId="041A617E"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1ADDB8" w14:textId="77777777" w:rsidR="00000000" w:rsidRDefault="00E614A4">
            <w:pPr>
              <w:jc w:val="right"/>
              <w:rPr>
                <w:rFonts w:eastAsia="Times New Roman"/>
              </w:rPr>
            </w:pPr>
            <w:r>
              <w:rPr>
                <w:rFonts w:eastAsia="Times New Roman"/>
                <w:color w:val="000000"/>
                <w:sz w:val="18"/>
                <w:szCs w:val="18"/>
              </w:rPr>
              <w:t>773 </w:t>
            </w:r>
          </w:p>
        </w:tc>
        <w:tc>
          <w:tcPr>
            <w:tcW w:w="0" w:type="auto"/>
            <w:shd w:val="clear" w:color="auto" w:fill="FFFFFF"/>
            <w:tcMar>
              <w:top w:w="30" w:type="dxa"/>
              <w:left w:w="0" w:type="dxa"/>
              <w:bottom w:w="30" w:type="dxa"/>
              <w:right w:w="20" w:type="dxa"/>
            </w:tcMar>
            <w:vAlign w:val="bottom"/>
            <w:hideMark/>
          </w:tcPr>
          <w:p w14:paraId="38B87F2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22A6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515CE1" w14:textId="77777777" w:rsidR="00000000" w:rsidRDefault="00E614A4">
            <w:pPr>
              <w:jc w:val="right"/>
              <w:rPr>
                <w:rFonts w:eastAsia="Times New Roman"/>
              </w:rPr>
            </w:pPr>
            <w:r>
              <w:rPr>
                <w:rFonts w:eastAsia="Times New Roman"/>
                <w:color w:val="000000"/>
                <w:sz w:val="18"/>
                <w:szCs w:val="18"/>
              </w:rPr>
              <w:t>(757)</w:t>
            </w:r>
          </w:p>
        </w:tc>
        <w:tc>
          <w:tcPr>
            <w:tcW w:w="0" w:type="auto"/>
            <w:shd w:val="clear" w:color="auto" w:fill="FFFFFF"/>
            <w:tcMar>
              <w:top w:w="30" w:type="dxa"/>
              <w:left w:w="0" w:type="dxa"/>
              <w:bottom w:w="30" w:type="dxa"/>
              <w:right w:w="20" w:type="dxa"/>
            </w:tcMar>
            <w:vAlign w:val="bottom"/>
            <w:hideMark/>
          </w:tcPr>
          <w:p w14:paraId="5564E4B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69360" w14:textId="77777777" w:rsidR="00000000" w:rsidRDefault="00E614A4">
            <w:pPr>
              <w:jc w:val="right"/>
              <w:rPr>
                <w:rFonts w:eastAsia="Times New Roman"/>
                <w:sz w:val="20"/>
                <w:szCs w:val="20"/>
              </w:rPr>
            </w:pPr>
          </w:p>
        </w:tc>
        <w:tc>
          <w:tcPr>
            <w:tcW w:w="0" w:type="auto"/>
            <w:vAlign w:val="center"/>
            <w:hideMark/>
          </w:tcPr>
          <w:p w14:paraId="03709661" w14:textId="77777777" w:rsidR="00000000" w:rsidRDefault="00E614A4">
            <w:pPr>
              <w:rPr>
                <w:rFonts w:eastAsia="Times New Roman"/>
                <w:sz w:val="20"/>
                <w:szCs w:val="20"/>
              </w:rPr>
            </w:pPr>
          </w:p>
        </w:tc>
        <w:tc>
          <w:tcPr>
            <w:tcW w:w="0" w:type="auto"/>
            <w:vAlign w:val="center"/>
            <w:hideMark/>
          </w:tcPr>
          <w:p w14:paraId="1145CC2D" w14:textId="77777777" w:rsidR="00000000" w:rsidRDefault="00E614A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B69205" w14:textId="77777777" w:rsidR="00000000" w:rsidRDefault="00E614A4">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200CA21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2D86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56414" w14:textId="77777777" w:rsidR="00000000" w:rsidRDefault="00E614A4">
            <w:pPr>
              <w:jc w:val="right"/>
              <w:rPr>
                <w:rFonts w:eastAsia="Times New Roman"/>
              </w:rPr>
            </w:pPr>
            <w:r>
              <w:rPr>
                <w:rFonts w:eastAsia="Times New Roman"/>
                <w:color w:val="000000"/>
                <w:sz w:val="18"/>
                <w:szCs w:val="18"/>
              </w:rPr>
              <w:t>768 </w:t>
            </w:r>
          </w:p>
        </w:tc>
        <w:tc>
          <w:tcPr>
            <w:tcW w:w="0" w:type="auto"/>
            <w:shd w:val="clear" w:color="auto" w:fill="FFFFFF"/>
            <w:tcMar>
              <w:top w:w="30" w:type="dxa"/>
              <w:left w:w="0" w:type="dxa"/>
              <w:bottom w:w="30" w:type="dxa"/>
              <w:right w:w="20" w:type="dxa"/>
            </w:tcMar>
            <w:vAlign w:val="bottom"/>
            <w:hideMark/>
          </w:tcPr>
          <w:p w14:paraId="547D199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CD81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0B5A80" w14:textId="77777777" w:rsidR="00000000" w:rsidRDefault="00E614A4">
            <w:pPr>
              <w:jc w:val="right"/>
              <w:rPr>
                <w:rFonts w:eastAsia="Times New Roman"/>
              </w:rPr>
            </w:pPr>
            <w:r>
              <w:rPr>
                <w:rFonts w:eastAsia="Times New Roman"/>
                <w:color w:val="000000"/>
                <w:sz w:val="18"/>
                <w:szCs w:val="18"/>
              </w:rPr>
              <w:t>(691)</w:t>
            </w:r>
          </w:p>
        </w:tc>
        <w:tc>
          <w:tcPr>
            <w:tcW w:w="0" w:type="auto"/>
            <w:shd w:val="clear" w:color="auto" w:fill="FFFFFF"/>
            <w:tcMar>
              <w:top w:w="30" w:type="dxa"/>
              <w:left w:w="0" w:type="dxa"/>
              <w:bottom w:w="30" w:type="dxa"/>
              <w:right w:w="20" w:type="dxa"/>
            </w:tcMar>
            <w:vAlign w:val="bottom"/>
            <w:hideMark/>
          </w:tcPr>
          <w:p w14:paraId="5F9BC06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142C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DC9753"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A637E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A556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C3A9F" w14:textId="77777777" w:rsidR="00000000" w:rsidRDefault="00E614A4">
            <w:pPr>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1311C18D" w14:textId="77777777" w:rsidR="00000000" w:rsidRDefault="00E614A4">
            <w:pPr>
              <w:jc w:val="right"/>
              <w:rPr>
                <w:rFonts w:eastAsia="Times New Roman"/>
              </w:rPr>
            </w:pPr>
          </w:p>
        </w:tc>
        <w:tc>
          <w:tcPr>
            <w:tcW w:w="0" w:type="auto"/>
            <w:gridSpan w:val="3"/>
            <w:vAlign w:val="center"/>
            <w:hideMark/>
          </w:tcPr>
          <w:p w14:paraId="2B3B0542" w14:textId="77777777" w:rsidR="00000000" w:rsidRDefault="00E614A4">
            <w:pPr>
              <w:jc w:val="right"/>
              <w:rPr>
                <w:rFonts w:eastAsia="Times New Roman"/>
                <w:sz w:val="20"/>
                <w:szCs w:val="20"/>
              </w:rPr>
            </w:pPr>
          </w:p>
        </w:tc>
        <w:tc>
          <w:tcPr>
            <w:tcW w:w="0" w:type="auto"/>
            <w:gridSpan w:val="3"/>
            <w:vAlign w:val="center"/>
            <w:hideMark/>
          </w:tcPr>
          <w:p w14:paraId="12456FF3" w14:textId="77777777" w:rsidR="00000000" w:rsidRDefault="00E614A4">
            <w:pPr>
              <w:rPr>
                <w:rFonts w:eastAsia="Times New Roman"/>
                <w:sz w:val="20"/>
                <w:szCs w:val="20"/>
              </w:rPr>
            </w:pPr>
          </w:p>
        </w:tc>
        <w:tc>
          <w:tcPr>
            <w:tcW w:w="0" w:type="auto"/>
            <w:gridSpan w:val="3"/>
            <w:vAlign w:val="center"/>
            <w:hideMark/>
          </w:tcPr>
          <w:p w14:paraId="0CE46EE2" w14:textId="77777777" w:rsidR="00000000" w:rsidRDefault="00E614A4">
            <w:pPr>
              <w:rPr>
                <w:rFonts w:eastAsia="Times New Roman"/>
                <w:sz w:val="20"/>
                <w:szCs w:val="20"/>
              </w:rPr>
            </w:pPr>
          </w:p>
        </w:tc>
        <w:tc>
          <w:tcPr>
            <w:tcW w:w="0" w:type="auto"/>
            <w:gridSpan w:val="2"/>
            <w:vAlign w:val="center"/>
            <w:hideMark/>
          </w:tcPr>
          <w:p w14:paraId="327E9105" w14:textId="77777777" w:rsidR="00000000" w:rsidRDefault="00E614A4">
            <w:pPr>
              <w:rPr>
                <w:rFonts w:eastAsia="Times New Roman"/>
                <w:sz w:val="20"/>
                <w:szCs w:val="20"/>
              </w:rPr>
            </w:pPr>
          </w:p>
        </w:tc>
        <w:tc>
          <w:tcPr>
            <w:tcW w:w="0" w:type="auto"/>
            <w:vAlign w:val="center"/>
            <w:hideMark/>
          </w:tcPr>
          <w:p w14:paraId="3C8E3A25" w14:textId="77777777" w:rsidR="00000000" w:rsidRDefault="00E614A4">
            <w:pPr>
              <w:rPr>
                <w:rFonts w:eastAsia="Times New Roman"/>
                <w:sz w:val="20"/>
                <w:szCs w:val="20"/>
              </w:rPr>
            </w:pPr>
          </w:p>
        </w:tc>
      </w:tr>
      <w:tr w:rsidR="00000000" w14:paraId="56A52630" w14:textId="77777777">
        <w:trPr>
          <w:divId w:val="1655524247"/>
        </w:trPr>
        <w:tc>
          <w:tcPr>
            <w:tcW w:w="0" w:type="auto"/>
            <w:gridSpan w:val="3"/>
            <w:shd w:val="clear" w:color="auto" w:fill="CCEEFF"/>
            <w:tcMar>
              <w:top w:w="30" w:type="dxa"/>
              <w:left w:w="20" w:type="dxa"/>
              <w:bottom w:w="30" w:type="dxa"/>
              <w:right w:w="20" w:type="dxa"/>
            </w:tcMar>
            <w:hideMark/>
          </w:tcPr>
          <w:p w14:paraId="7B1CFB09" w14:textId="77777777" w:rsidR="00000000" w:rsidRDefault="00E614A4">
            <w:pPr>
              <w:rPr>
                <w:rFonts w:eastAsia="Times New Roman"/>
              </w:rPr>
            </w:pPr>
            <w:r>
              <w:rPr>
                <w:rFonts w:eastAsia="Times New Roman"/>
                <w:color w:val="000000"/>
                <w:sz w:val="18"/>
                <w:szCs w:val="18"/>
              </w:rPr>
              <w:t>Strategic alliance</w:t>
            </w:r>
          </w:p>
        </w:tc>
        <w:tc>
          <w:tcPr>
            <w:tcW w:w="0" w:type="auto"/>
            <w:gridSpan w:val="3"/>
            <w:shd w:val="clear" w:color="auto" w:fill="CCEEFF"/>
            <w:tcMar>
              <w:top w:w="0" w:type="dxa"/>
              <w:left w:w="20" w:type="dxa"/>
              <w:bottom w:w="0" w:type="dxa"/>
              <w:right w:w="20" w:type="dxa"/>
            </w:tcMar>
            <w:vAlign w:val="center"/>
            <w:hideMark/>
          </w:tcPr>
          <w:p w14:paraId="21D78B06"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FD174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C73F90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57EB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7C533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91E33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67439" w14:textId="77777777" w:rsidR="00000000" w:rsidRDefault="00E614A4">
            <w:pPr>
              <w:jc w:val="right"/>
              <w:rPr>
                <w:rFonts w:eastAsia="Times New Roman"/>
                <w:sz w:val="20"/>
                <w:szCs w:val="20"/>
              </w:rPr>
            </w:pPr>
          </w:p>
        </w:tc>
        <w:tc>
          <w:tcPr>
            <w:tcW w:w="0" w:type="auto"/>
            <w:vAlign w:val="center"/>
            <w:hideMark/>
          </w:tcPr>
          <w:p w14:paraId="34657960" w14:textId="77777777" w:rsidR="00000000" w:rsidRDefault="00E614A4">
            <w:pPr>
              <w:rPr>
                <w:rFonts w:eastAsia="Times New Roman"/>
                <w:sz w:val="20"/>
                <w:szCs w:val="20"/>
              </w:rPr>
            </w:pPr>
          </w:p>
        </w:tc>
        <w:tc>
          <w:tcPr>
            <w:tcW w:w="0" w:type="auto"/>
            <w:vAlign w:val="center"/>
            <w:hideMark/>
          </w:tcPr>
          <w:p w14:paraId="33EE1EB9" w14:textId="77777777" w:rsidR="00000000" w:rsidRDefault="00E614A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1D5BF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5CD54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EC0B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E4D221" w14:textId="77777777" w:rsidR="00000000" w:rsidRDefault="00E614A4">
            <w:pPr>
              <w:jc w:val="right"/>
              <w:rPr>
                <w:rFonts w:eastAsia="Times New Roman"/>
              </w:rPr>
            </w:pPr>
            <w:r>
              <w:rPr>
                <w:rFonts w:eastAsia="Times New Roman"/>
                <w:color w:val="000000"/>
                <w:sz w:val="18"/>
                <w:szCs w:val="18"/>
              </w:rPr>
              <w:t>30,100 </w:t>
            </w:r>
          </w:p>
        </w:tc>
        <w:tc>
          <w:tcPr>
            <w:tcW w:w="0" w:type="auto"/>
            <w:shd w:val="clear" w:color="auto" w:fill="CCEEFF"/>
            <w:tcMar>
              <w:top w:w="30" w:type="dxa"/>
              <w:left w:w="0" w:type="dxa"/>
              <w:bottom w:w="30" w:type="dxa"/>
              <w:right w:w="20" w:type="dxa"/>
            </w:tcMar>
            <w:vAlign w:val="bottom"/>
            <w:hideMark/>
          </w:tcPr>
          <w:p w14:paraId="365DE9C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E03B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41FC9F" w14:textId="77777777" w:rsidR="00000000" w:rsidRDefault="00E614A4">
            <w:pPr>
              <w:jc w:val="right"/>
              <w:rPr>
                <w:rFonts w:eastAsia="Times New Roman"/>
              </w:rPr>
            </w:pPr>
            <w:r>
              <w:rPr>
                <w:rFonts w:eastAsia="Times New Roman"/>
                <w:color w:val="000000"/>
                <w:sz w:val="18"/>
                <w:szCs w:val="18"/>
              </w:rPr>
              <w:t>(12,792)</w:t>
            </w:r>
          </w:p>
        </w:tc>
        <w:tc>
          <w:tcPr>
            <w:tcW w:w="0" w:type="auto"/>
            <w:shd w:val="clear" w:color="auto" w:fill="CCEEFF"/>
            <w:tcMar>
              <w:top w:w="30" w:type="dxa"/>
              <w:left w:w="0" w:type="dxa"/>
              <w:bottom w:w="30" w:type="dxa"/>
              <w:right w:w="20" w:type="dxa"/>
            </w:tcMar>
            <w:vAlign w:val="bottom"/>
            <w:hideMark/>
          </w:tcPr>
          <w:p w14:paraId="4185118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FDBFC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B42D49" w14:textId="77777777" w:rsidR="00000000" w:rsidRDefault="00E614A4">
            <w:pPr>
              <w:jc w:val="right"/>
              <w:rPr>
                <w:rFonts w:eastAsia="Times New Roman"/>
              </w:rPr>
            </w:pPr>
            <w:r>
              <w:rPr>
                <w:rFonts w:eastAsia="Times New Roman"/>
                <w:color w:val="000000"/>
                <w:sz w:val="18"/>
                <w:szCs w:val="18"/>
              </w:rPr>
              <w:t>(17,308)</w:t>
            </w:r>
          </w:p>
        </w:tc>
        <w:tc>
          <w:tcPr>
            <w:tcW w:w="0" w:type="auto"/>
            <w:shd w:val="clear" w:color="auto" w:fill="CCEEFF"/>
            <w:tcMar>
              <w:top w:w="30" w:type="dxa"/>
              <w:left w:w="0" w:type="dxa"/>
              <w:bottom w:w="30" w:type="dxa"/>
              <w:right w:w="20" w:type="dxa"/>
            </w:tcMar>
            <w:vAlign w:val="bottom"/>
            <w:hideMark/>
          </w:tcPr>
          <w:p w14:paraId="003A0F2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3350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F58DA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474409" w14:textId="77777777" w:rsidR="00000000" w:rsidRDefault="00E614A4">
            <w:pPr>
              <w:jc w:val="right"/>
              <w:rPr>
                <w:rFonts w:eastAsia="Times New Roman"/>
              </w:rPr>
            </w:pPr>
          </w:p>
        </w:tc>
        <w:tc>
          <w:tcPr>
            <w:tcW w:w="0" w:type="auto"/>
            <w:gridSpan w:val="3"/>
            <w:vAlign w:val="center"/>
            <w:hideMark/>
          </w:tcPr>
          <w:p w14:paraId="7209F258" w14:textId="77777777" w:rsidR="00000000" w:rsidRDefault="00E614A4">
            <w:pPr>
              <w:jc w:val="right"/>
              <w:rPr>
                <w:rFonts w:eastAsia="Times New Roman"/>
                <w:sz w:val="20"/>
                <w:szCs w:val="20"/>
              </w:rPr>
            </w:pPr>
          </w:p>
        </w:tc>
        <w:tc>
          <w:tcPr>
            <w:tcW w:w="0" w:type="auto"/>
            <w:gridSpan w:val="3"/>
            <w:vAlign w:val="center"/>
            <w:hideMark/>
          </w:tcPr>
          <w:p w14:paraId="02A31B73" w14:textId="77777777" w:rsidR="00000000" w:rsidRDefault="00E614A4">
            <w:pPr>
              <w:rPr>
                <w:rFonts w:eastAsia="Times New Roman"/>
                <w:sz w:val="20"/>
                <w:szCs w:val="20"/>
              </w:rPr>
            </w:pPr>
          </w:p>
        </w:tc>
        <w:tc>
          <w:tcPr>
            <w:tcW w:w="0" w:type="auto"/>
            <w:gridSpan w:val="3"/>
            <w:vAlign w:val="center"/>
            <w:hideMark/>
          </w:tcPr>
          <w:p w14:paraId="4660B975" w14:textId="77777777" w:rsidR="00000000" w:rsidRDefault="00E614A4">
            <w:pPr>
              <w:rPr>
                <w:rFonts w:eastAsia="Times New Roman"/>
                <w:sz w:val="20"/>
                <w:szCs w:val="20"/>
              </w:rPr>
            </w:pPr>
          </w:p>
        </w:tc>
        <w:tc>
          <w:tcPr>
            <w:tcW w:w="0" w:type="auto"/>
            <w:gridSpan w:val="2"/>
            <w:vAlign w:val="center"/>
            <w:hideMark/>
          </w:tcPr>
          <w:p w14:paraId="07B79D91" w14:textId="77777777" w:rsidR="00000000" w:rsidRDefault="00E614A4">
            <w:pPr>
              <w:rPr>
                <w:rFonts w:eastAsia="Times New Roman"/>
                <w:sz w:val="20"/>
                <w:szCs w:val="20"/>
              </w:rPr>
            </w:pPr>
          </w:p>
        </w:tc>
        <w:tc>
          <w:tcPr>
            <w:tcW w:w="0" w:type="auto"/>
            <w:vAlign w:val="center"/>
            <w:hideMark/>
          </w:tcPr>
          <w:p w14:paraId="2A2488E9" w14:textId="77777777" w:rsidR="00000000" w:rsidRDefault="00E614A4">
            <w:pPr>
              <w:rPr>
                <w:rFonts w:eastAsia="Times New Roman"/>
                <w:sz w:val="20"/>
                <w:szCs w:val="20"/>
              </w:rPr>
            </w:pPr>
          </w:p>
        </w:tc>
      </w:tr>
      <w:tr w:rsidR="00000000" w14:paraId="63CE9C35" w14:textId="77777777">
        <w:trPr>
          <w:divId w:val="1655524247"/>
        </w:trPr>
        <w:tc>
          <w:tcPr>
            <w:tcW w:w="0" w:type="auto"/>
            <w:gridSpan w:val="3"/>
            <w:shd w:val="clear" w:color="auto" w:fill="FFFFFF"/>
            <w:tcMar>
              <w:top w:w="30" w:type="dxa"/>
              <w:left w:w="20" w:type="dxa"/>
              <w:bottom w:w="30" w:type="dxa"/>
              <w:right w:w="20" w:type="dxa"/>
            </w:tcMar>
            <w:hideMark/>
          </w:tcPr>
          <w:p w14:paraId="18B6ED96" w14:textId="77777777" w:rsidR="00000000" w:rsidRDefault="00E614A4">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3CC5476B"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51A8FD" w14:textId="77777777" w:rsidR="00000000" w:rsidRDefault="00E614A4">
            <w:pPr>
              <w:jc w:val="right"/>
              <w:rPr>
                <w:rFonts w:eastAsia="Times New Roman"/>
              </w:rPr>
            </w:pPr>
            <w:r>
              <w:rPr>
                <w:rFonts w:eastAsia="Times New Roman"/>
                <w:color w:val="000000"/>
                <w:sz w:val="18"/>
                <w:szCs w:val="18"/>
              </w:rPr>
              <w:t>600 </w:t>
            </w:r>
          </w:p>
        </w:tc>
        <w:tc>
          <w:tcPr>
            <w:tcW w:w="0" w:type="auto"/>
            <w:shd w:val="clear" w:color="auto" w:fill="FFFFFF"/>
            <w:tcMar>
              <w:top w:w="30" w:type="dxa"/>
              <w:left w:w="0" w:type="dxa"/>
              <w:bottom w:w="30" w:type="dxa"/>
              <w:right w:w="20" w:type="dxa"/>
            </w:tcMar>
            <w:vAlign w:val="bottom"/>
            <w:hideMark/>
          </w:tcPr>
          <w:p w14:paraId="12CCD8F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B3FB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B8F340" w14:textId="77777777" w:rsidR="00000000" w:rsidRDefault="00E614A4">
            <w:pPr>
              <w:jc w:val="right"/>
              <w:rPr>
                <w:rFonts w:eastAsia="Times New Roman"/>
              </w:rPr>
            </w:pPr>
            <w:r>
              <w:rPr>
                <w:rFonts w:eastAsia="Times New Roman"/>
                <w:color w:val="000000"/>
                <w:sz w:val="18"/>
                <w:szCs w:val="18"/>
              </w:rPr>
              <w:t>(499)</w:t>
            </w:r>
          </w:p>
        </w:tc>
        <w:tc>
          <w:tcPr>
            <w:tcW w:w="0" w:type="auto"/>
            <w:shd w:val="clear" w:color="auto" w:fill="FFFFFF"/>
            <w:tcMar>
              <w:top w:w="30" w:type="dxa"/>
              <w:left w:w="0" w:type="dxa"/>
              <w:bottom w:w="30" w:type="dxa"/>
              <w:right w:w="20" w:type="dxa"/>
            </w:tcMar>
            <w:vAlign w:val="bottom"/>
            <w:hideMark/>
          </w:tcPr>
          <w:p w14:paraId="5558C3E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14798" w14:textId="77777777" w:rsidR="00000000" w:rsidRDefault="00E614A4">
            <w:pPr>
              <w:jc w:val="right"/>
              <w:rPr>
                <w:rFonts w:eastAsia="Times New Roman"/>
                <w:sz w:val="20"/>
                <w:szCs w:val="20"/>
              </w:rPr>
            </w:pPr>
          </w:p>
        </w:tc>
        <w:tc>
          <w:tcPr>
            <w:tcW w:w="0" w:type="auto"/>
            <w:vAlign w:val="center"/>
            <w:hideMark/>
          </w:tcPr>
          <w:p w14:paraId="34046CA9" w14:textId="77777777" w:rsidR="00000000" w:rsidRDefault="00E614A4">
            <w:pPr>
              <w:rPr>
                <w:rFonts w:eastAsia="Times New Roman"/>
                <w:sz w:val="20"/>
                <w:szCs w:val="20"/>
              </w:rPr>
            </w:pPr>
          </w:p>
        </w:tc>
        <w:tc>
          <w:tcPr>
            <w:tcW w:w="0" w:type="auto"/>
            <w:vAlign w:val="center"/>
            <w:hideMark/>
          </w:tcPr>
          <w:p w14:paraId="28C94C17" w14:textId="77777777" w:rsidR="00000000" w:rsidRDefault="00E614A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78C6C7" w14:textId="77777777" w:rsidR="00000000" w:rsidRDefault="00E614A4">
            <w:pPr>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bottom"/>
            <w:hideMark/>
          </w:tcPr>
          <w:p w14:paraId="2D6E918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14AE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31A25" w14:textId="77777777" w:rsidR="00000000" w:rsidRDefault="00E614A4">
            <w:pPr>
              <w:jc w:val="right"/>
              <w:rPr>
                <w:rFonts w:eastAsia="Times New Roman"/>
              </w:rPr>
            </w:pPr>
            <w:r>
              <w:rPr>
                <w:rFonts w:eastAsia="Times New Roman"/>
                <w:color w:val="000000"/>
                <w:sz w:val="18"/>
                <w:szCs w:val="18"/>
              </w:rPr>
              <w:t>600 </w:t>
            </w:r>
          </w:p>
        </w:tc>
        <w:tc>
          <w:tcPr>
            <w:tcW w:w="0" w:type="auto"/>
            <w:shd w:val="clear" w:color="auto" w:fill="FFFFFF"/>
            <w:tcMar>
              <w:top w:w="30" w:type="dxa"/>
              <w:left w:w="0" w:type="dxa"/>
              <w:bottom w:w="30" w:type="dxa"/>
              <w:right w:w="20" w:type="dxa"/>
            </w:tcMar>
            <w:vAlign w:val="bottom"/>
            <w:hideMark/>
          </w:tcPr>
          <w:p w14:paraId="487EC6F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3130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1D903F" w14:textId="77777777" w:rsidR="00000000" w:rsidRDefault="00E614A4">
            <w:pPr>
              <w:jc w:val="right"/>
              <w:rPr>
                <w:rFonts w:eastAsia="Times New Roman"/>
              </w:rPr>
            </w:pPr>
            <w:r>
              <w:rPr>
                <w:rFonts w:eastAsia="Times New Roman"/>
                <w:color w:val="000000"/>
                <w:sz w:val="18"/>
                <w:szCs w:val="18"/>
              </w:rPr>
              <w:t>(397)</w:t>
            </w:r>
          </w:p>
        </w:tc>
        <w:tc>
          <w:tcPr>
            <w:tcW w:w="0" w:type="auto"/>
            <w:shd w:val="clear" w:color="auto" w:fill="FFFFFF"/>
            <w:tcMar>
              <w:top w:w="30" w:type="dxa"/>
              <w:left w:w="0" w:type="dxa"/>
              <w:bottom w:w="30" w:type="dxa"/>
              <w:right w:w="20" w:type="dxa"/>
            </w:tcMar>
            <w:vAlign w:val="bottom"/>
            <w:hideMark/>
          </w:tcPr>
          <w:p w14:paraId="5A3363C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8A20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BD290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DCEC9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DD89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1A74E3" w14:textId="77777777" w:rsidR="00000000" w:rsidRDefault="00E614A4">
            <w:pPr>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14:paraId="3803217A" w14:textId="77777777" w:rsidR="00000000" w:rsidRDefault="00E614A4">
            <w:pPr>
              <w:jc w:val="right"/>
              <w:rPr>
                <w:rFonts w:eastAsia="Times New Roman"/>
              </w:rPr>
            </w:pPr>
          </w:p>
        </w:tc>
        <w:tc>
          <w:tcPr>
            <w:tcW w:w="0" w:type="auto"/>
            <w:gridSpan w:val="3"/>
            <w:vAlign w:val="center"/>
            <w:hideMark/>
          </w:tcPr>
          <w:p w14:paraId="6B280635" w14:textId="77777777" w:rsidR="00000000" w:rsidRDefault="00E614A4">
            <w:pPr>
              <w:jc w:val="right"/>
              <w:rPr>
                <w:rFonts w:eastAsia="Times New Roman"/>
                <w:sz w:val="20"/>
                <w:szCs w:val="20"/>
              </w:rPr>
            </w:pPr>
          </w:p>
        </w:tc>
        <w:tc>
          <w:tcPr>
            <w:tcW w:w="0" w:type="auto"/>
            <w:gridSpan w:val="3"/>
            <w:vAlign w:val="center"/>
            <w:hideMark/>
          </w:tcPr>
          <w:p w14:paraId="798304A1" w14:textId="77777777" w:rsidR="00000000" w:rsidRDefault="00E614A4">
            <w:pPr>
              <w:rPr>
                <w:rFonts w:eastAsia="Times New Roman"/>
                <w:sz w:val="20"/>
                <w:szCs w:val="20"/>
              </w:rPr>
            </w:pPr>
          </w:p>
        </w:tc>
        <w:tc>
          <w:tcPr>
            <w:tcW w:w="0" w:type="auto"/>
            <w:gridSpan w:val="3"/>
            <w:vAlign w:val="center"/>
            <w:hideMark/>
          </w:tcPr>
          <w:p w14:paraId="32558B8D" w14:textId="77777777" w:rsidR="00000000" w:rsidRDefault="00E614A4">
            <w:pPr>
              <w:rPr>
                <w:rFonts w:eastAsia="Times New Roman"/>
                <w:sz w:val="20"/>
                <w:szCs w:val="20"/>
              </w:rPr>
            </w:pPr>
          </w:p>
        </w:tc>
        <w:tc>
          <w:tcPr>
            <w:tcW w:w="0" w:type="auto"/>
            <w:gridSpan w:val="2"/>
            <w:vAlign w:val="center"/>
            <w:hideMark/>
          </w:tcPr>
          <w:p w14:paraId="16D76BD4" w14:textId="77777777" w:rsidR="00000000" w:rsidRDefault="00E614A4">
            <w:pPr>
              <w:rPr>
                <w:rFonts w:eastAsia="Times New Roman"/>
                <w:sz w:val="20"/>
                <w:szCs w:val="20"/>
              </w:rPr>
            </w:pPr>
          </w:p>
        </w:tc>
        <w:tc>
          <w:tcPr>
            <w:tcW w:w="0" w:type="auto"/>
            <w:vAlign w:val="center"/>
            <w:hideMark/>
          </w:tcPr>
          <w:p w14:paraId="6150620E" w14:textId="77777777" w:rsidR="00000000" w:rsidRDefault="00E614A4">
            <w:pPr>
              <w:rPr>
                <w:rFonts w:eastAsia="Times New Roman"/>
                <w:sz w:val="20"/>
                <w:szCs w:val="20"/>
              </w:rPr>
            </w:pPr>
          </w:p>
        </w:tc>
      </w:tr>
      <w:tr w:rsidR="00E614A4" w14:paraId="4482BFE7" w14:textId="77777777">
        <w:trPr>
          <w:divId w:val="1655524247"/>
        </w:trPr>
        <w:tc>
          <w:tcPr>
            <w:tcW w:w="0" w:type="auto"/>
            <w:gridSpan w:val="3"/>
            <w:shd w:val="clear" w:color="auto" w:fill="CCEEFF"/>
            <w:tcMar>
              <w:top w:w="30" w:type="dxa"/>
              <w:left w:w="20" w:type="dxa"/>
              <w:bottom w:w="30" w:type="dxa"/>
              <w:right w:w="20" w:type="dxa"/>
            </w:tcMar>
            <w:hideMark/>
          </w:tcPr>
          <w:p w14:paraId="084B9764" w14:textId="77777777" w:rsidR="00000000" w:rsidRDefault="00E614A4">
            <w:pPr>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14:paraId="56FB8DA6"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760D9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F45676" w14:textId="77777777" w:rsidR="00000000" w:rsidRDefault="00E614A4">
            <w:pPr>
              <w:jc w:val="right"/>
              <w:rPr>
                <w:rFonts w:eastAsia="Times New Roman"/>
              </w:rPr>
            </w:pPr>
            <w:r>
              <w:rPr>
                <w:rFonts w:eastAsia="Times New Roman"/>
                <w:color w:val="000000"/>
                <w:sz w:val="18"/>
                <w:szCs w:val="18"/>
              </w:rPr>
              <w:t>216,749 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A5C95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97AE6"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5CAC2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457C3C" w14:textId="77777777" w:rsidR="00000000" w:rsidRDefault="00E614A4">
            <w:pPr>
              <w:jc w:val="right"/>
              <w:rPr>
                <w:rFonts w:eastAsia="Times New Roman"/>
              </w:rPr>
            </w:pPr>
            <w:r>
              <w:rPr>
                <w:rFonts w:eastAsia="Times New Roman"/>
                <w:color w:val="000000"/>
                <w:sz w:val="18"/>
                <w:szCs w:val="18"/>
              </w:rPr>
              <w:t>(164,409)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BBCD6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C2FC4C" w14:textId="77777777" w:rsidR="00000000" w:rsidRDefault="00E614A4">
            <w:pPr>
              <w:jc w:val="right"/>
              <w:rPr>
                <w:rFonts w:eastAsia="Times New Roman"/>
                <w:sz w:val="20"/>
                <w:szCs w:val="20"/>
              </w:rPr>
            </w:pPr>
          </w:p>
        </w:tc>
        <w:tc>
          <w:tcPr>
            <w:tcW w:w="0" w:type="auto"/>
            <w:vAlign w:val="center"/>
            <w:hideMark/>
          </w:tcPr>
          <w:p w14:paraId="4355C554" w14:textId="77777777" w:rsidR="00000000" w:rsidRDefault="00E614A4">
            <w:pPr>
              <w:rPr>
                <w:rFonts w:eastAsia="Times New Roman"/>
                <w:sz w:val="20"/>
                <w:szCs w:val="20"/>
              </w:rPr>
            </w:pPr>
          </w:p>
        </w:tc>
        <w:tc>
          <w:tcPr>
            <w:tcW w:w="0" w:type="auto"/>
            <w:vAlign w:val="center"/>
            <w:hideMark/>
          </w:tcPr>
          <w:p w14:paraId="4C7FF990" w14:textId="77777777" w:rsidR="00000000" w:rsidRDefault="00E614A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95DF2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9FC7B1" w14:textId="77777777" w:rsidR="00000000" w:rsidRDefault="00E614A4">
            <w:pPr>
              <w:jc w:val="right"/>
              <w:rPr>
                <w:rFonts w:eastAsia="Times New Roman"/>
              </w:rPr>
            </w:pPr>
            <w:r>
              <w:rPr>
                <w:rFonts w:eastAsia="Times New Roman"/>
                <w:color w:val="000000"/>
                <w:sz w:val="18"/>
                <w:szCs w:val="18"/>
              </w:rPr>
              <w:t>52,340 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BCC54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9889E"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2ADBF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460A11" w14:textId="77777777" w:rsidR="00000000" w:rsidRDefault="00E614A4">
            <w:pPr>
              <w:jc w:val="right"/>
              <w:rPr>
                <w:rFonts w:eastAsia="Times New Roman"/>
              </w:rPr>
            </w:pPr>
            <w:r>
              <w:rPr>
                <w:rFonts w:eastAsia="Times New Roman"/>
                <w:color w:val="000000"/>
                <w:sz w:val="18"/>
                <w:szCs w:val="18"/>
              </w:rPr>
              <w:t>246,779 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FD1ED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60BAF"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4AF4A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991186" w14:textId="77777777" w:rsidR="00000000" w:rsidRDefault="00E614A4">
            <w:pPr>
              <w:jc w:val="right"/>
              <w:rPr>
                <w:rFonts w:eastAsia="Times New Roman"/>
              </w:rPr>
            </w:pPr>
            <w:r>
              <w:rPr>
                <w:rFonts w:eastAsia="Times New Roman"/>
                <w:color w:val="000000"/>
                <w:sz w:val="18"/>
                <w:szCs w:val="18"/>
              </w:rPr>
              <w:t>(149,912)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420D8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D072D"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D8FFB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D81748" w14:textId="77777777" w:rsidR="00000000" w:rsidRDefault="00E614A4">
            <w:pPr>
              <w:jc w:val="right"/>
              <w:rPr>
                <w:rFonts w:eastAsia="Times New Roman"/>
              </w:rPr>
            </w:pPr>
            <w:r>
              <w:rPr>
                <w:rFonts w:eastAsia="Times New Roman"/>
                <w:color w:val="000000"/>
                <w:sz w:val="18"/>
                <w:szCs w:val="18"/>
              </w:rPr>
              <w:t>(17,308)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01F75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B1B80"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DAD53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3379E7" w14:textId="77777777" w:rsidR="00000000" w:rsidRDefault="00E614A4">
            <w:pPr>
              <w:jc w:val="right"/>
              <w:rPr>
                <w:rFonts w:eastAsia="Times New Roman"/>
              </w:rPr>
            </w:pPr>
            <w:r>
              <w:rPr>
                <w:rFonts w:eastAsia="Times New Roman"/>
                <w:color w:val="000000"/>
                <w:sz w:val="18"/>
                <w:szCs w:val="18"/>
              </w:rPr>
              <w:t>79,559 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D8463F" w14:textId="77777777" w:rsidR="00000000" w:rsidRDefault="00E614A4">
            <w:pPr>
              <w:jc w:val="right"/>
              <w:rPr>
                <w:rFonts w:eastAsia="Times New Roman"/>
              </w:rPr>
            </w:pPr>
          </w:p>
        </w:tc>
        <w:tc>
          <w:tcPr>
            <w:tcW w:w="0" w:type="auto"/>
            <w:gridSpan w:val="3"/>
            <w:vAlign w:val="center"/>
            <w:hideMark/>
          </w:tcPr>
          <w:p w14:paraId="000BA2A0" w14:textId="77777777" w:rsidR="00000000" w:rsidRDefault="00E614A4">
            <w:pPr>
              <w:jc w:val="right"/>
              <w:rPr>
                <w:rFonts w:eastAsia="Times New Roman"/>
                <w:sz w:val="20"/>
                <w:szCs w:val="20"/>
              </w:rPr>
            </w:pPr>
          </w:p>
        </w:tc>
        <w:tc>
          <w:tcPr>
            <w:tcW w:w="0" w:type="auto"/>
            <w:gridSpan w:val="3"/>
            <w:vAlign w:val="center"/>
            <w:hideMark/>
          </w:tcPr>
          <w:p w14:paraId="596A8F64" w14:textId="77777777" w:rsidR="00000000" w:rsidRDefault="00E614A4">
            <w:pPr>
              <w:rPr>
                <w:rFonts w:eastAsia="Times New Roman"/>
                <w:sz w:val="20"/>
                <w:szCs w:val="20"/>
              </w:rPr>
            </w:pPr>
          </w:p>
        </w:tc>
        <w:tc>
          <w:tcPr>
            <w:tcW w:w="0" w:type="auto"/>
            <w:gridSpan w:val="3"/>
            <w:vAlign w:val="center"/>
            <w:hideMark/>
          </w:tcPr>
          <w:p w14:paraId="680BE32B" w14:textId="77777777" w:rsidR="00000000" w:rsidRDefault="00E614A4">
            <w:pPr>
              <w:rPr>
                <w:rFonts w:eastAsia="Times New Roman"/>
                <w:sz w:val="20"/>
                <w:szCs w:val="20"/>
              </w:rPr>
            </w:pPr>
          </w:p>
        </w:tc>
        <w:tc>
          <w:tcPr>
            <w:tcW w:w="0" w:type="auto"/>
            <w:gridSpan w:val="2"/>
            <w:vAlign w:val="center"/>
            <w:hideMark/>
          </w:tcPr>
          <w:p w14:paraId="2B16C90E" w14:textId="77777777" w:rsidR="00000000" w:rsidRDefault="00E614A4">
            <w:pPr>
              <w:rPr>
                <w:rFonts w:eastAsia="Times New Roman"/>
                <w:sz w:val="20"/>
                <w:szCs w:val="20"/>
              </w:rPr>
            </w:pPr>
          </w:p>
        </w:tc>
        <w:tc>
          <w:tcPr>
            <w:tcW w:w="0" w:type="auto"/>
            <w:vAlign w:val="center"/>
            <w:hideMark/>
          </w:tcPr>
          <w:p w14:paraId="242BEF29" w14:textId="77777777" w:rsidR="00000000" w:rsidRDefault="00E614A4">
            <w:pPr>
              <w:rPr>
                <w:rFonts w:eastAsia="Times New Roman"/>
                <w:sz w:val="20"/>
                <w:szCs w:val="20"/>
              </w:rPr>
            </w:pPr>
          </w:p>
        </w:tc>
      </w:tr>
    </w:tbl>
    <w:p w14:paraId="6708C9BF" w14:textId="77777777" w:rsidR="00000000" w:rsidRDefault="00E614A4">
      <w:pPr>
        <w:jc w:val="both"/>
        <w:divId w:val="1905797168"/>
        <w:rPr>
          <w:rFonts w:eastAsia="Times New Roman"/>
        </w:rPr>
      </w:pPr>
      <w:r>
        <w:rPr>
          <w:rFonts w:eastAsia="Times New Roman"/>
          <w:color w:val="000000"/>
          <w:sz w:val="20"/>
          <w:szCs w:val="20"/>
        </w:rPr>
        <w:t>Amortization expense related to intangible assets was $27.2 million, $30.1 million, and $32.9 million for the years ended December 31, 2020, 2019, and 2018, respectively.</w:t>
      </w:r>
    </w:p>
    <w:p w14:paraId="57309381" w14:textId="77777777" w:rsidR="00000000" w:rsidRDefault="00E614A4">
      <w:pPr>
        <w:jc w:val="both"/>
        <w:divId w:val="1063482377"/>
        <w:rPr>
          <w:rFonts w:eastAsia="Times New Roman"/>
        </w:rPr>
      </w:pPr>
      <w:r>
        <w:rPr>
          <w:rFonts w:eastAsia="Times New Roman"/>
          <w:color w:val="000000"/>
          <w:sz w:val="20"/>
          <w:szCs w:val="20"/>
        </w:rPr>
        <w:t xml:space="preserve">Of the Company's long-lived intangible assets, </w:t>
      </w:r>
      <w:r>
        <w:rPr>
          <w:rFonts w:eastAsia="Times New Roman"/>
          <w:color w:val="000000"/>
          <w:sz w:val="20"/>
          <w:szCs w:val="20"/>
        </w:rPr>
        <w:t>net, $52.3 million and $79.5 million were generated by or located in the United States as of December 31, 2020 and 2019, respectively.</w:t>
      </w:r>
    </w:p>
    <w:p w14:paraId="7D97A403" w14:textId="77777777" w:rsidR="00000000" w:rsidRDefault="00E614A4">
      <w:pPr>
        <w:divId w:val="568198637"/>
        <w:rPr>
          <w:rFonts w:eastAsia="Times New Roman"/>
        </w:rPr>
      </w:pPr>
      <w:r>
        <w:rPr>
          <w:rFonts w:eastAsia="Times New Roman"/>
          <w:color w:val="000000"/>
          <w:sz w:val="20"/>
          <w:szCs w:val="20"/>
        </w:rPr>
        <w:t>The weighted-average remaining amortization period by major asset class as of December 31, 2020 is as follows:</w:t>
      </w:r>
    </w:p>
    <w:tbl>
      <w:tblPr>
        <w:tblW w:w="5000" w:type="pct"/>
        <w:tblCellMar>
          <w:top w:w="15" w:type="dxa"/>
          <w:left w:w="15" w:type="dxa"/>
          <w:bottom w:w="15" w:type="dxa"/>
          <w:right w:w="15" w:type="dxa"/>
        </w:tblCellMar>
        <w:tblLook w:val="04A0" w:firstRow="1" w:lastRow="0" w:firstColumn="1" w:lastColumn="0" w:noHBand="0" w:noVBand="1"/>
      </w:tblPr>
      <w:tblGrid>
        <w:gridCol w:w="68"/>
        <w:gridCol w:w="7082"/>
        <w:gridCol w:w="38"/>
        <w:gridCol w:w="69"/>
        <w:gridCol w:w="1013"/>
        <w:gridCol w:w="36"/>
      </w:tblGrid>
      <w:tr w:rsidR="00000000" w14:paraId="67D22FA2" w14:textId="77777777">
        <w:trPr>
          <w:divId w:val="2062750623"/>
        </w:trPr>
        <w:tc>
          <w:tcPr>
            <w:tcW w:w="50" w:type="pct"/>
            <w:vAlign w:val="center"/>
            <w:hideMark/>
          </w:tcPr>
          <w:p w14:paraId="3D7BF35D" w14:textId="77777777" w:rsidR="00000000" w:rsidRDefault="00E614A4">
            <w:pPr>
              <w:rPr>
                <w:rFonts w:eastAsia="Times New Roman"/>
              </w:rPr>
            </w:pPr>
          </w:p>
        </w:tc>
        <w:tc>
          <w:tcPr>
            <w:tcW w:w="4271" w:type="pct"/>
            <w:vAlign w:val="center"/>
            <w:hideMark/>
          </w:tcPr>
          <w:p w14:paraId="5733FC64" w14:textId="77777777" w:rsidR="00000000" w:rsidRDefault="00E614A4">
            <w:pPr>
              <w:rPr>
                <w:rFonts w:eastAsia="Times New Roman"/>
                <w:sz w:val="20"/>
                <w:szCs w:val="20"/>
              </w:rPr>
            </w:pPr>
          </w:p>
        </w:tc>
        <w:tc>
          <w:tcPr>
            <w:tcW w:w="5" w:type="pct"/>
            <w:vAlign w:val="center"/>
            <w:hideMark/>
          </w:tcPr>
          <w:p w14:paraId="00667EB8" w14:textId="77777777" w:rsidR="00000000" w:rsidRDefault="00E614A4">
            <w:pPr>
              <w:rPr>
                <w:rFonts w:eastAsia="Times New Roman"/>
                <w:sz w:val="20"/>
                <w:szCs w:val="20"/>
              </w:rPr>
            </w:pPr>
          </w:p>
        </w:tc>
        <w:tc>
          <w:tcPr>
            <w:tcW w:w="50" w:type="pct"/>
            <w:vAlign w:val="center"/>
            <w:hideMark/>
          </w:tcPr>
          <w:p w14:paraId="77180C04" w14:textId="77777777" w:rsidR="00000000" w:rsidRDefault="00E614A4">
            <w:pPr>
              <w:rPr>
                <w:rFonts w:eastAsia="Times New Roman"/>
                <w:sz w:val="20"/>
                <w:szCs w:val="20"/>
              </w:rPr>
            </w:pPr>
          </w:p>
        </w:tc>
        <w:tc>
          <w:tcPr>
            <w:tcW w:w="618" w:type="pct"/>
            <w:vAlign w:val="center"/>
            <w:hideMark/>
          </w:tcPr>
          <w:p w14:paraId="7091F7FA" w14:textId="77777777" w:rsidR="00000000" w:rsidRDefault="00E614A4">
            <w:pPr>
              <w:rPr>
                <w:rFonts w:eastAsia="Times New Roman"/>
                <w:sz w:val="20"/>
                <w:szCs w:val="20"/>
              </w:rPr>
            </w:pPr>
          </w:p>
        </w:tc>
        <w:tc>
          <w:tcPr>
            <w:tcW w:w="5" w:type="pct"/>
            <w:vAlign w:val="center"/>
            <w:hideMark/>
          </w:tcPr>
          <w:p w14:paraId="2AE32A15" w14:textId="77777777" w:rsidR="00000000" w:rsidRDefault="00E614A4">
            <w:pPr>
              <w:rPr>
                <w:rFonts w:eastAsia="Times New Roman"/>
                <w:sz w:val="20"/>
                <w:szCs w:val="20"/>
              </w:rPr>
            </w:pPr>
          </w:p>
        </w:tc>
      </w:tr>
      <w:tr w:rsidR="00000000" w14:paraId="2563B2B0" w14:textId="77777777">
        <w:trPr>
          <w:divId w:val="2062750623"/>
        </w:trPr>
        <w:tc>
          <w:tcPr>
            <w:tcW w:w="0" w:type="auto"/>
            <w:gridSpan w:val="3"/>
            <w:tcMar>
              <w:top w:w="30" w:type="dxa"/>
              <w:left w:w="20" w:type="dxa"/>
              <w:bottom w:w="30" w:type="dxa"/>
              <w:right w:w="20" w:type="dxa"/>
            </w:tcMar>
            <w:vAlign w:val="bottom"/>
            <w:hideMark/>
          </w:tcPr>
          <w:p w14:paraId="057A490D"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F511A1D" w14:textId="77777777" w:rsidR="00000000" w:rsidRDefault="00E614A4">
            <w:pPr>
              <w:jc w:val="center"/>
              <w:rPr>
                <w:rFonts w:eastAsia="Times New Roman"/>
              </w:rPr>
            </w:pPr>
            <w:r>
              <w:rPr>
                <w:rFonts w:eastAsia="Times New Roman"/>
                <w:b/>
                <w:bCs/>
                <w:i/>
                <w:iCs/>
                <w:color w:val="000000"/>
                <w:sz w:val="16"/>
                <w:szCs w:val="16"/>
              </w:rPr>
              <w:t>(In years)</w:t>
            </w:r>
          </w:p>
        </w:tc>
      </w:tr>
      <w:tr w:rsidR="00000000" w14:paraId="5A9A4834" w14:textId="77777777">
        <w:trPr>
          <w:divId w:val="2062750623"/>
        </w:trPr>
        <w:tc>
          <w:tcPr>
            <w:tcW w:w="0" w:type="auto"/>
            <w:gridSpan w:val="3"/>
            <w:shd w:val="clear" w:color="auto" w:fill="CCEEFF"/>
            <w:tcMar>
              <w:top w:w="30" w:type="dxa"/>
              <w:left w:w="20" w:type="dxa"/>
              <w:bottom w:w="30" w:type="dxa"/>
              <w:right w:w="20" w:type="dxa"/>
            </w:tcMar>
            <w:hideMark/>
          </w:tcPr>
          <w:p w14:paraId="7CCACFD8" w14:textId="77777777" w:rsidR="00000000" w:rsidRDefault="00E614A4">
            <w:pPr>
              <w:rPr>
                <w:rFonts w:eastAsia="Times New Roman"/>
              </w:rPr>
            </w:pPr>
            <w:r>
              <w:rPr>
                <w:rFonts w:eastAsia="Times New Roman"/>
                <w:color w:val="000000"/>
                <w:sz w:val="18"/>
                <w:szCs w:val="18"/>
              </w:rPr>
              <w:t>Intellectual property</w:t>
            </w: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B947D5E" w14:textId="77777777" w:rsidR="00000000" w:rsidRDefault="00E614A4">
            <w:pPr>
              <w:jc w:val="center"/>
              <w:rPr>
                <w:rFonts w:eastAsia="Times New Roman"/>
              </w:rPr>
            </w:pPr>
            <w:r>
              <w:rPr>
                <w:rFonts w:eastAsia="Times New Roman"/>
                <w:color w:val="000000"/>
                <w:sz w:val="18"/>
                <w:szCs w:val="18"/>
              </w:rPr>
              <w:t>3.7</w:t>
            </w:r>
          </w:p>
        </w:tc>
      </w:tr>
      <w:tr w:rsidR="00000000" w14:paraId="02777333" w14:textId="77777777">
        <w:trPr>
          <w:divId w:val="2062750623"/>
        </w:trPr>
        <w:tc>
          <w:tcPr>
            <w:tcW w:w="0" w:type="auto"/>
            <w:gridSpan w:val="3"/>
            <w:shd w:val="clear" w:color="auto" w:fill="FFFFFF"/>
            <w:tcMar>
              <w:top w:w="30" w:type="dxa"/>
              <w:left w:w="20" w:type="dxa"/>
              <w:bottom w:w="30" w:type="dxa"/>
              <w:right w:w="20" w:type="dxa"/>
            </w:tcMar>
            <w:hideMark/>
          </w:tcPr>
          <w:p w14:paraId="6BD0D08C" w14:textId="77777777" w:rsidR="00000000" w:rsidRDefault="00E614A4">
            <w:pPr>
              <w:rPr>
                <w:rFonts w:eastAsia="Times New Roman"/>
              </w:rPr>
            </w:pPr>
            <w:r>
              <w:rPr>
                <w:rFonts w:eastAsia="Times New Roman"/>
                <w:color w:val="000000"/>
                <w:sz w:val="18"/>
                <w:szCs w:val="18"/>
              </w:rPr>
              <w:t>Customer relationships</w:t>
            </w:r>
          </w:p>
        </w:tc>
        <w:tc>
          <w:tcPr>
            <w:tcW w:w="0" w:type="auto"/>
            <w:gridSpan w:val="3"/>
            <w:shd w:val="clear" w:color="auto" w:fill="FFFFFF"/>
            <w:tcMar>
              <w:top w:w="30" w:type="dxa"/>
              <w:left w:w="20" w:type="dxa"/>
              <w:bottom w:w="30" w:type="dxa"/>
              <w:right w:w="20" w:type="dxa"/>
            </w:tcMar>
            <w:hideMark/>
          </w:tcPr>
          <w:p w14:paraId="44DD8D03" w14:textId="77777777" w:rsidR="00000000" w:rsidRDefault="00E614A4">
            <w:pPr>
              <w:jc w:val="center"/>
              <w:rPr>
                <w:rFonts w:eastAsia="Times New Roman"/>
              </w:rPr>
            </w:pPr>
            <w:r>
              <w:rPr>
                <w:rFonts w:eastAsia="Times New Roman"/>
                <w:color w:val="000000"/>
                <w:sz w:val="18"/>
                <w:szCs w:val="18"/>
              </w:rPr>
              <w:t>1.5</w:t>
            </w:r>
          </w:p>
        </w:tc>
      </w:tr>
      <w:tr w:rsidR="00000000" w14:paraId="15C88D90" w14:textId="77777777">
        <w:trPr>
          <w:divId w:val="2062750623"/>
        </w:trPr>
        <w:tc>
          <w:tcPr>
            <w:tcW w:w="0" w:type="auto"/>
            <w:gridSpan w:val="3"/>
            <w:shd w:val="clear" w:color="auto" w:fill="CCEEFF"/>
            <w:tcMar>
              <w:top w:w="30" w:type="dxa"/>
              <w:left w:w="20" w:type="dxa"/>
              <w:bottom w:w="30" w:type="dxa"/>
              <w:right w:w="20" w:type="dxa"/>
            </w:tcMar>
            <w:hideMark/>
          </w:tcPr>
          <w:p w14:paraId="3B8B2D77" w14:textId="77777777" w:rsidR="00000000" w:rsidRDefault="00E614A4">
            <w:pPr>
              <w:rPr>
                <w:rFonts w:eastAsia="Times New Roman"/>
              </w:rPr>
            </w:pPr>
            <w:r>
              <w:rPr>
                <w:rFonts w:eastAsia="Times New Roman"/>
                <w:color w:val="000000"/>
                <w:sz w:val="18"/>
                <w:szCs w:val="18"/>
              </w:rPr>
              <w:t>Acquired methodologies and technology</w:t>
            </w:r>
          </w:p>
        </w:tc>
        <w:tc>
          <w:tcPr>
            <w:tcW w:w="0" w:type="auto"/>
            <w:gridSpan w:val="3"/>
            <w:shd w:val="clear" w:color="auto" w:fill="CCEEFF"/>
            <w:tcMar>
              <w:top w:w="30" w:type="dxa"/>
              <w:left w:w="20" w:type="dxa"/>
              <w:bottom w:w="30" w:type="dxa"/>
              <w:right w:w="20" w:type="dxa"/>
            </w:tcMar>
            <w:hideMark/>
          </w:tcPr>
          <w:p w14:paraId="655C0213" w14:textId="77777777" w:rsidR="00000000" w:rsidRDefault="00E614A4">
            <w:pPr>
              <w:jc w:val="center"/>
              <w:rPr>
                <w:rFonts w:eastAsia="Times New Roman"/>
              </w:rPr>
            </w:pPr>
            <w:r>
              <w:rPr>
                <w:rFonts w:eastAsia="Times New Roman"/>
                <w:color w:val="000000"/>
                <w:sz w:val="18"/>
                <w:szCs w:val="18"/>
              </w:rPr>
              <w:t>1.4</w:t>
            </w:r>
          </w:p>
        </w:tc>
      </w:tr>
      <w:tr w:rsidR="00000000" w14:paraId="05370420" w14:textId="77777777">
        <w:trPr>
          <w:divId w:val="2062750623"/>
        </w:trPr>
        <w:tc>
          <w:tcPr>
            <w:tcW w:w="0" w:type="auto"/>
            <w:gridSpan w:val="3"/>
            <w:shd w:val="clear" w:color="auto" w:fill="FFFFFF"/>
            <w:tcMar>
              <w:top w:w="30" w:type="dxa"/>
              <w:left w:w="20" w:type="dxa"/>
              <w:bottom w:w="30" w:type="dxa"/>
              <w:right w:w="20" w:type="dxa"/>
            </w:tcMar>
            <w:hideMark/>
          </w:tcPr>
          <w:p w14:paraId="49EB8E0D" w14:textId="77777777" w:rsidR="00000000" w:rsidRDefault="00E614A4">
            <w:pPr>
              <w:rPr>
                <w:rFonts w:eastAsia="Times New Roman"/>
              </w:rPr>
            </w:pPr>
            <w:r>
              <w:rPr>
                <w:rFonts w:eastAsia="Times New Roman"/>
                <w:color w:val="000000"/>
                <w:sz w:val="18"/>
                <w:szCs w:val="18"/>
              </w:rPr>
              <w:t>Trade names</w:t>
            </w:r>
          </w:p>
        </w:tc>
        <w:tc>
          <w:tcPr>
            <w:tcW w:w="0" w:type="auto"/>
            <w:gridSpan w:val="3"/>
            <w:shd w:val="clear" w:color="auto" w:fill="FFFFFF"/>
            <w:tcMar>
              <w:top w:w="30" w:type="dxa"/>
              <w:left w:w="20" w:type="dxa"/>
              <w:bottom w:w="30" w:type="dxa"/>
              <w:right w:w="20" w:type="dxa"/>
            </w:tcMar>
            <w:hideMark/>
          </w:tcPr>
          <w:p w14:paraId="6CB56029" w14:textId="77777777" w:rsidR="00000000" w:rsidRDefault="00E614A4">
            <w:pPr>
              <w:jc w:val="center"/>
              <w:rPr>
                <w:rFonts w:eastAsia="Times New Roman"/>
              </w:rPr>
            </w:pPr>
            <w:r>
              <w:rPr>
                <w:rFonts w:eastAsia="Times New Roman"/>
                <w:color w:val="000000"/>
                <w:sz w:val="18"/>
                <w:szCs w:val="18"/>
              </w:rPr>
              <w:t>0.2</w:t>
            </w:r>
          </w:p>
        </w:tc>
      </w:tr>
      <w:tr w:rsidR="00000000" w14:paraId="7D839E3B" w14:textId="77777777">
        <w:trPr>
          <w:divId w:val="2062750623"/>
        </w:trPr>
        <w:tc>
          <w:tcPr>
            <w:tcW w:w="0" w:type="auto"/>
            <w:gridSpan w:val="3"/>
            <w:vAlign w:val="center"/>
            <w:hideMark/>
          </w:tcPr>
          <w:p w14:paraId="2AA60396" w14:textId="77777777" w:rsidR="00000000" w:rsidRDefault="00E614A4">
            <w:pPr>
              <w:jc w:val="center"/>
              <w:rPr>
                <w:rFonts w:eastAsia="Times New Roman"/>
              </w:rPr>
            </w:pPr>
          </w:p>
        </w:tc>
        <w:tc>
          <w:tcPr>
            <w:tcW w:w="0" w:type="auto"/>
            <w:gridSpan w:val="3"/>
            <w:vAlign w:val="center"/>
            <w:hideMark/>
          </w:tcPr>
          <w:p w14:paraId="3DE461AA" w14:textId="77777777" w:rsidR="00000000" w:rsidRDefault="00E614A4">
            <w:pPr>
              <w:rPr>
                <w:rFonts w:eastAsia="Times New Roman"/>
                <w:sz w:val="20"/>
                <w:szCs w:val="20"/>
              </w:rPr>
            </w:pPr>
          </w:p>
        </w:tc>
      </w:tr>
      <w:tr w:rsidR="00000000" w14:paraId="45129B7E" w14:textId="77777777">
        <w:trPr>
          <w:divId w:val="2062750623"/>
        </w:trPr>
        <w:tc>
          <w:tcPr>
            <w:tcW w:w="0" w:type="auto"/>
            <w:gridSpan w:val="3"/>
            <w:shd w:val="clear" w:color="auto" w:fill="CCEEFF"/>
            <w:tcMar>
              <w:top w:w="30" w:type="dxa"/>
              <w:left w:w="20" w:type="dxa"/>
              <w:bottom w:w="30" w:type="dxa"/>
              <w:right w:w="20" w:type="dxa"/>
            </w:tcMar>
            <w:hideMark/>
          </w:tcPr>
          <w:p w14:paraId="3D5A37B8" w14:textId="77777777" w:rsidR="00000000" w:rsidRDefault="00E614A4">
            <w:pPr>
              <w:rPr>
                <w:rFonts w:eastAsia="Times New Roman"/>
              </w:rPr>
            </w:pPr>
            <w:r>
              <w:rPr>
                <w:rFonts w:eastAsia="Times New Roman"/>
                <w:color w:val="000000"/>
                <w:sz w:val="18"/>
                <w:szCs w:val="18"/>
              </w:rPr>
              <w:t>Acquired software</w:t>
            </w:r>
          </w:p>
        </w:tc>
        <w:tc>
          <w:tcPr>
            <w:tcW w:w="0" w:type="auto"/>
            <w:gridSpan w:val="3"/>
            <w:shd w:val="clear" w:color="auto" w:fill="CCEEFF"/>
            <w:tcMar>
              <w:top w:w="30" w:type="dxa"/>
              <w:left w:w="20" w:type="dxa"/>
              <w:bottom w:w="30" w:type="dxa"/>
              <w:right w:w="20" w:type="dxa"/>
            </w:tcMar>
            <w:hideMark/>
          </w:tcPr>
          <w:p w14:paraId="4918521A" w14:textId="77777777" w:rsidR="00000000" w:rsidRDefault="00E614A4">
            <w:pPr>
              <w:jc w:val="center"/>
              <w:rPr>
                <w:rFonts w:eastAsia="Times New Roman"/>
              </w:rPr>
            </w:pPr>
            <w:r>
              <w:rPr>
                <w:rFonts w:eastAsia="Times New Roman"/>
                <w:color w:val="000000"/>
                <w:sz w:val="18"/>
                <w:szCs w:val="18"/>
              </w:rPr>
              <w:t>0.1</w:t>
            </w:r>
          </w:p>
        </w:tc>
      </w:tr>
      <w:tr w:rsidR="00000000" w14:paraId="5F66134C" w14:textId="77777777">
        <w:trPr>
          <w:divId w:val="2062750623"/>
        </w:trPr>
        <w:tc>
          <w:tcPr>
            <w:tcW w:w="0" w:type="auto"/>
            <w:gridSpan w:val="3"/>
            <w:shd w:val="clear" w:color="auto" w:fill="FFFFFF"/>
            <w:tcMar>
              <w:top w:w="30" w:type="dxa"/>
              <w:left w:w="20" w:type="dxa"/>
              <w:bottom w:w="30" w:type="dxa"/>
              <w:right w:w="20" w:type="dxa"/>
            </w:tcMar>
            <w:hideMark/>
          </w:tcPr>
          <w:p w14:paraId="75E407C3" w14:textId="77777777" w:rsidR="00000000" w:rsidRDefault="00E614A4">
            <w:pPr>
              <w:rPr>
                <w:rFonts w:eastAsia="Times New Roman"/>
              </w:rPr>
            </w:pPr>
            <w:r>
              <w:rPr>
                <w:rFonts w:eastAsia="Times New Roman"/>
                <w:color w:val="000000"/>
                <w:sz w:val="18"/>
                <w:szCs w:val="18"/>
              </w:rPr>
              <w:t>Other</w:t>
            </w:r>
          </w:p>
        </w:tc>
        <w:tc>
          <w:tcPr>
            <w:tcW w:w="0" w:type="auto"/>
            <w:gridSpan w:val="3"/>
            <w:shd w:val="clear" w:color="auto" w:fill="FFFFFF"/>
            <w:tcMar>
              <w:top w:w="30" w:type="dxa"/>
              <w:left w:w="20" w:type="dxa"/>
              <w:bottom w:w="30" w:type="dxa"/>
              <w:right w:w="20" w:type="dxa"/>
            </w:tcMar>
            <w:hideMark/>
          </w:tcPr>
          <w:p w14:paraId="480ABF9F" w14:textId="77777777" w:rsidR="00000000" w:rsidRDefault="00E614A4">
            <w:pPr>
              <w:jc w:val="center"/>
              <w:rPr>
                <w:rFonts w:eastAsia="Times New Roman"/>
              </w:rPr>
            </w:pPr>
            <w:r>
              <w:rPr>
                <w:rFonts w:eastAsia="Times New Roman"/>
                <w:color w:val="000000"/>
                <w:sz w:val="18"/>
                <w:szCs w:val="18"/>
              </w:rPr>
              <w:t>0.3</w:t>
            </w:r>
          </w:p>
        </w:tc>
      </w:tr>
    </w:tbl>
    <w:p w14:paraId="69FF30F6" w14:textId="77777777" w:rsidR="00000000" w:rsidRDefault="00E614A4">
      <w:pPr>
        <w:jc w:val="center"/>
        <w:divId w:val="928588029"/>
        <w:rPr>
          <w:rFonts w:eastAsia="Times New Roman"/>
        </w:rPr>
      </w:pPr>
      <w:r>
        <w:rPr>
          <w:rFonts w:eastAsia="Times New Roman"/>
          <w:color w:val="000000"/>
          <w:sz w:val="20"/>
          <w:szCs w:val="20"/>
        </w:rPr>
        <w:t>90</w:t>
      </w:r>
    </w:p>
    <w:p w14:paraId="7E062BD9" w14:textId="77777777" w:rsidR="00000000" w:rsidRDefault="00E614A4">
      <w:pPr>
        <w:rPr>
          <w:rFonts w:eastAsia="Times New Roman"/>
        </w:rPr>
      </w:pPr>
      <w:r>
        <w:rPr>
          <w:rFonts w:eastAsia="Times New Roman"/>
        </w:rPr>
        <w:pict w14:anchorId="77A3CE60">
          <v:rect id="_x0000_i1118" style="width:0;height:1.5pt" o:hralign="center" o:hrstd="t" o:hr="t" fillcolor="#a0a0a0" stroked="f"/>
        </w:pict>
      </w:r>
    </w:p>
    <w:p w14:paraId="4DCD25E8" w14:textId="77777777" w:rsidR="00000000" w:rsidRDefault="00E614A4">
      <w:pPr>
        <w:divId w:val="214639244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2341BB5" w14:textId="77777777" w:rsidR="00000000" w:rsidRDefault="00E614A4">
      <w:pPr>
        <w:divId w:val="813184925"/>
        <w:rPr>
          <w:rFonts w:eastAsia="Times New Roman"/>
        </w:rPr>
      </w:pPr>
    </w:p>
    <w:p w14:paraId="3417D435" w14:textId="77777777" w:rsidR="00000000" w:rsidRDefault="00E614A4">
      <w:pPr>
        <w:divId w:val="1639072392"/>
        <w:rPr>
          <w:rFonts w:eastAsia="Times New Roman"/>
        </w:rPr>
      </w:pPr>
      <w:r>
        <w:rPr>
          <w:rFonts w:eastAsia="Times New Roman"/>
          <w:color w:val="000000"/>
          <w:sz w:val="20"/>
          <w:szCs w:val="20"/>
        </w:rPr>
        <w:t>The estimated future amortization of intangible assets is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069"/>
        <w:gridCol w:w="36"/>
        <w:gridCol w:w="111"/>
        <w:gridCol w:w="999"/>
        <w:gridCol w:w="36"/>
      </w:tblGrid>
      <w:tr w:rsidR="00000000" w14:paraId="0D483CF6" w14:textId="77777777">
        <w:trPr>
          <w:divId w:val="451095151"/>
        </w:trPr>
        <w:tc>
          <w:tcPr>
            <w:tcW w:w="50" w:type="pct"/>
            <w:vAlign w:val="center"/>
            <w:hideMark/>
          </w:tcPr>
          <w:p w14:paraId="1134CCD9" w14:textId="77777777" w:rsidR="00000000" w:rsidRDefault="00E614A4">
            <w:pPr>
              <w:rPr>
                <w:rFonts w:eastAsia="Times New Roman"/>
              </w:rPr>
            </w:pPr>
          </w:p>
        </w:tc>
        <w:tc>
          <w:tcPr>
            <w:tcW w:w="4271" w:type="pct"/>
            <w:vAlign w:val="center"/>
            <w:hideMark/>
          </w:tcPr>
          <w:p w14:paraId="31A36146" w14:textId="77777777" w:rsidR="00000000" w:rsidRDefault="00E614A4">
            <w:pPr>
              <w:rPr>
                <w:rFonts w:eastAsia="Times New Roman"/>
                <w:sz w:val="20"/>
                <w:szCs w:val="20"/>
              </w:rPr>
            </w:pPr>
          </w:p>
        </w:tc>
        <w:tc>
          <w:tcPr>
            <w:tcW w:w="5" w:type="pct"/>
            <w:vAlign w:val="center"/>
            <w:hideMark/>
          </w:tcPr>
          <w:p w14:paraId="63D775FF" w14:textId="77777777" w:rsidR="00000000" w:rsidRDefault="00E614A4">
            <w:pPr>
              <w:rPr>
                <w:rFonts w:eastAsia="Times New Roman"/>
                <w:sz w:val="20"/>
                <w:szCs w:val="20"/>
              </w:rPr>
            </w:pPr>
          </w:p>
        </w:tc>
        <w:tc>
          <w:tcPr>
            <w:tcW w:w="50" w:type="pct"/>
            <w:vAlign w:val="center"/>
            <w:hideMark/>
          </w:tcPr>
          <w:p w14:paraId="5BD6A0FC" w14:textId="77777777" w:rsidR="00000000" w:rsidRDefault="00E614A4">
            <w:pPr>
              <w:rPr>
                <w:rFonts w:eastAsia="Times New Roman"/>
                <w:sz w:val="20"/>
                <w:szCs w:val="20"/>
              </w:rPr>
            </w:pPr>
          </w:p>
        </w:tc>
        <w:tc>
          <w:tcPr>
            <w:tcW w:w="618" w:type="pct"/>
            <w:vAlign w:val="center"/>
            <w:hideMark/>
          </w:tcPr>
          <w:p w14:paraId="53EACC39" w14:textId="77777777" w:rsidR="00000000" w:rsidRDefault="00E614A4">
            <w:pPr>
              <w:rPr>
                <w:rFonts w:eastAsia="Times New Roman"/>
                <w:sz w:val="20"/>
                <w:szCs w:val="20"/>
              </w:rPr>
            </w:pPr>
          </w:p>
        </w:tc>
        <w:tc>
          <w:tcPr>
            <w:tcW w:w="5" w:type="pct"/>
            <w:vAlign w:val="center"/>
            <w:hideMark/>
          </w:tcPr>
          <w:p w14:paraId="71A97707" w14:textId="77777777" w:rsidR="00000000" w:rsidRDefault="00E614A4">
            <w:pPr>
              <w:rPr>
                <w:rFonts w:eastAsia="Times New Roman"/>
                <w:sz w:val="20"/>
                <w:szCs w:val="20"/>
              </w:rPr>
            </w:pPr>
          </w:p>
        </w:tc>
      </w:tr>
      <w:tr w:rsidR="00000000" w14:paraId="3A6A2706" w14:textId="77777777">
        <w:trPr>
          <w:divId w:val="451095151"/>
        </w:trPr>
        <w:tc>
          <w:tcPr>
            <w:tcW w:w="0" w:type="auto"/>
            <w:gridSpan w:val="3"/>
            <w:tcMar>
              <w:top w:w="30" w:type="dxa"/>
              <w:left w:w="20" w:type="dxa"/>
              <w:bottom w:w="30" w:type="dxa"/>
              <w:right w:w="20" w:type="dxa"/>
            </w:tcMar>
            <w:vAlign w:val="bottom"/>
            <w:hideMark/>
          </w:tcPr>
          <w:p w14:paraId="27574EC2"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B753474" w14:textId="77777777" w:rsidR="00000000" w:rsidRDefault="00E614A4">
            <w:pPr>
              <w:jc w:val="center"/>
              <w:rPr>
                <w:rFonts w:eastAsia="Times New Roman"/>
              </w:rPr>
            </w:pPr>
            <w:r>
              <w:rPr>
                <w:rFonts w:eastAsia="Times New Roman"/>
                <w:b/>
                <w:bCs/>
                <w:i/>
                <w:iCs/>
                <w:color w:val="000000"/>
                <w:sz w:val="16"/>
                <w:szCs w:val="16"/>
              </w:rPr>
              <w:t>(In thousands)</w:t>
            </w:r>
          </w:p>
        </w:tc>
      </w:tr>
      <w:tr w:rsidR="00000000" w14:paraId="6E3E7594" w14:textId="77777777">
        <w:trPr>
          <w:divId w:val="451095151"/>
        </w:trPr>
        <w:tc>
          <w:tcPr>
            <w:tcW w:w="0" w:type="auto"/>
            <w:gridSpan w:val="3"/>
            <w:shd w:val="clear" w:color="auto" w:fill="CCEEFF"/>
            <w:tcMar>
              <w:top w:w="30" w:type="dxa"/>
              <w:left w:w="20" w:type="dxa"/>
              <w:bottom w:w="30" w:type="dxa"/>
              <w:right w:w="20" w:type="dxa"/>
            </w:tcMar>
            <w:hideMark/>
          </w:tcPr>
          <w:p w14:paraId="1567E5B4" w14:textId="77777777" w:rsidR="00000000" w:rsidRDefault="00E614A4">
            <w:pPr>
              <w:rPr>
                <w:rFonts w:eastAsia="Times New Roman"/>
              </w:rPr>
            </w:pPr>
            <w:r>
              <w:rPr>
                <w:rFonts w:eastAsia="Times New Roman"/>
                <w:color w:val="000000"/>
                <w:sz w:val="18"/>
                <w:szCs w:val="18"/>
              </w:rPr>
              <w:t>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E3D9A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226690" w14:textId="77777777" w:rsidR="00000000" w:rsidRDefault="00E614A4">
            <w:pPr>
              <w:jc w:val="right"/>
              <w:rPr>
                <w:rFonts w:eastAsia="Times New Roman"/>
              </w:rPr>
            </w:pPr>
            <w:r>
              <w:rPr>
                <w:rFonts w:eastAsia="Times New Roman"/>
                <w:color w:val="000000"/>
                <w:sz w:val="18"/>
                <w:szCs w:val="18"/>
              </w:rPr>
              <w:t>25,038 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C57C4C" w14:textId="77777777" w:rsidR="00000000" w:rsidRDefault="00E614A4">
            <w:pPr>
              <w:jc w:val="right"/>
              <w:rPr>
                <w:rFonts w:eastAsia="Times New Roman"/>
              </w:rPr>
            </w:pPr>
          </w:p>
        </w:tc>
      </w:tr>
      <w:tr w:rsidR="00000000" w14:paraId="0EF458B0" w14:textId="77777777">
        <w:trPr>
          <w:divId w:val="451095151"/>
        </w:trPr>
        <w:tc>
          <w:tcPr>
            <w:tcW w:w="0" w:type="auto"/>
            <w:gridSpan w:val="3"/>
            <w:shd w:val="clear" w:color="auto" w:fill="FFFFFF"/>
            <w:tcMar>
              <w:top w:w="30" w:type="dxa"/>
              <w:left w:w="20" w:type="dxa"/>
              <w:bottom w:w="30" w:type="dxa"/>
              <w:right w:w="20" w:type="dxa"/>
            </w:tcMar>
            <w:hideMark/>
          </w:tcPr>
          <w:p w14:paraId="6D31A646" w14:textId="77777777" w:rsidR="00000000" w:rsidRDefault="00E614A4">
            <w:pPr>
              <w:rPr>
                <w:rFonts w:eastAsia="Times New Roman"/>
              </w:rPr>
            </w:pPr>
            <w:r>
              <w:rPr>
                <w:rFonts w:eastAsia="Times New Roman"/>
                <w:color w:val="000000"/>
                <w:sz w:val="18"/>
                <w:szCs w:val="18"/>
              </w:rPr>
              <w:t>2022</w:t>
            </w:r>
          </w:p>
        </w:tc>
        <w:tc>
          <w:tcPr>
            <w:tcW w:w="0" w:type="auto"/>
            <w:gridSpan w:val="2"/>
            <w:shd w:val="clear" w:color="auto" w:fill="FFFFFF"/>
            <w:tcMar>
              <w:top w:w="30" w:type="dxa"/>
              <w:left w:w="20" w:type="dxa"/>
              <w:bottom w:w="30" w:type="dxa"/>
              <w:right w:w="0" w:type="dxa"/>
            </w:tcMar>
            <w:vAlign w:val="bottom"/>
            <w:hideMark/>
          </w:tcPr>
          <w:p w14:paraId="24C4C0D8" w14:textId="77777777" w:rsidR="00000000" w:rsidRDefault="00E614A4">
            <w:pPr>
              <w:jc w:val="right"/>
              <w:rPr>
                <w:rFonts w:eastAsia="Times New Roman"/>
              </w:rPr>
            </w:pPr>
            <w:r>
              <w:rPr>
                <w:rFonts w:eastAsia="Times New Roman"/>
                <w:color w:val="000000"/>
                <w:sz w:val="18"/>
                <w:szCs w:val="18"/>
              </w:rPr>
              <w:t>24,567 </w:t>
            </w:r>
          </w:p>
        </w:tc>
        <w:tc>
          <w:tcPr>
            <w:tcW w:w="0" w:type="auto"/>
            <w:shd w:val="clear" w:color="auto" w:fill="FFFFFF"/>
            <w:tcMar>
              <w:top w:w="30" w:type="dxa"/>
              <w:left w:w="0" w:type="dxa"/>
              <w:bottom w:w="30" w:type="dxa"/>
              <w:right w:w="20" w:type="dxa"/>
            </w:tcMar>
            <w:vAlign w:val="bottom"/>
            <w:hideMark/>
          </w:tcPr>
          <w:p w14:paraId="2B26EA39" w14:textId="77777777" w:rsidR="00000000" w:rsidRDefault="00E614A4">
            <w:pPr>
              <w:jc w:val="right"/>
              <w:rPr>
                <w:rFonts w:eastAsia="Times New Roman"/>
              </w:rPr>
            </w:pPr>
          </w:p>
        </w:tc>
      </w:tr>
      <w:tr w:rsidR="00000000" w14:paraId="1862B7BC" w14:textId="77777777">
        <w:trPr>
          <w:divId w:val="451095151"/>
        </w:trPr>
        <w:tc>
          <w:tcPr>
            <w:tcW w:w="0" w:type="auto"/>
            <w:gridSpan w:val="3"/>
            <w:shd w:val="clear" w:color="auto" w:fill="CCEEFF"/>
            <w:tcMar>
              <w:top w:w="30" w:type="dxa"/>
              <w:left w:w="20" w:type="dxa"/>
              <w:bottom w:w="30" w:type="dxa"/>
              <w:right w:w="20" w:type="dxa"/>
            </w:tcMar>
            <w:hideMark/>
          </w:tcPr>
          <w:p w14:paraId="4EFB1275" w14:textId="77777777" w:rsidR="00000000" w:rsidRDefault="00E614A4">
            <w:pPr>
              <w:rPr>
                <w:rFonts w:eastAsia="Times New Roman"/>
              </w:rPr>
            </w:pPr>
            <w:r>
              <w:rPr>
                <w:rFonts w:eastAsia="Times New Roman"/>
                <w:color w:val="000000"/>
                <w:sz w:val="18"/>
                <w:szCs w:val="18"/>
              </w:rPr>
              <w:t>2023</w:t>
            </w:r>
          </w:p>
        </w:tc>
        <w:tc>
          <w:tcPr>
            <w:tcW w:w="0" w:type="auto"/>
            <w:gridSpan w:val="2"/>
            <w:shd w:val="clear" w:color="auto" w:fill="CCEEFF"/>
            <w:tcMar>
              <w:top w:w="30" w:type="dxa"/>
              <w:left w:w="20" w:type="dxa"/>
              <w:bottom w:w="30" w:type="dxa"/>
              <w:right w:w="0" w:type="dxa"/>
            </w:tcMar>
            <w:vAlign w:val="bottom"/>
            <w:hideMark/>
          </w:tcPr>
          <w:p w14:paraId="10FFE707" w14:textId="77777777" w:rsidR="00000000" w:rsidRDefault="00E614A4">
            <w:pPr>
              <w:jc w:val="right"/>
              <w:rPr>
                <w:rFonts w:eastAsia="Times New Roman"/>
              </w:rPr>
            </w:pPr>
            <w:r>
              <w:rPr>
                <w:rFonts w:eastAsia="Times New Roman"/>
                <w:color w:val="000000"/>
                <w:sz w:val="18"/>
                <w:szCs w:val="18"/>
              </w:rPr>
              <w:t>2,445 </w:t>
            </w:r>
          </w:p>
        </w:tc>
        <w:tc>
          <w:tcPr>
            <w:tcW w:w="0" w:type="auto"/>
            <w:shd w:val="clear" w:color="auto" w:fill="CCEEFF"/>
            <w:tcMar>
              <w:top w:w="30" w:type="dxa"/>
              <w:left w:w="0" w:type="dxa"/>
              <w:bottom w:w="30" w:type="dxa"/>
              <w:right w:w="20" w:type="dxa"/>
            </w:tcMar>
            <w:vAlign w:val="bottom"/>
            <w:hideMark/>
          </w:tcPr>
          <w:p w14:paraId="444EA6D3" w14:textId="77777777" w:rsidR="00000000" w:rsidRDefault="00E614A4">
            <w:pPr>
              <w:jc w:val="right"/>
              <w:rPr>
                <w:rFonts w:eastAsia="Times New Roman"/>
              </w:rPr>
            </w:pPr>
          </w:p>
        </w:tc>
      </w:tr>
      <w:tr w:rsidR="00000000" w14:paraId="0BCF51E0" w14:textId="77777777">
        <w:trPr>
          <w:divId w:val="451095151"/>
        </w:trPr>
        <w:tc>
          <w:tcPr>
            <w:tcW w:w="0" w:type="auto"/>
            <w:gridSpan w:val="3"/>
            <w:shd w:val="clear" w:color="auto" w:fill="FFFFFF"/>
            <w:tcMar>
              <w:top w:w="30" w:type="dxa"/>
              <w:left w:w="20" w:type="dxa"/>
              <w:bottom w:w="30" w:type="dxa"/>
              <w:right w:w="20" w:type="dxa"/>
            </w:tcMar>
            <w:hideMark/>
          </w:tcPr>
          <w:p w14:paraId="1E2F5AED" w14:textId="77777777" w:rsidR="00000000" w:rsidRDefault="00E614A4">
            <w:pPr>
              <w:rPr>
                <w:rFonts w:eastAsia="Times New Roman"/>
              </w:rPr>
            </w:pPr>
            <w:r>
              <w:rPr>
                <w:rFonts w:eastAsia="Times New Roman"/>
                <w:color w:val="000000"/>
                <w:sz w:val="18"/>
                <w:szCs w:val="18"/>
              </w:rPr>
              <w:t>2024</w:t>
            </w:r>
          </w:p>
        </w:tc>
        <w:tc>
          <w:tcPr>
            <w:tcW w:w="0" w:type="auto"/>
            <w:gridSpan w:val="2"/>
            <w:shd w:val="clear" w:color="auto" w:fill="FFFFFF"/>
            <w:tcMar>
              <w:top w:w="30" w:type="dxa"/>
              <w:left w:w="20" w:type="dxa"/>
              <w:bottom w:w="30" w:type="dxa"/>
              <w:right w:w="0" w:type="dxa"/>
            </w:tcMar>
            <w:vAlign w:val="bottom"/>
            <w:hideMark/>
          </w:tcPr>
          <w:p w14:paraId="19BFEF58" w14:textId="77777777" w:rsidR="00000000" w:rsidRDefault="00E614A4">
            <w:pPr>
              <w:jc w:val="right"/>
              <w:rPr>
                <w:rFonts w:eastAsia="Times New Roman"/>
              </w:rPr>
            </w:pPr>
            <w:r>
              <w:rPr>
                <w:rFonts w:eastAsia="Times New Roman"/>
                <w:color w:val="000000"/>
                <w:sz w:val="18"/>
                <w:szCs w:val="18"/>
              </w:rPr>
              <w:t>290 </w:t>
            </w:r>
          </w:p>
        </w:tc>
        <w:tc>
          <w:tcPr>
            <w:tcW w:w="0" w:type="auto"/>
            <w:shd w:val="clear" w:color="auto" w:fill="FFFFFF"/>
            <w:tcMar>
              <w:top w:w="30" w:type="dxa"/>
              <w:left w:w="0" w:type="dxa"/>
              <w:bottom w:w="30" w:type="dxa"/>
              <w:right w:w="20" w:type="dxa"/>
            </w:tcMar>
            <w:vAlign w:val="bottom"/>
            <w:hideMark/>
          </w:tcPr>
          <w:p w14:paraId="734DD41D" w14:textId="77777777" w:rsidR="00000000" w:rsidRDefault="00E614A4">
            <w:pPr>
              <w:jc w:val="right"/>
              <w:rPr>
                <w:rFonts w:eastAsia="Times New Roman"/>
              </w:rPr>
            </w:pPr>
          </w:p>
        </w:tc>
      </w:tr>
      <w:tr w:rsidR="00000000" w14:paraId="5BC819AC" w14:textId="77777777">
        <w:trPr>
          <w:divId w:val="451095151"/>
        </w:trPr>
        <w:tc>
          <w:tcPr>
            <w:tcW w:w="0" w:type="auto"/>
            <w:gridSpan w:val="3"/>
            <w:vAlign w:val="center"/>
            <w:hideMark/>
          </w:tcPr>
          <w:p w14:paraId="2B84C33C" w14:textId="77777777" w:rsidR="00000000" w:rsidRDefault="00E614A4">
            <w:pPr>
              <w:jc w:val="right"/>
              <w:rPr>
                <w:rFonts w:eastAsia="Times New Roman"/>
                <w:sz w:val="20"/>
                <w:szCs w:val="20"/>
              </w:rPr>
            </w:pPr>
          </w:p>
        </w:tc>
        <w:tc>
          <w:tcPr>
            <w:tcW w:w="0" w:type="auto"/>
            <w:gridSpan w:val="3"/>
            <w:vAlign w:val="center"/>
            <w:hideMark/>
          </w:tcPr>
          <w:p w14:paraId="1F42ABDE" w14:textId="77777777" w:rsidR="00000000" w:rsidRDefault="00E614A4">
            <w:pPr>
              <w:rPr>
                <w:rFonts w:eastAsia="Times New Roman"/>
                <w:sz w:val="20"/>
                <w:szCs w:val="20"/>
              </w:rPr>
            </w:pPr>
          </w:p>
        </w:tc>
      </w:tr>
      <w:tr w:rsidR="00000000" w14:paraId="3BE9C086" w14:textId="77777777">
        <w:trPr>
          <w:divId w:val="451095151"/>
        </w:trPr>
        <w:tc>
          <w:tcPr>
            <w:tcW w:w="0" w:type="auto"/>
            <w:gridSpan w:val="3"/>
            <w:shd w:val="clear" w:color="auto" w:fill="CCEEFF"/>
            <w:tcMar>
              <w:top w:w="30" w:type="dxa"/>
              <w:left w:w="20" w:type="dxa"/>
              <w:bottom w:w="30" w:type="dxa"/>
              <w:right w:w="20" w:type="dxa"/>
            </w:tcMar>
            <w:hideMark/>
          </w:tcPr>
          <w:p w14:paraId="268DB3E7" w14:textId="77777777" w:rsidR="00000000" w:rsidRDefault="00E614A4">
            <w:pPr>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3B654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A9561E" w14:textId="77777777" w:rsidR="00000000" w:rsidRDefault="00E614A4">
            <w:pPr>
              <w:jc w:val="right"/>
              <w:rPr>
                <w:rFonts w:eastAsia="Times New Roman"/>
              </w:rPr>
            </w:pPr>
            <w:r>
              <w:rPr>
                <w:rFonts w:eastAsia="Times New Roman"/>
                <w:color w:val="000000"/>
                <w:sz w:val="18"/>
                <w:szCs w:val="18"/>
              </w:rPr>
              <w:t>52,340 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59AA5E" w14:textId="77777777" w:rsidR="00000000" w:rsidRDefault="00E614A4">
            <w:pPr>
              <w:jc w:val="right"/>
              <w:rPr>
                <w:rFonts w:eastAsia="Times New Roman"/>
              </w:rPr>
            </w:pPr>
          </w:p>
        </w:tc>
      </w:tr>
    </w:tbl>
    <w:p w14:paraId="118BAF7F" w14:textId="77777777" w:rsidR="00000000" w:rsidRDefault="00E614A4">
      <w:pPr>
        <w:ind w:hanging="360"/>
        <w:jc w:val="both"/>
        <w:divId w:val="1873347198"/>
        <w:rPr>
          <w:rFonts w:eastAsia="Times New Roman"/>
        </w:rPr>
      </w:pPr>
      <w:r>
        <w:rPr>
          <w:rFonts w:eastAsia="Times New Roman"/>
          <w:b/>
          <w:bCs/>
          <w:color w:val="000000"/>
          <w:sz w:val="20"/>
          <w:szCs w:val="20"/>
        </w:rPr>
        <w:t>10.Accrued Expenses</w:t>
      </w:r>
    </w:p>
    <w:tbl>
      <w:tblPr>
        <w:tblW w:w="5000" w:type="pct"/>
        <w:tblCellMar>
          <w:top w:w="15" w:type="dxa"/>
          <w:left w:w="15" w:type="dxa"/>
          <w:bottom w:w="15" w:type="dxa"/>
          <w:right w:w="15" w:type="dxa"/>
        </w:tblCellMar>
        <w:tblLook w:val="04A0" w:firstRow="1" w:lastRow="0" w:firstColumn="1" w:lastColumn="0" w:noHBand="0" w:noVBand="1"/>
      </w:tblPr>
      <w:tblGrid>
        <w:gridCol w:w="39"/>
        <w:gridCol w:w="5799"/>
        <w:gridCol w:w="38"/>
        <w:gridCol w:w="36"/>
        <w:gridCol w:w="36"/>
        <w:gridCol w:w="36"/>
        <w:gridCol w:w="110"/>
        <w:gridCol w:w="961"/>
        <w:gridCol w:w="36"/>
        <w:gridCol w:w="36"/>
        <w:gridCol w:w="36"/>
        <w:gridCol w:w="36"/>
        <w:gridCol w:w="110"/>
        <w:gridCol w:w="961"/>
        <w:gridCol w:w="36"/>
      </w:tblGrid>
      <w:tr w:rsidR="00000000" w14:paraId="44D5D105" w14:textId="77777777">
        <w:trPr>
          <w:divId w:val="1023094217"/>
        </w:trPr>
        <w:tc>
          <w:tcPr>
            <w:tcW w:w="50" w:type="pct"/>
            <w:vAlign w:val="center"/>
            <w:hideMark/>
          </w:tcPr>
          <w:p w14:paraId="36D8544F" w14:textId="77777777" w:rsidR="00000000" w:rsidRDefault="00E614A4">
            <w:pPr>
              <w:ind w:hanging="360"/>
              <w:jc w:val="both"/>
              <w:rPr>
                <w:rFonts w:eastAsia="Times New Roman"/>
              </w:rPr>
            </w:pPr>
          </w:p>
        </w:tc>
        <w:tc>
          <w:tcPr>
            <w:tcW w:w="3542" w:type="pct"/>
            <w:vAlign w:val="center"/>
            <w:hideMark/>
          </w:tcPr>
          <w:p w14:paraId="242724E1" w14:textId="77777777" w:rsidR="00000000" w:rsidRDefault="00E614A4">
            <w:pPr>
              <w:rPr>
                <w:rFonts w:eastAsia="Times New Roman"/>
                <w:sz w:val="20"/>
                <w:szCs w:val="20"/>
              </w:rPr>
            </w:pPr>
          </w:p>
        </w:tc>
        <w:tc>
          <w:tcPr>
            <w:tcW w:w="5" w:type="pct"/>
            <w:vAlign w:val="center"/>
            <w:hideMark/>
          </w:tcPr>
          <w:p w14:paraId="0CBE9ED6" w14:textId="77777777" w:rsidR="00000000" w:rsidRDefault="00E614A4">
            <w:pPr>
              <w:rPr>
                <w:rFonts w:eastAsia="Times New Roman"/>
                <w:sz w:val="20"/>
                <w:szCs w:val="20"/>
              </w:rPr>
            </w:pPr>
          </w:p>
        </w:tc>
        <w:tc>
          <w:tcPr>
            <w:tcW w:w="5" w:type="pct"/>
            <w:vAlign w:val="center"/>
            <w:hideMark/>
          </w:tcPr>
          <w:p w14:paraId="07E03C15" w14:textId="77777777" w:rsidR="00000000" w:rsidRDefault="00E614A4">
            <w:pPr>
              <w:rPr>
                <w:rFonts w:eastAsia="Times New Roman"/>
                <w:sz w:val="20"/>
                <w:szCs w:val="20"/>
              </w:rPr>
            </w:pPr>
          </w:p>
        </w:tc>
        <w:tc>
          <w:tcPr>
            <w:tcW w:w="17" w:type="pct"/>
            <w:vAlign w:val="center"/>
            <w:hideMark/>
          </w:tcPr>
          <w:p w14:paraId="406D97EB" w14:textId="77777777" w:rsidR="00000000" w:rsidRDefault="00E614A4">
            <w:pPr>
              <w:rPr>
                <w:rFonts w:eastAsia="Times New Roman"/>
                <w:sz w:val="20"/>
                <w:szCs w:val="20"/>
              </w:rPr>
            </w:pPr>
          </w:p>
        </w:tc>
        <w:tc>
          <w:tcPr>
            <w:tcW w:w="5" w:type="pct"/>
            <w:vAlign w:val="center"/>
            <w:hideMark/>
          </w:tcPr>
          <w:p w14:paraId="4769E53E" w14:textId="77777777" w:rsidR="00000000" w:rsidRDefault="00E614A4">
            <w:pPr>
              <w:rPr>
                <w:rFonts w:eastAsia="Times New Roman"/>
                <w:sz w:val="20"/>
                <w:szCs w:val="20"/>
              </w:rPr>
            </w:pPr>
          </w:p>
        </w:tc>
        <w:tc>
          <w:tcPr>
            <w:tcW w:w="50" w:type="pct"/>
            <w:vAlign w:val="center"/>
            <w:hideMark/>
          </w:tcPr>
          <w:p w14:paraId="448C5151" w14:textId="77777777" w:rsidR="00000000" w:rsidRDefault="00E614A4">
            <w:pPr>
              <w:rPr>
                <w:rFonts w:eastAsia="Times New Roman"/>
                <w:sz w:val="20"/>
                <w:szCs w:val="20"/>
              </w:rPr>
            </w:pPr>
          </w:p>
        </w:tc>
        <w:tc>
          <w:tcPr>
            <w:tcW w:w="618" w:type="pct"/>
            <w:vAlign w:val="center"/>
            <w:hideMark/>
          </w:tcPr>
          <w:p w14:paraId="56186971" w14:textId="77777777" w:rsidR="00000000" w:rsidRDefault="00E614A4">
            <w:pPr>
              <w:rPr>
                <w:rFonts w:eastAsia="Times New Roman"/>
                <w:sz w:val="20"/>
                <w:szCs w:val="20"/>
              </w:rPr>
            </w:pPr>
          </w:p>
        </w:tc>
        <w:tc>
          <w:tcPr>
            <w:tcW w:w="5" w:type="pct"/>
            <w:vAlign w:val="center"/>
            <w:hideMark/>
          </w:tcPr>
          <w:p w14:paraId="0191E5CD" w14:textId="77777777" w:rsidR="00000000" w:rsidRDefault="00E614A4">
            <w:pPr>
              <w:rPr>
                <w:rFonts w:eastAsia="Times New Roman"/>
                <w:sz w:val="20"/>
                <w:szCs w:val="20"/>
              </w:rPr>
            </w:pPr>
          </w:p>
        </w:tc>
        <w:tc>
          <w:tcPr>
            <w:tcW w:w="5" w:type="pct"/>
            <w:vAlign w:val="center"/>
            <w:hideMark/>
          </w:tcPr>
          <w:p w14:paraId="5529A377" w14:textId="77777777" w:rsidR="00000000" w:rsidRDefault="00E614A4">
            <w:pPr>
              <w:rPr>
                <w:rFonts w:eastAsia="Times New Roman"/>
                <w:sz w:val="20"/>
                <w:szCs w:val="20"/>
              </w:rPr>
            </w:pPr>
          </w:p>
        </w:tc>
        <w:tc>
          <w:tcPr>
            <w:tcW w:w="17" w:type="pct"/>
            <w:vAlign w:val="center"/>
            <w:hideMark/>
          </w:tcPr>
          <w:p w14:paraId="3970FCB3" w14:textId="77777777" w:rsidR="00000000" w:rsidRDefault="00E614A4">
            <w:pPr>
              <w:rPr>
                <w:rFonts w:eastAsia="Times New Roman"/>
                <w:sz w:val="20"/>
                <w:szCs w:val="20"/>
              </w:rPr>
            </w:pPr>
          </w:p>
        </w:tc>
        <w:tc>
          <w:tcPr>
            <w:tcW w:w="5" w:type="pct"/>
            <w:vAlign w:val="center"/>
            <w:hideMark/>
          </w:tcPr>
          <w:p w14:paraId="3E9B369E" w14:textId="77777777" w:rsidR="00000000" w:rsidRDefault="00E614A4">
            <w:pPr>
              <w:rPr>
                <w:rFonts w:eastAsia="Times New Roman"/>
                <w:sz w:val="20"/>
                <w:szCs w:val="20"/>
              </w:rPr>
            </w:pPr>
          </w:p>
        </w:tc>
        <w:tc>
          <w:tcPr>
            <w:tcW w:w="50" w:type="pct"/>
            <w:vAlign w:val="center"/>
            <w:hideMark/>
          </w:tcPr>
          <w:p w14:paraId="638B3233" w14:textId="77777777" w:rsidR="00000000" w:rsidRDefault="00E614A4">
            <w:pPr>
              <w:rPr>
                <w:rFonts w:eastAsia="Times New Roman"/>
                <w:sz w:val="20"/>
                <w:szCs w:val="20"/>
              </w:rPr>
            </w:pPr>
          </w:p>
        </w:tc>
        <w:tc>
          <w:tcPr>
            <w:tcW w:w="618" w:type="pct"/>
            <w:vAlign w:val="center"/>
            <w:hideMark/>
          </w:tcPr>
          <w:p w14:paraId="6E11B075" w14:textId="77777777" w:rsidR="00000000" w:rsidRDefault="00E614A4">
            <w:pPr>
              <w:rPr>
                <w:rFonts w:eastAsia="Times New Roman"/>
                <w:sz w:val="20"/>
                <w:szCs w:val="20"/>
              </w:rPr>
            </w:pPr>
          </w:p>
        </w:tc>
        <w:tc>
          <w:tcPr>
            <w:tcW w:w="5" w:type="pct"/>
            <w:vAlign w:val="center"/>
            <w:hideMark/>
          </w:tcPr>
          <w:p w14:paraId="37AB61DB" w14:textId="77777777" w:rsidR="00000000" w:rsidRDefault="00E614A4">
            <w:pPr>
              <w:rPr>
                <w:rFonts w:eastAsia="Times New Roman"/>
                <w:sz w:val="20"/>
                <w:szCs w:val="20"/>
              </w:rPr>
            </w:pPr>
          </w:p>
        </w:tc>
      </w:tr>
      <w:tr w:rsidR="00000000" w14:paraId="1F3198D9" w14:textId="77777777">
        <w:trPr>
          <w:divId w:val="1023094217"/>
        </w:trPr>
        <w:tc>
          <w:tcPr>
            <w:tcW w:w="0" w:type="auto"/>
            <w:gridSpan w:val="3"/>
            <w:tcMar>
              <w:top w:w="0" w:type="dxa"/>
              <w:left w:w="20" w:type="dxa"/>
              <w:bottom w:w="0" w:type="dxa"/>
              <w:right w:w="20" w:type="dxa"/>
            </w:tcMar>
            <w:vAlign w:val="center"/>
            <w:hideMark/>
          </w:tcPr>
          <w:p w14:paraId="59C08B1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AA44513"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1AFAB655"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43F3F4C2" w14:textId="77777777">
        <w:trPr>
          <w:divId w:val="1023094217"/>
        </w:trPr>
        <w:tc>
          <w:tcPr>
            <w:tcW w:w="0" w:type="auto"/>
            <w:gridSpan w:val="3"/>
            <w:tcMar>
              <w:top w:w="30" w:type="dxa"/>
              <w:left w:w="20" w:type="dxa"/>
              <w:bottom w:w="30" w:type="dxa"/>
              <w:right w:w="20" w:type="dxa"/>
            </w:tcMar>
            <w:vAlign w:val="bottom"/>
            <w:hideMark/>
          </w:tcPr>
          <w:p w14:paraId="4CC178A0" w14:textId="77777777" w:rsidR="00000000" w:rsidRDefault="00E614A4">
            <w:pPr>
              <w:rPr>
                <w:rFonts w:eastAsia="Times New Roman"/>
              </w:rPr>
            </w:pPr>
            <w:r>
              <w:rPr>
                <w:rFonts w:eastAsia="Times New Roman"/>
                <w:i/>
                <w:iCs/>
                <w:color w:val="000000"/>
                <w:sz w:val="16"/>
                <w:szCs w:val="16"/>
              </w:rPr>
              <w:t> (In thousands)</w:t>
            </w:r>
          </w:p>
        </w:tc>
        <w:tc>
          <w:tcPr>
            <w:tcW w:w="0" w:type="auto"/>
            <w:gridSpan w:val="3"/>
            <w:tcMar>
              <w:top w:w="0" w:type="dxa"/>
              <w:left w:w="20" w:type="dxa"/>
              <w:bottom w:w="0" w:type="dxa"/>
              <w:right w:w="20" w:type="dxa"/>
            </w:tcMar>
            <w:vAlign w:val="center"/>
            <w:hideMark/>
          </w:tcPr>
          <w:p w14:paraId="353D6A04"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18F7C5"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8E5EBA7"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8E2A28" w14:textId="77777777" w:rsidR="00000000" w:rsidRDefault="00E614A4">
            <w:pPr>
              <w:jc w:val="center"/>
              <w:rPr>
                <w:rFonts w:eastAsia="Times New Roman"/>
              </w:rPr>
            </w:pPr>
            <w:r>
              <w:rPr>
                <w:rFonts w:eastAsia="Times New Roman"/>
                <w:b/>
                <w:bCs/>
                <w:color w:val="000000"/>
                <w:sz w:val="16"/>
                <w:szCs w:val="16"/>
              </w:rPr>
              <w:t>2019</w:t>
            </w:r>
          </w:p>
        </w:tc>
      </w:tr>
      <w:tr w:rsidR="00000000" w14:paraId="4FF97C34" w14:textId="77777777">
        <w:trPr>
          <w:divId w:val="1023094217"/>
        </w:trPr>
        <w:tc>
          <w:tcPr>
            <w:tcW w:w="0" w:type="auto"/>
            <w:gridSpan w:val="3"/>
            <w:vAlign w:val="center"/>
            <w:hideMark/>
          </w:tcPr>
          <w:p w14:paraId="0101811C" w14:textId="77777777" w:rsidR="00000000" w:rsidRDefault="00E614A4">
            <w:pPr>
              <w:jc w:val="center"/>
              <w:rPr>
                <w:rFonts w:eastAsia="Times New Roman"/>
              </w:rPr>
            </w:pPr>
          </w:p>
        </w:tc>
        <w:tc>
          <w:tcPr>
            <w:tcW w:w="0" w:type="auto"/>
            <w:gridSpan w:val="3"/>
            <w:vAlign w:val="center"/>
            <w:hideMark/>
          </w:tcPr>
          <w:p w14:paraId="31C2BF5A" w14:textId="77777777" w:rsidR="00000000" w:rsidRDefault="00E614A4">
            <w:pPr>
              <w:rPr>
                <w:rFonts w:eastAsia="Times New Roman"/>
                <w:sz w:val="20"/>
                <w:szCs w:val="20"/>
              </w:rPr>
            </w:pPr>
          </w:p>
        </w:tc>
        <w:tc>
          <w:tcPr>
            <w:tcW w:w="0" w:type="auto"/>
            <w:gridSpan w:val="3"/>
            <w:vAlign w:val="center"/>
            <w:hideMark/>
          </w:tcPr>
          <w:p w14:paraId="1733B1AC" w14:textId="77777777" w:rsidR="00000000" w:rsidRDefault="00E614A4">
            <w:pPr>
              <w:rPr>
                <w:rFonts w:eastAsia="Times New Roman"/>
                <w:sz w:val="20"/>
                <w:szCs w:val="20"/>
              </w:rPr>
            </w:pPr>
          </w:p>
        </w:tc>
        <w:tc>
          <w:tcPr>
            <w:tcW w:w="0" w:type="auto"/>
            <w:gridSpan w:val="3"/>
            <w:vAlign w:val="center"/>
            <w:hideMark/>
          </w:tcPr>
          <w:p w14:paraId="3533C786" w14:textId="77777777" w:rsidR="00000000" w:rsidRDefault="00E614A4">
            <w:pPr>
              <w:rPr>
                <w:rFonts w:eastAsia="Times New Roman"/>
                <w:sz w:val="20"/>
                <w:szCs w:val="20"/>
              </w:rPr>
            </w:pPr>
          </w:p>
        </w:tc>
        <w:tc>
          <w:tcPr>
            <w:tcW w:w="0" w:type="auto"/>
            <w:gridSpan w:val="3"/>
            <w:vAlign w:val="center"/>
            <w:hideMark/>
          </w:tcPr>
          <w:p w14:paraId="1E7A2C12" w14:textId="77777777" w:rsidR="00000000" w:rsidRDefault="00E614A4">
            <w:pPr>
              <w:rPr>
                <w:rFonts w:eastAsia="Times New Roman"/>
                <w:sz w:val="20"/>
                <w:szCs w:val="20"/>
              </w:rPr>
            </w:pPr>
          </w:p>
        </w:tc>
      </w:tr>
      <w:tr w:rsidR="00000000" w14:paraId="35740943" w14:textId="77777777">
        <w:trPr>
          <w:divId w:val="1023094217"/>
        </w:trPr>
        <w:tc>
          <w:tcPr>
            <w:tcW w:w="0" w:type="auto"/>
            <w:gridSpan w:val="3"/>
            <w:shd w:val="clear" w:color="auto" w:fill="CCEEFF"/>
            <w:tcMar>
              <w:top w:w="30" w:type="dxa"/>
              <w:left w:w="20" w:type="dxa"/>
              <w:bottom w:w="30" w:type="dxa"/>
              <w:right w:w="20" w:type="dxa"/>
            </w:tcMar>
            <w:hideMark/>
          </w:tcPr>
          <w:p w14:paraId="311EA7ED" w14:textId="77777777" w:rsidR="00000000" w:rsidRDefault="00E614A4">
            <w:pPr>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14:paraId="001D06C5"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99549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4FC27C" w14:textId="77777777" w:rsidR="00000000" w:rsidRDefault="00E614A4">
            <w:pPr>
              <w:jc w:val="right"/>
              <w:rPr>
                <w:rFonts w:eastAsia="Times New Roman"/>
              </w:rPr>
            </w:pPr>
            <w:r>
              <w:rPr>
                <w:rFonts w:eastAsia="Times New Roman"/>
                <w:color w:val="000000"/>
                <w:sz w:val="18"/>
                <w:szCs w:val="18"/>
              </w:rPr>
              <w:t>19,375 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E4E0C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0AC1B"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2751E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7E4A23" w14:textId="77777777" w:rsidR="00000000" w:rsidRDefault="00E614A4">
            <w:pPr>
              <w:jc w:val="right"/>
              <w:rPr>
                <w:rFonts w:eastAsia="Times New Roman"/>
              </w:rPr>
            </w:pPr>
            <w:r>
              <w:rPr>
                <w:rFonts w:eastAsia="Times New Roman"/>
                <w:color w:val="000000"/>
                <w:sz w:val="18"/>
                <w:szCs w:val="18"/>
              </w:rPr>
              <w:t>19,593 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EEE92C" w14:textId="77777777" w:rsidR="00000000" w:rsidRDefault="00E614A4">
            <w:pPr>
              <w:jc w:val="right"/>
              <w:rPr>
                <w:rFonts w:eastAsia="Times New Roman"/>
              </w:rPr>
            </w:pPr>
          </w:p>
        </w:tc>
      </w:tr>
      <w:tr w:rsidR="00000000" w14:paraId="489459A0" w14:textId="77777777">
        <w:trPr>
          <w:divId w:val="1023094217"/>
        </w:trPr>
        <w:tc>
          <w:tcPr>
            <w:tcW w:w="0" w:type="auto"/>
            <w:gridSpan w:val="3"/>
            <w:shd w:val="clear" w:color="auto" w:fill="FFFFFF"/>
            <w:tcMar>
              <w:top w:w="30" w:type="dxa"/>
              <w:left w:w="20" w:type="dxa"/>
              <w:bottom w:w="30" w:type="dxa"/>
              <w:right w:w="20" w:type="dxa"/>
            </w:tcMar>
            <w:hideMark/>
          </w:tcPr>
          <w:p w14:paraId="3F9425BC" w14:textId="77777777" w:rsidR="00000000" w:rsidRDefault="00E614A4">
            <w:pPr>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14:paraId="31786155"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3AD105" w14:textId="77777777" w:rsidR="00000000" w:rsidRDefault="00E614A4">
            <w:pPr>
              <w:jc w:val="right"/>
              <w:rPr>
                <w:rFonts w:eastAsia="Times New Roman"/>
              </w:rPr>
            </w:pPr>
            <w:r>
              <w:rPr>
                <w:rFonts w:eastAsia="Times New Roman"/>
                <w:color w:val="000000"/>
                <w:sz w:val="18"/>
                <w:szCs w:val="18"/>
              </w:rPr>
              <w:t>14,653 </w:t>
            </w:r>
          </w:p>
        </w:tc>
        <w:tc>
          <w:tcPr>
            <w:tcW w:w="0" w:type="auto"/>
            <w:shd w:val="clear" w:color="auto" w:fill="FFFFFF"/>
            <w:tcMar>
              <w:top w:w="30" w:type="dxa"/>
              <w:left w:w="0" w:type="dxa"/>
              <w:bottom w:w="30" w:type="dxa"/>
              <w:right w:w="20" w:type="dxa"/>
            </w:tcMar>
            <w:vAlign w:val="bottom"/>
            <w:hideMark/>
          </w:tcPr>
          <w:p w14:paraId="5571902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4BC6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AD96A3" w14:textId="77777777" w:rsidR="00000000" w:rsidRDefault="00E614A4">
            <w:pPr>
              <w:jc w:val="right"/>
              <w:rPr>
                <w:rFonts w:eastAsia="Times New Roman"/>
              </w:rPr>
            </w:pPr>
            <w:r>
              <w:rPr>
                <w:rFonts w:eastAsia="Times New Roman"/>
                <w:color w:val="000000"/>
                <w:sz w:val="18"/>
                <w:szCs w:val="18"/>
              </w:rPr>
              <w:t>15,412 </w:t>
            </w:r>
          </w:p>
        </w:tc>
        <w:tc>
          <w:tcPr>
            <w:tcW w:w="0" w:type="auto"/>
            <w:shd w:val="clear" w:color="auto" w:fill="FFFFFF"/>
            <w:tcMar>
              <w:top w:w="30" w:type="dxa"/>
              <w:left w:w="0" w:type="dxa"/>
              <w:bottom w:w="30" w:type="dxa"/>
              <w:right w:w="20" w:type="dxa"/>
            </w:tcMar>
            <w:vAlign w:val="bottom"/>
            <w:hideMark/>
          </w:tcPr>
          <w:p w14:paraId="0E78BA6B" w14:textId="77777777" w:rsidR="00000000" w:rsidRDefault="00E614A4">
            <w:pPr>
              <w:jc w:val="right"/>
              <w:rPr>
                <w:rFonts w:eastAsia="Times New Roman"/>
              </w:rPr>
            </w:pPr>
          </w:p>
        </w:tc>
      </w:tr>
      <w:tr w:rsidR="00000000" w14:paraId="413761F1" w14:textId="77777777">
        <w:trPr>
          <w:divId w:val="1023094217"/>
        </w:trPr>
        <w:tc>
          <w:tcPr>
            <w:tcW w:w="0" w:type="auto"/>
            <w:gridSpan w:val="3"/>
            <w:vAlign w:val="center"/>
            <w:hideMark/>
          </w:tcPr>
          <w:p w14:paraId="7E3F1A89" w14:textId="77777777" w:rsidR="00000000" w:rsidRDefault="00E614A4">
            <w:pPr>
              <w:jc w:val="right"/>
              <w:rPr>
                <w:rFonts w:eastAsia="Times New Roman"/>
                <w:sz w:val="20"/>
                <w:szCs w:val="20"/>
              </w:rPr>
            </w:pPr>
          </w:p>
        </w:tc>
        <w:tc>
          <w:tcPr>
            <w:tcW w:w="0" w:type="auto"/>
            <w:gridSpan w:val="3"/>
            <w:vAlign w:val="center"/>
            <w:hideMark/>
          </w:tcPr>
          <w:p w14:paraId="55EA0656" w14:textId="77777777" w:rsidR="00000000" w:rsidRDefault="00E614A4">
            <w:pPr>
              <w:rPr>
                <w:rFonts w:eastAsia="Times New Roman"/>
                <w:sz w:val="20"/>
                <w:szCs w:val="20"/>
              </w:rPr>
            </w:pPr>
          </w:p>
        </w:tc>
        <w:tc>
          <w:tcPr>
            <w:tcW w:w="0" w:type="auto"/>
            <w:gridSpan w:val="3"/>
            <w:vAlign w:val="center"/>
            <w:hideMark/>
          </w:tcPr>
          <w:p w14:paraId="0E01E1CB" w14:textId="77777777" w:rsidR="00000000" w:rsidRDefault="00E614A4">
            <w:pPr>
              <w:rPr>
                <w:rFonts w:eastAsia="Times New Roman"/>
                <w:sz w:val="20"/>
                <w:szCs w:val="20"/>
              </w:rPr>
            </w:pPr>
          </w:p>
        </w:tc>
        <w:tc>
          <w:tcPr>
            <w:tcW w:w="0" w:type="auto"/>
            <w:gridSpan w:val="3"/>
            <w:vAlign w:val="center"/>
            <w:hideMark/>
          </w:tcPr>
          <w:p w14:paraId="793FE656" w14:textId="77777777" w:rsidR="00000000" w:rsidRDefault="00E614A4">
            <w:pPr>
              <w:rPr>
                <w:rFonts w:eastAsia="Times New Roman"/>
                <w:sz w:val="20"/>
                <w:szCs w:val="20"/>
              </w:rPr>
            </w:pPr>
          </w:p>
        </w:tc>
        <w:tc>
          <w:tcPr>
            <w:tcW w:w="0" w:type="auto"/>
            <w:gridSpan w:val="3"/>
            <w:vAlign w:val="center"/>
            <w:hideMark/>
          </w:tcPr>
          <w:p w14:paraId="237456EC" w14:textId="77777777" w:rsidR="00000000" w:rsidRDefault="00E614A4">
            <w:pPr>
              <w:rPr>
                <w:rFonts w:eastAsia="Times New Roman"/>
                <w:sz w:val="20"/>
                <w:szCs w:val="20"/>
              </w:rPr>
            </w:pPr>
          </w:p>
        </w:tc>
      </w:tr>
      <w:tr w:rsidR="00000000" w14:paraId="5BE74B22" w14:textId="77777777">
        <w:trPr>
          <w:divId w:val="1023094217"/>
        </w:trPr>
        <w:tc>
          <w:tcPr>
            <w:tcW w:w="0" w:type="auto"/>
            <w:gridSpan w:val="3"/>
            <w:vAlign w:val="center"/>
            <w:hideMark/>
          </w:tcPr>
          <w:p w14:paraId="04B53BF6" w14:textId="77777777" w:rsidR="00000000" w:rsidRDefault="00E614A4">
            <w:pPr>
              <w:rPr>
                <w:rFonts w:eastAsia="Times New Roman"/>
                <w:sz w:val="20"/>
                <w:szCs w:val="20"/>
              </w:rPr>
            </w:pPr>
          </w:p>
        </w:tc>
        <w:tc>
          <w:tcPr>
            <w:tcW w:w="0" w:type="auto"/>
            <w:gridSpan w:val="3"/>
            <w:vAlign w:val="center"/>
            <w:hideMark/>
          </w:tcPr>
          <w:p w14:paraId="37CA04F0" w14:textId="77777777" w:rsidR="00000000" w:rsidRDefault="00E614A4">
            <w:pPr>
              <w:rPr>
                <w:rFonts w:eastAsia="Times New Roman"/>
                <w:sz w:val="20"/>
                <w:szCs w:val="20"/>
              </w:rPr>
            </w:pPr>
          </w:p>
        </w:tc>
        <w:tc>
          <w:tcPr>
            <w:tcW w:w="0" w:type="auto"/>
            <w:gridSpan w:val="3"/>
            <w:vAlign w:val="center"/>
            <w:hideMark/>
          </w:tcPr>
          <w:p w14:paraId="5C2C4A58" w14:textId="77777777" w:rsidR="00000000" w:rsidRDefault="00E614A4">
            <w:pPr>
              <w:rPr>
                <w:rFonts w:eastAsia="Times New Roman"/>
                <w:sz w:val="20"/>
                <w:szCs w:val="20"/>
              </w:rPr>
            </w:pPr>
          </w:p>
        </w:tc>
        <w:tc>
          <w:tcPr>
            <w:tcW w:w="0" w:type="auto"/>
            <w:gridSpan w:val="3"/>
            <w:vAlign w:val="center"/>
            <w:hideMark/>
          </w:tcPr>
          <w:p w14:paraId="2A2D0609" w14:textId="77777777" w:rsidR="00000000" w:rsidRDefault="00E614A4">
            <w:pPr>
              <w:rPr>
                <w:rFonts w:eastAsia="Times New Roman"/>
                <w:sz w:val="20"/>
                <w:szCs w:val="20"/>
              </w:rPr>
            </w:pPr>
          </w:p>
        </w:tc>
        <w:tc>
          <w:tcPr>
            <w:tcW w:w="0" w:type="auto"/>
            <w:gridSpan w:val="3"/>
            <w:vAlign w:val="center"/>
            <w:hideMark/>
          </w:tcPr>
          <w:p w14:paraId="1C4D489C" w14:textId="77777777" w:rsidR="00000000" w:rsidRDefault="00E614A4">
            <w:pPr>
              <w:rPr>
                <w:rFonts w:eastAsia="Times New Roman"/>
                <w:sz w:val="20"/>
                <w:szCs w:val="20"/>
              </w:rPr>
            </w:pPr>
          </w:p>
        </w:tc>
      </w:tr>
      <w:tr w:rsidR="00000000" w14:paraId="61012FE3" w14:textId="77777777">
        <w:trPr>
          <w:divId w:val="1023094217"/>
        </w:trPr>
        <w:tc>
          <w:tcPr>
            <w:tcW w:w="0" w:type="auto"/>
            <w:gridSpan w:val="3"/>
            <w:shd w:val="clear" w:color="auto" w:fill="CCEEFF"/>
            <w:tcMar>
              <w:top w:w="30" w:type="dxa"/>
              <w:left w:w="20" w:type="dxa"/>
              <w:bottom w:w="30" w:type="dxa"/>
              <w:right w:w="20" w:type="dxa"/>
            </w:tcMar>
            <w:hideMark/>
          </w:tcPr>
          <w:p w14:paraId="533A359C" w14:textId="77777777" w:rsidR="00000000" w:rsidRDefault="00E614A4">
            <w:pPr>
              <w:rPr>
                <w:rFonts w:eastAsia="Times New Roman"/>
              </w:rPr>
            </w:pPr>
            <w:r>
              <w:rPr>
                <w:rFonts w:eastAsia="Times New Roman"/>
                <w:color w:val="000000"/>
                <w:sz w:val="18"/>
                <w:szCs w:val="18"/>
              </w:rPr>
              <w:t>Accrued interest on senior secured convertible notes</w:t>
            </w:r>
          </w:p>
        </w:tc>
        <w:tc>
          <w:tcPr>
            <w:tcW w:w="0" w:type="auto"/>
            <w:gridSpan w:val="3"/>
            <w:shd w:val="clear" w:color="auto" w:fill="CCEEFF"/>
            <w:tcMar>
              <w:top w:w="0" w:type="dxa"/>
              <w:left w:w="20" w:type="dxa"/>
              <w:bottom w:w="0" w:type="dxa"/>
              <w:right w:w="20" w:type="dxa"/>
            </w:tcMar>
            <w:vAlign w:val="center"/>
            <w:hideMark/>
          </w:tcPr>
          <w:p w14:paraId="7B278ED7"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9FC0E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6B7F58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2D17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3AE6D9" w14:textId="77777777" w:rsidR="00000000" w:rsidRDefault="00E614A4">
            <w:pPr>
              <w:jc w:val="right"/>
              <w:rPr>
                <w:rFonts w:eastAsia="Times New Roman"/>
              </w:rPr>
            </w:pPr>
            <w:r>
              <w:rPr>
                <w:rFonts w:eastAsia="Times New Roman"/>
                <w:color w:val="000000"/>
                <w:sz w:val="18"/>
                <w:szCs w:val="18"/>
              </w:rPr>
              <w:t>6,120 </w:t>
            </w:r>
          </w:p>
        </w:tc>
        <w:tc>
          <w:tcPr>
            <w:tcW w:w="0" w:type="auto"/>
            <w:shd w:val="clear" w:color="auto" w:fill="CCEEFF"/>
            <w:tcMar>
              <w:top w:w="30" w:type="dxa"/>
              <w:left w:w="0" w:type="dxa"/>
              <w:bottom w:w="30" w:type="dxa"/>
              <w:right w:w="20" w:type="dxa"/>
            </w:tcMar>
            <w:vAlign w:val="bottom"/>
            <w:hideMark/>
          </w:tcPr>
          <w:p w14:paraId="0CB6EF26" w14:textId="77777777" w:rsidR="00000000" w:rsidRDefault="00E614A4">
            <w:pPr>
              <w:jc w:val="right"/>
              <w:rPr>
                <w:rFonts w:eastAsia="Times New Roman"/>
              </w:rPr>
            </w:pPr>
          </w:p>
        </w:tc>
      </w:tr>
      <w:tr w:rsidR="00000000" w14:paraId="7FCA695C" w14:textId="77777777">
        <w:trPr>
          <w:divId w:val="1023094217"/>
        </w:trPr>
        <w:tc>
          <w:tcPr>
            <w:tcW w:w="0" w:type="auto"/>
            <w:gridSpan w:val="3"/>
            <w:shd w:val="clear" w:color="auto" w:fill="FFFFFF"/>
            <w:tcMar>
              <w:top w:w="30" w:type="dxa"/>
              <w:left w:w="20" w:type="dxa"/>
              <w:bottom w:w="30" w:type="dxa"/>
              <w:right w:w="20" w:type="dxa"/>
            </w:tcMar>
            <w:hideMark/>
          </w:tcPr>
          <w:p w14:paraId="05970251" w14:textId="77777777" w:rsidR="00000000" w:rsidRDefault="00E614A4">
            <w:pPr>
              <w:rPr>
                <w:rFonts w:eastAsia="Times New Roman"/>
              </w:rPr>
            </w:pPr>
            <w:r>
              <w:rPr>
                <w:rFonts w:eastAsia="Times New Roman"/>
                <w:color w:val="000000"/>
                <w:sz w:val="18"/>
                <w:szCs w:val="18"/>
              </w:rPr>
              <w:t>Professional fees</w:t>
            </w:r>
          </w:p>
        </w:tc>
        <w:tc>
          <w:tcPr>
            <w:tcW w:w="0" w:type="auto"/>
            <w:gridSpan w:val="3"/>
            <w:shd w:val="clear" w:color="auto" w:fill="FFFFFF"/>
            <w:tcMar>
              <w:top w:w="0" w:type="dxa"/>
              <w:left w:w="20" w:type="dxa"/>
              <w:bottom w:w="0" w:type="dxa"/>
              <w:right w:w="20" w:type="dxa"/>
            </w:tcMar>
            <w:vAlign w:val="center"/>
            <w:hideMark/>
          </w:tcPr>
          <w:p w14:paraId="0D4091A7"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207E4D" w14:textId="77777777" w:rsidR="00000000" w:rsidRDefault="00E614A4">
            <w:pPr>
              <w:jc w:val="right"/>
              <w:rPr>
                <w:rFonts w:eastAsia="Times New Roman"/>
              </w:rPr>
            </w:pPr>
            <w:r>
              <w:rPr>
                <w:rFonts w:eastAsia="Times New Roman"/>
                <w:color w:val="000000"/>
                <w:sz w:val="18"/>
                <w:szCs w:val="18"/>
              </w:rPr>
              <w:t>4,848 </w:t>
            </w:r>
          </w:p>
        </w:tc>
        <w:tc>
          <w:tcPr>
            <w:tcW w:w="0" w:type="auto"/>
            <w:shd w:val="clear" w:color="auto" w:fill="FFFFFF"/>
            <w:tcMar>
              <w:top w:w="30" w:type="dxa"/>
              <w:left w:w="0" w:type="dxa"/>
              <w:bottom w:w="30" w:type="dxa"/>
              <w:right w:w="20" w:type="dxa"/>
            </w:tcMar>
            <w:vAlign w:val="bottom"/>
            <w:hideMark/>
          </w:tcPr>
          <w:p w14:paraId="569A002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4AA2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000171" w14:textId="77777777" w:rsidR="00000000" w:rsidRDefault="00E614A4">
            <w:pPr>
              <w:jc w:val="right"/>
              <w:rPr>
                <w:rFonts w:eastAsia="Times New Roman"/>
              </w:rPr>
            </w:pPr>
            <w:r>
              <w:rPr>
                <w:rFonts w:eastAsia="Times New Roman"/>
                <w:color w:val="000000"/>
                <w:sz w:val="18"/>
                <w:szCs w:val="18"/>
              </w:rPr>
              <w:t>4,118 </w:t>
            </w:r>
          </w:p>
        </w:tc>
        <w:tc>
          <w:tcPr>
            <w:tcW w:w="0" w:type="auto"/>
            <w:shd w:val="clear" w:color="auto" w:fill="FFFFFF"/>
            <w:tcMar>
              <w:top w:w="30" w:type="dxa"/>
              <w:left w:w="0" w:type="dxa"/>
              <w:bottom w:w="30" w:type="dxa"/>
              <w:right w:w="20" w:type="dxa"/>
            </w:tcMar>
            <w:vAlign w:val="bottom"/>
            <w:hideMark/>
          </w:tcPr>
          <w:p w14:paraId="0644284B" w14:textId="77777777" w:rsidR="00000000" w:rsidRDefault="00E614A4">
            <w:pPr>
              <w:jc w:val="right"/>
              <w:rPr>
                <w:rFonts w:eastAsia="Times New Roman"/>
              </w:rPr>
            </w:pPr>
          </w:p>
        </w:tc>
      </w:tr>
      <w:tr w:rsidR="00000000" w14:paraId="43CF1A04" w14:textId="77777777">
        <w:trPr>
          <w:divId w:val="1023094217"/>
        </w:trPr>
        <w:tc>
          <w:tcPr>
            <w:tcW w:w="0" w:type="auto"/>
            <w:gridSpan w:val="3"/>
            <w:vAlign w:val="center"/>
            <w:hideMark/>
          </w:tcPr>
          <w:p w14:paraId="1338DD65" w14:textId="77777777" w:rsidR="00000000" w:rsidRDefault="00E614A4">
            <w:pPr>
              <w:jc w:val="right"/>
              <w:rPr>
                <w:rFonts w:eastAsia="Times New Roman"/>
                <w:sz w:val="20"/>
                <w:szCs w:val="20"/>
              </w:rPr>
            </w:pPr>
          </w:p>
        </w:tc>
        <w:tc>
          <w:tcPr>
            <w:tcW w:w="0" w:type="auto"/>
            <w:gridSpan w:val="3"/>
            <w:vAlign w:val="center"/>
            <w:hideMark/>
          </w:tcPr>
          <w:p w14:paraId="07921F9F" w14:textId="77777777" w:rsidR="00000000" w:rsidRDefault="00E614A4">
            <w:pPr>
              <w:rPr>
                <w:rFonts w:eastAsia="Times New Roman"/>
                <w:sz w:val="20"/>
                <w:szCs w:val="20"/>
              </w:rPr>
            </w:pPr>
          </w:p>
        </w:tc>
        <w:tc>
          <w:tcPr>
            <w:tcW w:w="0" w:type="auto"/>
            <w:gridSpan w:val="3"/>
            <w:vAlign w:val="center"/>
            <w:hideMark/>
          </w:tcPr>
          <w:p w14:paraId="0BD3C585" w14:textId="77777777" w:rsidR="00000000" w:rsidRDefault="00E614A4">
            <w:pPr>
              <w:rPr>
                <w:rFonts w:eastAsia="Times New Roman"/>
                <w:sz w:val="20"/>
                <w:szCs w:val="20"/>
              </w:rPr>
            </w:pPr>
          </w:p>
        </w:tc>
        <w:tc>
          <w:tcPr>
            <w:tcW w:w="0" w:type="auto"/>
            <w:gridSpan w:val="3"/>
            <w:vAlign w:val="center"/>
            <w:hideMark/>
          </w:tcPr>
          <w:p w14:paraId="564D3FFA" w14:textId="77777777" w:rsidR="00000000" w:rsidRDefault="00E614A4">
            <w:pPr>
              <w:rPr>
                <w:rFonts w:eastAsia="Times New Roman"/>
                <w:sz w:val="20"/>
                <w:szCs w:val="20"/>
              </w:rPr>
            </w:pPr>
          </w:p>
        </w:tc>
        <w:tc>
          <w:tcPr>
            <w:tcW w:w="0" w:type="auto"/>
            <w:gridSpan w:val="3"/>
            <w:vAlign w:val="center"/>
            <w:hideMark/>
          </w:tcPr>
          <w:p w14:paraId="6C9C50A7" w14:textId="77777777" w:rsidR="00000000" w:rsidRDefault="00E614A4">
            <w:pPr>
              <w:rPr>
                <w:rFonts w:eastAsia="Times New Roman"/>
                <w:sz w:val="20"/>
                <w:szCs w:val="20"/>
              </w:rPr>
            </w:pPr>
          </w:p>
        </w:tc>
      </w:tr>
      <w:tr w:rsidR="00000000" w14:paraId="0B90A750" w14:textId="77777777">
        <w:trPr>
          <w:divId w:val="1023094217"/>
        </w:trPr>
        <w:tc>
          <w:tcPr>
            <w:tcW w:w="0" w:type="auto"/>
            <w:gridSpan w:val="3"/>
            <w:vAlign w:val="center"/>
            <w:hideMark/>
          </w:tcPr>
          <w:p w14:paraId="7B25F553" w14:textId="77777777" w:rsidR="00000000" w:rsidRDefault="00E614A4">
            <w:pPr>
              <w:rPr>
                <w:rFonts w:eastAsia="Times New Roman"/>
                <w:sz w:val="20"/>
                <w:szCs w:val="20"/>
              </w:rPr>
            </w:pPr>
          </w:p>
        </w:tc>
        <w:tc>
          <w:tcPr>
            <w:tcW w:w="0" w:type="auto"/>
            <w:gridSpan w:val="3"/>
            <w:vAlign w:val="center"/>
            <w:hideMark/>
          </w:tcPr>
          <w:p w14:paraId="7A41643D" w14:textId="77777777" w:rsidR="00000000" w:rsidRDefault="00E614A4">
            <w:pPr>
              <w:rPr>
                <w:rFonts w:eastAsia="Times New Roman"/>
                <w:sz w:val="20"/>
                <w:szCs w:val="20"/>
              </w:rPr>
            </w:pPr>
          </w:p>
        </w:tc>
        <w:tc>
          <w:tcPr>
            <w:tcW w:w="0" w:type="auto"/>
            <w:gridSpan w:val="3"/>
            <w:vAlign w:val="center"/>
            <w:hideMark/>
          </w:tcPr>
          <w:p w14:paraId="39AF785D" w14:textId="77777777" w:rsidR="00000000" w:rsidRDefault="00E614A4">
            <w:pPr>
              <w:rPr>
                <w:rFonts w:eastAsia="Times New Roman"/>
                <w:sz w:val="20"/>
                <w:szCs w:val="20"/>
              </w:rPr>
            </w:pPr>
          </w:p>
        </w:tc>
        <w:tc>
          <w:tcPr>
            <w:tcW w:w="0" w:type="auto"/>
            <w:gridSpan w:val="3"/>
            <w:vAlign w:val="center"/>
            <w:hideMark/>
          </w:tcPr>
          <w:p w14:paraId="1BA95989" w14:textId="77777777" w:rsidR="00000000" w:rsidRDefault="00E614A4">
            <w:pPr>
              <w:rPr>
                <w:rFonts w:eastAsia="Times New Roman"/>
                <w:sz w:val="20"/>
                <w:szCs w:val="20"/>
              </w:rPr>
            </w:pPr>
          </w:p>
        </w:tc>
        <w:tc>
          <w:tcPr>
            <w:tcW w:w="0" w:type="auto"/>
            <w:gridSpan w:val="3"/>
            <w:vAlign w:val="center"/>
            <w:hideMark/>
          </w:tcPr>
          <w:p w14:paraId="4ADC96C4" w14:textId="77777777" w:rsidR="00000000" w:rsidRDefault="00E614A4">
            <w:pPr>
              <w:rPr>
                <w:rFonts w:eastAsia="Times New Roman"/>
                <w:sz w:val="20"/>
                <w:szCs w:val="20"/>
              </w:rPr>
            </w:pPr>
          </w:p>
        </w:tc>
      </w:tr>
      <w:tr w:rsidR="00000000" w14:paraId="475F37E2" w14:textId="77777777">
        <w:trPr>
          <w:divId w:val="1023094217"/>
        </w:trPr>
        <w:tc>
          <w:tcPr>
            <w:tcW w:w="0" w:type="auto"/>
            <w:gridSpan w:val="3"/>
            <w:vAlign w:val="center"/>
            <w:hideMark/>
          </w:tcPr>
          <w:p w14:paraId="476F4DD4" w14:textId="77777777" w:rsidR="00000000" w:rsidRDefault="00E614A4">
            <w:pPr>
              <w:rPr>
                <w:rFonts w:eastAsia="Times New Roman"/>
                <w:sz w:val="20"/>
                <w:szCs w:val="20"/>
              </w:rPr>
            </w:pPr>
          </w:p>
        </w:tc>
        <w:tc>
          <w:tcPr>
            <w:tcW w:w="0" w:type="auto"/>
            <w:gridSpan w:val="3"/>
            <w:vAlign w:val="center"/>
            <w:hideMark/>
          </w:tcPr>
          <w:p w14:paraId="14098679" w14:textId="77777777" w:rsidR="00000000" w:rsidRDefault="00E614A4">
            <w:pPr>
              <w:rPr>
                <w:rFonts w:eastAsia="Times New Roman"/>
                <w:sz w:val="20"/>
                <w:szCs w:val="20"/>
              </w:rPr>
            </w:pPr>
          </w:p>
        </w:tc>
        <w:tc>
          <w:tcPr>
            <w:tcW w:w="0" w:type="auto"/>
            <w:gridSpan w:val="3"/>
            <w:vAlign w:val="center"/>
            <w:hideMark/>
          </w:tcPr>
          <w:p w14:paraId="4C789C3C" w14:textId="77777777" w:rsidR="00000000" w:rsidRDefault="00E614A4">
            <w:pPr>
              <w:rPr>
                <w:rFonts w:eastAsia="Times New Roman"/>
                <w:sz w:val="20"/>
                <w:szCs w:val="20"/>
              </w:rPr>
            </w:pPr>
          </w:p>
        </w:tc>
        <w:tc>
          <w:tcPr>
            <w:tcW w:w="0" w:type="auto"/>
            <w:gridSpan w:val="3"/>
            <w:vAlign w:val="center"/>
            <w:hideMark/>
          </w:tcPr>
          <w:p w14:paraId="4A0E8030" w14:textId="77777777" w:rsidR="00000000" w:rsidRDefault="00E614A4">
            <w:pPr>
              <w:rPr>
                <w:rFonts w:eastAsia="Times New Roman"/>
                <w:sz w:val="20"/>
                <w:szCs w:val="20"/>
              </w:rPr>
            </w:pPr>
          </w:p>
        </w:tc>
        <w:tc>
          <w:tcPr>
            <w:tcW w:w="0" w:type="auto"/>
            <w:gridSpan w:val="3"/>
            <w:vAlign w:val="center"/>
            <w:hideMark/>
          </w:tcPr>
          <w:p w14:paraId="29589BD6" w14:textId="77777777" w:rsidR="00000000" w:rsidRDefault="00E614A4">
            <w:pPr>
              <w:rPr>
                <w:rFonts w:eastAsia="Times New Roman"/>
                <w:sz w:val="20"/>
                <w:szCs w:val="20"/>
              </w:rPr>
            </w:pPr>
          </w:p>
        </w:tc>
      </w:tr>
      <w:tr w:rsidR="00000000" w14:paraId="2965539D" w14:textId="77777777">
        <w:trPr>
          <w:divId w:val="1023094217"/>
        </w:trPr>
        <w:tc>
          <w:tcPr>
            <w:tcW w:w="0" w:type="auto"/>
            <w:gridSpan w:val="3"/>
            <w:shd w:val="clear" w:color="auto" w:fill="CCEEFF"/>
            <w:tcMar>
              <w:top w:w="30" w:type="dxa"/>
              <w:left w:w="20" w:type="dxa"/>
              <w:bottom w:w="30" w:type="dxa"/>
              <w:right w:w="20" w:type="dxa"/>
            </w:tcMar>
            <w:hideMark/>
          </w:tcPr>
          <w:p w14:paraId="2AEFBC75" w14:textId="77777777" w:rsidR="00000000" w:rsidRDefault="00E614A4">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4A1DA8CC"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E18135" w14:textId="77777777" w:rsidR="00000000" w:rsidRDefault="00E614A4">
            <w:pPr>
              <w:jc w:val="right"/>
              <w:rPr>
                <w:rFonts w:eastAsia="Times New Roman"/>
              </w:rPr>
            </w:pPr>
            <w:r>
              <w:rPr>
                <w:rFonts w:eastAsia="Times New Roman"/>
                <w:color w:val="000000"/>
                <w:sz w:val="18"/>
                <w:szCs w:val="18"/>
              </w:rPr>
              <w:t>9,504 </w:t>
            </w:r>
          </w:p>
        </w:tc>
        <w:tc>
          <w:tcPr>
            <w:tcW w:w="0" w:type="auto"/>
            <w:shd w:val="clear" w:color="auto" w:fill="CCEEFF"/>
            <w:tcMar>
              <w:top w:w="30" w:type="dxa"/>
              <w:left w:w="0" w:type="dxa"/>
              <w:bottom w:w="30" w:type="dxa"/>
              <w:right w:w="20" w:type="dxa"/>
            </w:tcMar>
            <w:vAlign w:val="bottom"/>
            <w:hideMark/>
          </w:tcPr>
          <w:p w14:paraId="5C26CC0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F346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9AB1B" w14:textId="77777777" w:rsidR="00000000" w:rsidRDefault="00E614A4">
            <w:pPr>
              <w:jc w:val="right"/>
              <w:rPr>
                <w:rFonts w:eastAsia="Times New Roman"/>
              </w:rPr>
            </w:pPr>
            <w:r>
              <w:rPr>
                <w:rFonts w:eastAsia="Times New Roman"/>
                <w:color w:val="000000"/>
                <w:sz w:val="18"/>
                <w:szCs w:val="18"/>
              </w:rPr>
              <w:t>10,264 </w:t>
            </w:r>
          </w:p>
        </w:tc>
        <w:tc>
          <w:tcPr>
            <w:tcW w:w="0" w:type="auto"/>
            <w:shd w:val="clear" w:color="auto" w:fill="CCEEFF"/>
            <w:tcMar>
              <w:top w:w="30" w:type="dxa"/>
              <w:left w:w="0" w:type="dxa"/>
              <w:bottom w:w="30" w:type="dxa"/>
              <w:right w:w="20" w:type="dxa"/>
            </w:tcMar>
            <w:vAlign w:val="bottom"/>
            <w:hideMark/>
          </w:tcPr>
          <w:p w14:paraId="1F660F4A" w14:textId="77777777" w:rsidR="00000000" w:rsidRDefault="00E614A4">
            <w:pPr>
              <w:jc w:val="right"/>
              <w:rPr>
                <w:rFonts w:eastAsia="Times New Roman"/>
              </w:rPr>
            </w:pPr>
          </w:p>
        </w:tc>
      </w:tr>
      <w:tr w:rsidR="00000000" w14:paraId="746FB41A" w14:textId="77777777">
        <w:trPr>
          <w:divId w:val="1023094217"/>
        </w:trPr>
        <w:tc>
          <w:tcPr>
            <w:tcW w:w="0" w:type="auto"/>
            <w:gridSpan w:val="3"/>
            <w:vAlign w:val="center"/>
            <w:hideMark/>
          </w:tcPr>
          <w:p w14:paraId="2F457DAF" w14:textId="77777777" w:rsidR="00000000" w:rsidRDefault="00E614A4">
            <w:pPr>
              <w:jc w:val="right"/>
              <w:rPr>
                <w:rFonts w:eastAsia="Times New Roman"/>
                <w:sz w:val="20"/>
                <w:szCs w:val="20"/>
              </w:rPr>
            </w:pPr>
          </w:p>
        </w:tc>
        <w:tc>
          <w:tcPr>
            <w:tcW w:w="0" w:type="auto"/>
            <w:gridSpan w:val="3"/>
            <w:vAlign w:val="center"/>
            <w:hideMark/>
          </w:tcPr>
          <w:p w14:paraId="17F37FA3" w14:textId="77777777" w:rsidR="00000000" w:rsidRDefault="00E614A4">
            <w:pPr>
              <w:rPr>
                <w:rFonts w:eastAsia="Times New Roman"/>
                <w:sz w:val="20"/>
                <w:szCs w:val="20"/>
              </w:rPr>
            </w:pPr>
          </w:p>
        </w:tc>
        <w:tc>
          <w:tcPr>
            <w:tcW w:w="0" w:type="auto"/>
            <w:gridSpan w:val="3"/>
            <w:vAlign w:val="center"/>
            <w:hideMark/>
          </w:tcPr>
          <w:p w14:paraId="73745A9E" w14:textId="77777777" w:rsidR="00000000" w:rsidRDefault="00E614A4">
            <w:pPr>
              <w:rPr>
                <w:rFonts w:eastAsia="Times New Roman"/>
                <w:sz w:val="20"/>
                <w:szCs w:val="20"/>
              </w:rPr>
            </w:pPr>
          </w:p>
        </w:tc>
        <w:tc>
          <w:tcPr>
            <w:tcW w:w="0" w:type="auto"/>
            <w:gridSpan w:val="3"/>
            <w:vAlign w:val="center"/>
            <w:hideMark/>
          </w:tcPr>
          <w:p w14:paraId="51C54766" w14:textId="77777777" w:rsidR="00000000" w:rsidRDefault="00E614A4">
            <w:pPr>
              <w:rPr>
                <w:rFonts w:eastAsia="Times New Roman"/>
                <w:sz w:val="20"/>
                <w:szCs w:val="20"/>
              </w:rPr>
            </w:pPr>
          </w:p>
        </w:tc>
        <w:tc>
          <w:tcPr>
            <w:tcW w:w="0" w:type="auto"/>
            <w:gridSpan w:val="3"/>
            <w:vAlign w:val="center"/>
            <w:hideMark/>
          </w:tcPr>
          <w:p w14:paraId="1850F264" w14:textId="77777777" w:rsidR="00000000" w:rsidRDefault="00E614A4">
            <w:pPr>
              <w:rPr>
                <w:rFonts w:eastAsia="Times New Roman"/>
                <w:sz w:val="20"/>
                <w:szCs w:val="20"/>
              </w:rPr>
            </w:pPr>
          </w:p>
        </w:tc>
      </w:tr>
      <w:tr w:rsidR="00000000" w14:paraId="448B8635" w14:textId="77777777">
        <w:trPr>
          <w:divId w:val="1023094217"/>
        </w:trPr>
        <w:tc>
          <w:tcPr>
            <w:tcW w:w="0" w:type="auto"/>
            <w:gridSpan w:val="3"/>
            <w:shd w:val="clear" w:color="auto" w:fill="FFFFFF"/>
            <w:tcMar>
              <w:top w:w="30" w:type="dxa"/>
              <w:left w:w="20" w:type="dxa"/>
              <w:bottom w:w="30" w:type="dxa"/>
              <w:right w:w="20" w:type="dxa"/>
            </w:tcMar>
            <w:hideMark/>
          </w:tcPr>
          <w:p w14:paraId="7C5D381C" w14:textId="77777777" w:rsidR="00000000" w:rsidRDefault="00E614A4">
            <w:pPr>
              <w:rPr>
                <w:rFonts w:eastAsia="Times New Roman"/>
              </w:rPr>
            </w:pPr>
            <w:r>
              <w:rPr>
                <w:rFonts w:eastAsia="Times New Roman"/>
                <w:color w:val="000000"/>
                <w:sz w:val="18"/>
                <w:szCs w:val="18"/>
              </w:rPr>
              <w:t>Total accrued expenses</w:t>
            </w:r>
          </w:p>
        </w:tc>
        <w:tc>
          <w:tcPr>
            <w:tcW w:w="0" w:type="auto"/>
            <w:gridSpan w:val="3"/>
            <w:shd w:val="clear" w:color="auto" w:fill="FFFFFF"/>
            <w:tcMar>
              <w:top w:w="0" w:type="dxa"/>
              <w:left w:w="20" w:type="dxa"/>
              <w:bottom w:w="0" w:type="dxa"/>
              <w:right w:w="20" w:type="dxa"/>
            </w:tcMar>
            <w:vAlign w:val="center"/>
            <w:hideMark/>
          </w:tcPr>
          <w:p w14:paraId="1F3E9551"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F303B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E35629" w14:textId="77777777" w:rsidR="00000000" w:rsidRDefault="00E614A4">
            <w:pPr>
              <w:jc w:val="right"/>
              <w:rPr>
                <w:rFonts w:eastAsia="Times New Roman"/>
              </w:rPr>
            </w:pPr>
            <w:r>
              <w:rPr>
                <w:rFonts w:eastAsia="Times New Roman"/>
                <w:color w:val="000000"/>
                <w:sz w:val="18"/>
                <w:szCs w:val="18"/>
              </w:rPr>
              <w:t>48,380 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6D16F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170B27"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138F9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786513" w14:textId="77777777" w:rsidR="00000000" w:rsidRDefault="00E614A4">
            <w:pPr>
              <w:jc w:val="right"/>
              <w:rPr>
                <w:rFonts w:eastAsia="Times New Roman"/>
              </w:rPr>
            </w:pPr>
            <w:r>
              <w:rPr>
                <w:rFonts w:eastAsia="Times New Roman"/>
                <w:color w:val="000000"/>
                <w:sz w:val="18"/>
                <w:szCs w:val="18"/>
              </w:rPr>
              <w:t>55,507 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CA8636" w14:textId="77777777" w:rsidR="00000000" w:rsidRDefault="00E614A4">
            <w:pPr>
              <w:jc w:val="right"/>
              <w:rPr>
                <w:rFonts w:eastAsia="Times New Roman"/>
              </w:rPr>
            </w:pPr>
          </w:p>
        </w:tc>
      </w:tr>
    </w:tbl>
    <w:p w14:paraId="37A868C2" w14:textId="77777777" w:rsidR="00000000" w:rsidRDefault="00E614A4">
      <w:pPr>
        <w:ind w:hanging="360"/>
        <w:divId w:val="544028170"/>
        <w:rPr>
          <w:rFonts w:eastAsia="Times New Roman"/>
        </w:rPr>
      </w:pPr>
      <w:r>
        <w:rPr>
          <w:rFonts w:eastAsia="Times New Roman"/>
          <w:b/>
          <w:bCs/>
          <w:color w:val="000000"/>
          <w:sz w:val="20"/>
          <w:szCs w:val="20"/>
        </w:rPr>
        <w:t>11.Com</w:t>
      </w:r>
      <w:r>
        <w:rPr>
          <w:rFonts w:eastAsia="Times New Roman"/>
          <w:b/>
          <w:bCs/>
          <w:color w:val="000000"/>
          <w:sz w:val="20"/>
          <w:szCs w:val="20"/>
        </w:rPr>
        <w:t>mitments and Contingencies</w:t>
      </w:r>
    </w:p>
    <w:p w14:paraId="52C7BB95" w14:textId="77777777" w:rsidR="00000000" w:rsidRDefault="00E614A4">
      <w:pPr>
        <w:jc w:val="both"/>
        <w:divId w:val="1113553610"/>
        <w:rPr>
          <w:rFonts w:eastAsia="Times New Roman"/>
        </w:rPr>
      </w:pPr>
      <w:r>
        <w:rPr>
          <w:rFonts w:eastAsia="Times New Roman"/>
          <w:b/>
          <w:bCs/>
          <w:i/>
          <w:iCs/>
          <w:color w:val="000000"/>
          <w:sz w:val="20"/>
          <w:szCs w:val="20"/>
        </w:rPr>
        <w:t>Contingencies</w:t>
      </w:r>
    </w:p>
    <w:p w14:paraId="53742C8D" w14:textId="77777777" w:rsidR="00000000" w:rsidRDefault="00E614A4">
      <w:pPr>
        <w:jc w:val="both"/>
        <w:divId w:val="1193348563"/>
        <w:rPr>
          <w:rFonts w:eastAsia="Times New Roman"/>
        </w:rPr>
      </w:pPr>
      <w:r>
        <w:rPr>
          <w:rFonts w:eastAsia="Times New Roman"/>
          <w:color w:val="000000"/>
          <w:sz w:val="20"/>
          <w:szCs w:val="20"/>
        </w:rPr>
        <w:t>The Company is involved in various legal proceedings from time to time. The Company establishes reserves for specific legal proceedings when management determines that the likelihood of an unfavorable outcome is pro</w:t>
      </w:r>
      <w:r>
        <w:rPr>
          <w:rFonts w:eastAsia="Times New Roman"/>
          <w:color w:val="000000"/>
          <w:sz w:val="20"/>
          <w:szCs w:val="20"/>
        </w:rPr>
        <w:t>bable, and the amount of loss can be reasonably estimated. The Company has also identified certain other legal matters where an unfavorable outcome is reasonably possible and/or for which no estimate of possible losses can be made. In these cases, the Comp</w:t>
      </w:r>
      <w:r>
        <w:rPr>
          <w:rFonts w:eastAsia="Times New Roman"/>
          <w:color w:val="000000"/>
          <w:sz w:val="20"/>
          <w:szCs w:val="20"/>
        </w:rPr>
        <w:t>any does not establish a reserve until it can reasonably estimate the loss. Legal fees are expensed as incurred. The outcomes of legal proceedings are inherently unpredictable, subject to significant uncertainties, and could be material to the Company's op</w:t>
      </w:r>
      <w:r>
        <w:rPr>
          <w:rFonts w:eastAsia="Times New Roman"/>
          <w:color w:val="000000"/>
          <w:sz w:val="20"/>
          <w:szCs w:val="20"/>
        </w:rPr>
        <w:t>erating results and cash flows for a particular period.</w:t>
      </w:r>
    </w:p>
    <w:p w14:paraId="2ADE0CDE" w14:textId="77777777" w:rsidR="00000000" w:rsidRDefault="00E614A4">
      <w:pPr>
        <w:jc w:val="both"/>
        <w:divId w:val="1840804193"/>
        <w:rPr>
          <w:rFonts w:eastAsia="Times New Roman"/>
        </w:rPr>
      </w:pPr>
      <w:r>
        <w:rPr>
          <w:rFonts w:eastAsia="Times New Roman"/>
          <w:b/>
          <w:bCs/>
          <w:color w:val="000000"/>
          <w:sz w:val="20"/>
          <w:szCs w:val="20"/>
        </w:rPr>
        <w:t>Privacy Class Action Litigation</w:t>
      </w:r>
    </w:p>
    <w:p w14:paraId="23A06CDA" w14:textId="77777777" w:rsidR="00000000" w:rsidRDefault="00E614A4">
      <w:pPr>
        <w:jc w:val="both"/>
        <w:divId w:val="953362607"/>
        <w:rPr>
          <w:rFonts w:eastAsia="Times New Roman"/>
        </w:rPr>
      </w:pPr>
      <w:r>
        <w:rPr>
          <w:rFonts w:eastAsia="Times New Roman"/>
          <w:color w:val="000000"/>
          <w:sz w:val="20"/>
          <w:szCs w:val="20"/>
        </w:rPr>
        <w:t>On September 11, 2017, the Company and a wholly-owned subsidiary, Full Circle Studies, Inc. ("Full Circle"), received demand letters on behalf of named plaintiffs and a</w:t>
      </w:r>
      <w:r>
        <w:rPr>
          <w:rFonts w:eastAsia="Times New Roman"/>
          <w:color w:val="000000"/>
          <w:sz w:val="20"/>
          <w:szCs w:val="20"/>
        </w:rPr>
        <w:t xml:space="preserve">ll others similarly situated alleging that the Company and Full Circle collected personal information from users under the age of 13 without verifiable parental consent in violation of Massachusetts law and the federal Children's Online Privacy Protection </w:t>
      </w:r>
      <w:r>
        <w:rPr>
          <w:rFonts w:eastAsia="Times New Roman"/>
          <w:color w:val="000000"/>
          <w:sz w:val="20"/>
          <w:szCs w:val="20"/>
        </w:rPr>
        <w:t>Act. The letters alleged that the Company and Full Circle collected such personal information by embedding advertising software development kits in applications created or developed by The Walt Disney Company. The letters sought monetary damages, attorneys</w:t>
      </w:r>
      <w:r>
        <w:rPr>
          <w:rFonts w:eastAsia="Times New Roman"/>
          <w:color w:val="000000"/>
          <w:sz w:val="20"/>
          <w:szCs w:val="20"/>
        </w:rPr>
        <w:t>' fees and damages under Massachusetts law. On June 4, 2018, the plaintiffs filed amended complaints with the U.S. District Court for the Northern District of California adding the Company and Full Circle as defendants in a purported class action (captione</w:t>
      </w:r>
      <w:r>
        <w:rPr>
          <w:rFonts w:eastAsia="Times New Roman"/>
          <w:color w:val="000000"/>
          <w:sz w:val="20"/>
          <w:szCs w:val="20"/>
        </w:rPr>
        <w:t xml:space="preserve">d </w:t>
      </w:r>
      <w:r>
        <w:rPr>
          <w:rFonts w:eastAsia="Times New Roman"/>
          <w:i/>
          <w:iCs/>
          <w:color w:val="000000"/>
          <w:sz w:val="20"/>
          <w:szCs w:val="20"/>
        </w:rPr>
        <w:t xml:space="preserve">Rushing, et al v. The Walt Disney Company, et al., </w:t>
      </w:r>
      <w:r>
        <w:rPr>
          <w:rFonts w:eastAsia="Times New Roman"/>
          <w:color w:val="000000"/>
          <w:sz w:val="20"/>
          <w:szCs w:val="20"/>
        </w:rPr>
        <w:t>Case No. 3:17-cv-04419-JD) against Disney, Twitter and other defendants, alleging violations of California's constitutional right to privacy and intrusion upon seclusion law, New York's deceptive trade p</w:t>
      </w:r>
      <w:r>
        <w:rPr>
          <w:rFonts w:eastAsia="Times New Roman"/>
          <w:color w:val="000000"/>
          <w:sz w:val="20"/>
          <w:szCs w:val="20"/>
        </w:rPr>
        <w:t>ractices statute, and Massachusetts' deceptive trade practices and right to privacy statutes. The complaints alleged damages in excess of $5.0 million, with any award to be apportioned among the defendants. On February 26, 2020, the Company and Full Circle</w:t>
      </w:r>
      <w:r>
        <w:rPr>
          <w:rFonts w:eastAsia="Times New Roman"/>
          <w:color w:val="000000"/>
          <w:sz w:val="20"/>
          <w:szCs w:val="20"/>
        </w:rPr>
        <w:t xml:space="preserve"> reached an agreement with the plaintiffs to settle the complaints in full, with no admission of liability, in return for injunctive relief and payment of the plaintiffs' attorneys fees, to be covered by the Company's insurance. The settlement received pre</w:t>
      </w:r>
      <w:r>
        <w:rPr>
          <w:rFonts w:eastAsia="Times New Roman"/>
          <w:color w:val="000000"/>
          <w:sz w:val="20"/>
          <w:szCs w:val="20"/>
        </w:rPr>
        <w:t>liminary court approval on September 24, 2020; it remains subject to final court approval.</w:t>
      </w:r>
    </w:p>
    <w:p w14:paraId="5C7CB69E" w14:textId="77777777" w:rsidR="00000000" w:rsidRDefault="00E614A4">
      <w:pPr>
        <w:divId w:val="1479493048"/>
        <w:rPr>
          <w:rFonts w:eastAsia="Times New Roman"/>
        </w:rPr>
      </w:pPr>
      <w:r>
        <w:rPr>
          <w:rFonts w:eastAsia="Times New Roman"/>
          <w:b/>
          <w:bCs/>
          <w:color w:val="000000"/>
          <w:sz w:val="20"/>
          <w:szCs w:val="20"/>
        </w:rPr>
        <w:t xml:space="preserve">Securities Class Action Litigation </w:t>
      </w:r>
    </w:p>
    <w:p w14:paraId="3776B9EB" w14:textId="77777777" w:rsidR="00000000" w:rsidRDefault="00E614A4">
      <w:pPr>
        <w:jc w:val="both"/>
        <w:divId w:val="1160191200"/>
        <w:rPr>
          <w:rFonts w:eastAsia="Times New Roman"/>
        </w:rPr>
      </w:pPr>
      <w:r>
        <w:rPr>
          <w:rFonts w:eastAsia="Times New Roman"/>
          <w:color w:val="000000"/>
          <w:sz w:val="20"/>
          <w:szCs w:val="20"/>
        </w:rPr>
        <w:t>On April 10, 2019, Sergii Bratusov, a purported shareholder of the Company, filed a putative class action complaint against the C</w:t>
      </w:r>
      <w:r>
        <w:rPr>
          <w:rFonts w:eastAsia="Times New Roman"/>
          <w:color w:val="000000"/>
          <w:sz w:val="20"/>
          <w:szCs w:val="20"/>
        </w:rPr>
        <w:t xml:space="preserve">ompany. The case, captioned </w:t>
      </w:r>
      <w:r>
        <w:rPr>
          <w:rFonts w:eastAsia="Times New Roman"/>
          <w:i/>
          <w:iCs/>
          <w:color w:val="000000"/>
          <w:sz w:val="20"/>
          <w:szCs w:val="20"/>
        </w:rPr>
        <w:t>Bratusov v. comScore, Inc., et al.</w:t>
      </w:r>
      <w:r>
        <w:rPr>
          <w:rFonts w:eastAsia="Times New Roman"/>
          <w:color w:val="000000"/>
          <w:sz w:val="20"/>
          <w:szCs w:val="20"/>
        </w:rPr>
        <w:t xml:space="preserve">, Case No. 19 Civ. 03210, was filed in the U.S. District Court for the Southern District of New York and also named the Company's Chief Financial Officer, Gregory Fink, and the Company's former </w:t>
      </w:r>
      <w:r>
        <w:rPr>
          <w:rFonts w:eastAsia="Times New Roman"/>
          <w:color w:val="000000"/>
          <w:sz w:val="20"/>
          <w:szCs w:val="20"/>
        </w:rPr>
        <w:t>Chief Executive Officer, Bryan Wiener, as defendants. The complaint, which was amended on September 30, 2019, purported to bring claims on behalf of all persons and entities that acquired securities of the Company between February 28, 2019 and August 7, 20</w:t>
      </w:r>
      <w:r>
        <w:rPr>
          <w:rFonts w:eastAsia="Times New Roman"/>
          <w:color w:val="000000"/>
          <w:sz w:val="20"/>
          <w:szCs w:val="20"/>
        </w:rPr>
        <w:t>19 and alleged that the Company, Mr. Wiener, and Mr. Fink violated Section 10(b) of the Exchange Act and Rule 10b-5 promulgated thereunder, by allegedly failing to disclose in public statements in February and March 2019 material information concerning a d</w:t>
      </w:r>
      <w:r>
        <w:rPr>
          <w:rFonts w:eastAsia="Times New Roman"/>
          <w:color w:val="000000"/>
          <w:sz w:val="20"/>
          <w:szCs w:val="20"/>
        </w:rPr>
        <w:t>isagreement relating to the Company's business strategy. The complaint also alleged that Mr. Wiener and Mr. Fink, acting as control persons of the Company, violated Section 20(a) of the Exchange Act in connection with the Company's alleged failure to discl</w:t>
      </w:r>
      <w:r>
        <w:rPr>
          <w:rFonts w:eastAsia="Times New Roman"/>
          <w:color w:val="000000"/>
          <w:sz w:val="20"/>
          <w:szCs w:val="20"/>
        </w:rPr>
        <w:t xml:space="preserve">ose material information. The complaint sought a determination of the propriety of the class, compensatory damages and the award of </w:t>
      </w:r>
    </w:p>
    <w:p w14:paraId="60C74323" w14:textId="77777777" w:rsidR="00000000" w:rsidRDefault="00E614A4">
      <w:pPr>
        <w:jc w:val="center"/>
        <w:divId w:val="1537615505"/>
        <w:rPr>
          <w:rFonts w:eastAsia="Times New Roman"/>
        </w:rPr>
      </w:pPr>
      <w:r>
        <w:rPr>
          <w:rFonts w:eastAsia="Times New Roman"/>
          <w:color w:val="000000"/>
          <w:sz w:val="20"/>
          <w:szCs w:val="20"/>
        </w:rPr>
        <w:t>91</w:t>
      </w:r>
    </w:p>
    <w:p w14:paraId="57677C97" w14:textId="77777777" w:rsidR="00000000" w:rsidRDefault="00E614A4">
      <w:pPr>
        <w:rPr>
          <w:rFonts w:eastAsia="Times New Roman"/>
        </w:rPr>
      </w:pPr>
      <w:r>
        <w:rPr>
          <w:rFonts w:eastAsia="Times New Roman"/>
        </w:rPr>
        <w:pict w14:anchorId="6231419E">
          <v:rect id="_x0000_i1119" style="width:0;height:1.5pt" o:hralign="center" o:hrstd="t" o:hr="t" fillcolor="#a0a0a0" stroked="f"/>
        </w:pict>
      </w:r>
    </w:p>
    <w:p w14:paraId="382395C2" w14:textId="77777777" w:rsidR="00000000" w:rsidRDefault="00E614A4">
      <w:pPr>
        <w:divId w:val="39034466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834F257" w14:textId="77777777" w:rsidR="00000000" w:rsidRDefault="00E614A4">
      <w:pPr>
        <w:divId w:val="120610802"/>
        <w:rPr>
          <w:rFonts w:eastAsia="Times New Roman"/>
        </w:rPr>
      </w:pPr>
    </w:p>
    <w:p w14:paraId="3241DCA8" w14:textId="77777777" w:rsidR="00000000" w:rsidRDefault="00E614A4">
      <w:pPr>
        <w:jc w:val="both"/>
        <w:divId w:val="1122306925"/>
        <w:rPr>
          <w:rFonts w:eastAsia="Times New Roman"/>
        </w:rPr>
      </w:pPr>
      <w:r>
        <w:rPr>
          <w:rFonts w:eastAsia="Times New Roman"/>
          <w:color w:val="000000"/>
          <w:sz w:val="20"/>
          <w:szCs w:val="20"/>
        </w:rPr>
        <w:t>reasonable costs and expenses incurred in the action. On June 24, 2020, the Court granted the defendants' motion to dismiss the complaint for failure to state a claim. On July 24, 2020, the complaint was dismissed with prejudice.</w:t>
      </w:r>
    </w:p>
    <w:p w14:paraId="23BAE5D6" w14:textId="77777777" w:rsidR="00000000" w:rsidRDefault="00E614A4">
      <w:pPr>
        <w:jc w:val="both"/>
        <w:divId w:val="1799764000"/>
        <w:rPr>
          <w:rFonts w:eastAsia="Times New Roman"/>
        </w:rPr>
      </w:pPr>
      <w:r>
        <w:rPr>
          <w:rFonts w:eastAsia="Times New Roman"/>
          <w:b/>
          <w:bCs/>
          <w:color w:val="000000"/>
          <w:sz w:val="20"/>
          <w:szCs w:val="20"/>
        </w:rPr>
        <w:t>Other Matters</w:t>
      </w:r>
    </w:p>
    <w:p w14:paraId="540FFD2F" w14:textId="77777777" w:rsidR="00000000" w:rsidRDefault="00E614A4">
      <w:pPr>
        <w:jc w:val="both"/>
        <w:divId w:val="774255162"/>
        <w:rPr>
          <w:rFonts w:eastAsia="Times New Roman"/>
        </w:rPr>
      </w:pPr>
      <w:r>
        <w:rPr>
          <w:rFonts w:eastAsia="Times New Roman"/>
          <w:color w:val="000000"/>
          <w:sz w:val="20"/>
          <w:szCs w:val="20"/>
        </w:rPr>
        <w:t xml:space="preserve">In addition </w:t>
      </w:r>
      <w:r>
        <w:rPr>
          <w:rFonts w:eastAsia="Times New Roman"/>
          <w:color w:val="000000"/>
          <w:sz w:val="20"/>
          <w:szCs w:val="20"/>
        </w:rPr>
        <w:t>to the matters described above, the Company is, and may become, a party to a variety of legal proceedings from time to time that arise in the normal course of the Company's business. While the results of such legal proceedings cannot be predicted with cert</w:t>
      </w:r>
      <w:r>
        <w:rPr>
          <w:rFonts w:eastAsia="Times New Roman"/>
          <w:color w:val="000000"/>
          <w:sz w:val="20"/>
          <w:szCs w:val="20"/>
        </w:rPr>
        <w:t xml:space="preserve">ainty, management believes that, based on current knowledge, the final outcome of any such current pending matters will not have a material adverse effect on the Company's financial position, results of operations or cash flows. Regardless of the outcome, </w:t>
      </w:r>
      <w:r>
        <w:rPr>
          <w:rFonts w:eastAsia="Times New Roman"/>
          <w:color w:val="000000"/>
          <w:sz w:val="20"/>
          <w:szCs w:val="20"/>
        </w:rPr>
        <w:t>legal proceedings can have an adverse effect on the Company because of defense costs, diversion of management resources and other factors.</w:t>
      </w:r>
    </w:p>
    <w:p w14:paraId="0470E7FE" w14:textId="77777777" w:rsidR="00000000" w:rsidRDefault="00E614A4">
      <w:pPr>
        <w:jc w:val="both"/>
        <w:divId w:val="1767919528"/>
        <w:rPr>
          <w:rFonts w:eastAsia="Times New Roman"/>
        </w:rPr>
      </w:pPr>
      <w:r>
        <w:rPr>
          <w:rFonts w:eastAsia="Times New Roman"/>
          <w:b/>
          <w:bCs/>
          <w:color w:val="000000"/>
          <w:sz w:val="20"/>
          <w:szCs w:val="20"/>
        </w:rPr>
        <w:t>Indemnification</w:t>
      </w:r>
    </w:p>
    <w:p w14:paraId="7A80AEAC" w14:textId="77777777" w:rsidR="00000000" w:rsidRDefault="00E614A4">
      <w:pPr>
        <w:jc w:val="both"/>
        <w:divId w:val="1918902717"/>
        <w:rPr>
          <w:rFonts w:eastAsia="Times New Roman"/>
        </w:rPr>
      </w:pPr>
      <w:r>
        <w:rPr>
          <w:rFonts w:eastAsia="Times New Roman"/>
          <w:color w:val="000000"/>
          <w:sz w:val="20"/>
          <w:szCs w:val="20"/>
        </w:rPr>
        <w:t>The Company has entered into indemnification agreements with each of the Company's directors and cert</w:t>
      </w:r>
      <w:r>
        <w:rPr>
          <w:rFonts w:eastAsia="Times New Roman"/>
          <w:color w:val="000000"/>
          <w:sz w:val="20"/>
          <w:szCs w:val="20"/>
        </w:rPr>
        <w:t>ain officers, and the Company's amended and restated certificate of incorporation requires it to indemnify each of its officers and directors, to the fullest extent permitted by Delaware law, who was or is a party or is threatened to be made a party to any</w:t>
      </w:r>
      <w:r>
        <w:rPr>
          <w:rFonts w:eastAsia="Times New Roman"/>
          <w:color w:val="000000"/>
          <w:sz w:val="20"/>
          <w:szCs w:val="20"/>
        </w:rPr>
        <w:t xml:space="preserve"> threatened, pending or completed action, suit or proceeding by reason of the fact that he or she is or was a director or officer of the Company. The Company has paid and may in the future pay legal counsel fees incurred by current and former directors and</w:t>
      </w:r>
      <w:r>
        <w:rPr>
          <w:rFonts w:eastAsia="Times New Roman"/>
          <w:color w:val="000000"/>
          <w:sz w:val="20"/>
          <w:szCs w:val="20"/>
        </w:rPr>
        <w:t xml:space="preserve"> officers who are involved in legal proceedings that require indemnification.</w:t>
      </w:r>
    </w:p>
    <w:p w14:paraId="35B9ED8D" w14:textId="77777777" w:rsidR="00000000" w:rsidRDefault="00E614A4">
      <w:pPr>
        <w:jc w:val="both"/>
        <w:divId w:val="1954626777"/>
        <w:rPr>
          <w:rFonts w:eastAsia="Times New Roman"/>
        </w:rPr>
      </w:pPr>
      <w:r>
        <w:rPr>
          <w:rFonts w:eastAsia="Times New Roman"/>
          <w:color w:val="000000"/>
          <w:sz w:val="20"/>
          <w:szCs w:val="20"/>
        </w:rPr>
        <w:t>Similarly, certain of the Company's commercial contracts require it to indemnify contract counterparties under specified circumstances, and the Company may incur legal counsel fe</w:t>
      </w:r>
      <w:r>
        <w:rPr>
          <w:rFonts w:eastAsia="Times New Roman"/>
          <w:color w:val="000000"/>
          <w:sz w:val="20"/>
          <w:szCs w:val="20"/>
        </w:rPr>
        <w:t>es and other costs in connection with these obligations.</w:t>
      </w:r>
    </w:p>
    <w:p w14:paraId="38DB17CF" w14:textId="77777777" w:rsidR="00000000" w:rsidRDefault="00E614A4">
      <w:pPr>
        <w:jc w:val="both"/>
        <w:rPr>
          <w:rFonts w:eastAsia="Times New Roman"/>
        </w:rPr>
      </w:pPr>
    </w:p>
    <w:p w14:paraId="482D3505" w14:textId="77777777" w:rsidR="00000000" w:rsidRDefault="00E614A4">
      <w:pPr>
        <w:jc w:val="center"/>
        <w:divId w:val="1939217728"/>
        <w:rPr>
          <w:rFonts w:eastAsia="Times New Roman"/>
        </w:rPr>
      </w:pPr>
      <w:r>
        <w:rPr>
          <w:rFonts w:eastAsia="Times New Roman"/>
          <w:color w:val="000000"/>
          <w:sz w:val="20"/>
          <w:szCs w:val="20"/>
        </w:rPr>
        <w:t>92</w:t>
      </w:r>
    </w:p>
    <w:p w14:paraId="0957CBF9" w14:textId="77777777" w:rsidR="00000000" w:rsidRDefault="00E614A4">
      <w:pPr>
        <w:rPr>
          <w:rFonts w:eastAsia="Times New Roman"/>
        </w:rPr>
      </w:pPr>
      <w:r>
        <w:rPr>
          <w:rFonts w:eastAsia="Times New Roman"/>
        </w:rPr>
        <w:pict w14:anchorId="16AF3746">
          <v:rect id="_x0000_i1120" style="width:0;height:1.5pt" o:hralign="center" o:hrstd="t" o:hr="t" fillcolor="#a0a0a0" stroked="f"/>
        </w:pict>
      </w:r>
    </w:p>
    <w:p w14:paraId="0838CA0E" w14:textId="77777777" w:rsidR="00000000" w:rsidRDefault="00E614A4">
      <w:pPr>
        <w:divId w:val="792868348"/>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05AC3037" w14:textId="77777777" w:rsidR="00000000" w:rsidRDefault="00E614A4">
      <w:pPr>
        <w:divId w:val="217668654"/>
        <w:rPr>
          <w:rFonts w:eastAsia="Times New Roman"/>
        </w:rPr>
      </w:pPr>
    </w:p>
    <w:p w14:paraId="39C25924" w14:textId="77777777" w:rsidR="00000000" w:rsidRDefault="00E614A4">
      <w:pPr>
        <w:ind w:hanging="360"/>
        <w:divId w:val="56588895"/>
        <w:rPr>
          <w:rFonts w:eastAsia="Times New Roman"/>
        </w:rPr>
      </w:pPr>
      <w:r>
        <w:rPr>
          <w:rFonts w:eastAsia="Times New Roman"/>
          <w:b/>
          <w:bCs/>
          <w:color w:val="000000"/>
          <w:sz w:val="20"/>
          <w:szCs w:val="20"/>
        </w:rPr>
        <w:t xml:space="preserve">12.Income Taxes </w:t>
      </w:r>
    </w:p>
    <w:p w14:paraId="6FE28587" w14:textId="77777777" w:rsidR="00000000" w:rsidRDefault="00E614A4">
      <w:pPr>
        <w:divId w:val="844201217"/>
        <w:rPr>
          <w:rFonts w:eastAsia="Times New Roman"/>
        </w:rPr>
      </w:pPr>
      <w:r>
        <w:rPr>
          <w:rFonts w:eastAsia="Times New Roman"/>
          <w:color w:val="000000"/>
          <w:sz w:val="20"/>
          <w:szCs w:val="20"/>
        </w:rPr>
        <w:t>The components of loss before income tax (provision) benefit are as</w:t>
      </w:r>
      <w:r>
        <w:rPr>
          <w:rFonts w:eastAsia="Times New Roman"/>
          <w:color w:val="000000"/>
          <w:sz w:val="20"/>
          <w:szCs w:val="20"/>
        </w:rPr>
        <w:t xml:space="preserve">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615"/>
        <w:gridCol w:w="36"/>
        <w:gridCol w:w="36"/>
        <w:gridCol w:w="36"/>
        <w:gridCol w:w="36"/>
        <w:gridCol w:w="110"/>
        <w:gridCol w:w="952"/>
        <w:gridCol w:w="36"/>
        <w:gridCol w:w="36"/>
        <w:gridCol w:w="36"/>
        <w:gridCol w:w="36"/>
        <w:gridCol w:w="110"/>
        <w:gridCol w:w="952"/>
        <w:gridCol w:w="36"/>
        <w:gridCol w:w="36"/>
        <w:gridCol w:w="36"/>
        <w:gridCol w:w="36"/>
        <w:gridCol w:w="110"/>
        <w:gridCol w:w="952"/>
        <w:gridCol w:w="36"/>
      </w:tblGrid>
      <w:tr w:rsidR="00000000" w14:paraId="3AB6AD5D" w14:textId="77777777">
        <w:trPr>
          <w:divId w:val="441414397"/>
          <w:jc w:val="center"/>
        </w:trPr>
        <w:tc>
          <w:tcPr>
            <w:tcW w:w="50" w:type="pct"/>
            <w:vAlign w:val="center"/>
            <w:hideMark/>
          </w:tcPr>
          <w:p w14:paraId="602988DF" w14:textId="77777777" w:rsidR="00000000" w:rsidRDefault="00E614A4">
            <w:pPr>
              <w:rPr>
                <w:rFonts w:eastAsia="Times New Roman"/>
              </w:rPr>
            </w:pPr>
          </w:p>
        </w:tc>
        <w:tc>
          <w:tcPr>
            <w:tcW w:w="2840" w:type="pct"/>
            <w:vAlign w:val="center"/>
            <w:hideMark/>
          </w:tcPr>
          <w:p w14:paraId="3474C487" w14:textId="77777777" w:rsidR="00000000" w:rsidRDefault="00E614A4">
            <w:pPr>
              <w:rPr>
                <w:rFonts w:eastAsia="Times New Roman"/>
                <w:sz w:val="20"/>
                <w:szCs w:val="20"/>
              </w:rPr>
            </w:pPr>
          </w:p>
        </w:tc>
        <w:tc>
          <w:tcPr>
            <w:tcW w:w="5" w:type="pct"/>
            <w:vAlign w:val="center"/>
            <w:hideMark/>
          </w:tcPr>
          <w:p w14:paraId="7EA44FFF" w14:textId="77777777" w:rsidR="00000000" w:rsidRDefault="00E614A4">
            <w:pPr>
              <w:rPr>
                <w:rFonts w:eastAsia="Times New Roman"/>
                <w:sz w:val="20"/>
                <w:szCs w:val="20"/>
              </w:rPr>
            </w:pPr>
          </w:p>
        </w:tc>
        <w:tc>
          <w:tcPr>
            <w:tcW w:w="5" w:type="pct"/>
            <w:vAlign w:val="center"/>
            <w:hideMark/>
          </w:tcPr>
          <w:p w14:paraId="009DEB7E" w14:textId="77777777" w:rsidR="00000000" w:rsidRDefault="00E614A4">
            <w:pPr>
              <w:rPr>
                <w:rFonts w:eastAsia="Times New Roman"/>
                <w:sz w:val="20"/>
                <w:szCs w:val="20"/>
              </w:rPr>
            </w:pPr>
          </w:p>
        </w:tc>
        <w:tc>
          <w:tcPr>
            <w:tcW w:w="17" w:type="pct"/>
            <w:vAlign w:val="center"/>
            <w:hideMark/>
          </w:tcPr>
          <w:p w14:paraId="455FEC02" w14:textId="77777777" w:rsidR="00000000" w:rsidRDefault="00E614A4">
            <w:pPr>
              <w:rPr>
                <w:rFonts w:eastAsia="Times New Roman"/>
                <w:sz w:val="20"/>
                <w:szCs w:val="20"/>
              </w:rPr>
            </w:pPr>
          </w:p>
        </w:tc>
        <w:tc>
          <w:tcPr>
            <w:tcW w:w="5" w:type="pct"/>
            <w:vAlign w:val="center"/>
            <w:hideMark/>
          </w:tcPr>
          <w:p w14:paraId="0BEDDB27" w14:textId="77777777" w:rsidR="00000000" w:rsidRDefault="00E614A4">
            <w:pPr>
              <w:rPr>
                <w:rFonts w:eastAsia="Times New Roman"/>
                <w:sz w:val="20"/>
                <w:szCs w:val="20"/>
              </w:rPr>
            </w:pPr>
          </w:p>
        </w:tc>
        <w:tc>
          <w:tcPr>
            <w:tcW w:w="50" w:type="pct"/>
            <w:vAlign w:val="center"/>
            <w:hideMark/>
          </w:tcPr>
          <w:p w14:paraId="3EFD1E9E" w14:textId="77777777" w:rsidR="00000000" w:rsidRDefault="00E614A4">
            <w:pPr>
              <w:rPr>
                <w:rFonts w:eastAsia="Times New Roman"/>
                <w:sz w:val="20"/>
                <w:szCs w:val="20"/>
              </w:rPr>
            </w:pPr>
          </w:p>
        </w:tc>
        <w:tc>
          <w:tcPr>
            <w:tcW w:w="618" w:type="pct"/>
            <w:vAlign w:val="center"/>
            <w:hideMark/>
          </w:tcPr>
          <w:p w14:paraId="0F8C56C3" w14:textId="77777777" w:rsidR="00000000" w:rsidRDefault="00E614A4">
            <w:pPr>
              <w:rPr>
                <w:rFonts w:eastAsia="Times New Roman"/>
                <w:sz w:val="20"/>
                <w:szCs w:val="20"/>
              </w:rPr>
            </w:pPr>
          </w:p>
        </w:tc>
        <w:tc>
          <w:tcPr>
            <w:tcW w:w="5" w:type="pct"/>
            <w:vAlign w:val="center"/>
            <w:hideMark/>
          </w:tcPr>
          <w:p w14:paraId="15E935A2" w14:textId="77777777" w:rsidR="00000000" w:rsidRDefault="00E614A4">
            <w:pPr>
              <w:rPr>
                <w:rFonts w:eastAsia="Times New Roman"/>
                <w:sz w:val="20"/>
                <w:szCs w:val="20"/>
              </w:rPr>
            </w:pPr>
          </w:p>
        </w:tc>
        <w:tc>
          <w:tcPr>
            <w:tcW w:w="5" w:type="pct"/>
            <w:vAlign w:val="center"/>
            <w:hideMark/>
          </w:tcPr>
          <w:p w14:paraId="2EBB4392" w14:textId="77777777" w:rsidR="00000000" w:rsidRDefault="00E614A4">
            <w:pPr>
              <w:rPr>
                <w:rFonts w:eastAsia="Times New Roman"/>
                <w:sz w:val="20"/>
                <w:szCs w:val="20"/>
              </w:rPr>
            </w:pPr>
          </w:p>
        </w:tc>
        <w:tc>
          <w:tcPr>
            <w:tcW w:w="17" w:type="pct"/>
            <w:vAlign w:val="center"/>
            <w:hideMark/>
          </w:tcPr>
          <w:p w14:paraId="611C08F6" w14:textId="77777777" w:rsidR="00000000" w:rsidRDefault="00E614A4">
            <w:pPr>
              <w:rPr>
                <w:rFonts w:eastAsia="Times New Roman"/>
                <w:sz w:val="20"/>
                <w:szCs w:val="20"/>
              </w:rPr>
            </w:pPr>
          </w:p>
        </w:tc>
        <w:tc>
          <w:tcPr>
            <w:tcW w:w="5" w:type="pct"/>
            <w:vAlign w:val="center"/>
            <w:hideMark/>
          </w:tcPr>
          <w:p w14:paraId="0B90A5CE" w14:textId="77777777" w:rsidR="00000000" w:rsidRDefault="00E614A4">
            <w:pPr>
              <w:rPr>
                <w:rFonts w:eastAsia="Times New Roman"/>
                <w:sz w:val="20"/>
                <w:szCs w:val="20"/>
              </w:rPr>
            </w:pPr>
          </w:p>
        </w:tc>
        <w:tc>
          <w:tcPr>
            <w:tcW w:w="50" w:type="pct"/>
            <w:vAlign w:val="center"/>
            <w:hideMark/>
          </w:tcPr>
          <w:p w14:paraId="47357A8C" w14:textId="77777777" w:rsidR="00000000" w:rsidRDefault="00E614A4">
            <w:pPr>
              <w:rPr>
                <w:rFonts w:eastAsia="Times New Roman"/>
                <w:sz w:val="20"/>
                <w:szCs w:val="20"/>
              </w:rPr>
            </w:pPr>
          </w:p>
        </w:tc>
        <w:tc>
          <w:tcPr>
            <w:tcW w:w="618" w:type="pct"/>
            <w:vAlign w:val="center"/>
            <w:hideMark/>
          </w:tcPr>
          <w:p w14:paraId="69AB14DD" w14:textId="77777777" w:rsidR="00000000" w:rsidRDefault="00E614A4">
            <w:pPr>
              <w:rPr>
                <w:rFonts w:eastAsia="Times New Roman"/>
                <w:sz w:val="20"/>
                <w:szCs w:val="20"/>
              </w:rPr>
            </w:pPr>
          </w:p>
        </w:tc>
        <w:tc>
          <w:tcPr>
            <w:tcW w:w="5" w:type="pct"/>
            <w:vAlign w:val="center"/>
            <w:hideMark/>
          </w:tcPr>
          <w:p w14:paraId="634C517A" w14:textId="77777777" w:rsidR="00000000" w:rsidRDefault="00E614A4">
            <w:pPr>
              <w:rPr>
                <w:rFonts w:eastAsia="Times New Roman"/>
                <w:sz w:val="20"/>
                <w:szCs w:val="20"/>
              </w:rPr>
            </w:pPr>
          </w:p>
        </w:tc>
        <w:tc>
          <w:tcPr>
            <w:tcW w:w="5" w:type="pct"/>
            <w:vAlign w:val="center"/>
            <w:hideMark/>
          </w:tcPr>
          <w:p w14:paraId="01DEA471" w14:textId="77777777" w:rsidR="00000000" w:rsidRDefault="00E614A4">
            <w:pPr>
              <w:rPr>
                <w:rFonts w:eastAsia="Times New Roman"/>
                <w:sz w:val="20"/>
                <w:szCs w:val="20"/>
              </w:rPr>
            </w:pPr>
          </w:p>
        </w:tc>
        <w:tc>
          <w:tcPr>
            <w:tcW w:w="17" w:type="pct"/>
            <w:vAlign w:val="center"/>
            <w:hideMark/>
          </w:tcPr>
          <w:p w14:paraId="555744D6" w14:textId="77777777" w:rsidR="00000000" w:rsidRDefault="00E614A4">
            <w:pPr>
              <w:rPr>
                <w:rFonts w:eastAsia="Times New Roman"/>
                <w:sz w:val="20"/>
                <w:szCs w:val="20"/>
              </w:rPr>
            </w:pPr>
          </w:p>
        </w:tc>
        <w:tc>
          <w:tcPr>
            <w:tcW w:w="5" w:type="pct"/>
            <w:vAlign w:val="center"/>
            <w:hideMark/>
          </w:tcPr>
          <w:p w14:paraId="0FF8B205" w14:textId="77777777" w:rsidR="00000000" w:rsidRDefault="00E614A4">
            <w:pPr>
              <w:rPr>
                <w:rFonts w:eastAsia="Times New Roman"/>
                <w:sz w:val="20"/>
                <w:szCs w:val="20"/>
              </w:rPr>
            </w:pPr>
          </w:p>
        </w:tc>
        <w:tc>
          <w:tcPr>
            <w:tcW w:w="50" w:type="pct"/>
            <w:vAlign w:val="center"/>
            <w:hideMark/>
          </w:tcPr>
          <w:p w14:paraId="52D21FFD" w14:textId="77777777" w:rsidR="00000000" w:rsidRDefault="00E614A4">
            <w:pPr>
              <w:rPr>
                <w:rFonts w:eastAsia="Times New Roman"/>
                <w:sz w:val="20"/>
                <w:szCs w:val="20"/>
              </w:rPr>
            </w:pPr>
          </w:p>
        </w:tc>
        <w:tc>
          <w:tcPr>
            <w:tcW w:w="618" w:type="pct"/>
            <w:vAlign w:val="center"/>
            <w:hideMark/>
          </w:tcPr>
          <w:p w14:paraId="62221343" w14:textId="77777777" w:rsidR="00000000" w:rsidRDefault="00E614A4">
            <w:pPr>
              <w:rPr>
                <w:rFonts w:eastAsia="Times New Roman"/>
                <w:sz w:val="20"/>
                <w:szCs w:val="20"/>
              </w:rPr>
            </w:pPr>
          </w:p>
        </w:tc>
        <w:tc>
          <w:tcPr>
            <w:tcW w:w="5" w:type="pct"/>
            <w:vAlign w:val="center"/>
            <w:hideMark/>
          </w:tcPr>
          <w:p w14:paraId="5049CFD3" w14:textId="77777777" w:rsidR="00000000" w:rsidRDefault="00E614A4">
            <w:pPr>
              <w:rPr>
                <w:rFonts w:eastAsia="Times New Roman"/>
                <w:sz w:val="20"/>
                <w:szCs w:val="20"/>
              </w:rPr>
            </w:pPr>
          </w:p>
        </w:tc>
      </w:tr>
      <w:tr w:rsidR="00000000" w14:paraId="32EB0ADE" w14:textId="77777777">
        <w:trPr>
          <w:divId w:val="441414397"/>
          <w:jc w:val="center"/>
        </w:trPr>
        <w:tc>
          <w:tcPr>
            <w:tcW w:w="0" w:type="auto"/>
            <w:gridSpan w:val="3"/>
            <w:tcMar>
              <w:top w:w="0" w:type="dxa"/>
              <w:left w:w="20" w:type="dxa"/>
              <w:bottom w:w="0" w:type="dxa"/>
              <w:right w:w="20" w:type="dxa"/>
            </w:tcMar>
            <w:vAlign w:val="center"/>
            <w:hideMark/>
          </w:tcPr>
          <w:p w14:paraId="0D25AF37"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9BF9011"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4506DA21"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7C3DBA7A" w14:textId="77777777">
        <w:trPr>
          <w:divId w:val="441414397"/>
          <w:jc w:val="center"/>
        </w:trPr>
        <w:tc>
          <w:tcPr>
            <w:tcW w:w="0" w:type="auto"/>
            <w:gridSpan w:val="3"/>
            <w:tcMar>
              <w:top w:w="30" w:type="dxa"/>
              <w:left w:w="20" w:type="dxa"/>
              <w:bottom w:w="30" w:type="dxa"/>
              <w:right w:w="20" w:type="dxa"/>
            </w:tcMar>
            <w:vAlign w:val="bottom"/>
            <w:hideMark/>
          </w:tcPr>
          <w:p w14:paraId="7E0CA92E"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46C3554D"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AC5419"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42316D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3085E3"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0D8CFD08"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D3CBC8" w14:textId="77777777" w:rsidR="00000000" w:rsidRDefault="00E614A4">
            <w:pPr>
              <w:jc w:val="center"/>
              <w:rPr>
                <w:rFonts w:eastAsia="Times New Roman"/>
              </w:rPr>
            </w:pPr>
            <w:r>
              <w:rPr>
                <w:rFonts w:eastAsia="Times New Roman"/>
                <w:b/>
                <w:bCs/>
                <w:color w:val="000000"/>
                <w:sz w:val="16"/>
                <w:szCs w:val="16"/>
              </w:rPr>
              <w:t>2018</w:t>
            </w:r>
          </w:p>
        </w:tc>
      </w:tr>
      <w:tr w:rsidR="00000000" w14:paraId="1B7FAADA" w14:textId="77777777">
        <w:trPr>
          <w:divId w:val="441414397"/>
          <w:jc w:val="center"/>
        </w:trPr>
        <w:tc>
          <w:tcPr>
            <w:tcW w:w="0" w:type="auto"/>
            <w:gridSpan w:val="3"/>
            <w:shd w:val="clear" w:color="auto" w:fill="CCEEFF"/>
            <w:tcMar>
              <w:top w:w="30" w:type="dxa"/>
              <w:left w:w="20" w:type="dxa"/>
              <w:bottom w:w="30" w:type="dxa"/>
              <w:right w:w="20" w:type="dxa"/>
            </w:tcMar>
            <w:hideMark/>
          </w:tcPr>
          <w:p w14:paraId="6727E037" w14:textId="77777777" w:rsidR="00000000" w:rsidRDefault="00E614A4">
            <w:pPr>
              <w:rPr>
                <w:rFonts w:eastAsia="Times New Roman"/>
              </w:rPr>
            </w:pPr>
            <w:r>
              <w:rPr>
                <w:rFonts w:eastAsia="Times New Roman"/>
                <w:color w:val="000000"/>
                <w:sz w:val="18"/>
                <w:szCs w:val="18"/>
              </w:rPr>
              <w:t>Domestic</w:t>
            </w:r>
          </w:p>
        </w:tc>
        <w:tc>
          <w:tcPr>
            <w:tcW w:w="0" w:type="auto"/>
            <w:gridSpan w:val="3"/>
            <w:shd w:val="clear" w:color="auto" w:fill="CCEEFF"/>
            <w:tcMar>
              <w:top w:w="0" w:type="dxa"/>
              <w:left w:w="20" w:type="dxa"/>
              <w:bottom w:w="0" w:type="dxa"/>
              <w:right w:w="20" w:type="dxa"/>
            </w:tcMar>
            <w:vAlign w:val="center"/>
            <w:hideMark/>
          </w:tcPr>
          <w:p w14:paraId="7FD18E98"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585DA6"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0D69AB" w14:textId="77777777" w:rsidR="00000000" w:rsidRDefault="00E614A4">
            <w:pPr>
              <w:jc w:val="right"/>
              <w:rPr>
                <w:rFonts w:eastAsia="Times New Roman"/>
              </w:rPr>
            </w:pPr>
            <w:r>
              <w:rPr>
                <w:rFonts w:eastAsia="Times New Roman"/>
                <w:color w:val="000000"/>
                <w:sz w:val="18"/>
                <w:szCs w:val="18"/>
              </w:rPr>
              <w:t>(44,010)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9BA01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9331A"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0A2E7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A51952" w14:textId="77777777" w:rsidR="00000000" w:rsidRDefault="00E614A4">
            <w:pPr>
              <w:jc w:val="right"/>
              <w:rPr>
                <w:rFonts w:eastAsia="Times New Roman"/>
              </w:rPr>
            </w:pPr>
            <w:r>
              <w:rPr>
                <w:rFonts w:eastAsia="Times New Roman"/>
                <w:color w:val="000000"/>
                <w:sz w:val="18"/>
                <w:szCs w:val="18"/>
              </w:rPr>
              <w:t>(316,479)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C917F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9028D"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D387F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138656" w14:textId="77777777" w:rsidR="00000000" w:rsidRDefault="00E614A4">
            <w:pPr>
              <w:jc w:val="right"/>
              <w:rPr>
                <w:rFonts w:eastAsia="Times New Roman"/>
              </w:rPr>
            </w:pPr>
            <w:r>
              <w:rPr>
                <w:rFonts w:eastAsia="Times New Roman"/>
                <w:color w:val="000000"/>
                <w:sz w:val="18"/>
                <w:szCs w:val="18"/>
              </w:rPr>
              <w:t>(140,298)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158441" w14:textId="77777777" w:rsidR="00000000" w:rsidRDefault="00E614A4">
            <w:pPr>
              <w:jc w:val="right"/>
              <w:rPr>
                <w:rFonts w:eastAsia="Times New Roman"/>
              </w:rPr>
            </w:pPr>
          </w:p>
        </w:tc>
      </w:tr>
      <w:tr w:rsidR="00000000" w14:paraId="733FE110" w14:textId="77777777">
        <w:trPr>
          <w:divId w:val="441414397"/>
          <w:jc w:val="center"/>
        </w:trPr>
        <w:tc>
          <w:tcPr>
            <w:tcW w:w="0" w:type="auto"/>
            <w:gridSpan w:val="3"/>
            <w:tcMar>
              <w:top w:w="30" w:type="dxa"/>
              <w:left w:w="20" w:type="dxa"/>
              <w:bottom w:w="30" w:type="dxa"/>
              <w:right w:w="20" w:type="dxa"/>
            </w:tcMar>
            <w:hideMark/>
          </w:tcPr>
          <w:p w14:paraId="0BCA1CC7" w14:textId="77777777" w:rsidR="00000000" w:rsidRDefault="00E614A4">
            <w:pPr>
              <w:rPr>
                <w:rFonts w:eastAsia="Times New Roman"/>
              </w:rPr>
            </w:pPr>
            <w:r>
              <w:rPr>
                <w:rFonts w:eastAsia="Times New Roman"/>
                <w:color w:val="000000"/>
                <w:sz w:val="18"/>
                <w:szCs w:val="18"/>
              </w:rPr>
              <w:t>Foreign</w:t>
            </w:r>
          </w:p>
        </w:tc>
        <w:tc>
          <w:tcPr>
            <w:tcW w:w="0" w:type="auto"/>
            <w:gridSpan w:val="3"/>
            <w:tcMar>
              <w:top w:w="0" w:type="dxa"/>
              <w:left w:w="20" w:type="dxa"/>
              <w:bottom w:w="0" w:type="dxa"/>
              <w:right w:w="20" w:type="dxa"/>
            </w:tcMar>
            <w:vAlign w:val="center"/>
            <w:hideMark/>
          </w:tcPr>
          <w:p w14:paraId="63BEBEE1" w14:textId="77777777" w:rsidR="00000000" w:rsidRDefault="00E614A4">
            <w:pPr>
              <w:rPr>
                <w:rFonts w:eastAsia="Times New Roman"/>
              </w:rPr>
            </w:pPr>
          </w:p>
        </w:tc>
        <w:tc>
          <w:tcPr>
            <w:tcW w:w="0" w:type="auto"/>
            <w:gridSpan w:val="2"/>
            <w:tcMar>
              <w:top w:w="30" w:type="dxa"/>
              <w:left w:w="20" w:type="dxa"/>
              <w:bottom w:w="30" w:type="dxa"/>
              <w:right w:w="0" w:type="dxa"/>
            </w:tcMar>
            <w:vAlign w:val="bottom"/>
            <w:hideMark/>
          </w:tcPr>
          <w:p w14:paraId="27ADAD9C" w14:textId="77777777" w:rsidR="00000000" w:rsidRDefault="00E614A4">
            <w:pPr>
              <w:jc w:val="right"/>
              <w:rPr>
                <w:rFonts w:eastAsia="Times New Roman"/>
              </w:rPr>
            </w:pPr>
            <w:r>
              <w:rPr>
                <w:rFonts w:eastAsia="Times New Roman"/>
                <w:color w:val="000000"/>
                <w:sz w:val="18"/>
                <w:szCs w:val="18"/>
              </w:rPr>
              <w:t>(3,006)</w:t>
            </w:r>
          </w:p>
        </w:tc>
        <w:tc>
          <w:tcPr>
            <w:tcW w:w="0" w:type="auto"/>
            <w:tcMar>
              <w:top w:w="30" w:type="dxa"/>
              <w:left w:w="0" w:type="dxa"/>
              <w:bottom w:w="30" w:type="dxa"/>
              <w:right w:w="20" w:type="dxa"/>
            </w:tcMar>
            <w:vAlign w:val="bottom"/>
            <w:hideMark/>
          </w:tcPr>
          <w:p w14:paraId="4CE9F46A"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46526FEF"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39CED1A" w14:textId="77777777" w:rsidR="00000000" w:rsidRDefault="00E614A4">
            <w:pPr>
              <w:jc w:val="right"/>
              <w:rPr>
                <w:rFonts w:eastAsia="Times New Roman"/>
              </w:rPr>
            </w:pPr>
            <w:r>
              <w:rPr>
                <w:rFonts w:eastAsia="Times New Roman"/>
                <w:color w:val="000000"/>
                <w:sz w:val="18"/>
                <w:szCs w:val="18"/>
              </w:rPr>
              <w:t>(23,524)</w:t>
            </w:r>
          </w:p>
        </w:tc>
        <w:tc>
          <w:tcPr>
            <w:tcW w:w="0" w:type="auto"/>
            <w:tcMar>
              <w:top w:w="30" w:type="dxa"/>
              <w:left w:w="0" w:type="dxa"/>
              <w:bottom w:w="30" w:type="dxa"/>
              <w:right w:w="20" w:type="dxa"/>
            </w:tcMar>
            <w:vAlign w:val="bottom"/>
            <w:hideMark/>
          </w:tcPr>
          <w:p w14:paraId="1640F103"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546ACF83"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0A7C31C" w14:textId="77777777" w:rsidR="00000000" w:rsidRDefault="00E614A4">
            <w:pPr>
              <w:jc w:val="right"/>
              <w:rPr>
                <w:rFonts w:eastAsia="Times New Roman"/>
              </w:rPr>
            </w:pPr>
            <w:r>
              <w:rPr>
                <w:rFonts w:eastAsia="Times New Roman"/>
                <w:color w:val="000000"/>
                <w:sz w:val="18"/>
                <w:szCs w:val="18"/>
              </w:rPr>
              <w:t>(15,264)</w:t>
            </w:r>
          </w:p>
        </w:tc>
        <w:tc>
          <w:tcPr>
            <w:tcW w:w="0" w:type="auto"/>
            <w:tcMar>
              <w:top w:w="30" w:type="dxa"/>
              <w:left w:w="0" w:type="dxa"/>
              <w:bottom w:w="30" w:type="dxa"/>
              <w:right w:w="20" w:type="dxa"/>
            </w:tcMar>
            <w:vAlign w:val="bottom"/>
            <w:hideMark/>
          </w:tcPr>
          <w:p w14:paraId="5EF4DFF0" w14:textId="77777777" w:rsidR="00000000" w:rsidRDefault="00E614A4">
            <w:pPr>
              <w:jc w:val="right"/>
              <w:rPr>
                <w:rFonts w:eastAsia="Times New Roman"/>
              </w:rPr>
            </w:pPr>
          </w:p>
        </w:tc>
      </w:tr>
      <w:tr w:rsidR="00000000" w14:paraId="2D1001FE" w14:textId="77777777">
        <w:trPr>
          <w:divId w:val="441414397"/>
          <w:jc w:val="center"/>
        </w:trPr>
        <w:tc>
          <w:tcPr>
            <w:tcW w:w="0" w:type="auto"/>
            <w:gridSpan w:val="3"/>
            <w:shd w:val="clear" w:color="auto" w:fill="CCEEFF"/>
            <w:tcMar>
              <w:top w:w="30" w:type="dxa"/>
              <w:left w:w="155" w:type="dxa"/>
              <w:bottom w:w="30" w:type="dxa"/>
              <w:right w:w="20" w:type="dxa"/>
            </w:tcMar>
            <w:hideMark/>
          </w:tcPr>
          <w:p w14:paraId="74AA0BB6" w14:textId="77777777" w:rsidR="00000000" w:rsidRDefault="00E614A4">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3A902A59"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B55B1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747B7E" w14:textId="77777777" w:rsidR="00000000" w:rsidRDefault="00E614A4">
            <w:pPr>
              <w:jc w:val="right"/>
              <w:rPr>
                <w:rFonts w:eastAsia="Times New Roman"/>
              </w:rPr>
            </w:pPr>
            <w:r>
              <w:rPr>
                <w:rFonts w:eastAsia="Times New Roman"/>
                <w:color w:val="000000"/>
                <w:sz w:val="18"/>
                <w:szCs w:val="18"/>
              </w:rPr>
              <w:t>(</w:t>
            </w:r>
            <w:r>
              <w:rPr>
                <w:rFonts w:eastAsia="Times New Roman"/>
                <w:color w:val="000000"/>
                <w:sz w:val="18"/>
                <w:szCs w:val="18"/>
              </w:rPr>
              <w:t>47,016)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B2471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5E5802"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631AF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0E788F" w14:textId="77777777" w:rsidR="00000000" w:rsidRDefault="00E614A4">
            <w:pPr>
              <w:jc w:val="right"/>
              <w:rPr>
                <w:rFonts w:eastAsia="Times New Roman"/>
              </w:rPr>
            </w:pPr>
            <w:r>
              <w:rPr>
                <w:rFonts w:eastAsia="Times New Roman"/>
                <w:color w:val="000000"/>
                <w:sz w:val="18"/>
                <w:szCs w:val="18"/>
              </w:rPr>
              <w:t>(340,003)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33BEF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212B4"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04385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F331BC" w14:textId="77777777" w:rsidR="00000000" w:rsidRDefault="00E614A4">
            <w:pPr>
              <w:jc w:val="right"/>
              <w:rPr>
                <w:rFonts w:eastAsia="Times New Roman"/>
              </w:rPr>
            </w:pPr>
            <w:r>
              <w:rPr>
                <w:rFonts w:eastAsia="Times New Roman"/>
                <w:color w:val="000000"/>
                <w:sz w:val="18"/>
                <w:szCs w:val="18"/>
              </w:rPr>
              <w:t>(155,562)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C7CCFF" w14:textId="77777777" w:rsidR="00000000" w:rsidRDefault="00E614A4">
            <w:pPr>
              <w:jc w:val="right"/>
              <w:rPr>
                <w:rFonts w:eastAsia="Times New Roman"/>
              </w:rPr>
            </w:pPr>
          </w:p>
        </w:tc>
      </w:tr>
    </w:tbl>
    <w:p w14:paraId="5A293F52" w14:textId="77777777" w:rsidR="00000000" w:rsidRDefault="00E614A4">
      <w:pPr>
        <w:jc w:val="both"/>
        <w:divId w:val="1916282648"/>
        <w:rPr>
          <w:rFonts w:eastAsia="Times New Roman"/>
        </w:rPr>
      </w:pPr>
      <w:r>
        <w:rPr>
          <w:rFonts w:eastAsia="Times New Roman"/>
          <w:color w:val="000000"/>
          <w:sz w:val="20"/>
          <w:szCs w:val="20"/>
        </w:rPr>
        <w:t>Income tax provision (benefit)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615"/>
        <w:gridCol w:w="36"/>
        <w:gridCol w:w="36"/>
        <w:gridCol w:w="36"/>
        <w:gridCol w:w="36"/>
        <w:gridCol w:w="110"/>
        <w:gridCol w:w="952"/>
        <w:gridCol w:w="36"/>
        <w:gridCol w:w="36"/>
        <w:gridCol w:w="36"/>
        <w:gridCol w:w="36"/>
        <w:gridCol w:w="110"/>
        <w:gridCol w:w="952"/>
        <w:gridCol w:w="36"/>
        <w:gridCol w:w="36"/>
        <w:gridCol w:w="36"/>
        <w:gridCol w:w="36"/>
        <w:gridCol w:w="110"/>
        <w:gridCol w:w="952"/>
        <w:gridCol w:w="36"/>
      </w:tblGrid>
      <w:tr w:rsidR="00000000" w14:paraId="175D3CA3" w14:textId="77777777">
        <w:trPr>
          <w:divId w:val="1042746722"/>
        </w:trPr>
        <w:tc>
          <w:tcPr>
            <w:tcW w:w="50" w:type="pct"/>
            <w:vAlign w:val="center"/>
            <w:hideMark/>
          </w:tcPr>
          <w:p w14:paraId="7B6F02A7" w14:textId="77777777" w:rsidR="00000000" w:rsidRDefault="00E614A4">
            <w:pPr>
              <w:jc w:val="both"/>
              <w:rPr>
                <w:rFonts w:eastAsia="Times New Roman"/>
              </w:rPr>
            </w:pPr>
          </w:p>
        </w:tc>
        <w:tc>
          <w:tcPr>
            <w:tcW w:w="2840" w:type="pct"/>
            <w:vAlign w:val="center"/>
            <w:hideMark/>
          </w:tcPr>
          <w:p w14:paraId="6CC5C703" w14:textId="77777777" w:rsidR="00000000" w:rsidRDefault="00E614A4">
            <w:pPr>
              <w:rPr>
                <w:rFonts w:eastAsia="Times New Roman"/>
                <w:sz w:val="20"/>
                <w:szCs w:val="20"/>
              </w:rPr>
            </w:pPr>
          </w:p>
        </w:tc>
        <w:tc>
          <w:tcPr>
            <w:tcW w:w="5" w:type="pct"/>
            <w:vAlign w:val="center"/>
            <w:hideMark/>
          </w:tcPr>
          <w:p w14:paraId="7A70B227" w14:textId="77777777" w:rsidR="00000000" w:rsidRDefault="00E614A4">
            <w:pPr>
              <w:rPr>
                <w:rFonts w:eastAsia="Times New Roman"/>
                <w:sz w:val="20"/>
                <w:szCs w:val="20"/>
              </w:rPr>
            </w:pPr>
          </w:p>
        </w:tc>
        <w:tc>
          <w:tcPr>
            <w:tcW w:w="5" w:type="pct"/>
            <w:vAlign w:val="center"/>
            <w:hideMark/>
          </w:tcPr>
          <w:p w14:paraId="506F69F1" w14:textId="77777777" w:rsidR="00000000" w:rsidRDefault="00E614A4">
            <w:pPr>
              <w:rPr>
                <w:rFonts w:eastAsia="Times New Roman"/>
                <w:sz w:val="20"/>
                <w:szCs w:val="20"/>
              </w:rPr>
            </w:pPr>
          </w:p>
        </w:tc>
        <w:tc>
          <w:tcPr>
            <w:tcW w:w="17" w:type="pct"/>
            <w:vAlign w:val="center"/>
            <w:hideMark/>
          </w:tcPr>
          <w:p w14:paraId="5D40326B" w14:textId="77777777" w:rsidR="00000000" w:rsidRDefault="00E614A4">
            <w:pPr>
              <w:rPr>
                <w:rFonts w:eastAsia="Times New Roman"/>
                <w:sz w:val="20"/>
                <w:szCs w:val="20"/>
              </w:rPr>
            </w:pPr>
          </w:p>
        </w:tc>
        <w:tc>
          <w:tcPr>
            <w:tcW w:w="5" w:type="pct"/>
            <w:vAlign w:val="center"/>
            <w:hideMark/>
          </w:tcPr>
          <w:p w14:paraId="02DB13FB" w14:textId="77777777" w:rsidR="00000000" w:rsidRDefault="00E614A4">
            <w:pPr>
              <w:rPr>
                <w:rFonts w:eastAsia="Times New Roman"/>
                <w:sz w:val="20"/>
                <w:szCs w:val="20"/>
              </w:rPr>
            </w:pPr>
          </w:p>
        </w:tc>
        <w:tc>
          <w:tcPr>
            <w:tcW w:w="50" w:type="pct"/>
            <w:vAlign w:val="center"/>
            <w:hideMark/>
          </w:tcPr>
          <w:p w14:paraId="299A473F" w14:textId="77777777" w:rsidR="00000000" w:rsidRDefault="00E614A4">
            <w:pPr>
              <w:rPr>
                <w:rFonts w:eastAsia="Times New Roman"/>
                <w:sz w:val="20"/>
                <w:szCs w:val="20"/>
              </w:rPr>
            </w:pPr>
          </w:p>
        </w:tc>
        <w:tc>
          <w:tcPr>
            <w:tcW w:w="618" w:type="pct"/>
            <w:vAlign w:val="center"/>
            <w:hideMark/>
          </w:tcPr>
          <w:p w14:paraId="1EAC052C" w14:textId="77777777" w:rsidR="00000000" w:rsidRDefault="00E614A4">
            <w:pPr>
              <w:rPr>
                <w:rFonts w:eastAsia="Times New Roman"/>
                <w:sz w:val="20"/>
                <w:szCs w:val="20"/>
              </w:rPr>
            </w:pPr>
          </w:p>
        </w:tc>
        <w:tc>
          <w:tcPr>
            <w:tcW w:w="5" w:type="pct"/>
            <w:vAlign w:val="center"/>
            <w:hideMark/>
          </w:tcPr>
          <w:p w14:paraId="484F25D3" w14:textId="77777777" w:rsidR="00000000" w:rsidRDefault="00E614A4">
            <w:pPr>
              <w:rPr>
                <w:rFonts w:eastAsia="Times New Roman"/>
                <w:sz w:val="20"/>
                <w:szCs w:val="20"/>
              </w:rPr>
            </w:pPr>
          </w:p>
        </w:tc>
        <w:tc>
          <w:tcPr>
            <w:tcW w:w="5" w:type="pct"/>
            <w:vAlign w:val="center"/>
            <w:hideMark/>
          </w:tcPr>
          <w:p w14:paraId="1F6AFC60" w14:textId="77777777" w:rsidR="00000000" w:rsidRDefault="00E614A4">
            <w:pPr>
              <w:rPr>
                <w:rFonts w:eastAsia="Times New Roman"/>
                <w:sz w:val="20"/>
                <w:szCs w:val="20"/>
              </w:rPr>
            </w:pPr>
          </w:p>
        </w:tc>
        <w:tc>
          <w:tcPr>
            <w:tcW w:w="17" w:type="pct"/>
            <w:vAlign w:val="center"/>
            <w:hideMark/>
          </w:tcPr>
          <w:p w14:paraId="6660B7DA" w14:textId="77777777" w:rsidR="00000000" w:rsidRDefault="00E614A4">
            <w:pPr>
              <w:rPr>
                <w:rFonts w:eastAsia="Times New Roman"/>
                <w:sz w:val="20"/>
                <w:szCs w:val="20"/>
              </w:rPr>
            </w:pPr>
          </w:p>
        </w:tc>
        <w:tc>
          <w:tcPr>
            <w:tcW w:w="5" w:type="pct"/>
            <w:vAlign w:val="center"/>
            <w:hideMark/>
          </w:tcPr>
          <w:p w14:paraId="277A2341" w14:textId="77777777" w:rsidR="00000000" w:rsidRDefault="00E614A4">
            <w:pPr>
              <w:rPr>
                <w:rFonts w:eastAsia="Times New Roman"/>
                <w:sz w:val="20"/>
                <w:szCs w:val="20"/>
              </w:rPr>
            </w:pPr>
          </w:p>
        </w:tc>
        <w:tc>
          <w:tcPr>
            <w:tcW w:w="50" w:type="pct"/>
            <w:vAlign w:val="center"/>
            <w:hideMark/>
          </w:tcPr>
          <w:p w14:paraId="13A72E29" w14:textId="77777777" w:rsidR="00000000" w:rsidRDefault="00E614A4">
            <w:pPr>
              <w:rPr>
                <w:rFonts w:eastAsia="Times New Roman"/>
                <w:sz w:val="20"/>
                <w:szCs w:val="20"/>
              </w:rPr>
            </w:pPr>
          </w:p>
        </w:tc>
        <w:tc>
          <w:tcPr>
            <w:tcW w:w="618" w:type="pct"/>
            <w:vAlign w:val="center"/>
            <w:hideMark/>
          </w:tcPr>
          <w:p w14:paraId="0FA2A18E" w14:textId="77777777" w:rsidR="00000000" w:rsidRDefault="00E614A4">
            <w:pPr>
              <w:rPr>
                <w:rFonts w:eastAsia="Times New Roman"/>
                <w:sz w:val="20"/>
                <w:szCs w:val="20"/>
              </w:rPr>
            </w:pPr>
          </w:p>
        </w:tc>
        <w:tc>
          <w:tcPr>
            <w:tcW w:w="5" w:type="pct"/>
            <w:vAlign w:val="center"/>
            <w:hideMark/>
          </w:tcPr>
          <w:p w14:paraId="6D1C8313" w14:textId="77777777" w:rsidR="00000000" w:rsidRDefault="00E614A4">
            <w:pPr>
              <w:rPr>
                <w:rFonts w:eastAsia="Times New Roman"/>
                <w:sz w:val="20"/>
                <w:szCs w:val="20"/>
              </w:rPr>
            </w:pPr>
          </w:p>
        </w:tc>
        <w:tc>
          <w:tcPr>
            <w:tcW w:w="5" w:type="pct"/>
            <w:vAlign w:val="center"/>
            <w:hideMark/>
          </w:tcPr>
          <w:p w14:paraId="79DD5C78" w14:textId="77777777" w:rsidR="00000000" w:rsidRDefault="00E614A4">
            <w:pPr>
              <w:rPr>
                <w:rFonts w:eastAsia="Times New Roman"/>
                <w:sz w:val="20"/>
                <w:szCs w:val="20"/>
              </w:rPr>
            </w:pPr>
          </w:p>
        </w:tc>
        <w:tc>
          <w:tcPr>
            <w:tcW w:w="17" w:type="pct"/>
            <w:vAlign w:val="center"/>
            <w:hideMark/>
          </w:tcPr>
          <w:p w14:paraId="3C316F70" w14:textId="77777777" w:rsidR="00000000" w:rsidRDefault="00E614A4">
            <w:pPr>
              <w:rPr>
                <w:rFonts w:eastAsia="Times New Roman"/>
                <w:sz w:val="20"/>
                <w:szCs w:val="20"/>
              </w:rPr>
            </w:pPr>
          </w:p>
        </w:tc>
        <w:tc>
          <w:tcPr>
            <w:tcW w:w="5" w:type="pct"/>
            <w:vAlign w:val="center"/>
            <w:hideMark/>
          </w:tcPr>
          <w:p w14:paraId="4F8D01AA" w14:textId="77777777" w:rsidR="00000000" w:rsidRDefault="00E614A4">
            <w:pPr>
              <w:rPr>
                <w:rFonts w:eastAsia="Times New Roman"/>
                <w:sz w:val="20"/>
                <w:szCs w:val="20"/>
              </w:rPr>
            </w:pPr>
          </w:p>
        </w:tc>
        <w:tc>
          <w:tcPr>
            <w:tcW w:w="50" w:type="pct"/>
            <w:vAlign w:val="center"/>
            <w:hideMark/>
          </w:tcPr>
          <w:p w14:paraId="6F85B8C3" w14:textId="77777777" w:rsidR="00000000" w:rsidRDefault="00E614A4">
            <w:pPr>
              <w:rPr>
                <w:rFonts w:eastAsia="Times New Roman"/>
                <w:sz w:val="20"/>
                <w:szCs w:val="20"/>
              </w:rPr>
            </w:pPr>
          </w:p>
        </w:tc>
        <w:tc>
          <w:tcPr>
            <w:tcW w:w="618" w:type="pct"/>
            <w:vAlign w:val="center"/>
            <w:hideMark/>
          </w:tcPr>
          <w:p w14:paraId="780E0127" w14:textId="77777777" w:rsidR="00000000" w:rsidRDefault="00E614A4">
            <w:pPr>
              <w:rPr>
                <w:rFonts w:eastAsia="Times New Roman"/>
                <w:sz w:val="20"/>
                <w:szCs w:val="20"/>
              </w:rPr>
            </w:pPr>
          </w:p>
        </w:tc>
        <w:tc>
          <w:tcPr>
            <w:tcW w:w="5" w:type="pct"/>
            <w:vAlign w:val="center"/>
            <w:hideMark/>
          </w:tcPr>
          <w:p w14:paraId="4C4F4029" w14:textId="77777777" w:rsidR="00000000" w:rsidRDefault="00E614A4">
            <w:pPr>
              <w:rPr>
                <w:rFonts w:eastAsia="Times New Roman"/>
                <w:sz w:val="20"/>
                <w:szCs w:val="20"/>
              </w:rPr>
            </w:pPr>
          </w:p>
        </w:tc>
      </w:tr>
      <w:tr w:rsidR="00000000" w14:paraId="539D7BCC" w14:textId="77777777">
        <w:trPr>
          <w:divId w:val="1042746722"/>
        </w:trPr>
        <w:tc>
          <w:tcPr>
            <w:tcW w:w="0" w:type="auto"/>
            <w:gridSpan w:val="3"/>
            <w:tcMar>
              <w:top w:w="30" w:type="dxa"/>
              <w:left w:w="20" w:type="dxa"/>
              <w:bottom w:w="30" w:type="dxa"/>
              <w:right w:w="20" w:type="dxa"/>
            </w:tcMar>
            <w:vAlign w:val="bottom"/>
            <w:hideMark/>
          </w:tcPr>
          <w:p w14:paraId="6EEC0796"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FEC058B" w14:textId="77777777" w:rsidR="00000000" w:rsidRDefault="00E614A4">
            <w:pPr>
              <w:rPr>
                <w:rFonts w:eastAsia="Times New Roman"/>
              </w:rPr>
            </w:pPr>
          </w:p>
        </w:tc>
        <w:tc>
          <w:tcPr>
            <w:tcW w:w="0" w:type="auto"/>
            <w:gridSpan w:val="15"/>
            <w:tcMar>
              <w:top w:w="30" w:type="dxa"/>
              <w:left w:w="20" w:type="dxa"/>
              <w:bottom w:w="30" w:type="dxa"/>
              <w:right w:w="20" w:type="dxa"/>
            </w:tcMar>
            <w:vAlign w:val="bottom"/>
            <w:hideMark/>
          </w:tcPr>
          <w:p w14:paraId="4C9D8FAB"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5B5B971B" w14:textId="77777777">
        <w:trPr>
          <w:divId w:val="1042746722"/>
        </w:trPr>
        <w:tc>
          <w:tcPr>
            <w:tcW w:w="0" w:type="auto"/>
            <w:gridSpan w:val="3"/>
            <w:tcMar>
              <w:top w:w="30" w:type="dxa"/>
              <w:left w:w="20" w:type="dxa"/>
              <w:bottom w:w="30" w:type="dxa"/>
              <w:right w:w="20" w:type="dxa"/>
            </w:tcMar>
            <w:vAlign w:val="bottom"/>
            <w:hideMark/>
          </w:tcPr>
          <w:p w14:paraId="5BA3116E"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19E09E60"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28948D"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4D7D099"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6A3C38"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14952ADB"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99C65C" w14:textId="77777777" w:rsidR="00000000" w:rsidRDefault="00E614A4">
            <w:pPr>
              <w:jc w:val="center"/>
              <w:rPr>
                <w:rFonts w:eastAsia="Times New Roman"/>
              </w:rPr>
            </w:pPr>
            <w:r>
              <w:rPr>
                <w:rFonts w:eastAsia="Times New Roman"/>
                <w:b/>
                <w:bCs/>
                <w:color w:val="000000"/>
                <w:sz w:val="16"/>
                <w:szCs w:val="16"/>
              </w:rPr>
              <w:t>2018</w:t>
            </w:r>
          </w:p>
        </w:tc>
      </w:tr>
      <w:tr w:rsidR="00000000" w14:paraId="3C0F3A67" w14:textId="77777777">
        <w:trPr>
          <w:divId w:val="1042746722"/>
        </w:trPr>
        <w:tc>
          <w:tcPr>
            <w:tcW w:w="0" w:type="auto"/>
            <w:gridSpan w:val="3"/>
            <w:shd w:val="clear" w:color="auto" w:fill="CCEEFF"/>
            <w:tcMar>
              <w:top w:w="30" w:type="dxa"/>
              <w:left w:w="20" w:type="dxa"/>
              <w:bottom w:w="30" w:type="dxa"/>
              <w:right w:w="20" w:type="dxa"/>
            </w:tcMar>
            <w:hideMark/>
          </w:tcPr>
          <w:p w14:paraId="63C0BEEC" w14:textId="77777777" w:rsidR="00000000" w:rsidRDefault="00E614A4">
            <w:pPr>
              <w:divId w:val="1739129932"/>
              <w:rPr>
                <w:rFonts w:eastAsia="Times New Roman"/>
              </w:rPr>
            </w:pPr>
            <w:r>
              <w:rPr>
                <w:rFonts w:eastAsia="Times New Roman"/>
                <w:b/>
                <w:bCs/>
                <w:color w:val="000000"/>
                <w:sz w:val="18"/>
                <w:szCs w:val="18"/>
              </w:rPr>
              <w:t>Current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46954F3" w14:textId="77777777" w:rsidR="00000000" w:rsidRDefault="00E614A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ECD9BA"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697A55"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86C679"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79079E"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261562" w14:textId="77777777" w:rsidR="00000000" w:rsidRDefault="00E614A4">
            <w:pPr>
              <w:rPr>
                <w:rFonts w:eastAsia="Times New Roman"/>
                <w:sz w:val="20"/>
                <w:szCs w:val="20"/>
              </w:rPr>
            </w:pPr>
          </w:p>
        </w:tc>
      </w:tr>
      <w:tr w:rsidR="00000000" w14:paraId="0D102006" w14:textId="77777777">
        <w:trPr>
          <w:divId w:val="1042746722"/>
        </w:trPr>
        <w:tc>
          <w:tcPr>
            <w:tcW w:w="0" w:type="auto"/>
            <w:gridSpan w:val="3"/>
            <w:tcMar>
              <w:top w:w="30" w:type="dxa"/>
              <w:left w:w="140" w:type="dxa"/>
              <w:bottom w:w="30" w:type="dxa"/>
              <w:right w:w="20" w:type="dxa"/>
            </w:tcMar>
            <w:hideMark/>
          </w:tcPr>
          <w:p w14:paraId="2F40472D" w14:textId="77777777" w:rsidR="00000000" w:rsidRDefault="00E614A4">
            <w:pPr>
              <w:rPr>
                <w:rFonts w:eastAsia="Times New Roman"/>
              </w:rPr>
            </w:pPr>
            <w:r>
              <w:rPr>
                <w:rFonts w:eastAsia="Times New Roman"/>
                <w:color w:val="000000"/>
                <w:sz w:val="18"/>
                <w:szCs w:val="18"/>
              </w:rPr>
              <w:t>Federal</w:t>
            </w:r>
          </w:p>
        </w:tc>
        <w:tc>
          <w:tcPr>
            <w:tcW w:w="0" w:type="auto"/>
            <w:gridSpan w:val="3"/>
            <w:tcMar>
              <w:top w:w="0" w:type="dxa"/>
              <w:left w:w="20" w:type="dxa"/>
              <w:bottom w:w="0" w:type="dxa"/>
              <w:right w:w="20" w:type="dxa"/>
            </w:tcMar>
            <w:vAlign w:val="center"/>
            <w:hideMark/>
          </w:tcPr>
          <w:p w14:paraId="4FF7674F" w14:textId="77777777" w:rsidR="00000000" w:rsidRDefault="00E614A4">
            <w:pPr>
              <w:rPr>
                <w:rFonts w:eastAsia="Times New Roman"/>
              </w:rPr>
            </w:pPr>
          </w:p>
        </w:tc>
        <w:tc>
          <w:tcPr>
            <w:tcW w:w="0" w:type="auto"/>
            <w:tcMar>
              <w:top w:w="30" w:type="dxa"/>
              <w:left w:w="20" w:type="dxa"/>
              <w:bottom w:w="30" w:type="dxa"/>
              <w:right w:w="0" w:type="dxa"/>
            </w:tcMar>
            <w:vAlign w:val="bottom"/>
            <w:hideMark/>
          </w:tcPr>
          <w:p w14:paraId="614312FF" w14:textId="77777777" w:rsidR="00000000" w:rsidRDefault="00E614A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653C9D8C" w14:textId="77777777" w:rsidR="00000000" w:rsidRDefault="00E614A4">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14:paraId="6174E6B0"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5CC2DE2E" w14:textId="77777777" w:rsidR="00000000" w:rsidRDefault="00E614A4">
            <w:pPr>
              <w:jc w:val="right"/>
              <w:rPr>
                <w:rFonts w:eastAsia="Times New Roman"/>
                <w:sz w:val="20"/>
                <w:szCs w:val="20"/>
              </w:rPr>
            </w:pPr>
          </w:p>
        </w:tc>
        <w:tc>
          <w:tcPr>
            <w:tcW w:w="0" w:type="auto"/>
            <w:tcMar>
              <w:top w:w="30" w:type="dxa"/>
              <w:left w:w="20" w:type="dxa"/>
              <w:bottom w:w="30" w:type="dxa"/>
              <w:right w:w="0" w:type="dxa"/>
            </w:tcMar>
            <w:vAlign w:val="bottom"/>
            <w:hideMark/>
          </w:tcPr>
          <w:p w14:paraId="3AD2684C" w14:textId="77777777" w:rsidR="00000000" w:rsidRDefault="00E614A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34F8006E" w14:textId="77777777" w:rsidR="00000000" w:rsidRDefault="00E614A4">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14:paraId="2935471E"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7BF6047D" w14:textId="77777777" w:rsidR="00000000" w:rsidRDefault="00E614A4">
            <w:pPr>
              <w:jc w:val="right"/>
              <w:rPr>
                <w:rFonts w:eastAsia="Times New Roman"/>
                <w:sz w:val="20"/>
                <w:szCs w:val="20"/>
              </w:rPr>
            </w:pPr>
          </w:p>
        </w:tc>
        <w:tc>
          <w:tcPr>
            <w:tcW w:w="0" w:type="auto"/>
            <w:tcMar>
              <w:top w:w="30" w:type="dxa"/>
              <w:left w:w="20" w:type="dxa"/>
              <w:bottom w:w="30" w:type="dxa"/>
              <w:right w:w="0" w:type="dxa"/>
            </w:tcMar>
            <w:vAlign w:val="bottom"/>
            <w:hideMark/>
          </w:tcPr>
          <w:p w14:paraId="28173143" w14:textId="77777777" w:rsidR="00000000" w:rsidRDefault="00E614A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1CC9A8F0" w14:textId="77777777" w:rsidR="00000000" w:rsidRDefault="00E614A4">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14:paraId="7F62D19B" w14:textId="77777777" w:rsidR="00000000" w:rsidRDefault="00E614A4">
            <w:pPr>
              <w:jc w:val="right"/>
              <w:rPr>
                <w:rFonts w:eastAsia="Times New Roman"/>
              </w:rPr>
            </w:pPr>
          </w:p>
        </w:tc>
      </w:tr>
      <w:tr w:rsidR="00000000" w14:paraId="6A13547C" w14:textId="77777777">
        <w:trPr>
          <w:divId w:val="1042746722"/>
        </w:trPr>
        <w:tc>
          <w:tcPr>
            <w:tcW w:w="0" w:type="auto"/>
            <w:gridSpan w:val="3"/>
            <w:shd w:val="clear" w:color="auto" w:fill="CCEEFF"/>
            <w:tcMar>
              <w:top w:w="30" w:type="dxa"/>
              <w:left w:w="140" w:type="dxa"/>
              <w:bottom w:w="30" w:type="dxa"/>
              <w:right w:w="20" w:type="dxa"/>
            </w:tcMar>
            <w:hideMark/>
          </w:tcPr>
          <w:p w14:paraId="3EA92B45" w14:textId="77777777" w:rsidR="00000000" w:rsidRDefault="00E614A4">
            <w:pPr>
              <w:rPr>
                <w:rFonts w:eastAsia="Times New Roman"/>
              </w:rPr>
            </w:pPr>
            <w:r>
              <w:rPr>
                <w:rFonts w:eastAsia="Times New Roman"/>
                <w:color w:val="000000"/>
                <w:sz w:val="18"/>
                <w:szCs w:val="18"/>
              </w:rPr>
              <w:t>State</w:t>
            </w:r>
          </w:p>
        </w:tc>
        <w:tc>
          <w:tcPr>
            <w:tcW w:w="0" w:type="auto"/>
            <w:gridSpan w:val="3"/>
            <w:shd w:val="clear" w:color="auto" w:fill="CCEEFF"/>
            <w:tcMar>
              <w:top w:w="0" w:type="dxa"/>
              <w:left w:w="20" w:type="dxa"/>
              <w:bottom w:w="0" w:type="dxa"/>
              <w:right w:w="20" w:type="dxa"/>
            </w:tcMar>
            <w:vAlign w:val="center"/>
            <w:hideMark/>
          </w:tcPr>
          <w:p w14:paraId="7AEDCC8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CC6EC7" w14:textId="77777777" w:rsidR="00000000" w:rsidRDefault="00E614A4">
            <w:pPr>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14:paraId="30C2750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051E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21F164" w14:textId="77777777" w:rsidR="00000000" w:rsidRDefault="00E614A4">
            <w:pPr>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bottom"/>
            <w:hideMark/>
          </w:tcPr>
          <w:p w14:paraId="51365C3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BE65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3FB0CF" w14:textId="77777777" w:rsidR="00000000" w:rsidRDefault="00E614A4">
            <w:pPr>
              <w:jc w:val="right"/>
              <w:rPr>
                <w:rFonts w:eastAsia="Times New Roman"/>
              </w:rPr>
            </w:pPr>
            <w:r>
              <w:rPr>
                <w:rFonts w:eastAsia="Times New Roman"/>
                <w:color w:val="000000"/>
                <w:sz w:val="18"/>
                <w:szCs w:val="18"/>
              </w:rPr>
              <w:t>(119)</w:t>
            </w:r>
          </w:p>
        </w:tc>
        <w:tc>
          <w:tcPr>
            <w:tcW w:w="0" w:type="auto"/>
            <w:shd w:val="clear" w:color="auto" w:fill="CCEEFF"/>
            <w:tcMar>
              <w:top w:w="30" w:type="dxa"/>
              <w:left w:w="0" w:type="dxa"/>
              <w:bottom w:w="30" w:type="dxa"/>
              <w:right w:w="20" w:type="dxa"/>
            </w:tcMar>
            <w:vAlign w:val="bottom"/>
            <w:hideMark/>
          </w:tcPr>
          <w:p w14:paraId="776EA094" w14:textId="77777777" w:rsidR="00000000" w:rsidRDefault="00E614A4">
            <w:pPr>
              <w:jc w:val="right"/>
              <w:rPr>
                <w:rFonts w:eastAsia="Times New Roman"/>
              </w:rPr>
            </w:pPr>
          </w:p>
        </w:tc>
      </w:tr>
      <w:tr w:rsidR="00000000" w14:paraId="761E7433" w14:textId="77777777">
        <w:trPr>
          <w:divId w:val="1042746722"/>
        </w:trPr>
        <w:tc>
          <w:tcPr>
            <w:tcW w:w="0" w:type="auto"/>
            <w:gridSpan w:val="3"/>
            <w:tcMar>
              <w:top w:w="30" w:type="dxa"/>
              <w:left w:w="140" w:type="dxa"/>
              <w:bottom w:w="30" w:type="dxa"/>
              <w:right w:w="20" w:type="dxa"/>
            </w:tcMar>
            <w:hideMark/>
          </w:tcPr>
          <w:p w14:paraId="029D09AB" w14:textId="77777777" w:rsidR="00000000" w:rsidRDefault="00E614A4">
            <w:pPr>
              <w:rPr>
                <w:rFonts w:eastAsia="Times New Roman"/>
              </w:rPr>
            </w:pPr>
            <w:r>
              <w:rPr>
                <w:rFonts w:eastAsia="Times New Roman"/>
                <w:color w:val="000000"/>
                <w:sz w:val="18"/>
                <w:szCs w:val="18"/>
              </w:rPr>
              <w:t>Foreign</w:t>
            </w:r>
          </w:p>
        </w:tc>
        <w:tc>
          <w:tcPr>
            <w:tcW w:w="0" w:type="auto"/>
            <w:gridSpan w:val="3"/>
            <w:tcMar>
              <w:top w:w="0" w:type="dxa"/>
              <w:left w:w="20" w:type="dxa"/>
              <w:bottom w:w="0" w:type="dxa"/>
              <w:right w:w="20" w:type="dxa"/>
            </w:tcMar>
            <w:vAlign w:val="center"/>
            <w:hideMark/>
          </w:tcPr>
          <w:p w14:paraId="5D8898D2" w14:textId="77777777" w:rsidR="00000000" w:rsidRDefault="00E614A4">
            <w:pPr>
              <w:rPr>
                <w:rFonts w:eastAsia="Times New Roman"/>
              </w:rPr>
            </w:pPr>
          </w:p>
        </w:tc>
        <w:tc>
          <w:tcPr>
            <w:tcW w:w="0" w:type="auto"/>
            <w:gridSpan w:val="2"/>
            <w:tcMar>
              <w:top w:w="30" w:type="dxa"/>
              <w:left w:w="20" w:type="dxa"/>
              <w:bottom w:w="30" w:type="dxa"/>
              <w:right w:w="0" w:type="dxa"/>
            </w:tcMar>
            <w:vAlign w:val="bottom"/>
            <w:hideMark/>
          </w:tcPr>
          <w:p w14:paraId="5C5B96DE" w14:textId="77777777" w:rsidR="00000000" w:rsidRDefault="00E614A4">
            <w:pPr>
              <w:jc w:val="right"/>
              <w:rPr>
                <w:rFonts w:eastAsia="Times New Roman"/>
              </w:rPr>
            </w:pPr>
            <w:r>
              <w:rPr>
                <w:rFonts w:eastAsia="Times New Roman"/>
                <w:color w:val="000000"/>
                <w:sz w:val="18"/>
                <w:szCs w:val="18"/>
              </w:rPr>
              <w:t>847 </w:t>
            </w:r>
          </w:p>
        </w:tc>
        <w:tc>
          <w:tcPr>
            <w:tcW w:w="0" w:type="auto"/>
            <w:tcMar>
              <w:top w:w="30" w:type="dxa"/>
              <w:left w:w="0" w:type="dxa"/>
              <w:bottom w:w="30" w:type="dxa"/>
              <w:right w:w="20" w:type="dxa"/>
            </w:tcMar>
            <w:vAlign w:val="bottom"/>
            <w:hideMark/>
          </w:tcPr>
          <w:p w14:paraId="40B7A6AE"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6082277E"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C31F525" w14:textId="77777777" w:rsidR="00000000" w:rsidRDefault="00E614A4">
            <w:pPr>
              <w:jc w:val="right"/>
              <w:rPr>
                <w:rFonts w:eastAsia="Times New Roman"/>
              </w:rPr>
            </w:pPr>
            <w:r>
              <w:rPr>
                <w:rFonts w:eastAsia="Times New Roman"/>
                <w:color w:val="000000"/>
                <w:sz w:val="18"/>
                <w:szCs w:val="18"/>
              </w:rPr>
              <w:t>2,762 </w:t>
            </w:r>
          </w:p>
        </w:tc>
        <w:tc>
          <w:tcPr>
            <w:tcW w:w="0" w:type="auto"/>
            <w:tcMar>
              <w:top w:w="30" w:type="dxa"/>
              <w:left w:w="0" w:type="dxa"/>
              <w:bottom w:w="30" w:type="dxa"/>
              <w:right w:w="20" w:type="dxa"/>
            </w:tcMar>
            <w:vAlign w:val="bottom"/>
            <w:hideMark/>
          </w:tcPr>
          <w:p w14:paraId="23968D9F"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61C3C5EE"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E8D2C01" w14:textId="77777777" w:rsidR="00000000" w:rsidRDefault="00E614A4">
            <w:pPr>
              <w:jc w:val="right"/>
              <w:rPr>
                <w:rFonts w:eastAsia="Times New Roman"/>
              </w:rPr>
            </w:pPr>
            <w:r>
              <w:rPr>
                <w:rFonts w:eastAsia="Times New Roman"/>
                <w:color w:val="000000"/>
                <w:sz w:val="18"/>
                <w:szCs w:val="18"/>
              </w:rPr>
              <w:t>1,806 </w:t>
            </w:r>
          </w:p>
        </w:tc>
        <w:tc>
          <w:tcPr>
            <w:tcW w:w="0" w:type="auto"/>
            <w:tcMar>
              <w:top w:w="30" w:type="dxa"/>
              <w:left w:w="0" w:type="dxa"/>
              <w:bottom w:w="30" w:type="dxa"/>
              <w:right w:w="20" w:type="dxa"/>
            </w:tcMar>
            <w:vAlign w:val="bottom"/>
            <w:hideMark/>
          </w:tcPr>
          <w:p w14:paraId="78DDF575" w14:textId="77777777" w:rsidR="00000000" w:rsidRDefault="00E614A4">
            <w:pPr>
              <w:jc w:val="right"/>
              <w:rPr>
                <w:rFonts w:eastAsia="Times New Roman"/>
              </w:rPr>
            </w:pPr>
          </w:p>
        </w:tc>
      </w:tr>
      <w:tr w:rsidR="00000000" w14:paraId="4684FBF4" w14:textId="77777777">
        <w:trPr>
          <w:divId w:val="1042746722"/>
        </w:trPr>
        <w:tc>
          <w:tcPr>
            <w:tcW w:w="0" w:type="auto"/>
            <w:gridSpan w:val="3"/>
            <w:shd w:val="clear" w:color="auto" w:fill="CCEEFF"/>
            <w:tcMar>
              <w:top w:w="30" w:type="dxa"/>
              <w:left w:w="245" w:type="dxa"/>
              <w:bottom w:w="30" w:type="dxa"/>
              <w:right w:w="20" w:type="dxa"/>
            </w:tcMar>
            <w:hideMark/>
          </w:tcPr>
          <w:p w14:paraId="095CBB8C" w14:textId="77777777" w:rsidR="00000000" w:rsidRDefault="00E614A4">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45939671"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FF49D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BF8574" w14:textId="77777777" w:rsidR="00000000" w:rsidRDefault="00E614A4">
            <w:pPr>
              <w:jc w:val="right"/>
              <w:rPr>
                <w:rFonts w:eastAsia="Times New Roman"/>
              </w:rPr>
            </w:pPr>
            <w:r>
              <w:rPr>
                <w:rFonts w:eastAsia="Times New Roman"/>
                <w:color w:val="000000"/>
                <w:sz w:val="18"/>
                <w:szCs w:val="18"/>
              </w:rPr>
              <w:t>892 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6FABA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7F5F6"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43BA3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4C376E" w14:textId="77777777" w:rsidR="00000000" w:rsidRDefault="00E614A4">
            <w:pPr>
              <w:jc w:val="right"/>
              <w:rPr>
                <w:rFonts w:eastAsia="Times New Roman"/>
              </w:rPr>
            </w:pPr>
            <w:r>
              <w:rPr>
                <w:rFonts w:eastAsia="Times New Roman"/>
                <w:color w:val="000000"/>
                <w:sz w:val="18"/>
                <w:szCs w:val="18"/>
              </w:rPr>
              <w:t>2,720 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F77A9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7920F"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1B05B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B632A3" w14:textId="77777777" w:rsidR="00000000" w:rsidRDefault="00E614A4">
            <w:pPr>
              <w:jc w:val="right"/>
              <w:rPr>
                <w:rFonts w:eastAsia="Times New Roman"/>
              </w:rPr>
            </w:pPr>
            <w:r>
              <w:rPr>
                <w:rFonts w:eastAsia="Times New Roman"/>
                <w:color w:val="000000"/>
                <w:sz w:val="18"/>
                <w:szCs w:val="18"/>
              </w:rPr>
              <w:t>1,687 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1812A" w14:textId="77777777" w:rsidR="00000000" w:rsidRDefault="00E614A4">
            <w:pPr>
              <w:jc w:val="right"/>
              <w:rPr>
                <w:rFonts w:eastAsia="Times New Roman"/>
              </w:rPr>
            </w:pPr>
          </w:p>
        </w:tc>
      </w:tr>
      <w:tr w:rsidR="00000000" w14:paraId="44647609" w14:textId="77777777">
        <w:trPr>
          <w:divId w:val="1042746722"/>
        </w:trPr>
        <w:tc>
          <w:tcPr>
            <w:tcW w:w="0" w:type="auto"/>
            <w:gridSpan w:val="3"/>
            <w:tcMar>
              <w:top w:w="30" w:type="dxa"/>
              <w:left w:w="20" w:type="dxa"/>
              <w:bottom w:w="30" w:type="dxa"/>
              <w:right w:w="20" w:type="dxa"/>
            </w:tcMar>
            <w:hideMark/>
          </w:tcPr>
          <w:p w14:paraId="76C2955B" w14:textId="77777777" w:rsidR="00000000" w:rsidRDefault="00E614A4">
            <w:pPr>
              <w:divId w:val="1807576701"/>
              <w:rPr>
                <w:rFonts w:eastAsia="Times New Roman"/>
              </w:rPr>
            </w:pPr>
            <w:r>
              <w:rPr>
                <w:rFonts w:eastAsia="Times New Roman"/>
                <w:b/>
                <w:bCs/>
                <w:color w:val="000000"/>
                <w:sz w:val="18"/>
                <w:szCs w:val="18"/>
              </w:rPr>
              <w:t>Deferred</w:t>
            </w: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21E8BC78"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78931D8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EE0F7B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78C3DDC"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A2E0FF7"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42757EA" w14:textId="77777777" w:rsidR="00000000" w:rsidRDefault="00E614A4">
            <w:pPr>
              <w:rPr>
                <w:rFonts w:eastAsia="Times New Roman"/>
                <w:sz w:val="20"/>
                <w:szCs w:val="20"/>
              </w:rPr>
            </w:pPr>
          </w:p>
        </w:tc>
      </w:tr>
      <w:tr w:rsidR="00000000" w14:paraId="4EAF6645" w14:textId="77777777">
        <w:trPr>
          <w:divId w:val="1042746722"/>
        </w:trPr>
        <w:tc>
          <w:tcPr>
            <w:tcW w:w="0" w:type="auto"/>
            <w:gridSpan w:val="3"/>
            <w:shd w:val="clear" w:color="auto" w:fill="CCEEFF"/>
            <w:tcMar>
              <w:top w:w="30" w:type="dxa"/>
              <w:left w:w="140" w:type="dxa"/>
              <w:bottom w:w="30" w:type="dxa"/>
              <w:right w:w="20" w:type="dxa"/>
            </w:tcMar>
            <w:hideMark/>
          </w:tcPr>
          <w:p w14:paraId="5D1122CA" w14:textId="77777777" w:rsidR="00000000" w:rsidRDefault="00E614A4">
            <w:pPr>
              <w:rPr>
                <w:rFonts w:eastAsia="Times New Roman"/>
              </w:rPr>
            </w:pPr>
            <w:r>
              <w:rPr>
                <w:rFonts w:eastAsia="Times New Roman"/>
                <w:color w:val="000000"/>
                <w:sz w:val="18"/>
                <w:szCs w:val="18"/>
              </w:rPr>
              <w:t>Federal</w:t>
            </w:r>
          </w:p>
        </w:tc>
        <w:tc>
          <w:tcPr>
            <w:tcW w:w="0" w:type="auto"/>
            <w:gridSpan w:val="3"/>
            <w:shd w:val="clear" w:color="auto" w:fill="CCEEFF"/>
            <w:tcMar>
              <w:top w:w="0" w:type="dxa"/>
              <w:left w:w="20" w:type="dxa"/>
              <w:bottom w:w="0" w:type="dxa"/>
              <w:right w:w="20" w:type="dxa"/>
            </w:tcMar>
            <w:vAlign w:val="center"/>
            <w:hideMark/>
          </w:tcPr>
          <w:p w14:paraId="75709252" w14:textId="77777777" w:rsidR="00000000" w:rsidRDefault="00E614A4">
            <w:pPr>
              <w:rPr>
                <w:rFonts w:eastAsia="Times New Roman"/>
              </w:rPr>
            </w:pPr>
          </w:p>
        </w:tc>
        <w:tc>
          <w:tcPr>
            <w:tcW w:w="0" w:type="auto"/>
            <w:shd w:val="clear" w:color="auto" w:fill="CCEEFF"/>
            <w:tcMar>
              <w:top w:w="30" w:type="dxa"/>
              <w:left w:w="20" w:type="dxa"/>
              <w:bottom w:w="30" w:type="dxa"/>
              <w:right w:w="0" w:type="dxa"/>
            </w:tcMar>
            <w:vAlign w:val="bottom"/>
            <w:hideMark/>
          </w:tcPr>
          <w:p w14:paraId="7AAA460D"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14E6112" w14:textId="77777777" w:rsidR="00000000" w:rsidRDefault="00E614A4">
            <w:pPr>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bottom"/>
            <w:hideMark/>
          </w:tcPr>
          <w:p w14:paraId="66EEF59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053AE"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A73265"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5453404" w14:textId="77777777" w:rsidR="00000000" w:rsidRDefault="00E614A4">
            <w:pPr>
              <w:jc w:val="right"/>
              <w:rPr>
                <w:rFonts w:eastAsia="Times New Roman"/>
              </w:rPr>
            </w:pPr>
            <w:r>
              <w:rPr>
                <w:rFonts w:eastAsia="Times New Roman"/>
                <w:color w:val="000000"/>
                <w:sz w:val="18"/>
                <w:szCs w:val="18"/>
              </w:rPr>
              <w:t>(1,189)</w:t>
            </w:r>
          </w:p>
        </w:tc>
        <w:tc>
          <w:tcPr>
            <w:tcW w:w="0" w:type="auto"/>
            <w:shd w:val="clear" w:color="auto" w:fill="CCEEFF"/>
            <w:tcMar>
              <w:top w:w="30" w:type="dxa"/>
              <w:left w:w="0" w:type="dxa"/>
              <w:bottom w:w="30" w:type="dxa"/>
              <w:right w:w="20" w:type="dxa"/>
            </w:tcMar>
            <w:vAlign w:val="bottom"/>
            <w:hideMark/>
          </w:tcPr>
          <w:p w14:paraId="7AE969C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8CAA1F"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676093"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AF09DCE" w14:textId="77777777" w:rsidR="00000000" w:rsidRDefault="00E614A4">
            <w:pPr>
              <w:jc w:val="right"/>
              <w:rPr>
                <w:rFonts w:eastAsia="Times New Roman"/>
              </w:rPr>
            </w:pPr>
            <w:r>
              <w:rPr>
                <w:rFonts w:eastAsia="Times New Roman"/>
                <w:color w:val="000000"/>
                <w:sz w:val="18"/>
                <w:szCs w:val="18"/>
              </w:rPr>
              <w:t>898 </w:t>
            </w:r>
          </w:p>
        </w:tc>
        <w:tc>
          <w:tcPr>
            <w:tcW w:w="0" w:type="auto"/>
            <w:shd w:val="clear" w:color="auto" w:fill="CCEEFF"/>
            <w:tcMar>
              <w:top w:w="30" w:type="dxa"/>
              <w:left w:w="0" w:type="dxa"/>
              <w:bottom w:w="30" w:type="dxa"/>
              <w:right w:w="20" w:type="dxa"/>
            </w:tcMar>
            <w:vAlign w:val="bottom"/>
            <w:hideMark/>
          </w:tcPr>
          <w:p w14:paraId="4BE2965E" w14:textId="77777777" w:rsidR="00000000" w:rsidRDefault="00E614A4">
            <w:pPr>
              <w:jc w:val="right"/>
              <w:rPr>
                <w:rFonts w:eastAsia="Times New Roman"/>
              </w:rPr>
            </w:pPr>
          </w:p>
        </w:tc>
      </w:tr>
      <w:tr w:rsidR="00000000" w14:paraId="57E44F3E" w14:textId="77777777">
        <w:trPr>
          <w:divId w:val="1042746722"/>
        </w:trPr>
        <w:tc>
          <w:tcPr>
            <w:tcW w:w="0" w:type="auto"/>
            <w:gridSpan w:val="3"/>
            <w:tcMar>
              <w:top w:w="30" w:type="dxa"/>
              <w:left w:w="140" w:type="dxa"/>
              <w:bottom w:w="30" w:type="dxa"/>
              <w:right w:w="20" w:type="dxa"/>
            </w:tcMar>
            <w:hideMark/>
          </w:tcPr>
          <w:p w14:paraId="39F341E7" w14:textId="77777777" w:rsidR="00000000" w:rsidRDefault="00E614A4">
            <w:pPr>
              <w:rPr>
                <w:rFonts w:eastAsia="Times New Roman"/>
              </w:rPr>
            </w:pPr>
            <w:r>
              <w:rPr>
                <w:rFonts w:eastAsia="Times New Roman"/>
                <w:color w:val="000000"/>
                <w:sz w:val="18"/>
                <w:szCs w:val="18"/>
              </w:rPr>
              <w:t>State</w:t>
            </w:r>
          </w:p>
        </w:tc>
        <w:tc>
          <w:tcPr>
            <w:tcW w:w="0" w:type="auto"/>
            <w:gridSpan w:val="3"/>
            <w:tcMar>
              <w:top w:w="0" w:type="dxa"/>
              <w:left w:w="20" w:type="dxa"/>
              <w:bottom w:w="0" w:type="dxa"/>
              <w:right w:w="20" w:type="dxa"/>
            </w:tcMar>
            <w:vAlign w:val="center"/>
            <w:hideMark/>
          </w:tcPr>
          <w:p w14:paraId="443416C8" w14:textId="77777777" w:rsidR="00000000" w:rsidRDefault="00E614A4">
            <w:pPr>
              <w:rPr>
                <w:rFonts w:eastAsia="Times New Roman"/>
              </w:rPr>
            </w:pPr>
          </w:p>
        </w:tc>
        <w:tc>
          <w:tcPr>
            <w:tcW w:w="0" w:type="auto"/>
            <w:gridSpan w:val="2"/>
            <w:tcMar>
              <w:top w:w="30" w:type="dxa"/>
              <w:left w:w="20" w:type="dxa"/>
              <w:bottom w:w="30" w:type="dxa"/>
              <w:right w:w="0" w:type="dxa"/>
            </w:tcMar>
            <w:vAlign w:val="bottom"/>
            <w:hideMark/>
          </w:tcPr>
          <w:p w14:paraId="1D5AC4A9" w14:textId="77777777" w:rsidR="00000000" w:rsidRDefault="00E614A4">
            <w:pPr>
              <w:jc w:val="right"/>
              <w:rPr>
                <w:rFonts w:eastAsia="Times New Roman"/>
              </w:rPr>
            </w:pPr>
            <w:r>
              <w:rPr>
                <w:rFonts w:eastAsia="Times New Roman"/>
                <w:color w:val="000000"/>
                <w:sz w:val="18"/>
                <w:szCs w:val="18"/>
              </w:rPr>
              <w:t>238 </w:t>
            </w:r>
          </w:p>
        </w:tc>
        <w:tc>
          <w:tcPr>
            <w:tcW w:w="0" w:type="auto"/>
            <w:tcMar>
              <w:top w:w="30" w:type="dxa"/>
              <w:left w:w="0" w:type="dxa"/>
              <w:bottom w:w="30" w:type="dxa"/>
              <w:right w:w="20" w:type="dxa"/>
            </w:tcMar>
            <w:vAlign w:val="bottom"/>
            <w:hideMark/>
          </w:tcPr>
          <w:p w14:paraId="3E373E3E"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685BA8DD"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F6A060C" w14:textId="77777777" w:rsidR="00000000" w:rsidRDefault="00E614A4">
            <w:pPr>
              <w:jc w:val="right"/>
              <w:rPr>
                <w:rFonts w:eastAsia="Times New Roman"/>
              </w:rPr>
            </w:pPr>
            <w:r>
              <w:rPr>
                <w:rFonts w:eastAsia="Times New Roman"/>
                <w:color w:val="000000"/>
                <w:sz w:val="18"/>
                <w:szCs w:val="18"/>
              </w:rPr>
              <w:t>(3,992)</w:t>
            </w:r>
          </w:p>
        </w:tc>
        <w:tc>
          <w:tcPr>
            <w:tcW w:w="0" w:type="auto"/>
            <w:tcMar>
              <w:top w:w="30" w:type="dxa"/>
              <w:left w:w="0" w:type="dxa"/>
              <w:bottom w:w="30" w:type="dxa"/>
              <w:right w:w="20" w:type="dxa"/>
            </w:tcMar>
            <w:vAlign w:val="bottom"/>
            <w:hideMark/>
          </w:tcPr>
          <w:p w14:paraId="4176B315"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01C0F35E" w14:textId="77777777" w:rsidR="00000000" w:rsidRDefault="00E614A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244FC3E" w14:textId="77777777" w:rsidR="00000000" w:rsidRDefault="00E614A4">
            <w:pPr>
              <w:jc w:val="right"/>
              <w:rPr>
                <w:rFonts w:eastAsia="Times New Roman"/>
              </w:rPr>
            </w:pPr>
            <w:r>
              <w:rPr>
                <w:rFonts w:eastAsia="Times New Roman"/>
                <w:color w:val="000000"/>
                <w:sz w:val="18"/>
                <w:szCs w:val="18"/>
              </w:rPr>
              <w:t>1,060 </w:t>
            </w:r>
          </w:p>
        </w:tc>
        <w:tc>
          <w:tcPr>
            <w:tcW w:w="0" w:type="auto"/>
            <w:tcMar>
              <w:top w:w="30" w:type="dxa"/>
              <w:left w:w="0" w:type="dxa"/>
              <w:bottom w:w="30" w:type="dxa"/>
              <w:right w:w="20" w:type="dxa"/>
            </w:tcMar>
            <w:vAlign w:val="bottom"/>
            <w:hideMark/>
          </w:tcPr>
          <w:p w14:paraId="0B8DBEFB" w14:textId="77777777" w:rsidR="00000000" w:rsidRDefault="00E614A4">
            <w:pPr>
              <w:jc w:val="right"/>
              <w:rPr>
                <w:rFonts w:eastAsia="Times New Roman"/>
              </w:rPr>
            </w:pPr>
          </w:p>
        </w:tc>
      </w:tr>
      <w:tr w:rsidR="00000000" w14:paraId="1B98C1BF" w14:textId="77777777">
        <w:trPr>
          <w:divId w:val="1042746722"/>
        </w:trPr>
        <w:tc>
          <w:tcPr>
            <w:tcW w:w="0" w:type="auto"/>
            <w:gridSpan w:val="3"/>
            <w:shd w:val="clear" w:color="auto" w:fill="CCEEFF"/>
            <w:tcMar>
              <w:top w:w="30" w:type="dxa"/>
              <w:left w:w="140" w:type="dxa"/>
              <w:bottom w:w="30" w:type="dxa"/>
              <w:right w:w="20" w:type="dxa"/>
            </w:tcMar>
            <w:hideMark/>
          </w:tcPr>
          <w:p w14:paraId="6CC0CFDE" w14:textId="77777777" w:rsidR="00000000" w:rsidRDefault="00E614A4">
            <w:pPr>
              <w:rPr>
                <w:rFonts w:eastAsia="Times New Roman"/>
              </w:rPr>
            </w:pPr>
            <w:r>
              <w:rPr>
                <w:rFonts w:eastAsia="Times New Roman"/>
                <w:color w:val="000000"/>
                <w:sz w:val="18"/>
                <w:szCs w:val="18"/>
              </w:rPr>
              <w:t>Foreign</w:t>
            </w:r>
          </w:p>
        </w:tc>
        <w:tc>
          <w:tcPr>
            <w:tcW w:w="0" w:type="auto"/>
            <w:gridSpan w:val="3"/>
            <w:shd w:val="clear" w:color="auto" w:fill="CCEEFF"/>
            <w:tcMar>
              <w:top w:w="0" w:type="dxa"/>
              <w:left w:w="20" w:type="dxa"/>
              <w:bottom w:w="0" w:type="dxa"/>
              <w:right w:w="20" w:type="dxa"/>
            </w:tcMar>
            <w:vAlign w:val="center"/>
            <w:hideMark/>
          </w:tcPr>
          <w:p w14:paraId="3BF36964"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1EF0FB" w14:textId="77777777" w:rsidR="00000000" w:rsidRDefault="00E614A4">
            <w:pPr>
              <w:jc w:val="right"/>
              <w:rPr>
                <w:rFonts w:eastAsia="Times New Roman"/>
              </w:rPr>
            </w:pPr>
            <w:r>
              <w:rPr>
                <w:rFonts w:eastAsia="Times New Roman"/>
                <w:color w:val="000000"/>
                <w:sz w:val="18"/>
                <w:szCs w:val="18"/>
              </w:rPr>
              <w:t>(329)</w:t>
            </w:r>
          </w:p>
        </w:tc>
        <w:tc>
          <w:tcPr>
            <w:tcW w:w="0" w:type="auto"/>
            <w:shd w:val="clear" w:color="auto" w:fill="CCEEFF"/>
            <w:tcMar>
              <w:top w:w="30" w:type="dxa"/>
              <w:left w:w="0" w:type="dxa"/>
              <w:bottom w:w="30" w:type="dxa"/>
              <w:right w:w="20" w:type="dxa"/>
            </w:tcMar>
            <w:vAlign w:val="bottom"/>
            <w:hideMark/>
          </w:tcPr>
          <w:p w14:paraId="320F83E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33F8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E81FDD" w14:textId="77777777" w:rsidR="00000000" w:rsidRDefault="00E614A4">
            <w:pPr>
              <w:jc w:val="right"/>
              <w:rPr>
                <w:rFonts w:eastAsia="Times New Roman"/>
              </w:rPr>
            </w:pPr>
            <w:r>
              <w:rPr>
                <w:rFonts w:eastAsia="Times New Roman"/>
                <w:color w:val="000000"/>
                <w:sz w:val="18"/>
                <w:szCs w:val="18"/>
              </w:rPr>
              <w:t>1,454 </w:t>
            </w:r>
          </w:p>
        </w:tc>
        <w:tc>
          <w:tcPr>
            <w:tcW w:w="0" w:type="auto"/>
            <w:shd w:val="clear" w:color="auto" w:fill="CCEEFF"/>
            <w:tcMar>
              <w:top w:w="30" w:type="dxa"/>
              <w:left w:w="0" w:type="dxa"/>
              <w:bottom w:w="30" w:type="dxa"/>
              <w:right w:w="20" w:type="dxa"/>
            </w:tcMar>
            <w:vAlign w:val="bottom"/>
            <w:hideMark/>
          </w:tcPr>
          <w:p w14:paraId="721B3F9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4848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3D6A97" w14:textId="77777777" w:rsidR="00000000" w:rsidRDefault="00E614A4">
            <w:pPr>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bottom"/>
            <w:hideMark/>
          </w:tcPr>
          <w:p w14:paraId="582EEF22" w14:textId="77777777" w:rsidR="00000000" w:rsidRDefault="00E614A4">
            <w:pPr>
              <w:jc w:val="right"/>
              <w:rPr>
                <w:rFonts w:eastAsia="Times New Roman"/>
              </w:rPr>
            </w:pPr>
          </w:p>
        </w:tc>
      </w:tr>
      <w:tr w:rsidR="00000000" w14:paraId="0830C892" w14:textId="77777777">
        <w:trPr>
          <w:divId w:val="1042746722"/>
        </w:trPr>
        <w:tc>
          <w:tcPr>
            <w:tcW w:w="0" w:type="auto"/>
            <w:gridSpan w:val="3"/>
            <w:tcMar>
              <w:top w:w="30" w:type="dxa"/>
              <w:left w:w="245" w:type="dxa"/>
              <w:bottom w:w="30" w:type="dxa"/>
              <w:right w:w="20" w:type="dxa"/>
            </w:tcMar>
            <w:hideMark/>
          </w:tcPr>
          <w:p w14:paraId="4E4D806C" w14:textId="77777777" w:rsidR="00000000" w:rsidRDefault="00E614A4">
            <w:pPr>
              <w:rPr>
                <w:rFonts w:eastAsia="Times New Roman"/>
              </w:rPr>
            </w:pPr>
            <w:r>
              <w:rPr>
                <w:rFonts w:eastAsia="Times New Roman"/>
                <w:b/>
                <w:bCs/>
                <w:color w:val="000000"/>
                <w:sz w:val="18"/>
                <w:szCs w:val="18"/>
              </w:rPr>
              <w:t>Total</w:t>
            </w:r>
          </w:p>
        </w:tc>
        <w:tc>
          <w:tcPr>
            <w:tcW w:w="0" w:type="auto"/>
            <w:gridSpan w:val="3"/>
            <w:tcMar>
              <w:top w:w="0" w:type="dxa"/>
              <w:left w:w="20" w:type="dxa"/>
              <w:bottom w:w="0" w:type="dxa"/>
              <w:right w:w="20" w:type="dxa"/>
            </w:tcMar>
            <w:vAlign w:val="center"/>
            <w:hideMark/>
          </w:tcPr>
          <w:p w14:paraId="0E448661" w14:textId="77777777" w:rsidR="00000000" w:rsidRDefault="00E614A4">
            <w:pPr>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14:paraId="75E3F43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451D4FBA" w14:textId="77777777" w:rsidR="00000000" w:rsidRDefault="00E614A4">
            <w:pPr>
              <w:jc w:val="right"/>
              <w:rPr>
                <w:rFonts w:eastAsia="Times New Roman"/>
              </w:rPr>
            </w:pPr>
            <w:r>
              <w:rPr>
                <w:rFonts w:eastAsia="Times New Roman"/>
                <w:color w:val="000000"/>
                <w:sz w:val="18"/>
                <w:szCs w:val="18"/>
              </w:rPr>
              <w:t>10 </w:t>
            </w:r>
          </w:p>
        </w:tc>
        <w:tc>
          <w:tcPr>
            <w:tcW w:w="0" w:type="auto"/>
            <w:tcBorders>
              <w:top w:val="single" w:sz="8" w:space="0" w:color="000000"/>
            </w:tcBorders>
            <w:tcMar>
              <w:top w:w="30" w:type="dxa"/>
              <w:left w:w="0" w:type="dxa"/>
              <w:bottom w:w="30" w:type="dxa"/>
              <w:right w:w="20" w:type="dxa"/>
            </w:tcMar>
            <w:vAlign w:val="bottom"/>
            <w:hideMark/>
          </w:tcPr>
          <w:p w14:paraId="108879C0"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5EB372CB" w14:textId="77777777" w:rsidR="00000000" w:rsidRDefault="00E614A4">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2547D0D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4F2425BE" w14:textId="77777777" w:rsidR="00000000" w:rsidRDefault="00E614A4">
            <w:pPr>
              <w:jc w:val="right"/>
              <w:rPr>
                <w:rFonts w:eastAsia="Times New Roman"/>
              </w:rPr>
            </w:pPr>
            <w:r>
              <w:rPr>
                <w:rFonts w:eastAsia="Times New Roman"/>
                <w:color w:val="000000"/>
                <w:sz w:val="18"/>
                <w:szCs w:val="18"/>
              </w:rPr>
              <w:t>(3,727)</w:t>
            </w:r>
          </w:p>
        </w:tc>
        <w:tc>
          <w:tcPr>
            <w:tcW w:w="0" w:type="auto"/>
            <w:tcBorders>
              <w:top w:val="single" w:sz="8" w:space="0" w:color="000000"/>
            </w:tcBorders>
            <w:tcMar>
              <w:top w:w="30" w:type="dxa"/>
              <w:left w:w="0" w:type="dxa"/>
              <w:bottom w:w="30" w:type="dxa"/>
              <w:right w:w="20" w:type="dxa"/>
            </w:tcMar>
            <w:vAlign w:val="bottom"/>
            <w:hideMark/>
          </w:tcPr>
          <w:p w14:paraId="38C8CF1A" w14:textId="77777777" w:rsidR="00000000" w:rsidRDefault="00E614A4">
            <w:pPr>
              <w:jc w:val="right"/>
              <w:rPr>
                <w:rFonts w:eastAsia="Times New Roman"/>
              </w:rPr>
            </w:pPr>
          </w:p>
        </w:tc>
        <w:tc>
          <w:tcPr>
            <w:tcW w:w="0" w:type="auto"/>
            <w:gridSpan w:val="3"/>
            <w:tcMar>
              <w:top w:w="0" w:type="dxa"/>
              <w:left w:w="20" w:type="dxa"/>
              <w:bottom w:w="0" w:type="dxa"/>
              <w:right w:w="20" w:type="dxa"/>
            </w:tcMar>
            <w:vAlign w:val="center"/>
            <w:hideMark/>
          </w:tcPr>
          <w:p w14:paraId="0ABDF390" w14:textId="77777777" w:rsidR="00000000" w:rsidRDefault="00E614A4">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343589F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04FBB556" w14:textId="77777777" w:rsidR="00000000" w:rsidRDefault="00E614A4">
            <w:pPr>
              <w:jc w:val="right"/>
              <w:rPr>
                <w:rFonts w:eastAsia="Times New Roman"/>
              </w:rPr>
            </w:pPr>
            <w:r>
              <w:rPr>
                <w:rFonts w:eastAsia="Times New Roman"/>
                <w:color w:val="000000"/>
                <w:sz w:val="18"/>
                <w:szCs w:val="18"/>
              </w:rPr>
              <w:t>2,019 </w:t>
            </w:r>
          </w:p>
        </w:tc>
        <w:tc>
          <w:tcPr>
            <w:tcW w:w="0" w:type="auto"/>
            <w:tcBorders>
              <w:top w:val="single" w:sz="8" w:space="0" w:color="000000"/>
            </w:tcBorders>
            <w:tcMar>
              <w:top w:w="30" w:type="dxa"/>
              <w:left w:w="0" w:type="dxa"/>
              <w:bottom w:w="30" w:type="dxa"/>
              <w:right w:w="20" w:type="dxa"/>
            </w:tcMar>
            <w:vAlign w:val="bottom"/>
            <w:hideMark/>
          </w:tcPr>
          <w:p w14:paraId="47685279" w14:textId="77777777" w:rsidR="00000000" w:rsidRDefault="00E614A4">
            <w:pPr>
              <w:jc w:val="right"/>
              <w:rPr>
                <w:rFonts w:eastAsia="Times New Roman"/>
              </w:rPr>
            </w:pPr>
          </w:p>
        </w:tc>
      </w:tr>
      <w:tr w:rsidR="00000000" w14:paraId="738A49E5" w14:textId="77777777">
        <w:trPr>
          <w:divId w:val="1042746722"/>
        </w:trPr>
        <w:tc>
          <w:tcPr>
            <w:tcW w:w="0" w:type="auto"/>
            <w:gridSpan w:val="3"/>
            <w:shd w:val="clear" w:color="auto" w:fill="CCEEFF"/>
            <w:tcMar>
              <w:top w:w="30" w:type="dxa"/>
              <w:left w:w="20" w:type="dxa"/>
              <w:bottom w:w="30" w:type="dxa"/>
              <w:right w:w="20" w:type="dxa"/>
            </w:tcMar>
            <w:hideMark/>
          </w:tcPr>
          <w:p w14:paraId="528B4FFF" w14:textId="77777777" w:rsidR="00000000" w:rsidRDefault="00E614A4">
            <w:pPr>
              <w:rPr>
                <w:rFonts w:eastAsia="Times New Roman"/>
              </w:rPr>
            </w:pPr>
            <w:r>
              <w:rPr>
                <w:rFonts w:eastAsia="Times New Roman"/>
                <w:b/>
                <w:bCs/>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4588C400"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D4101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79FEE6" w14:textId="77777777" w:rsidR="00000000" w:rsidRDefault="00E614A4">
            <w:pPr>
              <w:jc w:val="right"/>
              <w:rPr>
                <w:rFonts w:eastAsia="Times New Roman"/>
              </w:rPr>
            </w:pPr>
            <w:r>
              <w:rPr>
                <w:rFonts w:eastAsia="Times New Roman"/>
                <w:color w:val="000000"/>
                <w:sz w:val="18"/>
                <w:szCs w:val="18"/>
              </w:rPr>
              <w:t>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348E6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7DEE2"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3E597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FA3FFC" w14:textId="77777777" w:rsidR="00000000" w:rsidRDefault="00E614A4">
            <w:pPr>
              <w:jc w:val="right"/>
              <w:rPr>
                <w:rFonts w:eastAsia="Times New Roman"/>
              </w:rPr>
            </w:pPr>
            <w:r>
              <w:rPr>
                <w:rFonts w:eastAsia="Times New Roman"/>
                <w:color w:val="000000"/>
                <w:sz w:val="18"/>
                <w:szCs w:val="18"/>
              </w:rPr>
              <w:t>(1,007)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756AC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F4CE1"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85513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8A9AF5" w14:textId="77777777" w:rsidR="00000000" w:rsidRDefault="00E614A4">
            <w:pPr>
              <w:jc w:val="right"/>
              <w:rPr>
                <w:rFonts w:eastAsia="Times New Roman"/>
              </w:rPr>
            </w:pPr>
            <w:r>
              <w:rPr>
                <w:rFonts w:eastAsia="Times New Roman"/>
                <w:color w:val="000000"/>
                <w:sz w:val="18"/>
                <w:szCs w:val="18"/>
              </w:rPr>
              <w:t>3,706 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675DE8" w14:textId="77777777" w:rsidR="00000000" w:rsidRDefault="00E614A4">
            <w:pPr>
              <w:jc w:val="right"/>
              <w:rPr>
                <w:rFonts w:eastAsia="Times New Roman"/>
              </w:rPr>
            </w:pPr>
          </w:p>
        </w:tc>
      </w:tr>
    </w:tbl>
    <w:p w14:paraId="1B41D460" w14:textId="77777777" w:rsidR="00000000" w:rsidRDefault="00E614A4">
      <w:pPr>
        <w:divId w:val="1877110587"/>
        <w:rPr>
          <w:rFonts w:eastAsia="Times New Roman"/>
        </w:rPr>
      </w:pPr>
      <w:r>
        <w:rPr>
          <w:rFonts w:eastAsia="Times New Roman"/>
          <w:color w:val="000000"/>
          <w:sz w:val="20"/>
          <w:szCs w:val="20"/>
        </w:rPr>
        <w:t>A reconciliation of the statutory U.S. income tax rate to the effective income tax rate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590"/>
        <w:gridCol w:w="37"/>
        <w:gridCol w:w="36"/>
        <w:gridCol w:w="36"/>
        <w:gridCol w:w="36"/>
        <w:gridCol w:w="39"/>
        <w:gridCol w:w="894"/>
        <w:gridCol w:w="171"/>
        <w:gridCol w:w="37"/>
        <w:gridCol w:w="37"/>
        <w:gridCol w:w="37"/>
        <w:gridCol w:w="38"/>
        <w:gridCol w:w="897"/>
        <w:gridCol w:w="170"/>
        <w:gridCol w:w="36"/>
        <w:gridCol w:w="36"/>
        <w:gridCol w:w="36"/>
        <w:gridCol w:w="37"/>
        <w:gridCol w:w="898"/>
        <w:gridCol w:w="170"/>
      </w:tblGrid>
      <w:tr w:rsidR="00000000" w14:paraId="699A73F8" w14:textId="77777777">
        <w:trPr>
          <w:divId w:val="192957966"/>
        </w:trPr>
        <w:tc>
          <w:tcPr>
            <w:tcW w:w="50" w:type="pct"/>
            <w:vAlign w:val="center"/>
            <w:hideMark/>
          </w:tcPr>
          <w:p w14:paraId="477D15DB" w14:textId="77777777" w:rsidR="00000000" w:rsidRDefault="00E614A4">
            <w:pPr>
              <w:rPr>
                <w:rFonts w:eastAsia="Times New Roman"/>
              </w:rPr>
            </w:pPr>
          </w:p>
        </w:tc>
        <w:tc>
          <w:tcPr>
            <w:tcW w:w="2840" w:type="pct"/>
            <w:vAlign w:val="center"/>
            <w:hideMark/>
          </w:tcPr>
          <w:p w14:paraId="24BC4821" w14:textId="77777777" w:rsidR="00000000" w:rsidRDefault="00E614A4">
            <w:pPr>
              <w:rPr>
                <w:rFonts w:eastAsia="Times New Roman"/>
                <w:sz w:val="20"/>
                <w:szCs w:val="20"/>
              </w:rPr>
            </w:pPr>
          </w:p>
        </w:tc>
        <w:tc>
          <w:tcPr>
            <w:tcW w:w="5" w:type="pct"/>
            <w:vAlign w:val="center"/>
            <w:hideMark/>
          </w:tcPr>
          <w:p w14:paraId="6627DE19" w14:textId="77777777" w:rsidR="00000000" w:rsidRDefault="00E614A4">
            <w:pPr>
              <w:rPr>
                <w:rFonts w:eastAsia="Times New Roman"/>
                <w:sz w:val="20"/>
                <w:szCs w:val="20"/>
              </w:rPr>
            </w:pPr>
          </w:p>
        </w:tc>
        <w:tc>
          <w:tcPr>
            <w:tcW w:w="5" w:type="pct"/>
            <w:vAlign w:val="center"/>
            <w:hideMark/>
          </w:tcPr>
          <w:p w14:paraId="22804332" w14:textId="77777777" w:rsidR="00000000" w:rsidRDefault="00E614A4">
            <w:pPr>
              <w:rPr>
                <w:rFonts w:eastAsia="Times New Roman"/>
                <w:sz w:val="20"/>
                <w:szCs w:val="20"/>
              </w:rPr>
            </w:pPr>
          </w:p>
        </w:tc>
        <w:tc>
          <w:tcPr>
            <w:tcW w:w="17" w:type="pct"/>
            <w:vAlign w:val="center"/>
            <w:hideMark/>
          </w:tcPr>
          <w:p w14:paraId="2D9E8E09" w14:textId="77777777" w:rsidR="00000000" w:rsidRDefault="00E614A4">
            <w:pPr>
              <w:rPr>
                <w:rFonts w:eastAsia="Times New Roman"/>
                <w:sz w:val="20"/>
                <w:szCs w:val="20"/>
              </w:rPr>
            </w:pPr>
          </w:p>
        </w:tc>
        <w:tc>
          <w:tcPr>
            <w:tcW w:w="5" w:type="pct"/>
            <w:vAlign w:val="center"/>
            <w:hideMark/>
          </w:tcPr>
          <w:p w14:paraId="36BBC3F0" w14:textId="77777777" w:rsidR="00000000" w:rsidRDefault="00E614A4">
            <w:pPr>
              <w:rPr>
                <w:rFonts w:eastAsia="Times New Roman"/>
                <w:sz w:val="20"/>
                <w:szCs w:val="20"/>
              </w:rPr>
            </w:pPr>
          </w:p>
        </w:tc>
        <w:tc>
          <w:tcPr>
            <w:tcW w:w="50" w:type="pct"/>
            <w:vAlign w:val="center"/>
            <w:hideMark/>
          </w:tcPr>
          <w:p w14:paraId="5C58B1C4" w14:textId="77777777" w:rsidR="00000000" w:rsidRDefault="00E614A4">
            <w:pPr>
              <w:rPr>
                <w:rFonts w:eastAsia="Times New Roman"/>
                <w:sz w:val="20"/>
                <w:szCs w:val="20"/>
              </w:rPr>
            </w:pPr>
          </w:p>
        </w:tc>
        <w:tc>
          <w:tcPr>
            <w:tcW w:w="618" w:type="pct"/>
            <w:vAlign w:val="center"/>
            <w:hideMark/>
          </w:tcPr>
          <w:p w14:paraId="51A89567" w14:textId="77777777" w:rsidR="00000000" w:rsidRDefault="00E614A4">
            <w:pPr>
              <w:rPr>
                <w:rFonts w:eastAsia="Times New Roman"/>
                <w:sz w:val="20"/>
                <w:szCs w:val="20"/>
              </w:rPr>
            </w:pPr>
          </w:p>
        </w:tc>
        <w:tc>
          <w:tcPr>
            <w:tcW w:w="5" w:type="pct"/>
            <w:vAlign w:val="center"/>
            <w:hideMark/>
          </w:tcPr>
          <w:p w14:paraId="4B786B28" w14:textId="77777777" w:rsidR="00000000" w:rsidRDefault="00E614A4">
            <w:pPr>
              <w:rPr>
                <w:rFonts w:eastAsia="Times New Roman"/>
                <w:sz w:val="20"/>
                <w:szCs w:val="20"/>
              </w:rPr>
            </w:pPr>
          </w:p>
        </w:tc>
        <w:tc>
          <w:tcPr>
            <w:tcW w:w="5" w:type="pct"/>
            <w:vAlign w:val="center"/>
            <w:hideMark/>
          </w:tcPr>
          <w:p w14:paraId="65B3B618" w14:textId="77777777" w:rsidR="00000000" w:rsidRDefault="00E614A4">
            <w:pPr>
              <w:rPr>
                <w:rFonts w:eastAsia="Times New Roman"/>
                <w:sz w:val="20"/>
                <w:szCs w:val="20"/>
              </w:rPr>
            </w:pPr>
          </w:p>
        </w:tc>
        <w:tc>
          <w:tcPr>
            <w:tcW w:w="17" w:type="pct"/>
            <w:vAlign w:val="center"/>
            <w:hideMark/>
          </w:tcPr>
          <w:p w14:paraId="3A5DAB62" w14:textId="77777777" w:rsidR="00000000" w:rsidRDefault="00E614A4">
            <w:pPr>
              <w:rPr>
                <w:rFonts w:eastAsia="Times New Roman"/>
                <w:sz w:val="20"/>
                <w:szCs w:val="20"/>
              </w:rPr>
            </w:pPr>
          </w:p>
        </w:tc>
        <w:tc>
          <w:tcPr>
            <w:tcW w:w="5" w:type="pct"/>
            <w:vAlign w:val="center"/>
            <w:hideMark/>
          </w:tcPr>
          <w:p w14:paraId="3684A153" w14:textId="77777777" w:rsidR="00000000" w:rsidRDefault="00E614A4">
            <w:pPr>
              <w:rPr>
                <w:rFonts w:eastAsia="Times New Roman"/>
                <w:sz w:val="20"/>
                <w:szCs w:val="20"/>
              </w:rPr>
            </w:pPr>
          </w:p>
        </w:tc>
        <w:tc>
          <w:tcPr>
            <w:tcW w:w="50" w:type="pct"/>
            <w:vAlign w:val="center"/>
            <w:hideMark/>
          </w:tcPr>
          <w:p w14:paraId="192DB503" w14:textId="77777777" w:rsidR="00000000" w:rsidRDefault="00E614A4">
            <w:pPr>
              <w:rPr>
                <w:rFonts w:eastAsia="Times New Roman"/>
                <w:sz w:val="20"/>
                <w:szCs w:val="20"/>
              </w:rPr>
            </w:pPr>
          </w:p>
        </w:tc>
        <w:tc>
          <w:tcPr>
            <w:tcW w:w="618" w:type="pct"/>
            <w:vAlign w:val="center"/>
            <w:hideMark/>
          </w:tcPr>
          <w:p w14:paraId="0985EEFD" w14:textId="77777777" w:rsidR="00000000" w:rsidRDefault="00E614A4">
            <w:pPr>
              <w:rPr>
                <w:rFonts w:eastAsia="Times New Roman"/>
                <w:sz w:val="20"/>
                <w:szCs w:val="20"/>
              </w:rPr>
            </w:pPr>
          </w:p>
        </w:tc>
        <w:tc>
          <w:tcPr>
            <w:tcW w:w="5" w:type="pct"/>
            <w:vAlign w:val="center"/>
            <w:hideMark/>
          </w:tcPr>
          <w:p w14:paraId="722E0A8B" w14:textId="77777777" w:rsidR="00000000" w:rsidRDefault="00E614A4">
            <w:pPr>
              <w:rPr>
                <w:rFonts w:eastAsia="Times New Roman"/>
                <w:sz w:val="20"/>
                <w:szCs w:val="20"/>
              </w:rPr>
            </w:pPr>
          </w:p>
        </w:tc>
        <w:tc>
          <w:tcPr>
            <w:tcW w:w="5" w:type="pct"/>
            <w:vAlign w:val="center"/>
            <w:hideMark/>
          </w:tcPr>
          <w:p w14:paraId="6B575DE5" w14:textId="77777777" w:rsidR="00000000" w:rsidRDefault="00E614A4">
            <w:pPr>
              <w:rPr>
                <w:rFonts w:eastAsia="Times New Roman"/>
                <w:sz w:val="20"/>
                <w:szCs w:val="20"/>
              </w:rPr>
            </w:pPr>
          </w:p>
        </w:tc>
        <w:tc>
          <w:tcPr>
            <w:tcW w:w="17" w:type="pct"/>
            <w:vAlign w:val="center"/>
            <w:hideMark/>
          </w:tcPr>
          <w:p w14:paraId="11BA0D82" w14:textId="77777777" w:rsidR="00000000" w:rsidRDefault="00E614A4">
            <w:pPr>
              <w:rPr>
                <w:rFonts w:eastAsia="Times New Roman"/>
                <w:sz w:val="20"/>
                <w:szCs w:val="20"/>
              </w:rPr>
            </w:pPr>
          </w:p>
        </w:tc>
        <w:tc>
          <w:tcPr>
            <w:tcW w:w="5" w:type="pct"/>
            <w:vAlign w:val="center"/>
            <w:hideMark/>
          </w:tcPr>
          <w:p w14:paraId="29A4FCAF" w14:textId="77777777" w:rsidR="00000000" w:rsidRDefault="00E614A4">
            <w:pPr>
              <w:rPr>
                <w:rFonts w:eastAsia="Times New Roman"/>
                <w:sz w:val="20"/>
                <w:szCs w:val="20"/>
              </w:rPr>
            </w:pPr>
          </w:p>
        </w:tc>
        <w:tc>
          <w:tcPr>
            <w:tcW w:w="50" w:type="pct"/>
            <w:vAlign w:val="center"/>
            <w:hideMark/>
          </w:tcPr>
          <w:p w14:paraId="397E91DA" w14:textId="77777777" w:rsidR="00000000" w:rsidRDefault="00E614A4">
            <w:pPr>
              <w:rPr>
                <w:rFonts w:eastAsia="Times New Roman"/>
                <w:sz w:val="20"/>
                <w:szCs w:val="20"/>
              </w:rPr>
            </w:pPr>
          </w:p>
        </w:tc>
        <w:tc>
          <w:tcPr>
            <w:tcW w:w="618" w:type="pct"/>
            <w:vAlign w:val="center"/>
            <w:hideMark/>
          </w:tcPr>
          <w:p w14:paraId="47AE2E96" w14:textId="77777777" w:rsidR="00000000" w:rsidRDefault="00E614A4">
            <w:pPr>
              <w:rPr>
                <w:rFonts w:eastAsia="Times New Roman"/>
                <w:sz w:val="20"/>
                <w:szCs w:val="20"/>
              </w:rPr>
            </w:pPr>
          </w:p>
        </w:tc>
        <w:tc>
          <w:tcPr>
            <w:tcW w:w="5" w:type="pct"/>
            <w:vAlign w:val="center"/>
            <w:hideMark/>
          </w:tcPr>
          <w:p w14:paraId="003E1AE5" w14:textId="77777777" w:rsidR="00000000" w:rsidRDefault="00E614A4">
            <w:pPr>
              <w:rPr>
                <w:rFonts w:eastAsia="Times New Roman"/>
                <w:sz w:val="20"/>
                <w:szCs w:val="20"/>
              </w:rPr>
            </w:pPr>
          </w:p>
        </w:tc>
      </w:tr>
      <w:tr w:rsidR="00000000" w14:paraId="763F1F06" w14:textId="77777777">
        <w:trPr>
          <w:divId w:val="192957966"/>
        </w:trPr>
        <w:tc>
          <w:tcPr>
            <w:tcW w:w="0" w:type="auto"/>
            <w:gridSpan w:val="3"/>
            <w:tcMar>
              <w:top w:w="30" w:type="dxa"/>
              <w:left w:w="20" w:type="dxa"/>
              <w:bottom w:w="30" w:type="dxa"/>
              <w:right w:w="20" w:type="dxa"/>
            </w:tcMar>
            <w:vAlign w:val="bottom"/>
            <w:hideMark/>
          </w:tcPr>
          <w:p w14:paraId="655FD473"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8662276" w14:textId="77777777" w:rsidR="00000000" w:rsidRDefault="00E614A4">
            <w:pPr>
              <w:rPr>
                <w:rFonts w:eastAsia="Times New Roman"/>
              </w:rPr>
            </w:pPr>
          </w:p>
        </w:tc>
        <w:tc>
          <w:tcPr>
            <w:tcW w:w="0" w:type="auto"/>
            <w:gridSpan w:val="15"/>
            <w:tcMar>
              <w:top w:w="30" w:type="dxa"/>
              <w:left w:w="20" w:type="dxa"/>
              <w:bottom w:w="30" w:type="dxa"/>
              <w:right w:w="20" w:type="dxa"/>
            </w:tcMar>
            <w:vAlign w:val="bottom"/>
            <w:hideMark/>
          </w:tcPr>
          <w:p w14:paraId="7144C4CF"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0F20E73E" w14:textId="77777777">
        <w:trPr>
          <w:divId w:val="192957966"/>
        </w:trPr>
        <w:tc>
          <w:tcPr>
            <w:tcW w:w="0" w:type="auto"/>
            <w:gridSpan w:val="3"/>
            <w:tcMar>
              <w:top w:w="30" w:type="dxa"/>
              <w:left w:w="20" w:type="dxa"/>
              <w:bottom w:w="30" w:type="dxa"/>
              <w:right w:w="20" w:type="dxa"/>
            </w:tcMar>
            <w:vAlign w:val="bottom"/>
            <w:hideMark/>
          </w:tcPr>
          <w:p w14:paraId="6E9623AF"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0E3F02E"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81D514"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6D814DD"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A54FC1"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12F1877E"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E7A139" w14:textId="77777777" w:rsidR="00000000" w:rsidRDefault="00E614A4">
            <w:pPr>
              <w:jc w:val="center"/>
              <w:rPr>
                <w:rFonts w:eastAsia="Times New Roman"/>
              </w:rPr>
            </w:pPr>
            <w:r>
              <w:rPr>
                <w:rFonts w:eastAsia="Times New Roman"/>
                <w:b/>
                <w:bCs/>
                <w:color w:val="000000"/>
                <w:sz w:val="16"/>
                <w:szCs w:val="16"/>
              </w:rPr>
              <w:t>2018</w:t>
            </w:r>
          </w:p>
        </w:tc>
      </w:tr>
      <w:tr w:rsidR="00000000" w14:paraId="575C1A7F" w14:textId="77777777">
        <w:trPr>
          <w:divId w:val="192957966"/>
        </w:trPr>
        <w:tc>
          <w:tcPr>
            <w:tcW w:w="0" w:type="auto"/>
            <w:gridSpan w:val="3"/>
            <w:shd w:val="clear" w:color="auto" w:fill="CCEEFF"/>
            <w:tcMar>
              <w:top w:w="30" w:type="dxa"/>
              <w:left w:w="20" w:type="dxa"/>
              <w:bottom w:w="30" w:type="dxa"/>
              <w:right w:w="20" w:type="dxa"/>
            </w:tcMar>
            <w:hideMark/>
          </w:tcPr>
          <w:p w14:paraId="7C53FFB3" w14:textId="77777777" w:rsidR="00000000" w:rsidRDefault="00E614A4">
            <w:pPr>
              <w:rPr>
                <w:rFonts w:eastAsia="Times New Roman"/>
              </w:rPr>
            </w:pPr>
            <w:r>
              <w:rPr>
                <w:rFonts w:eastAsia="Times New Roman"/>
                <w:color w:val="000000"/>
                <w:sz w:val="18"/>
                <w:szCs w:val="18"/>
              </w:rPr>
              <w:t>Statutory federal tax rate</w:t>
            </w:r>
          </w:p>
        </w:tc>
        <w:tc>
          <w:tcPr>
            <w:tcW w:w="0" w:type="auto"/>
            <w:gridSpan w:val="3"/>
            <w:shd w:val="clear" w:color="auto" w:fill="CCEEFF"/>
            <w:tcMar>
              <w:top w:w="0" w:type="dxa"/>
              <w:left w:w="20" w:type="dxa"/>
              <w:bottom w:w="0" w:type="dxa"/>
              <w:right w:w="20" w:type="dxa"/>
            </w:tcMar>
            <w:vAlign w:val="center"/>
            <w:hideMark/>
          </w:tcPr>
          <w:p w14:paraId="3D856F7D"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12D2D2" w14:textId="77777777" w:rsidR="00000000" w:rsidRDefault="00E614A4">
            <w:pPr>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2E95E9"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A39DA65" w14:textId="77777777" w:rsidR="00000000" w:rsidRDefault="00E614A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7C2ADC" w14:textId="77777777" w:rsidR="00000000" w:rsidRDefault="00E614A4">
            <w:pPr>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850F6A"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1AD3904" w14:textId="77777777" w:rsidR="00000000" w:rsidRDefault="00E614A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710A52" w14:textId="77777777" w:rsidR="00000000" w:rsidRDefault="00E614A4">
            <w:pPr>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A5CAA6" w14:textId="77777777" w:rsidR="00000000" w:rsidRDefault="00E614A4">
            <w:pPr>
              <w:jc w:val="right"/>
              <w:rPr>
                <w:rFonts w:eastAsia="Times New Roman"/>
              </w:rPr>
            </w:pPr>
            <w:r>
              <w:rPr>
                <w:rFonts w:eastAsia="Times New Roman"/>
                <w:color w:val="000000"/>
                <w:sz w:val="18"/>
                <w:szCs w:val="18"/>
              </w:rPr>
              <w:t>%</w:t>
            </w:r>
          </w:p>
        </w:tc>
      </w:tr>
      <w:tr w:rsidR="00000000" w14:paraId="7715409C" w14:textId="77777777">
        <w:trPr>
          <w:divId w:val="192957966"/>
        </w:trPr>
        <w:tc>
          <w:tcPr>
            <w:tcW w:w="0" w:type="auto"/>
            <w:gridSpan w:val="3"/>
            <w:shd w:val="clear" w:color="auto" w:fill="FFFFFF"/>
            <w:tcMar>
              <w:top w:w="30" w:type="dxa"/>
              <w:left w:w="20" w:type="dxa"/>
              <w:bottom w:w="30" w:type="dxa"/>
              <w:right w:w="20" w:type="dxa"/>
            </w:tcMar>
            <w:hideMark/>
          </w:tcPr>
          <w:p w14:paraId="03714BF6" w14:textId="77777777" w:rsidR="00000000" w:rsidRDefault="00E614A4">
            <w:pPr>
              <w:rPr>
                <w:rFonts w:eastAsia="Times New Roman"/>
              </w:rPr>
            </w:pPr>
            <w:r>
              <w:rPr>
                <w:rFonts w:eastAsia="Times New Roman"/>
                <w:color w:val="000000"/>
                <w:sz w:val="18"/>
                <w:szCs w:val="18"/>
              </w:rPr>
              <w:t>State taxes</w:t>
            </w:r>
          </w:p>
        </w:tc>
        <w:tc>
          <w:tcPr>
            <w:tcW w:w="0" w:type="auto"/>
            <w:gridSpan w:val="3"/>
            <w:shd w:val="clear" w:color="auto" w:fill="FFFFFF"/>
            <w:tcMar>
              <w:top w:w="0" w:type="dxa"/>
              <w:left w:w="20" w:type="dxa"/>
              <w:bottom w:w="0" w:type="dxa"/>
              <w:right w:w="20" w:type="dxa"/>
            </w:tcMar>
            <w:vAlign w:val="center"/>
            <w:hideMark/>
          </w:tcPr>
          <w:p w14:paraId="2C7BDD55"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E6CBDD" w14:textId="77777777" w:rsidR="00000000" w:rsidRDefault="00E614A4">
            <w:pPr>
              <w:jc w:val="right"/>
              <w:rPr>
                <w:rFonts w:eastAsia="Times New Roman"/>
              </w:rPr>
            </w:pPr>
            <w:r>
              <w:rPr>
                <w:rFonts w:eastAsia="Times New Roman"/>
                <w:color w:val="000000"/>
                <w:sz w:val="18"/>
                <w:szCs w:val="18"/>
              </w:rPr>
              <w:t>(0.5)</w:t>
            </w:r>
          </w:p>
        </w:tc>
        <w:tc>
          <w:tcPr>
            <w:tcW w:w="0" w:type="auto"/>
            <w:shd w:val="clear" w:color="auto" w:fill="FFFFFF"/>
            <w:tcMar>
              <w:top w:w="30" w:type="dxa"/>
              <w:left w:w="0" w:type="dxa"/>
              <w:bottom w:w="30" w:type="dxa"/>
              <w:right w:w="20" w:type="dxa"/>
            </w:tcMar>
            <w:vAlign w:val="bottom"/>
            <w:hideMark/>
          </w:tcPr>
          <w:p w14:paraId="7F27A9C9"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FA96F51"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205477" w14:textId="77777777" w:rsidR="00000000" w:rsidRDefault="00E614A4">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7D550B2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298F024"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41785D" w14:textId="77777777" w:rsidR="00000000" w:rsidRDefault="00E614A4">
            <w:pPr>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bottom"/>
            <w:hideMark/>
          </w:tcPr>
          <w:p w14:paraId="6AB32EBF" w14:textId="77777777" w:rsidR="00000000" w:rsidRDefault="00E614A4">
            <w:pPr>
              <w:jc w:val="right"/>
              <w:rPr>
                <w:rFonts w:eastAsia="Times New Roman"/>
              </w:rPr>
            </w:pPr>
            <w:r>
              <w:rPr>
                <w:rFonts w:eastAsia="Times New Roman"/>
                <w:color w:val="000000"/>
                <w:sz w:val="18"/>
                <w:szCs w:val="18"/>
              </w:rPr>
              <w:t>%</w:t>
            </w:r>
          </w:p>
        </w:tc>
      </w:tr>
      <w:tr w:rsidR="00000000" w14:paraId="2CBBAA3C" w14:textId="77777777">
        <w:trPr>
          <w:divId w:val="192957966"/>
        </w:trPr>
        <w:tc>
          <w:tcPr>
            <w:tcW w:w="0" w:type="auto"/>
            <w:gridSpan w:val="3"/>
            <w:shd w:val="clear" w:color="auto" w:fill="CCEEFF"/>
            <w:tcMar>
              <w:top w:w="30" w:type="dxa"/>
              <w:left w:w="20" w:type="dxa"/>
              <w:bottom w:w="30" w:type="dxa"/>
              <w:right w:w="20" w:type="dxa"/>
            </w:tcMar>
            <w:hideMark/>
          </w:tcPr>
          <w:p w14:paraId="055C8621" w14:textId="77777777" w:rsidR="00000000" w:rsidRDefault="00E614A4">
            <w:pPr>
              <w:rPr>
                <w:rFonts w:eastAsia="Times New Roman"/>
              </w:rPr>
            </w:pPr>
            <w:r>
              <w:rPr>
                <w:rFonts w:eastAsia="Times New Roman"/>
                <w:color w:val="000000"/>
                <w:sz w:val="18"/>
                <w:szCs w:val="18"/>
              </w:rPr>
              <w:t>Other nondeductible items</w:t>
            </w:r>
          </w:p>
        </w:tc>
        <w:tc>
          <w:tcPr>
            <w:tcW w:w="0" w:type="auto"/>
            <w:gridSpan w:val="3"/>
            <w:shd w:val="clear" w:color="auto" w:fill="CCEEFF"/>
            <w:tcMar>
              <w:top w:w="0" w:type="dxa"/>
              <w:left w:w="20" w:type="dxa"/>
              <w:bottom w:w="0" w:type="dxa"/>
              <w:right w:w="20" w:type="dxa"/>
            </w:tcMar>
            <w:vAlign w:val="center"/>
            <w:hideMark/>
          </w:tcPr>
          <w:p w14:paraId="4992515E"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485187"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6C5B5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9FA0F40"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27C585" w14:textId="77777777" w:rsidR="00000000" w:rsidRDefault="00E614A4">
            <w:pPr>
              <w:jc w:val="right"/>
              <w:rPr>
                <w:rFonts w:eastAsia="Times New Roman"/>
              </w:rPr>
            </w:pPr>
            <w:r>
              <w:rPr>
                <w:rFonts w:eastAsia="Times New Roman"/>
                <w:color w:val="000000"/>
                <w:sz w:val="18"/>
                <w:szCs w:val="18"/>
              </w:rPr>
              <w:t>(0.7)</w:t>
            </w:r>
          </w:p>
        </w:tc>
        <w:tc>
          <w:tcPr>
            <w:tcW w:w="0" w:type="auto"/>
            <w:shd w:val="clear" w:color="auto" w:fill="CCEEFF"/>
            <w:tcMar>
              <w:top w:w="30" w:type="dxa"/>
              <w:left w:w="0" w:type="dxa"/>
              <w:bottom w:w="30" w:type="dxa"/>
              <w:right w:w="20" w:type="dxa"/>
            </w:tcMar>
            <w:vAlign w:val="bottom"/>
            <w:hideMark/>
          </w:tcPr>
          <w:p w14:paraId="75D14CCA"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97BDA8A"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7BD566" w14:textId="77777777" w:rsidR="00000000" w:rsidRDefault="00E614A4">
            <w:pPr>
              <w:jc w:val="right"/>
              <w:rPr>
                <w:rFonts w:eastAsia="Times New Roman"/>
              </w:rPr>
            </w:pPr>
            <w:r>
              <w:rPr>
                <w:rFonts w:eastAsia="Times New Roman"/>
                <w:color w:val="000000"/>
                <w:sz w:val="18"/>
                <w:szCs w:val="18"/>
              </w:rPr>
              <w:t>(0.5)</w:t>
            </w:r>
          </w:p>
        </w:tc>
        <w:tc>
          <w:tcPr>
            <w:tcW w:w="0" w:type="auto"/>
            <w:shd w:val="clear" w:color="auto" w:fill="CCEEFF"/>
            <w:tcMar>
              <w:top w:w="30" w:type="dxa"/>
              <w:left w:w="0" w:type="dxa"/>
              <w:bottom w:w="30" w:type="dxa"/>
              <w:right w:w="20" w:type="dxa"/>
            </w:tcMar>
            <w:vAlign w:val="bottom"/>
            <w:hideMark/>
          </w:tcPr>
          <w:p w14:paraId="6CB667DE" w14:textId="77777777" w:rsidR="00000000" w:rsidRDefault="00E614A4">
            <w:pPr>
              <w:jc w:val="right"/>
              <w:rPr>
                <w:rFonts w:eastAsia="Times New Roman"/>
              </w:rPr>
            </w:pPr>
            <w:r>
              <w:rPr>
                <w:rFonts w:eastAsia="Times New Roman"/>
                <w:color w:val="000000"/>
                <w:sz w:val="18"/>
                <w:szCs w:val="18"/>
              </w:rPr>
              <w:t>%</w:t>
            </w:r>
          </w:p>
        </w:tc>
      </w:tr>
      <w:tr w:rsidR="00000000" w14:paraId="16553937" w14:textId="77777777">
        <w:trPr>
          <w:divId w:val="192957966"/>
        </w:trPr>
        <w:tc>
          <w:tcPr>
            <w:tcW w:w="0" w:type="auto"/>
            <w:gridSpan w:val="3"/>
            <w:shd w:val="clear" w:color="auto" w:fill="FFFFFF"/>
            <w:tcMar>
              <w:top w:w="30" w:type="dxa"/>
              <w:left w:w="20" w:type="dxa"/>
              <w:bottom w:w="30" w:type="dxa"/>
              <w:right w:w="20" w:type="dxa"/>
            </w:tcMar>
            <w:hideMark/>
          </w:tcPr>
          <w:p w14:paraId="367E7991" w14:textId="77777777" w:rsidR="00000000" w:rsidRDefault="00E614A4">
            <w:pPr>
              <w:rPr>
                <w:rFonts w:eastAsia="Times New Roman"/>
              </w:rPr>
            </w:pPr>
            <w:r>
              <w:rPr>
                <w:rFonts w:eastAsia="Times New Roman"/>
                <w:color w:val="000000"/>
                <w:sz w:val="18"/>
                <w:szCs w:val="18"/>
              </w:rPr>
              <w:t>Nondeductible interest and derivatives</w:t>
            </w:r>
          </w:p>
        </w:tc>
        <w:tc>
          <w:tcPr>
            <w:tcW w:w="0" w:type="auto"/>
            <w:gridSpan w:val="3"/>
            <w:shd w:val="clear" w:color="auto" w:fill="FFFFFF"/>
            <w:tcMar>
              <w:top w:w="0" w:type="dxa"/>
              <w:left w:w="20" w:type="dxa"/>
              <w:bottom w:w="0" w:type="dxa"/>
              <w:right w:w="20" w:type="dxa"/>
            </w:tcMar>
            <w:vAlign w:val="center"/>
            <w:hideMark/>
          </w:tcPr>
          <w:p w14:paraId="2D0A8B3D"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8C7BA7" w14:textId="77777777" w:rsidR="00000000" w:rsidRDefault="00E614A4">
            <w:pPr>
              <w:jc w:val="right"/>
              <w:rPr>
                <w:rFonts w:eastAsia="Times New Roman"/>
              </w:rPr>
            </w:pPr>
            <w:r>
              <w:rPr>
                <w:rFonts w:eastAsia="Times New Roman"/>
                <w:color w:val="000000"/>
                <w:sz w:val="18"/>
                <w:szCs w:val="18"/>
              </w:rPr>
              <w:t>(9.7)</w:t>
            </w:r>
          </w:p>
        </w:tc>
        <w:tc>
          <w:tcPr>
            <w:tcW w:w="0" w:type="auto"/>
            <w:shd w:val="clear" w:color="auto" w:fill="FFFFFF"/>
            <w:tcMar>
              <w:top w:w="30" w:type="dxa"/>
              <w:left w:w="0" w:type="dxa"/>
              <w:bottom w:w="30" w:type="dxa"/>
              <w:right w:w="20" w:type="dxa"/>
            </w:tcMar>
            <w:vAlign w:val="bottom"/>
            <w:hideMark/>
          </w:tcPr>
          <w:p w14:paraId="10707D01"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783FD8"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3608F4" w14:textId="77777777" w:rsidR="00000000" w:rsidRDefault="00E614A4">
            <w:pPr>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14:paraId="4A02370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206F9B0"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A5BA76" w14:textId="77777777" w:rsidR="00000000" w:rsidRDefault="00E614A4">
            <w:pPr>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bottom"/>
            <w:hideMark/>
          </w:tcPr>
          <w:p w14:paraId="20EF45CB" w14:textId="77777777" w:rsidR="00000000" w:rsidRDefault="00E614A4">
            <w:pPr>
              <w:jc w:val="right"/>
              <w:rPr>
                <w:rFonts w:eastAsia="Times New Roman"/>
              </w:rPr>
            </w:pPr>
            <w:r>
              <w:rPr>
                <w:rFonts w:eastAsia="Times New Roman"/>
                <w:color w:val="000000"/>
                <w:sz w:val="18"/>
                <w:szCs w:val="18"/>
              </w:rPr>
              <w:t>%</w:t>
            </w:r>
          </w:p>
        </w:tc>
      </w:tr>
      <w:tr w:rsidR="00000000" w14:paraId="7EDF5466" w14:textId="77777777">
        <w:trPr>
          <w:divId w:val="192957966"/>
        </w:trPr>
        <w:tc>
          <w:tcPr>
            <w:tcW w:w="0" w:type="auto"/>
            <w:gridSpan w:val="3"/>
            <w:shd w:val="clear" w:color="auto" w:fill="CCEEFF"/>
            <w:tcMar>
              <w:top w:w="30" w:type="dxa"/>
              <w:left w:w="20" w:type="dxa"/>
              <w:bottom w:w="30" w:type="dxa"/>
              <w:right w:w="20" w:type="dxa"/>
            </w:tcMar>
            <w:hideMark/>
          </w:tcPr>
          <w:p w14:paraId="5E80BCDC" w14:textId="77777777" w:rsidR="00000000" w:rsidRDefault="00E614A4">
            <w:pPr>
              <w:rPr>
                <w:rFonts w:eastAsia="Times New Roman"/>
              </w:rPr>
            </w:pPr>
            <w:r>
              <w:rPr>
                <w:rFonts w:eastAsia="Times New Roman"/>
                <w:color w:val="000000"/>
                <w:sz w:val="18"/>
                <w:szCs w:val="18"/>
              </w:rPr>
              <w:t>Foreign rate differences</w:t>
            </w:r>
          </w:p>
        </w:tc>
        <w:tc>
          <w:tcPr>
            <w:tcW w:w="0" w:type="auto"/>
            <w:gridSpan w:val="3"/>
            <w:shd w:val="clear" w:color="auto" w:fill="CCEEFF"/>
            <w:tcMar>
              <w:top w:w="0" w:type="dxa"/>
              <w:left w:w="20" w:type="dxa"/>
              <w:bottom w:w="0" w:type="dxa"/>
              <w:right w:w="20" w:type="dxa"/>
            </w:tcMar>
            <w:vAlign w:val="center"/>
            <w:hideMark/>
          </w:tcPr>
          <w:p w14:paraId="0BDA2183"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444D0C" w14:textId="77777777" w:rsidR="00000000" w:rsidRDefault="00E614A4">
            <w:pPr>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14:paraId="394C9083"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950D28C"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AA2059" w14:textId="77777777" w:rsidR="00000000" w:rsidRDefault="00E614A4">
            <w:pPr>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14:paraId="65A7C7DA"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0AAE802"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93918E" w14:textId="77777777" w:rsidR="00000000" w:rsidRDefault="00E614A4">
            <w:pPr>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bottom"/>
            <w:hideMark/>
          </w:tcPr>
          <w:p w14:paraId="2343E61B" w14:textId="77777777" w:rsidR="00000000" w:rsidRDefault="00E614A4">
            <w:pPr>
              <w:jc w:val="right"/>
              <w:rPr>
                <w:rFonts w:eastAsia="Times New Roman"/>
              </w:rPr>
            </w:pPr>
            <w:r>
              <w:rPr>
                <w:rFonts w:eastAsia="Times New Roman"/>
                <w:color w:val="000000"/>
                <w:sz w:val="18"/>
                <w:szCs w:val="18"/>
              </w:rPr>
              <w:t>%</w:t>
            </w:r>
          </w:p>
        </w:tc>
      </w:tr>
      <w:tr w:rsidR="00000000" w14:paraId="607F9384" w14:textId="77777777">
        <w:trPr>
          <w:divId w:val="192957966"/>
        </w:trPr>
        <w:tc>
          <w:tcPr>
            <w:tcW w:w="0" w:type="auto"/>
            <w:gridSpan w:val="3"/>
            <w:shd w:val="clear" w:color="auto" w:fill="FFFFFF"/>
            <w:tcMar>
              <w:top w:w="30" w:type="dxa"/>
              <w:left w:w="20" w:type="dxa"/>
              <w:bottom w:w="30" w:type="dxa"/>
              <w:right w:w="20" w:type="dxa"/>
            </w:tcMar>
            <w:hideMark/>
          </w:tcPr>
          <w:p w14:paraId="58B5CEE7" w14:textId="77777777" w:rsidR="00000000" w:rsidRDefault="00E614A4">
            <w:pPr>
              <w:rPr>
                <w:rFonts w:eastAsia="Times New Roman"/>
              </w:rPr>
            </w:pPr>
            <w:r>
              <w:rPr>
                <w:rFonts w:eastAsia="Times New Roman"/>
                <w:color w:val="000000"/>
                <w:sz w:val="18"/>
                <w:szCs w:val="18"/>
              </w:rPr>
              <w:t>Change in valuation allowance</w:t>
            </w:r>
          </w:p>
        </w:tc>
        <w:tc>
          <w:tcPr>
            <w:tcW w:w="0" w:type="auto"/>
            <w:gridSpan w:val="3"/>
            <w:shd w:val="clear" w:color="auto" w:fill="FFFFFF"/>
            <w:tcMar>
              <w:top w:w="0" w:type="dxa"/>
              <w:left w:w="20" w:type="dxa"/>
              <w:bottom w:w="0" w:type="dxa"/>
              <w:right w:w="20" w:type="dxa"/>
            </w:tcMar>
            <w:vAlign w:val="center"/>
            <w:hideMark/>
          </w:tcPr>
          <w:p w14:paraId="51CF6BE1"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6A6929" w14:textId="77777777" w:rsidR="00000000" w:rsidRDefault="00E614A4">
            <w:pPr>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14:paraId="16511C3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0B541E7"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AE0A6C" w14:textId="77777777" w:rsidR="00000000" w:rsidRDefault="00E614A4">
            <w:pPr>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14:paraId="23D279F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C9EFE48"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8DF768" w14:textId="77777777" w:rsidR="00000000" w:rsidRDefault="00E614A4">
            <w:pPr>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14:paraId="1359362A" w14:textId="77777777" w:rsidR="00000000" w:rsidRDefault="00E614A4">
            <w:pPr>
              <w:jc w:val="right"/>
              <w:rPr>
                <w:rFonts w:eastAsia="Times New Roman"/>
              </w:rPr>
            </w:pPr>
            <w:r>
              <w:rPr>
                <w:rFonts w:eastAsia="Times New Roman"/>
                <w:color w:val="000000"/>
                <w:sz w:val="18"/>
                <w:szCs w:val="18"/>
              </w:rPr>
              <w:t>%</w:t>
            </w:r>
          </w:p>
        </w:tc>
      </w:tr>
      <w:tr w:rsidR="00000000" w14:paraId="0015896D" w14:textId="77777777">
        <w:trPr>
          <w:divId w:val="192957966"/>
        </w:trPr>
        <w:tc>
          <w:tcPr>
            <w:tcW w:w="0" w:type="auto"/>
            <w:gridSpan w:val="3"/>
            <w:shd w:val="clear" w:color="auto" w:fill="CCEEFF"/>
            <w:tcMar>
              <w:top w:w="30" w:type="dxa"/>
              <w:left w:w="20" w:type="dxa"/>
              <w:bottom w:w="30" w:type="dxa"/>
              <w:right w:w="20" w:type="dxa"/>
            </w:tcMar>
            <w:hideMark/>
          </w:tcPr>
          <w:p w14:paraId="194B19E1" w14:textId="77777777" w:rsidR="00000000" w:rsidRDefault="00E614A4">
            <w:pPr>
              <w:rPr>
                <w:rFonts w:eastAsia="Times New Roman"/>
              </w:rPr>
            </w:pPr>
            <w:r>
              <w:rPr>
                <w:rFonts w:eastAsia="Times New Roman"/>
                <w:color w:val="000000"/>
                <w:sz w:val="18"/>
                <w:szCs w:val="18"/>
              </w:rPr>
              <w:t>Stock compensation</w:t>
            </w:r>
          </w:p>
        </w:tc>
        <w:tc>
          <w:tcPr>
            <w:tcW w:w="0" w:type="auto"/>
            <w:gridSpan w:val="3"/>
            <w:shd w:val="clear" w:color="auto" w:fill="CCEEFF"/>
            <w:tcMar>
              <w:top w:w="0" w:type="dxa"/>
              <w:left w:w="20" w:type="dxa"/>
              <w:bottom w:w="0" w:type="dxa"/>
              <w:right w:w="20" w:type="dxa"/>
            </w:tcMar>
            <w:vAlign w:val="center"/>
            <w:hideMark/>
          </w:tcPr>
          <w:p w14:paraId="712C87EE"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67A255" w14:textId="77777777" w:rsidR="00000000" w:rsidRDefault="00E614A4">
            <w:pPr>
              <w:jc w:val="right"/>
              <w:rPr>
                <w:rFonts w:eastAsia="Times New Roman"/>
              </w:rPr>
            </w:pP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bottom"/>
            <w:hideMark/>
          </w:tcPr>
          <w:p w14:paraId="26CB6DDF"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542D96E"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9C2D7F" w14:textId="77777777" w:rsidR="00000000" w:rsidRDefault="00E614A4">
            <w:pPr>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14:paraId="128A477E"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DE564E5"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5C80E7" w14:textId="77777777" w:rsidR="00000000" w:rsidRDefault="00E614A4">
            <w:pPr>
              <w:jc w:val="right"/>
              <w:rPr>
                <w:rFonts w:eastAsia="Times New Roman"/>
              </w:rPr>
            </w:pPr>
            <w:r>
              <w:rPr>
                <w:rFonts w:eastAsia="Times New Roman"/>
                <w:color w:val="000000"/>
                <w:sz w:val="18"/>
                <w:szCs w:val="18"/>
              </w:rPr>
              <w:t>(5.6)</w:t>
            </w:r>
          </w:p>
        </w:tc>
        <w:tc>
          <w:tcPr>
            <w:tcW w:w="0" w:type="auto"/>
            <w:shd w:val="clear" w:color="auto" w:fill="CCEEFF"/>
            <w:tcMar>
              <w:top w:w="30" w:type="dxa"/>
              <w:left w:w="0" w:type="dxa"/>
              <w:bottom w:w="30" w:type="dxa"/>
              <w:right w:w="20" w:type="dxa"/>
            </w:tcMar>
            <w:vAlign w:val="bottom"/>
            <w:hideMark/>
          </w:tcPr>
          <w:p w14:paraId="2BCA0459" w14:textId="77777777" w:rsidR="00000000" w:rsidRDefault="00E614A4">
            <w:pPr>
              <w:jc w:val="right"/>
              <w:rPr>
                <w:rFonts w:eastAsia="Times New Roman"/>
              </w:rPr>
            </w:pPr>
            <w:r>
              <w:rPr>
                <w:rFonts w:eastAsia="Times New Roman"/>
                <w:color w:val="000000"/>
                <w:sz w:val="18"/>
                <w:szCs w:val="18"/>
              </w:rPr>
              <w:t>%</w:t>
            </w:r>
          </w:p>
        </w:tc>
      </w:tr>
      <w:tr w:rsidR="00000000" w14:paraId="0E3F7794" w14:textId="77777777">
        <w:trPr>
          <w:divId w:val="192957966"/>
        </w:trPr>
        <w:tc>
          <w:tcPr>
            <w:tcW w:w="0" w:type="auto"/>
            <w:gridSpan w:val="3"/>
            <w:shd w:val="clear" w:color="auto" w:fill="FFFFFF"/>
            <w:tcMar>
              <w:top w:w="30" w:type="dxa"/>
              <w:left w:w="20" w:type="dxa"/>
              <w:bottom w:w="30" w:type="dxa"/>
              <w:right w:w="20" w:type="dxa"/>
            </w:tcMar>
            <w:hideMark/>
          </w:tcPr>
          <w:p w14:paraId="5545CBD3" w14:textId="77777777" w:rsidR="00000000" w:rsidRDefault="00E614A4">
            <w:pPr>
              <w:rPr>
                <w:rFonts w:eastAsia="Times New Roman"/>
              </w:rPr>
            </w:pPr>
            <w:r>
              <w:rPr>
                <w:rFonts w:eastAsia="Times New Roman"/>
                <w:color w:val="000000"/>
                <w:sz w:val="18"/>
                <w:szCs w:val="18"/>
              </w:rPr>
              <w:t>Executive compensation</w:t>
            </w:r>
          </w:p>
        </w:tc>
        <w:tc>
          <w:tcPr>
            <w:tcW w:w="0" w:type="auto"/>
            <w:gridSpan w:val="3"/>
            <w:shd w:val="clear" w:color="auto" w:fill="FFFFFF"/>
            <w:tcMar>
              <w:top w:w="0" w:type="dxa"/>
              <w:left w:w="20" w:type="dxa"/>
              <w:bottom w:w="0" w:type="dxa"/>
              <w:right w:w="20" w:type="dxa"/>
            </w:tcMar>
            <w:vAlign w:val="center"/>
            <w:hideMark/>
          </w:tcPr>
          <w:p w14:paraId="71A9447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B405B6" w14:textId="77777777" w:rsidR="00000000" w:rsidRDefault="00E614A4">
            <w:pPr>
              <w:jc w:val="right"/>
              <w:rPr>
                <w:rFonts w:eastAsia="Times New Roman"/>
              </w:rPr>
            </w:pPr>
            <w:r>
              <w:rPr>
                <w:rFonts w:eastAsia="Times New Roman"/>
                <w:color w:val="000000"/>
                <w:sz w:val="18"/>
                <w:szCs w:val="18"/>
              </w:rPr>
              <w:t>(0.1)</w:t>
            </w:r>
          </w:p>
        </w:tc>
        <w:tc>
          <w:tcPr>
            <w:tcW w:w="0" w:type="auto"/>
            <w:shd w:val="clear" w:color="auto" w:fill="FFFFFF"/>
            <w:tcMar>
              <w:top w:w="30" w:type="dxa"/>
              <w:left w:w="0" w:type="dxa"/>
              <w:bottom w:w="30" w:type="dxa"/>
              <w:right w:w="20" w:type="dxa"/>
            </w:tcMar>
            <w:vAlign w:val="bottom"/>
            <w:hideMark/>
          </w:tcPr>
          <w:p w14:paraId="664BDC6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7541C1D"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C74832" w14:textId="77777777" w:rsidR="00000000" w:rsidRDefault="00E614A4">
            <w:pPr>
              <w:jc w:val="right"/>
              <w:rPr>
                <w:rFonts w:eastAsia="Times New Roman"/>
              </w:rPr>
            </w:pPr>
            <w:r>
              <w:rPr>
                <w:rFonts w:eastAsia="Times New Roman"/>
                <w:color w:val="000000"/>
                <w:sz w:val="18"/>
                <w:szCs w:val="18"/>
              </w:rPr>
              <w:t>(0.1)</w:t>
            </w:r>
          </w:p>
        </w:tc>
        <w:tc>
          <w:tcPr>
            <w:tcW w:w="0" w:type="auto"/>
            <w:shd w:val="clear" w:color="auto" w:fill="FFFFFF"/>
            <w:tcMar>
              <w:top w:w="30" w:type="dxa"/>
              <w:left w:w="0" w:type="dxa"/>
              <w:bottom w:w="30" w:type="dxa"/>
              <w:right w:w="20" w:type="dxa"/>
            </w:tcMar>
            <w:vAlign w:val="bottom"/>
            <w:hideMark/>
          </w:tcPr>
          <w:p w14:paraId="382980D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B40169D"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B05775" w14:textId="77777777" w:rsidR="00000000" w:rsidRDefault="00E614A4">
            <w:pPr>
              <w:jc w:val="right"/>
              <w:rPr>
                <w:rFonts w:eastAsia="Times New Roman"/>
              </w:rPr>
            </w:pPr>
            <w:r>
              <w:rPr>
                <w:rFonts w:eastAsia="Times New Roman"/>
                <w:color w:val="000000"/>
                <w:sz w:val="18"/>
                <w:szCs w:val="18"/>
              </w:rPr>
              <w:t>(0.3)</w:t>
            </w:r>
          </w:p>
        </w:tc>
        <w:tc>
          <w:tcPr>
            <w:tcW w:w="0" w:type="auto"/>
            <w:shd w:val="clear" w:color="auto" w:fill="FFFFFF"/>
            <w:tcMar>
              <w:top w:w="30" w:type="dxa"/>
              <w:left w:w="0" w:type="dxa"/>
              <w:bottom w:w="30" w:type="dxa"/>
              <w:right w:w="20" w:type="dxa"/>
            </w:tcMar>
            <w:vAlign w:val="bottom"/>
            <w:hideMark/>
          </w:tcPr>
          <w:p w14:paraId="0C17F5DB" w14:textId="77777777" w:rsidR="00000000" w:rsidRDefault="00E614A4">
            <w:pPr>
              <w:jc w:val="right"/>
              <w:rPr>
                <w:rFonts w:eastAsia="Times New Roman"/>
              </w:rPr>
            </w:pPr>
            <w:r>
              <w:rPr>
                <w:rFonts w:eastAsia="Times New Roman"/>
                <w:color w:val="000000"/>
                <w:sz w:val="18"/>
                <w:szCs w:val="18"/>
              </w:rPr>
              <w:t>%</w:t>
            </w:r>
          </w:p>
        </w:tc>
      </w:tr>
      <w:tr w:rsidR="00000000" w14:paraId="648C5C97" w14:textId="77777777">
        <w:trPr>
          <w:divId w:val="192957966"/>
        </w:trPr>
        <w:tc>
          <w:tcPr>
            <w:tcW w:w="0" w:type="auto"/>
            <w:gridSpan w:val="3"/>
            <w:shd w:val="clear" w:color="auto" w:fill="CCEEFF"/>
            <w:tcMar>
              <w:top w:w="30" w:type="dxa"/>
              <w:left w:w="20" w:type="dxa"/>
              <w:bottom w:w="30" w:type="dxa"/>
              <w:right w:w="20" w:type="dxa"/>
            </w:tcMar>
            <w:hideMark/>
          </w:tcPr>
          <w:p w14:paraId="33DB11E7" w14:textId="77777777" w:rsidR="00000000" w:rsidRDefault="00E614A4">
            <w:pPr>
              <w:rPr>
                <w:rFonts w:eastAsia="Times New Roman"/>
              </w:rPr>
            </w:pPr>
            <w:r>
              <w:rPr>
                <w:rFonts w:eastAsia="Times New Roman"/>
                <w:color w:val="000000"/>
                <w:sz w:val="18"/>
                <w:szCs w:val="18"/>
              </w:rPr>
              <w:t>Goodwill impairment</w:t>
            </w:r>
          </w:p>
        </w:tc>
        <w:tc>
          <w:tcPr>
            <w:tcW w:w="0" w:type="auto"/>
            <w:gridSpan w:val="3"/>
            <w:shd w:val="clear" w:color="auto" w:fill="CCEEFF"/>
            <w:tcMar>
              <w:top w:w="0" w:type="dxa"/>
              <w:left w:w="20" w:type="dxa"/>
              <w:bottom w:w="0" w:type="dxa"/>
              <w:right w:w="20" w:type="dxa"/>
            </w:tcMar>
            <w:vAlign w:val="center"/>
            <w:hideMark/>
          </w:tcPr>
          <w:p w14:paraId="764A9A0A"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046AA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7BFCE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2A21645"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3CFB5B" w14:textId="77777777" w:rsidR="00000000" w:rsidRDefault="00E614A4">
            <w:pPr>
              <w:jc w:val="right"/>
              <w:rPr>
                <w:rFonts w:eastAsia="Times New Roman"/>
              </w:rPr>
            </w:pPr>
            <w:r>
              <w:rPr>
                <w:rFonts w:eastAsia="Times New Roman"/>
                <w:color w:val="000000"/>
                <w:sz w:val="18"/>
                <w:szCs w:val="18"/>
              </w:rPr>
              <w:t>(10.7)</w:t>
            </w:r>
          </w:p>
        </w:tc>
        <w:tc>
          <w:tcPr>
            <w:tcW w:w="0" w:type="auto"/>
            <w:shd w:val="clear" w:color="auto" w:fill="CCEEFF"/>
            <w:tcMar>
              <w:top w:w="30" w:type="dxa"/>
              <w:left w:w="0" w:type="dxa"/>
              <w:bottom w:w="30" w:type="dxa"/>
              <w:right w:w="20" w:type="dxa"/>
            </w:tcMar>
            <w:vAlign w:val="bottom"/>
            <w:hideMark/>
          </w:tcPr>
          <w:p w14:paraId="0183A4F0"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25B2B42"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9752E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552C2C" w14:textId="77777777" w:rsidR="00000000" w:rsidRDefault="00E614A4">
            <w:pPr>
              <w:jc w:val="right"/>
              <w:rPr>
                <w:rFonts w:eastAsia="Times New Roman"/>
              </w:rPr>
            </w:pPr>
            <w:r>
              <w:rPr>
                <w:rFonts w:eastAsia="Times New Roman"/>
                <w:color w:val="000000"/>
                <w:sz w:val="18"/>
                <w:szCs w:val="18"/>
              </w:rPr>
              <w:t>%</w:t>
            </w:r>
          </w:p>
        </w:tc>
      </w:tr>
      <w:tr w:rsidR="00000000" w14:paraId="0B36EFC1" w14:textId="77777777">
        <w:trPr>
          <w:divId w:val="192957966"/>
        </w:trPr>
        <w:tc>
          <w:tcPr>
            <w:tcW w:w="0" w:type="auto"/>
            <w:gridSpan w:val="3"/>
            <w:shd w:val="clear" w:color="auto" w:fill="FFFFFF"/>
            <w:tcMar>
              <w:top w:w="30" w:type="dxa"/>
              <w:left w:w="20" w:type="dxa"/>
              <w:bottom w:w="30" w:type="dxa"/>
              <w:right w:w="20" w:type="dxa"/>
            </w:tcMar>
            <w:hideMark/>
          </w:tcPr>
          <w:p w14:paraId="77C8E711" w14:textId="77777777" w:rsidR="00000000" w:rsidRDefault="00E614A4">
            <w:pPr>
              <w:rPr>
                <w:rFonts w:eastAsia="Times New Roman"/>
              </w:rPr>
            </w:pPr>
            <w:r>
              <w:rPr>
                <w:rFonts w:eastAsia="Times New Roman"/>
                <w:color w:val="000000"/>
                <w:sz w:val="18"/>
                <w:szCs w:val="18"/>
              </w:rPr>
              <w:t>Subscription receivable</w:t>
            </w:r>
          </w:p>
        </w:tc>
        <w:tc>
          <w:tcPr>
            <w:tcW w:w="0" w:type="auto"/>
            <w:gridSpan w:val="3"/>
            <w:shd w:val="clear" w:color="auto" w:fill="FFFFFF"/>
            <w:tcMar>
              <w:top w:w="0" w:type="dxa"/>
              <w:left w:w="20" w:type="dxa"/>
              <w:bottom w:w="0" w:type="dxa"/>
              <w:right w:w="20" w:type="dxa"/>
            </w:tcMar>
            <w:vAlign w:val="center"/>
            <w:hideMark/>
          </w:tcPr>
          <w:p w14:paraId="71556BB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112A2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8B3E0A"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ED7C2B3"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55284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F781D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13DD31A"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D861CA" w14:textId="77777777" w:rsidR="00000000" w:rsidRDefault="00E614A4">
            <w:pPr>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14:paraId="472C57F3" w14:textId="77777777" w:rsidR="00000000" w:rsidRDefault="00E614A4">
            <w:pPr>
              <w:jc w:val="right"/>
              <w:rPr>
                <w:rFonts w:eastAsia="Times New Roman"/>
              </w:rPr>
            </w:pPr>
            <w:r>
              <w:rPr>
                <w:rFonts w:eastAsia="Times New Roman"/>
                <w:color w:val="000000"/>
                <w:sz w:val="18"/>
                <w:szCs w:val="18"/>
              </w:rPr>
              <w:t>%</w:t>
            </w:r>
          </w:p>
        </w:tc>
      </w:tr>
      <w:tr w:rsidR="00000000" w14:paraId="62067132" w14:textId="77777777">
        <w:trPr>
          <w:divId w:val="192957966"/>
        </w:trPr>
        <w:tc>
          <w:tcPr>
            <w:tcW w:w="0" w:type="auto"/>
            <w:gridSpan w:val="3"/>
            <w:shd w:val="clear" w:color="auto" w:fill="CCEEFF"/>
            <w:tcMar>
              <w:top w:w="30" w:type="dxa"/>
              <w:left w:w="20" w:type="dxa"/>
              <w:bottom w:w="30" w:type="dxa"/>
              <w:right w:w="20" w:type="dxa"/>
            </w:tcMar>
            <w:hideMark/>
          </w:tcPr>
          <w:p w14:paraId="559876DC" w14:textId="77777777" w:rsidR="00000000" w:rsidRDefault="00E614A4">
            <w:pPr>
              <w:rPr>
                <w:rFonts w:eastAsia="Times New Roman"/>
              </w:rPr>
            </w:pPr>
            <w:r>
              <w:rPr>
                <w:rFonts w:eastAsia="Times New Roman"/>
                <w:color w:val="000000"/>
                <w:sz w:val="18"/>
                <w:szCs w:val="18"/>
              </w:rPr>
              <w:t>US tax impact of restructuring</w:t>
            </w:r>
          </w:p>
        </w:tc>
        <w:tc>
          <w:tcPr>
            <w:tcW w:w="0" w:type="auto"/>
            <w:gridSpan w:val="3"/>
            <w:shd w:val="clear" w:color="auto" w:fill="CCEEFF"/>
            <w:tcMar>
              <w:top w:w="0" w:type="dxa"/>
              <w:left w:w="20" w:type="dxa"/>
              <w:bottom w:w="0" w:type="dxa"/>
              <w:right w:w="20" w:type="dxa"/>
            </w:tcMar>
            <w:vAlign w:val="center"/>
            <w:hideMark/>
          </w:tcPr>
          <w:p w14:paraId="5514B52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769434" w14:textId="77777777" w:rsidR="00000000" w:rsidRDefault="00E614A4">
            <w:pPr>
              <w:jc w:val="right"/>
              <w:rPr>
                <w:rFonts w:eastAsia="Times New Roman"/>
              </w:rPr>
            </w:pPr>
            <w:r>
              <w:rPr>
                <w:rFonts w:eastAsia="Times New Roman"/>
                <w:color w:val="000000"/>
                <w:sz w:val="18"/>
                <w:szCs w:val="18"/>
              </w:rPr>
              <w:t>(14.4)</w:t>
            </w:r>
          </w:p>
        </w:tc>
        <w:tc>
          <w:tcPr>
            <w:tcW w:w="0" w:type="auto"/>
            <w:shd w:val="clear" w:color="auto" w:fill="CCEEFF"/>
            <w:tcMar>
              <w:top w:w="30" w:type="dxa"/>
              <w:left w:w="0" w:type="dxa"/>
              <w:bottom w:w="30" w:type="dxa"/>
              <w:right w:w="20" w:type="dxa"/>
            </w:tcMar>
            <w:vAlign w:val="bottom"/>
            <w:hideMark/>
          </w:tcPr>
          <w:p w14:paraId="5E204C1B"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8149103"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0BD47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E2B1C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BCBAD69"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C867D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457780" w14:textId="77777777" w:rsidR="00000000" w:rsidRDefault="00E614A4">
            <w:pPr>
              <w:jc w:val="right"/>
              <w:rPr>
                <w:rFonts w:eastAsia="Times New Roman"/>
              </w:rPr>
            </w:pPr>
            <w:r>
              <w:rPr>
                <w:rFonts w:eastAsia="Times New Roman"/>
                <w:color w:val="000000"/>
                <w:sz w:val="18"/>
                <w:szCs w:val="18"/>
              </w:rPr>
              <w:t>%</w:t>
            </w:r>
          </w:p>
        </w:tc>
      </w:tr>
      <w:tr w:rsidR="00000000" w14:paraId="2D9D0006" w14:textId="77777777">
        <w:trPr>
          <w:divId w:val="192957966"/>
        </w:trPr>
        <w:tc>
          <w:tcPr>
            <w:tcW w:w="0" w:type="auto"/>
            <w:gridSpan w:val="3"/>
            <w:shd w:val="clear" w:color="auto" w:fill="FFFFFF"/>
            <w:tcMar>
              <w:top w:w="30" w:type="dxa"/>
              <w:left w:w="20" w:type="dxa"/>
              <w:bottom w:w="30" w:type="dxa"/>
              <w:right w:w="20" w:type="dxa"/>
            </w:tcMar>
            <w:hideMark/>
          </w:tcPr>
          <w:p w14:paraId="2C316335" w14:textId="77777777" w:rsidR="00000000" w:rsidRDefault="00E614A4">
            <w:pPr>
              <w:rPr>
                <w:rFonts w:eastAsia="Times New Roman"/>
              </w:rPr>
            </w:pPr>
            <w:r>
              <w:rPr>
                <w:rFonts w:eastAsia="Times New Roman"/>
                <w:color w:val="000000"/>
                <w:sz w:val="18"/>
                <w:szCs w:val="18"/>
              </w:rPr>
              <w:t>Other adjustments</w:t>
            </w:r>
          </w:p>
        </w:tc>
        <w:tc>
          <w:tcPr>
            <w:tcW w:w="0" w:type="auto"/>
            <w:gridSpan w:val="3"/>
            <w:shd w:val="clear" w:color="auto" w:fill="FFFFFF"/>
            <w:tcMar>
              <w:top w:w="0" w:type="dxa"/>
              <w:left w:w="20" w:type="dxa"/>
              <w:bottom w:w="0" w:type="dxa"/>
              <w:right w:w="20" w:type="dxa"/>
            </w:tcMar>
            <w:vAlign w:val="center"/>
            <w:hideMark/>
          </w:tcPr>
          <w:p w14:paraId="7DB7AC23"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53AA49" w14:textId="77777777" w:rsidR="00000000" w:rsidRDefault="00E614A4">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46B877D4"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DD9DA88"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A15712" w14:textId="77777777" w:rsidR="00000000" w:rsidRDefault="00E614A4">
            <w:pPr>
              <w:jc w:val="right"/>
              <w:rPr>
                <w:rFonts w:eastAsia="Times New Roman"/>
              </w:rPr>
            </w:pPr>
            <w:r>
              <w:rPr>
                <w:rFonts w:eastAsia="Times New Roman"/>
                <w:color w:val="000000"/>
                <w:sz w:val="18"/>
                <w:szCs w:val="18"/>
              </w:rPr>
              <w:t>(0.5)</w:t>
            </w:r>
          </w:p>
        </w:tc>
        <w:tc>
          <w:tcPr>
            <w:tcW w:w="0" w:type="auto"/>
            <w:shd w:val="clear" w:color="auto" w:fill="FFFFFF"/>
            <w:tcMar>
              <w:top w:w="30" w:type="dxa"/>
              <w:left w:w="0" w:type="dxa"/>
              <w:bottom w:w="30" w:type="dxa"/>
              <w:right w:w="20" w:type="dxa"/>
            </w:tcMar>
            <w:vAlign w:val="bottom"/>
            <w:hideMark/>
          </w:tcPr>
          <w:p w14:paraId="5D9601D6"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D166B3" w14:textId="77777777" w:rsidR="00000000" w:rsidRDefault="00E614A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5DD9D0" w14:textId="77777777" w:rsidR="00000000" w:rsidRDefault="00E614A4">
            <w:pPr>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14:paraId="0579D2EA" w14:textId="77777777" w:rsidR="00000000" w:rsidRDefault="00E614A4">
            <w:pPr>
              <w:jc w:val="right"/>
              <w:rPr>
                <w:rFonts w:eastAsia="Times New Roman"/>
              </w:rPr>
            </w:pPr>
            <w:r>
              <w:rPr>
                <w:rFonts w:eastAsia="Times New Roman"/>
                <w:color w:val="000000"/>
                <w:sz w:val="18"/>
                <w:szCs w:val="18"/>
              </w:rPr>
              <w:t>%</w:t>
            </w:r>
          </w:p>
        </w:tc>
      </w:tr>
      <w:tr w:rsidR="00000000" w14:paraId="6586D10A" w14:textId="77777777">
        <w:trPr>
          <w:divId w:val="192957966"/>
        </w:trPr>
        <w:tc>
          <w:tcPr>
            <w:tcW w:w="0" w:type="auto"/>
            <w:gridSpan w:val="3"/>
            <w:shd w:val="clear" w:color="auto" w:fill="CCEEFF"/>
            <w:tcMar>
              <w:top w:w="30" w:type="dxa"/>
              <w:left w:w="20" w:type="dxa"/>
              <w:bottom w:w="30" w:type="dxa"/>
              <w:right w:w="20" w:type="dxa"/>
            </w:tcMar>
            <w:hideMark/>
          </w:tcPr>
          <w:p w14:paraId="7B16B5AD" w14:textId="77777777" w:rsidR="00000000" w:rsidRDefault="00E614A4">
            <w:pPr>
              <w:rPr>
                <w:rFonts w:eastAsia="Times New Roman"/>
              </w:rPr>
            </w:pPr>
            <w:r>
              <w:rPr>
                <w:rFonts w:eastAsia="Times New Roman"/>
                <w:color w:val="000000"/>
                <w:sz w:val="18"/>
                <w:szCs w:val="18"/>
              </w:rPr>
              <w:t>Uncertain tax positions</w:t>
            </w:r>
          </w:p>
        </w:tc>
        <w:tc>
          <w:tcPr>
            <w:tcW w:w="0" w:type="auto"/>
            <w:gridSpan w:val="3"/>
            <w:shd w:val="clear" w:color="auto" w:fill="CCEEFF"/>
            <w:tcMar>
              <w:top w:w="0" w:type="dxa"/>
              <w:left w:w="20" w:type="dxa"/>
              <w:bottom w:w="0" w:type="dxa"/>
              <w:right w:w="20" w:type="dxa"/>
            </w:tcMar>
            <w:vAlign w:val="center"/>
            <w:hideMark/>
          </w:tcPr>
          <w:p w14:paraId="3144A356"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3AECE4" w14:textId="77777777" w:rsidR="00000000" w:rsidRDefault="00E614A4">
            <w:pPr>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14:paraId="3C9EA7B7"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D94FCDC"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B5548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79436C"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11C416D" w14:textId="77777777" w:rsidR="00000000" w:rsidRDefault="00E614A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06DF78" w14:textId="77777777" w:rsidR="00000000" w:rsidRDefault="00E614A4">
            <w:pPr>
              <w:jc w:val="right"/>
              <w:rPr>
                <w:rFonts w:eastAsia="Times New Roman"/>
              </w:rPr>
            </w:pPr>
            <w:r>
              <w:rPr>
                <w:rFonts w:eastAsia="Times New Roman"/>
                <w:color w:val="000000"/>
                <w:sz w:val="18"/>
                <w:szCs w:val="18"/>
              </w:rPr>
              <w:t>(0.4)</w:t>
            </w:r>
          </w:p>
        </w:tc>
        <w:tc>
          <w:tcPr>
            <w:tcW w:w="0" w:type="auto"/>
            <w:shd w:val="clear" w:color="auto" w:fill="CCEEFF"/>
            <w:tcMar>
              <w:top w:w="30" w:type="dxa"/>
              <w:left w:w="0" w:type="dxa"/>
              <w:bottom w:w="30" w:type="dxa"/>
              <w:right w:w="20" w:type="dxa"/>
            </w:tcMar>
            <w:vAlign w:val="bottom"/>
            <w:hideMark/>
          </w:tcPr>
          <w:p w14:paraId="56B7D582" w14:textId="77777777" w:rsidR="00000000" w:rsidRDefault="00E614A4">
            <w:pPr>
              <w:jc w:val="right"/>
              <w:rPr>
                <w:rFonts w:eastAsia="Times New Roman"/>
              </w:rPr>
            </w:pPr>
            <w:r>
              <w:rPr>
                <w:rFonts w:eastAsia="Times New Roman"/>
                <w:color w:val="000000"/>
                <w:sz w:val="18"/>
                <w:szCs w:val="18"/>
              </w:rPr>
              <w:t>%</w:t>
            </w:r>
          </w:p>
        </w:tc>
      </w:tr>
      <w:tr w:rsidR="00000000" w14:paraId="12A0A108" w14:textId="77777777">
        <w:trPr>
          <w:divId w:val="192957966"/>
        </w:trPr>
        <w:tc>
          <w:tcPr>
            <w:tcW w:w="0" w:type="auto"/>
            <w:gridSpan w:val="3"/>
            <w:shd w:val="clear" w:color="auto" w:fill="FFFFFF"/>
            <w:tcMar>
              <w:top w:w="30" w:type="dxa"/>
              <w:left w:w="20" w:type="dxa"/>
              <w:bottom w:w="30" w:type="dxa"/>
              <w:right w:w="20" w:type="dxa"/>
            </w:tcMar>
            <w:hideMark/>
          </w:tcPr>
          <w:p w14:paraId="000E4D4B" w14:textId="77777777" w:rsidR="00000000" w:rsidRDefault="00E614A4">
            <w:pPr>
              <w:rPr>
                <w:rFonts w:eastAsia="Times New Roman"/>
              </w:rPr>
            </w:pPr>
            <w:r>
              <w:rPr>
                <w:rFonts w:eastAsia="Times New Roman"/>
                <w:b/>
                <w:bCs/>
                <w:color w:val="000000"/>
                <w:sz w:val="18"/>
                <w:szCs w:val="18"/>
              </w:rPr>
              <w:t>Effective tax rate</w:t>
            </w:r>
          </w:p>
        </w:tc>
        <w:tc>
          <w:tcPr>
            <w:tcW w:w="0" w:type="auto"/>
            <w:gridSpan w:val="3"/>
            <w:shd w:val="clear" w:color="auto" w:fill="FFFFFF"/>
            <w:tcMar>
              <w:top w:w="0" w:type="dxa"/>
              <w:left w:w="20" w:type="dxa"/>
              <w:bottom w:w="0" w:type="dxa"/>
              <w:right w:w="20" w:type="dxa"/>
            </w:tcMar>
            <w:vAlign w:val="center"/>
            <w:hideMark/>
          </w:tcPr>
          <w:p w14:paraId="3FB7F5DC" w14:textId="77777777" w:rsidR="00000000" w:rsidRDefault="00E614A4">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5FDAEF" w14:textId="77777777" w:rsidR="00000000" w:rsidRDefault="00E614A4">
            <w:pPr>
              <w:jc w:val="right"/>
              <w:rPr>
                <w:rFonts w:eastAsia="Times New Roman"/>
              </w:rPr>
            </w:pPr>
            <w:r>
              <w:rPr>
                <w:rFonts w:eastAsia="Times New Roman"/>
                <w:color w:val="000000"/>
                <w:sz w:val="18"/>
                <w:szCs w:val="18"/>
              </w:rPr>
              <w:t>(1.9)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5EB40D"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B2E3D87" w14:textId="77777777" w:rsidR="00000000" w:rsidRDefault="00E614A4">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FB1F9D" w14:textId="77777777" w:rsidR="00000000" w:rsidRDefault="00E614A4">
            <w:pPr>
              <w:jc w:val="right"/>
              <w:rPr>
                <w:rFonts w:eastAsia="Times New Roman"/>
              </w:rPr>
            </w:pPr>
            <w:r>
              <w:rPr>
                <w:rFonts w:eastAsia="Times New Roman"/>
                <w:color w:val="000000"/>
                <w:sz w:val="18"/>
                <w:szCs w:val="18"/>
              </w:rPr>
              <w:t>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F88D05" w14:textId="77777777" w:rsidR="00000000" w:rsidRDefault="00E614A4">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546E17E" w14:textId="77777777" w:rsidR="00000000" w:rsidRDefault="00E614A4">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456F19" w14:textId="77777777" w:rsidR="00000000" w:rsidRDefault="00E614A4">
            <w:pPr>
              <w:jc w:val="right"/>
              <w:rPr>
                <w:rFonts w:eastAsia="Times New Roman"/>
              </w:rPr>
            </w:pPr>
            <w:r>
              <w:rPr>
                <w:rFonts w:eastAsia="Times New Roman"/>
                <w:color w:val="000000"/>
                <w:sz w:val="18"/>
                <w:szCs w:val="18"/>
              </w:rPr>
              <w:t>(2.4)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C3E122" w14:textId="77777777" w:rsidR="00000000" w:rsidRDefault="00E614A4">
            <w:pPr>
              <w:jc w:val="right"/>
              <w:rPr>
                <w:rFonts w:eastAsia="Times New Roman"/>
              </w:rPr>
            </w:pPr>
            <w:r>
              <w:rPr>
                <w:rFonts w:eastAsia="Times New Roman"/>
                <w:color w:val="000000"/>
                <w:sz w:val="18"/>
                <w:szCs w:val="18"/>
              </w:rPr>
              <w:t>%</w:t>
            </w:r>
          </w:p>
        </w:tc>
      </w:tr>
    </w:tbl>
    <w:p w14:paraId="374E74EB" w14:textId="77777777" w:rsidR="00000000" w:rsidRDefault="00E614A4">
      <w:pPr>
        <w:divId w:val="58866442"/>
        <w:rPr>
          <w:rFonts w:eastAsia="Times New Roman"/>
        </w:rPr>
      </w:pPr>
      <w:r>
        <w:rPr>
          <w:rFonts w:eastAsia="Times New Roman"/>
          <w:i/>
          <w:iCs/>
          <w:color w:val="000000"/>
          <w:sz w:val="20"/>
          <w:szCs w:val="20"/>
        </w:rPr>
        <w:t>Income Tax (Provision) Benefit</w:t>
      </w:r>
    </w:p>
    <w:p w14:paraId="57E81A03" w14:textId="77777777" w:rsidR="00000000" w:rsidRDefault="00E614A4">
      <w:pPr>
        <w:jc w:val="both"/>
        <w:divId w:val="1993102406"/>
        <w:rPr>
          <w:rFonts w:eastAsia="Times New Roman"/>
        </w:rPr>
      </w:pPr>
      <w:r>
        <w:rPr>
          <w:rFonts w:eastAsia="Times New Roman"/>
          <w:color w:val="000000"/>
          <w:sz w:val="20"/>
          <w:szCs w:val="20"/>
        </w:rPr>
        <w:t>The Company recognized income tax expense of $0.9 million during the year ended December 31, 2020, which is primarily comprised of current tax expense of $0.8 million related to foreign taxe</w:t>
      </w:r>
      <w:r>
        <w:rPr>
          <w:rFonts w:eastAsia="Times New Roman"/>
          <w:color w:val="000000"/>
          <w:sz w:val="20"/>
          <w:szCs w:val="20"/>
        </w:rPr>
        <w:t>s. Included in total tax expense are income tax adjustments of $8.9 million for permanent differences in the book and tax treatment of certain stock-based compensation, limitations on the deductibility of certain executive compensation, and nondeductible i</w:t>
      </w:r>
      <w:r>
        <w:rPr>
          <w:rFonts w:eastAsia="Times New Roman"/>
          <w:color w:val="000000"/>
          <w:sz w:val="20"/>
          <w:szCs w:val="20"/>
        </w:rPr>
        <w:t>nterest expense on debt instruments and associated derivatives. Also included is an adjustment of $11.2 million for a permanent difference related to foreign earnings taxable in the U.S. as a result of a tax restructuring that occurred during the year. The</w:t>
      </w:r>
      <w:r>
        <w:rPr>
          <w:rFonts w:eastAsia="Times New Roman"/>
          <w:color w:val="000000"/>
          <w:sz w:val="20"/>
          <w:szCs w:val="20"/>
        </w:rPr>
        <w:t xml:space="preserve">se tax adjustments, along with state and local taxes and book losses in foreign jurisdictions where the income tax rate is substantially lower than the U.S. federal statutory rate, are the primary drivers of the annual effective income tax rate. </w:t>
      </w:r>
    </w:p>
    <w:p w14:paraId="7E3AB93B" w14:textId="77777777" w:rsidR="00000000" w:rsidRDefault="00E614A4">
      <w:pPr>
        <w:jc w:val="both"/>
        <w:divId w:val="323896194"/>
        <w:rPr>
          <w:rFonts w:eastAsia="Times New Roman"/>
        </w:rPr>
      </w:pPr>
      <w:r>
        <w:rPr>
          <w:rFonts w:eastAsia="Times New Roman"/>
          <w:color w:val="000000"/>
          <w:sz w:val="20"/>
          <w:szCs w:val="20"/>
        </w:rPr>
        <w:t>The Compa</w:t>
      </w:r>
      <w:r>
        <w:rPr>
          <w:rFonts w:eastAsia="Times New Roman"/>
          <w:color w:val="000000"/>
          <w:sz w:val="20"/>
          <w:szCs w:val="20"/>
        </w:rPr>
        <w:t>ny recognized an income tax benefit of $1.0 million during the year ended December 31, 2019, which is comprised of current tax expense of $2.7 million primarily related to foreign taxes and a deferred tax benefit of $3.7 million related to temporary differ</w:t>
      </w:r>
      <w:r>
        <w:rPr>
          <w:rFonts w:eastAsia="Times New Roman"/>
          <w:color w:val="000000"/>
          <w:sz w:val="20"/>
          <w:szCs w:val="20"/>
        </w:rPr>
        <w:t xml:space="preserve">ences between the tax treatment and GAAP accounting treatment for certain items. Included within the total tax benefit is income tax expense of $17.3 million related to the increase in valuation allowance recorded against the Company's deferred tax assets </w:t>
      </w:r>
      <w:r>
        <w:rPr>
          <w:rFonts w:eastAsia="Times New Roman"/>
          <w:color w:val="000000"/>
          <w:sz w:val="20"/>
          <w:szCs w:val="20"/>
        </w:rPr>
        <w:t>to offset the tax benefit of the Company's operating losses in the U.S. and certain foreign jurisdictions. Also included in the total tax benefit are income tax adjustments of $58.6 million related to the impairment of goodwill and $15.2 million for perman</w:t>
      </w:r>
      <w:r>
        <w:rPr>
          <w:rFonts w:eastAsia="Times New Roman"/>
          <w:color w:val="000000"/>
          <w:sz w:val="20"/>
          <w:szCs w:val="20"/>
        </w:rPr>
        <w:t xml:space="preserve">ent differences in the book </w:t>
      </w:r>
    </w:p>
    <w:p w14:paraId="2DE10BF7" w14:textId="77777777" w:rsidR="00000000" w:rsidRDefault="00E614A4">
      <w:pPr>
        <w:jc w:val="center"/>
        <w:divId w:val="1965580643"/>
        <w:rPr>
          <w:rFonts w:eastAsia="Times New Roman"/>
        </w:rPr>
      </w:pPr>
      <w:r>
        <w:rPr>
          <w:rFonts w:eastAsia="Times New Roman"/>
          <w:color w:val="000000"/>
          <w:sz w:val="20"/>
          <w:szCs w:val="20"/>
        </w:rPr>
        <w:t>93</w:t>
      </w:r>
    </w:p>
    <w:p w14:paraId="2D94BC34" w14:textId="77777777" w:rsidR="00000000" w:rsidRDefault="00E614A4">
      <w:pPr>
        <w:rPr>
          <w:rFonts w:eastAsia="Times New Roman"/>
        </w:rPr>
      </w:pPr>
      <w:r>
        <w:rPr>
          <w:rFonts w:eastAsia="Times New Roman"/>
        </w:rPr>
        <w:pict w14:anchorId="5AE828FB">
          <v:rect id="_x0000_i1121" style="width:0;height:1.5pt" o:hralign="center" o:hrstd="t" o:hr="t" fillcolor="#a0a0a0" stroked="f"/>
        </w:pict>
      </w:r>
    </w:p>
    <w:p w14:paraId="3E04D695" w14:textId="77777777" w:rsidR="00000000" w:rsidRDefault="00E614A4">
      <w:pPr>
        <w:divId w:val="186990344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AA8D4BD" w14:textId="77777777" w:rsidR="00000000" w:rsidRDefault="00E614A4">
      <w:pPr>
        <w:divId w:val="316612917"/>
        <w:rPr>
          <w:rFonts w:eastAsia="Times New Roman"/>
        </w:rPr>
      </w:pPr>
    </w:p>
    <w:p w14:paraId="19F642DC" w14:textId="77777777" w:rsidR="00000000" w:rsidRDefault="00E614A4">
      <w:pPr>
        <w:jc w:val="both"/>
        <w:divId w:val="1214199212"/>
        <w:rPr>
          <w:rFonts w:eastAsia="Times New Roman"/>
        </w:rPr>
      </w:pPr>
      <w:r>
        <w:rPr>
          <w:rFonts w:eastAsia="Times New Roman"/>
          <w:color w:val="000000"/>
          <w:sz w:val="20"/>
          <w:szCs w:val="20"/>
        </w:rPr>
        <w:t>and tax treatment of certain stock-based compensation, limitations on the deductibility of certain executive compensation, nondeductible interest expense on debt instruments and associated derivatives, and other nondeductible expenses. These tax adjustment</w:t>
      </w:r>
      <w:r>
        <w:rPr>
          <w:rFonts w:eastAsia="Times New Roman"/>
          <w:color w:val="000000"/>
          <w:sz w:val="20"/>
          <w:szCs w:val="20"/>
        </w:rPr>
        <w:t>s, along with state and local taxes and book losses in foreign jurisdictions where the income tax rate is substantially lower than the U.S. federal statutory rate, are the primary drivers of the annual effective income tax rate.</w:t>
      </w:r>
    </w:p>
    <w:p w14:paraId="176FB07D" w14:textId="77777777" w:rsidR="00000000" w:rsidRDefault="00E614A4">
      <w:pPr>
        <w:jc w:val="both"/>
        <w:divId w:val="825706051"/>
        <w:rPr>
          <w:rFonts w:eastAsia="Times New Roman"/>
        </w:rPr>
      </w:pPr>
      <w:r>
        <w:rPr>
          <w:rFonts w:eastAsia="Times New Roman"/>
          <w:color w:val="000000"/>
          <w:sz w:val="20"/>
          <w:szCs w:val="20"/>
        </w:rPr>
        <w:t>The Company recognized an i</w:t>
      </w:r>
      <w:r>
        <w:rPr>
          <w:rFonts w:eastAsia="Times New Roman"/>
          <w:color w:val="000000"/>
          <w:sz w:val="20"/>
          <w:szCs w:val="20"/>
        </w:rPr>
        <w:t xml:space="preserve">ncome tax expense of $3.7 million during the year ended December 31, 2018, which is comprised of current tax expense of $1.7 million primarily related to foreign taxes and a deferred tax expense of $2.0 million related to temporary differences between the </w:t>
      </w:r>
      <w:r>
        <w:rPr>
          <w:rFonts w:eastAsia="Times New Roman"/>
          <w:color w:val="000000"/>
          <w:sz w:val="20"/>
          <w:szCs w:val="20"/>
        </w:rPr>
        <w:t>tax treatment and GAAP accounting treatment for certain items. Included within the total tax expense is an income tax expense of $19.0 million related to the increase in valuation allowance recorded against the Company's deferred tax assets to offset the t</w:t>
      </w:r>
      <w:r>
        <w:rPr>
          <w:rFonts w:eastAsia="Times New Roman"/>
          <w:color w:val="000000"/>
          <w:sz w:val="20"/>
          <w:szCs w:val="20"/>
        </w:rPr>
        <w:t>ax benefit of the Company's operating losses in the U.S. and certain foreign jurisdictions. An income tax adjustment of $19.7 million has also been included for permanent differences in the book and tax treatment of certain stock-based compensation, limita</w:t>
      </w:r>
      <w:r>
        <w:rPr>
          <w:rFonts w:eastAsia="Times New Roman"/>
          <w:color w:val="000000"/>
          <w:sz w:val="20"/>
          <w:szCs w:val="20"/>
        </w:rPr>
        <w:t>tions on the deductibility of certain executive compensation, nondeductible interest expense on debt instruments and associated derivatives, and other nondeductible expenses. These tax adjustments, along with state and local taxes and book losses in foreig</w:t>
      </w:r>
      <w:r>
        <w:rPr>
          <w:rFonts w:eastAsia="Times New Roman"/>
          <w:color w:val="000000"/>
          <w:sz w:val="20"/>
          <w:szCs w:val="20"/>
        </w:rPr>
        <w:t>n jurisdictions where the income tax rate is substantially lower than the U.S. federal statutory rate, are the primary drivers of the annual effective income tax rate.</w:t>
      </w:r>
    </w:p>
    <w:p w14:paraId="32D27896" w14:textId="77777777" w:rsidR="00000000" w:rsidRDefault="00E614A4">
      <w:pPr>
        <w:jc w:val="both"/>
        <w:divId w:val="564920670"/>
        <w:rPr>
          <w:rFonts w:eastAsia="Times New Roman"/>
        </w:rPr>
      </w:pPr>
      <w:r>
        <w:rPr>
          <w:rFonts w:eastAsia="Times New Roman"/>
          <w:color w:val="000000"/>
          <w:sz w:val="20"/>
          <w:szCs w:val="20"/>
        </w:rPr>
        <w:t>The COVID-19 pandemic has a global reach, and many countries have introduced measures th</w:t>
      </w:r>
      <w:r>
        <w:rPr>
          <w:rFonts w:eastAsia="Times New Roman"/>
          <w:color w:val="000000"/>
          <w:sz w:val="20"/>
          <w:szCs w:val="20"/>
        </w:rPr>
        <w:t>at provide relief to taxpayers in a variety of ways. The Company has evaluated these measures, including the CARES Act in the United States, and has concluded that these did not have a significant impact on its income tax (provision) benefit for the year e</w:t>
      </w:r>
      <w:r>
        <w:rPr>
          <w:rFonts w:eastAsia="Times New Roman"/>
          <w:color w:val="000000"/>
          <w:sz w:val="20"/>
          <w:szCs w:val="20"/>
        </w:rPr>
        <w:t xml:space="preserve">nded December 31, 2020. </w:t>
      </w:r>
    </w:p>
    <w:p w14:paraId="4F68EFC7" w14:textId="77777777" w:rsidR="00000000" w:rsidRDefault="00E614A4">
      <w:pPr>
        <w:jc w:val="both"/>
        <w:divId w:val="1778717481"/>
        <w:rPr>
          <w:rFonts w:eastAsia="Times New Roman"/>
        </w:rPr>
      </w:pPr>
      <w:r>
        <w:rPr>
          <w:rFonts w:eastAsia="Times New Roman"/>
          <w:i/>
          <w:iCs/>
          <w:color w:val="000000"/>
          <w:sz w:val="20"/>
          <w:szCs w:val="20"/>
        </w:rPr>
        <w:t>Deferred Income Taxes</w:t>
      </w:r>
    </w:p>
    <w:p w14:paraId="07C3849B" w14:textId="77777777" w:rsidR="00000000" w:rsidRDefault="00E614A4">
      <w:pPr>
        <w:jc w:val="both"/>
        <w:divId w:val="227886960"/>
        <w:rPr>
          <w:rFonts w:eastAsia="Times New Roman"/>
        </w:rPr>
      </w:pPr>
      <w:r>
        <w:rPr>
          <w:rFonts w:eastAsia="Times New Roman"/>
          <w:color w:val="000000"/>
          <w:sz w:val="20"/>
          <w:szCs w:val="20"/>
        </w:rPr>
        <w:t>Deferred income taxes reflect the net tax effects of temporary differences between the carrying amount of assets and liabilities for financial reporting purposes and the amounts used for income tax reporting p</w:t>
      </w:r>
      <w:r>
        <w:rPr>
          <w:rFonts w:eastAsia="Times New Roman"/>
          <w:color w:val="000000"/>
          <w:sz w:val="20"/>
          <w:szCs w:val="20"/>
        </w:rPr>
        <w:t>urposes. The components of net deferred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800"/>
        <w:gridCol w:w="37"/>
        <w:gridCol w:w="36"/>
        <w:gridCol w:w="36"/>
        <w:gridCol w:w="36"/>
        <w:gridCol w:w="110"/>
        <w:gridCol w:w="961"/>
        <w:gridCol w:w="36"/>
        <w:gridCol w:w="36"/>
        <w:gridCol w:w="36"/>
        <w:gridCol w:w="36"/>
        <w:gridCol w:w="110"/>
        <w:gridCol w:w="962"/>
        <w:gridCol w:w="36"/>
      </w:tblGrid>
      <w:tr w:rsidR="00000000" w14:paraId="2C1AA339" w14:textId="77777777">
        <w:trPr>
          <w:divId w:val="1521430937"/>
        </w:trPr>
        <w:tc>
          <w:tcPr>
            <w:tcW w:w="50" w:type="pct"/>
            <w:vAlign w:val="center"/>
            <w:hideMark/>
          </w:tcPr>
          <w:p w14:paraId="72C2E394" w14:textId="77777777" w:rsidR="00000000" w:rsidRDefault="00E614A4">
            <w:pPr>
              <w:jc w:val="both"/>
              <w:rPr>
                <w:rFonts w:eastAsia="Times New Roman"/>
              </w:rPr>
            </w:pPr>
          </w:p>
        </w:tc>
        <w:tc>
          <w:tcPr>
            <w:tcW w:w="3542" w:type="pct"/>
            <w:vAlign w:val="center"/>
            <w:hideMark/>
          </w:tcPr>
          <w:p w14:paraId="39A1AA97" w14:textId="77777777" w:rsidR="00000000" w:rsidRDefault="00E614A4">
            <w:pPr>
              <w:rPr>
                <w:rFonts w:eastAsia="Times New Roman"/>
                <w:sz w:val="20"/>
                <w:szCs w:val="20"/>
              </w:rPr>
            </w:pPr>
          </w:p>
        </w:tc>
        <w:tc>
          <w:tcPr>
            <w:tcW w:w="5" w:type="pct"/>
            <w:vAlign w:val="center"/>
            <w:hideMark/>
          </w:tcPr>
          <w:p w14:paraId="0A1A2638" w14:textId="77777777" w:rsidR="00000000" w:rsidRDefault="00E614A4">
            <w:pPr>
              <w:rPr>
                <w:rFonts w:eastAsia="Times New Roman"/>
                <w:sz w:val="20"/>
                <w:szCs w:val="20"/>
              </w:rPr>
            </w:pPr>
          </w:p>
        </w:tc>
        <w:tc>
          <w:tcPr>
            <w:tcW w:w="5" w:type="pct"/>
            <w:vAlign w:val="center"/>
            <w:hideMark/>
          </w:tcPr>
          <w:p w14:paraId="2838F123" w14:textId="77777777" w:rsidR="00000000" w:rsidRDefault="00E614A4">
            <w:pPr>
              <w:rPr>
                <w:rFonts w:eastAsia="Times New Roman"/>
                <w:sz w:val="20"/>
                <w:szCs w:val="20"/>
              </w:rPr>
            </w:pPr>
          </w:p>
        </w:tc>
        <w:tc>
          <w:tcPr>
            <w:tcW w:w="17" w:type="pct"/>
            <w:vAlign w:val="center"/>
            <w:hideMark/>
          </w:tcPr>
          <w:p w14:paraId="2B87876F" w14:textId="77777777" w:rsidR="00000000" w:rsidRDefault="00E614A4">
            <w:pPr>
              <w:rPr>
                <w:rFonts w:eastAsia="Times New Roman"/>
                <w:sz w:val="20"/>
                <w:szCs w:val="20"/>
              </w:rPr>
            </w:pPr>
          </w:p>
        </w:tc>
        <w:tc>
          <w:tcPr>
            <w:tcW w:w="5" w:type="pct"/>
            <w:vAlign w:val="center"/>
            <w:hideMark/>
          </w:tcPr>
          <w:p w14:paraId="09637E40" w14:textId="77777777" w:rsidR="00000000" w:rsidRDefault="00E614A4">
            <w:pPr>
              <w:rPr>
                <w:rFonts w:eastAsia="Times New Roman"/>
                <w:sz w:val="20"/>
                <w:szCs w:val="20"/>
              </w:rPr>
            </w:pPr>
          </w:p>
        </w:tc>
        <w:tc>
          <w:tcPr>
            <w:tcW w:w="50" w:type="pct"/>
            <w:vAlign w:val="center"/>
            <w:hideMark/>
          </w:tcPr>
          <w:p w14:paraId="48EF1752" w14:textId="77777777" w:rsidR="00000000" w:rsidRDefault="00E614A4">
            <w:pPr>
              <w:rPr>
                <w:rFonts w:eastAsia="Times New Roman"/>
                <w:sz w:val="20"/>
                <w:szCs w:val="20"/>
              </w:rPr>
            </w:pPr>
          </w:p>
        </w:tc>
        <w:tc>
          <w:tcPr>
            <w:tcW w:w="618" w:type="pct"/>
            <w:vAlign w:val="center"/>
            <w:hideMark/>
          </w:tcPr>
          <w:p w14:paraId="175E75DD" w14:textId="77777777" w:rsidR="00000000" w:rsidRDefault="00E614A4">
            <w:pPr>
              <w:rPr>
                <w:rFonts w:eastAsia="Times New Roman"/>
                <w:sz w:val="20"/>
                <w:szCs w:val="20"/>
              </w:rPr>
            </w:pPr>
          </w:p>
        </w:tc>
        <w:tc>
          <w:tcPr>
            <w:tcW w:w="5" w:type="pct"/>
            <w:vAlign w:val="center"/>
            <w:hideMark/>
          </w:tcPr>
          <w:p w14:paraId="1DDC674B" w14:textId="77777777" w:rsidR="00000000" w:rsidRDefault="00E614A4">
            <w:pPr>
              <w:rPr>
                <w:rFonts w:eastAsia="Times New Roman"/>
                <w:sz w:val="20"/>
                <w:szCs w:val="20"/>
              </w:rPr>
            </w:pPr>
          </w:p>
        </w:tc>
        <w:tc>
          <w:tcPr>
            <w:tcW w:w="5" w:type="pct"/>
            <w:vAlign w:val="center"/>
            <w:hideMark/>
          </w:tcPr>
          <w:p w14:paraId="2B737114" w14:textId="77777777" w:rsidR="00000000" w:rsidRDefault="00E614A4">
            <w:pPr>
              <w:rPr>
                <w:rFonts w:eastAsia="Times New Roman"/>
                <w:sz w:val="20"/>
                <w:szCs w:val="20"/>
              </w:rPr>
            </w:pPr>
          </w:p>
        </w:tc>
        <w:tc>
          <w:tcPr>
            <w:tcW w:w="17" w:type="pct"/>
            <w:vAlign w:val="center"/>
            <w:hideMark/>
          </w:tcPr>
          <w:p w14:paraId="06C5D506" w14:textId="77777777" w:rsidR="00000000" w:rsidRDefault="00E614A4">
            <w:pPr>
              <w:rPr>
                <w:rFonts w:eastAsia="Times New Roman"/>
                <w:sz w:val="20"/>
                <w:szCs w:val="20"/>
              </w:rPr>
            </w:pPr>
          </w:p>
        </w:tc>
        <w:tc>
          <w:tcPr>
            <w:tcW w:w="5" w:type="pct"/>
            <w:vAlign w:val="center"/>
            <w:hideMark/>
          </w:tcPr>
          <w:p w14:paraId="6E8A08F7" w14:textId="77777777" w:rsidR="00000000" w:rsidRDefault="00E614A4">
            <w:pPr>
              <w:rPr>
                <w:rFonts w:eastAsia="Times New Roman"/>
                <w:sz w:val="20"/>
                <w:szCs w:val="20"/>
              </w:rPr>
            </w:pPr>
          </w:p>
        </w:tc>
        <w:tc>
          <w:tcPr>
            <w:tcW w:w="50" w:type="pct"/>
            <w:vAlign w:val="center"/>
            <w:hideMark/>
          </w:tcPr>
          <w:p w14:paraId="4086D801" w14:textId="77777777" w:rsidR="00000000" w:rsidRDefault="00E614A4">
            <w:pPr>
              <w:rPr>
                <w:rFonts w:eastAsia="Times New Roman"/>
                <w:sz w:val="20"/>
                <w:szCs w:val="20"/>
              </w:rPr>
            </w:pPr>
          </w:p>
        </w:tc>
        <w:tc>
          <w:tcPr>
            <w:tcW w:w="618" w:type="pct"/>
            <w:vAlign w:val="center"/>
            <w:hideMark/>
          </w:tcPr>
          <w:p w14:paraId="101963FA" w14:textId="77777777" w:rsidR="00000000" w:rsidRDefault="00E614A4">
            <w:pPr>
              <w:rPr>
                <w:rFonts w:eastAsia="Times New Roman"/>
                <w:sz w:val="20"/>
                <w:szCs w:val="20"/>
              </w:rPr>
            </w:pPr>
          </w:p>
        </w:tc>
        <w:tc>
          <w:tcPr>
            <w:tcW w:w="5" w:type="pct"/>
            <w:vAlign w:val="center"/>
            <w:hideMark/>
          </w:tcPr>
          <w:p w14:paraId="391D177B" w14:textId="77777777" w:rsidR="00000000" w:rsidRDefault="00E614A4">
            <w:pPr>
              <w:rPr>
                <w:rFonts w:eastAsia="Times New Roman"/>
                <w:sz w:val="20"/>
                <w:szCs w:val="20"/>
              </w:rPr>
            </w:pPr>
          </w:p>
        </w:tc>
      </w:tr>
      <w:tr w:rsidR="00000000" w14:paraId="031B5BA0" w14:textId="77777777">
        <w:trPr>
          <w:divId w:val="1521430937"/>
        </w:trPr>
        <w:tc>
          <w:tcPr>
            <w:tcW w:w="0" w:type="auto"/>
            <w:gridSpan w:val="3"/>
            <w:tcMar>
              <w:top w:w="30" w:type="dxa"/>
              <w:left w:w="20" w:type="dxa"/>
              <w:bottom w:w="30" w:type="dxa"/>
              <w:right w:w="20" w:type="dxa"/>
            </w:tcMar>
            <w:vAlign w:val="bottom"/>
            <w:hideMark/>
          </w:tcPr>
          <w:p w14:paraId="14F49DDF"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7593787" w14:textId="77777777" w:rsidR="00000000" w:rsidRDefault="00E614A4">
            <w:pPr>
              <w:rPr>
                <w:rFonts w:eastAsia="Times New Roman"/>
              </w:rPr>
            </w:pPr>
          </w:p>
        </w:tc>
        <w:tc>
          <w:tcPr>
            <w:tcW w:w="0" w:type="auto"/>
            <w:gridSpan w:val="9"/>
            <w:tcMar>
              <w:top w:w="30" w:type="dxa"/>
              <w:left w:w="20" w:type="dxa"/>
              <w:bottom w:w="30" w:type="dxa"/>
              <w:right w:w="20" w:type="dxa"/>
            </w:tcMar>
            <w:vAlign w:val="bottom"/>
            <w:hideMark/>
          </w:tcPr>
          <w:p w14:paraId="04B3DC69"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6455C2E9" w14:textId="77777777">
        <w:trPr>
          <w:divId w:val="1521430937"/>
        </w:trPr>
        <w:tc>
          <w:tcPr>
            <w:tcW w:w="0" w:type="auto"/>
            <w:gridSpan w:val="3"/>
            <w:tcMar>
              <w:top w:w="30" w:type="dxa"/>
              <w:left w:w="20" w:type="dxa"/>
              <w:bottom w:w="30" w:type="dxa"/>
              <w:right w:w="20" w:type="dxa"/>
            </w:tcMar>
            <w:vAlign w:val="bottom"/>
            <w:hideMark/>
          </w:tcPr>
          <w:p w14:paraId="4B96B46F" w14:textId="77777777" w:rsidR="00000000" w:rsidRDefault="00E614A4">
            <w:pPr>
              <w:divId w:val="603416164"/>
              <w:rPr>
                <w:rFonts w:eastAsia="Times New Roman"/>
              </w:rPr>
            </w:pPr>
            <w:r>
              <w:rPr>
                <w:rFonts w:eastAsia="Times New Roman"/>
                <w:color w:val="000000"/>
                <w:sz w:val="16"/>
                <w:szCs w:val="16"/>
              </w:rPr>
              <w:t> </w:t>
            </w: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F94DFB7"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5754B6"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A598CE1"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7E6782" w14:textId="77777777" w:rsidR="00000000" w:rsidRDefault="00E614A4">
            <w:pPr>
              <w:jc w:val="center"/>
              <w:rPr>
                <w:rFonts w:eastAsia="Times New Roman"/>
              </w:rPr>
            </w:pPr>
            <w:r>
              <w:rPr>
                <w:rFonts w:eastAsia="Times New Roman"/>
                <w:b/>
                <w:bCs/>
                <w:color w:val="000000"/>
                <w:sz w:val="16"/>
                <w:szCs w:val="16"/>
              </w:rPr>
              <w:t>2019</w:t>
            </w:r>
          </w:p>
        </w:tc>
      </w:tr>
      <w:tr w:rsidR="00000000" w14:paraId="1AB6F38F" w14:textId="77777777">
        <w:trPr>
          <w:divId w:val="1521430937"/>
        </w:trPr>
        <w:tc>
          <w:tcPr>
            <w:tcW w:w="0" w:type="auto"/>
            <w:gridSpan w:val="3"/>
            <w:shd w:val="clear" w:color="auto" w:fill="CCEEFF"/>
            <w:tcMar>
              <w:top w:w="30" w:type="dxa"/>
              <w:left w:w="20" w:type="dxa"/>
              <w:bottom w:w="30" w:type="dxa"/>
              <w:right w:w="20" w:type="dxa"/>
            </w:tcMar>
            <w:hideMark/>
          </w:tcPr>
          <w:p w14:paraId="492358EF" w14:textId="77777777" w:rsidR="00000000" w:rsidRDefault="00E614A4">
            <w:pPr>
              <w:rPr>
                <w:rFonts w:eastAsia="Times New Roman"/>
              </w:rPr>
            </w:pPr>
            <w:r>
              <w:rPr>
                <w:rFonts w:eastAsia="Times New Roman"/>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14:paraId="6C179F10" w14:textId="77777777" w:rsidR="00000000" w:rsidRDefault="00E614A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3E2BA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CEBC0"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8CEEEE" w14:textId="77777777" w:rsidR="00000000" w:rsidRDefault="00E614A4">
            <w:pPr>
              <w:rPr>
                <w:rFonts w:eastAsia="Times New Roman"/>
                <w:sz w:val="20"/>
                <w:szCs w:val="20"/>
              </w:rPr>
            </w:pPr>
          </w:p>
        </w:tc>
      </w:tr>
      <w:tr w:rsidR="00000000" w14:paraId="2D016DCA" w14:textId="77777777">
        <w:trPr>
          <w:divId w:val="1521430937"/>
        </w:trPr>
        <w:tc>
          <w:tcPr>
            <w:tcW w:w="0" w:type="auto"/>
            <w:gridSpan w:val="3"/>
            <w:shd w:val="clear" w:color="auto" w:fill="FFFFFF"/>
            <w:tcMar>
              <w:top w:w="30" w:type="dxa"/>
              <w:left w:w="380" w:type="dxa"/>
              <w:bottom w:w="30" w:type="dxa"/>
              <w:right w:w="20" w:type="dxa"/>
            </w:tcMar>
            <w:hideMark/>
          </w:tcPr>
          <w:p w14:paraId="77AA7948" w14:textId="77777777" w:rsidR="00000000" w:rsidRDefault="00E614A4">
            <w:pPr>
              <w:rPr>
                <w:rFonts w:eastAsia="Times New Roman"/>
              </w:rPr>
            </w:pPr>
            <w:r>
              <w:rPr>
                <w:rFonts w:eastAsia="Times New Roman"/>
                <w:color w:val="000000"/>
                <w:sz w:val="18"/>
                <w:szCs w:val="18"/>
              </w:rPr>
              <w:t>Net operating loss carryforwards</w:t>
            </w:r>
          </w:p>
        </w:tc>
        <w:tc>
          <w:tcPr>
            <w:tcW w:w="0" w:type="auto"/>
            <w:gridSpan w:val="3"/>
            <w:shd w:val="clear" w:color="auto" w:fill="FFFFFF"/>
            <w:tcMar>
              <w:top w:w="0" w:type="dxa"/>
              <w:left w:w="20" w:type="dxa"/>
              <w:bottom w:w="0" w:type="dxa"/>
              <w:right w:w="20" w:type="dxa"/>
            </w:tcMar>
            <w:vAlign w:val="center"/>
            <w:hideMark/>
          </w:tcPr>
          <w:p w14:paraId="61FBB22B"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0FEF14EF"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202CB38" w14:textId="77777777" w:rsidR="00000000" w:rsidRDefault="00E614A4">
            <w:pPr>
              <w:jc w:val="right"/>
              <w:rPr>
                <w:rFonts w:eastAsia="Times New Roman"/>
              </w:rPr>
            </w:pPr>
            <w:r>
              <w:rPr>
                <w:rFonts w:eastAsia="Times New Roman"/>
                <w:color w:val="000000"/>
                <w:sz w:val="18"/>
                <w:szCs w:val="18"/>
              </w:rPr>
              <w:t>197,017 </w:t>
            </w:r>
          </w:p>
        </w:tc>
        <w:tc>
          <w:tcPr>
            <w:tcW w:w="0" w:type="auto"/>
            <w:shd w:val="clear" w:color="auto" w:fill="FFFFFF"/>
            <w:tcMar>
              <w:top w:w="30" w:type="dxa"/>
              <w:left w:w="0" w:type="dxa"/>
              <w:bottom w:w="30" w:type="dxa"/>
              <w:right w:w="20" w:type="dxa"/>
            </w:tcMar>
            <w:vAlign w:val="bottom"/>
            <w:hideMark/>
          </w:tcPr>
          <w:p w14:paraId="203B1E9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1CC12"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CE8504"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DD19FF4" w14:textId="77777777" w:rsidR="00000000" w:rsidRDefault="00E614A4">
            <w:pPr>
              <w:jc w:val="right"/>
              <w:rPr>
                <w:rFonts w:eastAsia="Times New Roman"/>
              </w:rPr>
            </w:pPr>
            <w:r>
              <w:rPr>
                <w:rFonts w:eastAsia="Times New Roman"/>
                <w:color w:val="000000"/>
                <w:sz w:val="18"/>
                <w:szCs w:val="18"/>
              </w:rPr>
              <w:t>212,253 </w:t>
            </w:r>
          </w:p>
        </w:tc>
        <w:tc>
          <w:tcPr>
            <w:tcW w:w="0" w:type="auto"/>
            <w:shd w:val="clear" w:color="auto" w:fill="FFFFFF"/>
            <w:tcMar>
              <w:top w:w="30" w:type="dxa"/>
              <w:left w:w="0" w:type="dxa"/>
              <w:bottom w:w="30" w:type="dxa"/>
              <w:right w:w="20" w:type="dxa"/>
            </w:tcMar>
            <w:vAlign w:val="bottom"/>
            <w:hideMark/>
          </w:tcPr>
          <w:p w14:paraId="5DF221A4" w14:textId="77777777" w:rsidR="00000000" w:rsidRDefault="00E614A4">
            <w:pPr>
              <w:jc w:val="right"/>
              <w:rPr>
                <w:rFonts w:eastAsia="Times New Roman"/>
              </w:rPr>
            </w:pPr>
          </w:p>
        </w:tc>
      </w:tr>
      <w:tr w:rsidR="00000000" w14:paraId="2A405E9F" w14:textId="77777777">
        <w:trPr>
          <w:divId w:val="1521430937"/>
        </w:trPr>
        <w:tc>
          <w:tcPr>
            <w:tcW w:w="0" w:type="auto"/>
            <w:gridSpan w:val="3"/>
            <w:shd w:val="clear" w:color="auto" w:fill="CCEEFF"/>
            <w:tcMar>
              <w:top w:w="30" w:type="dxa"/>
              <w:left w:w="380" w:type="dxa"/>
              <w:bottom w:w="30" w:type="dxa"/>
              <w:right w:w="20" w:type="dxa"/>
            </w:tcMar>
            <w:hideMark/>
          </w:tcPr>
          <w:p w14:paraId="2ADDB6BA" w14:textId="77777777" w:rsidR="00000000" w:rsidRDefault="00E614A4">
            <w:pPr>
              <w:rPr>
                <w:rFonts w:eastAsia="Times New Roman"/>
              </w:rPr>
            </w:pPr>
            <w:r>
              <w:rPr>
                <w:rFonts w:eastAsia="Times New Roman"/>
                <w:color w:val="000000"/>
                <w:sz w:val="18"/>
                <w:szCs w:val="18"/>
              </w:rPr>
              <w:t>Lease liability</w:t>
            </w:r>
          </w:p>
        </w:tc>
        <w:tc>
          <w:tcPr>
            <w:tcW w:w="0" w:type="auto"/>
            <w:gridSpan w:val="3"/>
            <w:shd w:val="clear" w:color="auto" w:fill="CCEEFF"/>
            <w:tcMar>
              <w:top w:w="0" w:type="dxa"/>
              <w:left w:w="20" w:type="dxa"/>
              <w:bottom w:w="0" w:type="dxa"/>
              <w:right w:w="20" w:type="dxa"/>
            </w:tcMar>
            <w:vAlign w:val="center"/>
            <w:hideMark/>
          </w:tcPr>
          <w:p w14:paraId="16B7B6F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F300D1" w14:textId="77777777" w:rsidR="00000000" w:rsidRDefault="00E614A4">
            <w:pPr>
              <w:jc w:val="right"/>
              <w:rPr>
                <w:rFonts w:eastAsia="Times New Roman"/>
              </w:rPr>
            </w:pPr>
            <w:r>
              <w:rPr>
                <w:rFonts w:eastAsia="Times New Roman"/>
                <w:color w:val="000000"/>
                <w:sz w:val="18"/>
                <w:szCs w:val="18"/>
              </w:rPr>
              <w:t>14,517 </w:t>
            </w:r>
          </w:p>
        </w:tc>
        <w:tc>
          <w:tcPr>
            <w:tcW w:w="0" w:type="auto"/>
            <w:shd w:val="clear" w:color="auto" w:fill="CCEEFF"/>
            <w:tcMar>
              <w:top w:w="30" w:type="dxa"/>
              <w:left w:w="0" w:type="dxa"/>
              <w:bottom w:w="30" w:type="dxa"/>
              <w:right w:w="20" w:type="dxa"/>
            </w:tcMar>
            <w:vAlign w:val="bottom"/>
            <w:hideMark/>
          </w:tcPr>
          <w:p w14:paraId="257318A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5D0D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AA23A5" w14:textId="77777777" w:rsidR="00000000" w:rsidRDefault="00E614A4">
            <w:pPr>
              <w:jc w:val="right"/>
              <w:rPr>
                <w:rFonts w:eastAsia="Times New Roman"/>
              </w:rPr>
            </w:pPr>
            <w:r>
              <w:rPr>
                <w:rFonts w:eastAsia="Times New Roman"/>
                <w:color w:val="000000"/>
                <w:sz w:val="18"/>
                <w:szCs w:val="18"/>
              </w:rPr>
              <w:t>16,772 </w:t>
            </w:r>
          </w:p>
        </w:tc>
        <w:tc>
          <w:tcPr>
            <w:tcW w:w="0" w:type="auto"/>
            <w:shd w:val="clear" w:color="auto" w:fill="CCEEFF"/>
            <w:tcMar>
              <w:top w:w="30" w:type="dxa"/>
              <w:left w:w="0" w:type="dxa"/>
              <w:bottom w:w="30" w:type="dxa"/>
              <w:right w:w="20" w:type="dxa"/>
            </w:tcMar>
            <w:vAlign w:val="bottom"/>
            <w:hideMark/>
          </w:tcPr>
          <w:p w14:paraId="052652BA" w14:textId="77777777" w:rsidR="00000000" w:rsidRDefault="00E614A4">
            <w:pPr>
              <w:jc w:val="right"/>
              <w:rPr>
                <w:rFonts w:eastAsia="Times New Roman"/>
              </w:rPr>
            </w:pPr>
          </w:p>
        </w:tc>
      </w:tr>
      <w:tr w:rsidR="00000000" w14:paraId="120698F4" w14:textId="77777777">
        <w:trPr>
          <w:divId w:val="1521430937"/>
        </w:trPr>
        <w:tc>
          <w:tcPr>
            <w:tcW w:w="0" w:type="auto"/>
            <w:gridSpan w:val="3"/>
            <w:shd w:val="clear" w:color="auto" w:fill="FFFFFF"/>
            <w:tcMar>
              <w:top w:w="30" w:type="dxa"/>
              <w:left w:w="380" w:type="dxa"/>
              <w:bottom w:w="30" w:type="dxa"/>
              <w:right w:w="20" w:type="dxa"/>
            </w:tcMar>
            <w:hideMark/>
          </w:tcPr>
          <w:p w14:paraId="027AC452" w14:textId="77777777" w:rsidR="00000000" w:rsidRDefault="00E614A4">
            <w:pPr>
              <w:rPr>
                <w:rFonts w:eastAsia="Times New Roman"/>
              </w:rPr>
            </w:pPr>
            <w:r>
              <w:rPr>
                <w:rFonts w:eastAsia="Times New Roman"/>
                <w:color w:val="000000"/>
                <w:sz w:val="18"/>
                <w:szCs w:val="18"/>
              </w:rPr>
              <w:t>Deferred revenues</w:t>
            </w:r>
          </w:p>
        </w:tc>
        <w:tc>
          <w:tcPr>
            <w:tcW w:w="0" w:type="auto"/>
            <w:gridSpan w:val="3"/>
            <w:shd w:val="clear" w:color="auto" w:fill="FFFFFF"/>
            <w:tcMar>
              <w:top w:w="0" w:type="dxa"/>
              <w:left w:w="20" w:type="dxa"/>
              <w:bottom w:w="0" w:type="dxa"/>
              <w:right w:w="20" w:type="dxa"/>
            </w:tcMar>
            <w:vAlign w:val="center"/>
            <w:hideMark/>
          </w:tcPr>
          <w:p w14:paraId="3ACA270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470118" w14:textId="77777777" w:rsidR="00000000" w:rsidRDefault="00E614A4">
            <w:pPr>
              <w:jc w:val="right"/>
              <w:rPr>
                <w:rFonts w:eastAsia="Times New Roman"/>
              </w:rPr>
            </w:pPr>
            <w:r>
              <w:rPr>
                <w:rFonts w:eastAsia="Times New Roman"/>
                <w:color w:val="000000"/>
                <w:sz w:val="18"/>
                <w:szCs w:val="18"/>
              </w:rPr>
              <w:t>14,483 </w:t>
            </w:r>
          </w:p>
        </w:tc>
        <w:tc>
          <w:tcPr>
            <w:tcW w:w="0" w:type="auto"/>
            <w:shd w:val="clear" w:color="auto" w:fill="FFFFFF"/>
            <w:tcMar>
              <w:top w:w="30" w:type="dxa"/>
              <w:left w:w="0" w:type="dxa"/>
              <w:bottom w:w="30" w:type="dxa"/>
              <w:right w:w="20" w:type="dxa"/>
            </w:tcMar>
            <w:vAlign w:val="bottom"/>
            <w:hideMark/>
          </w:tcPr>
          <w:p w14:paraId="5701DB3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44DE8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197DF7" w14:textId="77777777" w:rsidR="00000000" w:rsidRDefault="00E614A4">
            <w:pPr>
              <w:jc w:val="right"/>
              <w:rPr>
                <w:rFonts w:eastAsia="Times New Roman"/>
              </w:rPr>
            </w:pPr>
            <w:r>
              <w:rPr>
                <w:rFonts w:eastAsia="Times New Roman"/>
                <w:color w:val="000000"/>
                <w:sz w:val="18"/>
                <w:szCs w:val="18"/>
              </w:rPr>
              <w:t>5,095 </w:t>
            </w:r>
          </w:p>
        </w:tc>
        <w:tc>
          <w:tcPr>
            <w:tcW w:w="0" w:type="auto"/>
            <w:shd w:val="clear" w:color="auto" w:fill="FFFFFF"/>
            <w:tcMar>
              <w:top w:w="30" w:type="dxa"/>
              <w:left w:w="0" w:type="dxa"/>
              <w:bottom w:w="30" w:type="dxa"/>
              <w:right w:w="20" w:type="dxa"/>
            </w:tcMar>
            <w:vAlign w:val="bottom"/>
            <w:hideMark/>
          </w:tcPr>
          <w:p w14:paraId="2B024B11" w14:textId="77777777" w:rsidR="00000000" w:rsidRDefault="00E614A4">
            <w:pPr>
              <w:jc w:val="right"/>
              <w:rPr>
                <w:rFonts w:eastAsia="Times New Roman"/>
              </w:rPr>
            </w:pPr>
          </w:p>
        </w:tc>
      </w:tr>
      <w:tr w:rsidR="00000000" w14:paraId="4F80AFC3" w14:textId="77777777">
        <w:trPr>
          <w:divId w:val="1521430937"/>
        </w:trPr>
        <w:tc>
          <w:tcPr>
            <w:tcW w:w="0" w:type="auto"/>
            <w:gridSpan w:val="3"/>
            <w:shd w:val="clear" w:color="auto" w:fill="CCEEFF"/>
            <w:tcMar>
              <w:top w:w="30" w:type="dxa"/>
              <w:left w:w="380" w:type="dxa"/>
              <w:bottom w:w="30" w:type="dxa"/>
              <w:right w:w="20" w:type="dxa"/>
            </w:tcMar>
            <w:hideMark/>
          </w:tcPr>
          <w:p w14:paraId="222690F3" w14:textId="77777777" w:rsidR="00000000" w:rsidRDefault="00E614A4">
            <w:pPr>
              <w:rPr>
                <w:rFonts w:eastAsia="Times New Roman"/>
              </w:rPr>
            </w:pPr>
            <w:r>
              <w:rPr>
                <w:rFonts w:eastAsia="Times New Roman"/>
                <w:color w:val="000000"/>
                <w:sz w:val="18"/>
                <w:szCs w:val="18"/>
              </w:rPr>
              <w:t>Deferred compensation</w:t>
            </w:r>
          </w:p>
        </w:tc>
        <w:tc>
          <w:tcPr>
            <w:tcW w:w="0" w:type="auto"/>
            <w:gridSpan w:val="3"/>
            <w:shd w:val="clear" w:color="auto" w:fill="CCEEFF"/>
            <w:tcMar>
              <w:top w:w="0" w:type="dxa"/>
              <w:left w:w="20" w:type="dxa"/>
              <w:bottom w:w="0" w:type="dxa"/>
              <w:right w:w="20" w:type="dxa"/>
            </w:tcMar>
            <w:vAlign w:val="center"/>
            <w:hideMark/>
          </w:tcPr>
          <w:p w14:paraId="3C93789E"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872409" w14:textId="77777777" w:rsidR="00000000" w:rsidRDefault="00E614A4">
            <w:pPr>
              <w:jc w:val="right"/>
              <w:rPr>
                <w:rFonts w:eastAsia="Times New Roman"/>
              </w:rPr>
            </w:pPr>
            <w:r>
              <w:rPr>
                <w:rFonts w:eastAsia="Times New Roman"/>
                <w:color w:val="000000"/>
                <w:sz w:val="18"/>
                <w:szCs w:val="18"/>
              </w:rPr>
              <w:t>6,138 </w:t>
            </w:r>
          </w:p>
        </w:tc>
        <w:tc>
          <w:tcPr>
            <w:tcW w:w="0" w:type="auto"/>
            <w:shd w:val="clear" w:color="auto" w:fill="CCEEFF"/>
            <w:tcMar>
              <w:top w:w="30" w:type="dxa"/>
              <w:left w:w="0" w:type="dxa"/>
              <w:bottom w:w="30" w:type="dxa"/>
              <w:right w:w="20" w:type="dxa"/>
            </w:tcMar>
            <w:vAlign w:val="bottom"/>
            <w:hideMark/>
          </w:tcPr>
          <w:p w14:paraId="5B7E308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995C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3983B" w14:textId="77777777" w:rsidR="00000000" w:rsidRDefault="00E614A4">
            <w:pPr>
              <w:jc w:val="right"/>
              <w:rPr>
                <w:rFonts w:eastAsia="Times New Roman"/>
              </w:rPr>
            </w:pPr>
            <w:r>
              <w:rPr>
                <w:rFonts w:eastAsia="Times New Roman"/>
                <w:color w:val="000000"/>
                <w:sz w:val="18"/>
                <w:szCs w:val="18"/>
              </w:rPr>
              <w:t>8,146 </w:t>
            </w:r>
          </w:p>
        </w:tc>
        <w:tc>
          <w:tcPr>
            <w:tcW w:w="0" w:type="auto"/>
            <w:shd w:val="clear" w:color="auto" w:fill="CCEEFF"/>
            <w:tcMar>
              <w:top w:w="30" w:type="dxa"/>
              <w:left w:w="0" w:type="dxa"/>
              <w:bottom w:w="30" w:type="dxa"/>
              <w:right w:w="20" w:type="dxa"/>
            </w:tcMar>
            <w:vAlign w:val="bottom"/>
            <w:hideMark/>
          </w:tcPr>
          <w:p w14:paraId="5443FE54" w14:textId="77777777" w:rsidR="00000000" w:rsidRDefault="00E614A4">
            <w:pPr>
              <w:jc w:val="right"/>
              <w:rPr>
                <w:rFonts w:eastAsia="Times New Roman"/>
              </w:rPr>
            </w:pPr>
          </w:p>
        </w:tc>
      </w:tr>
      <w:tr w:rsidR="00000000" w14:paraId="128E3D73" w14:textId="77777777">
        <w:trPr>
          <w:divId w:val="1521430937"/>
        </w:trPr>
        <w:tc>
          <w:tcPr>
            <w:tcW w:w="0" w:type="auto"/>
            <w:gridSpan w:val="3"/>
            <w:shd w:val="clear" w:color="auto" w:fill="FFFFFF"/>
            <w:tcMar>
              <w:top w:w="30" w:type="dxa"/>
              <w:left w:w="380" w:type="dxa"/>
              <w:bottom w:w="30" w:type="dxa"/>
              <w:right w:w="20" w:type="dxa"/>
            </w:tcMar>
            <w:hideMark/>
          </w:tcPr>
          <w:p w14:paraId="16E39E1D" w14:textId="77777777" w:rsidR="00000000" w:rsidRDefault="00E614A4">
            <w:pPr>
              <w:rPr>
                <w:rFonts w:eastAsia="Times New Roman"/>
              </w:rPr>
            </w:pPr>
            <w:r>
              <w:rPr>
                <w:rFonts w:eastAsia="Times New Roman"/>
                <w:color w:val="000000"/>
                <w:sz w:val="18"/>
                <w:szCs w:val="18"/>
              </w:rPr>
              <w:t>Accrued salaries and benefits</w:t>
            </w:r>
          </w:p>
        </w:tc>
        <w:tc>
          <w:tcPr>
            <w:tcW w:w="0" w:type="auto"/>
            <w:gridSpan w:val="3"/>
            <w:shd w:val="clear" w:color="auto" w:fill="FFFFFF"/>
            <w:tcMar>
              <w:top w:w="0" w:type="dxa"/>
              <w:left w:w="20" w:type="dxa"/>
              <w:bottom w:w="0" w:type="dxa"/>
              <w:right w:w="20" w:type="dxa"/>
            </w:tcMar>
            <w:vAlign w:val="center"/>
            <w:hideMark/>
          </w:tcPr>
          <w:p w14:paraId="353582F2"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ED5188" w14:textId="77777777" w:rsidR="00000000" w:rsidRDefault="00E614A4">
            <w:pPr>
              <w:jc w:val="right"/>
              <w:rPr>
                <w:rFonts w:eastAsia="Times New Roman"/>
              </w:rPr>
            </w:pPr>
            <w:r>
              <w:rPr>
                <w:rFonts w:eastAsia="Times New Roman"/>
                <w:color w:val="000000"/>
                <w:sz w:val="18"/>
                <w:szCs w:val="18"/>
              </w:rPr>
              <w:t>3,499 </w:t>
            </w:r>
          </w:p>
        </w:tc>
        <w:tc>
          <w:tcPr>
            <w:tcW w:w="0" w:type="auto"/>
            <w:shd w:val="clear" w:color="auto" w:fill="FFFFFF"/>
            <w:tcMar>
              <w:top w:w="30" w:type="dxa"/>
              <w:left w:w="0" w:type="dxa"/>
              <w:bottom w:w="30" w:type="dxa"/>
              <w:right w:w="20" w:type="dxa"/>
            </w:tcMar>
            <w:vAlign w:val="bottom"/>
            <w:hideMark/>
          </w:tcPr>
          <w:p w14:paraId="0B5DC38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229B7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B3B989" w14:textId="77777777" w:rsidR="00000000" w:rsidRDefault="00E614A4">
            <w:pPr>
              <w:jc w:val="right"/>
              <w:rPr>
                <w:rFonts w:eastAsia="Times New Roman"/>
              </w:rPr>
            </w:pPr>
            <w:r>
              <w:rPr>
                <w:rFonts w:eastAsia="Times New Roman"/>
                <w:color w:val="000000"/>
                <w:sz w:val="18"/>
                <w:szCs w:val="18"/>
              </w:rPr>
              <w:t>2,406 </w:t>
            </w:r>
          </w:p>
        </w:tc>
        <w:tc>
          <w:tcPr>
            <w:tcW w:w="0" w:type="auto"/>
            <w:shd w:val="clear" w:color="auto" w:fill="FFFFFF"/>
            <w:tcMar>
              <w:top w:w="30" w:type="dxa"/>
              <w:left w:w="0" w:type="dxa"/>
              <w:bottom w:w="30" w:type="dxa"/>
              <w:right w:w="20" w:type="dxa"/>
            </w:tcMar>
            <w:vAlign w:val="bottom"/>
            <w:hideMark/>
          </w:tcPr>
          <w:p w14:paraId="0AE1C6A4" w14:textId="77777777" w:rsidR="00000000" w:rsidRDefault="00E614A4">
            <w:pPr>
              <w:jc w:val="right"/>
              <w:rPr>
                <w:rFonts w:eastAsia="Times New Roman"/>
              </w:rPr>
            </w:pPr>
          </w:p>
        </w:tc>
      </w:tr>
      <w:tr w:rsidR="00000000" w14:paraId="31C795DD" w14:textId="77777777">
        <w:trPr>
          <w:divId w:val="1521430937"/>
        </w:trPr>
        <w:tc>
          <w:tcPr>
            <w:tcW w:w="0" w:type="auto"/>
            <w:gridSpan w:val="3"/>
            <w:shd w:val="clear" w:color="auto" w:fill="CCEEFF"/>
            <w:tcMar>
              <w:top w:w="30" w:type="dxa"/>
              <w:left w:w="380" w:type="dxa"/>
              <w:bottom w:w="30" w:type="dxa"/>
              <w:right w:w="20" w:type="dxa"/>
            </w:tcMar>
            <w:hideMark/>
          </w:tcPr>
          <w:p w14:paraId="75D81D45" w14:textId="77777777" w:rsidR="00000000" w:rsidRDefault="00E614A4">
            <w:pPr>
              <w:rPr>
                <w:rFonts w:eastAsia="Times New Roman"/>
              </w:rPr>
            </w:pPr>
            <w:r>
              <w:rPr>
                <w:rFonts w:eastAsia="Times New Roman"/>
                <w:color w:val="000000"/>
                <w:sz w:val="18"/>
                <w:szCs w:val="18"/>
              </w:rPr>
              <w:t>Tax credits</w:t>
            </w:r>
          </w:p>
        </w:tc>
        <w:tc>
          <w:tcPr>
            <w:tcW w:w="0" w:type="auto"/>
            <w:gridSpan w:val="3"/>
            <w:shd w:val="clear" w:color="auto" w:fill="CCEEFF"/>
            <w:tcMar>
              <w:top w:w="0" w:type="dxa"/>
              <w:left w:w="20" w:type="dxa"/>
              <w:bottom w:w="0" w:type="dxa"/>
              <w:right w:w="20" w:type="dxa"/>
            </w:tcMar>
            <w:vAlign w:val="center"/>
            <w:hideMark/>
          </w:tcPr>
          <w:p w14:paraId="7EE7DE9E"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544BA9" w14:textId="77777777" w:rsidR="00000000" w:rsidRDefault="00E614A4">
            <w:pPr>
              <w:jc w:val="right"/>
              <w:rPr>
                <w:rFonts w:eastAsia="Times New Roman"/>
              </w:rPr>
            </w:pPr>
            <w:r>
              <w:rPr>
                <w:rFonts w:eastAsia="Times New Roman"/>
                <w:color w:val="000000"/>
                <w:sz w:val="18"/>
                <w:szCs w:val="18"/>
              </w:rPr>
              <w:t>2,187 </w:t>
            </w:r>
          </w:p>
        </w:tc>
        <w:tc>
          <w:tcPr>
            <w:tcW w:w="0" w:type="auto"/>
            <w:shd w:val="clear" w:color="auto" w:fill="CCEEFF"/>
            <w:tcMar>
              <w:top w:w="30" w:type="dxa"/>
              <w:left w:w="0" w:type="dxa"/>
              <w:bottom w:w="30" w:type="dxa"/>
              <w:right w:w="20" w:type="dxa"/>
            </w:tcMar>
            <w:vAlign w:val="bottom"/>
            <w:hideMark/>
          </w:tcPr>
          <w:p w14:paraId="5CE75A6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3EA4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BE6202" w14:textId="77777777" w:rsidR="00000000" w:rsidRDefault="00E614A4">
            <w:pPr>
              <w:jc w:val="right"/>
              <w:rPr>
                <w:rFonts w:eastAsia="Times New Roman"/>
              </w:rPr>
            </w:pPr>
            <w:r>
              <w:rPr>
                <w:rFonts w:eastAsia="Times New Roman"/>
                <w:color w:val="000000"/>
                <w:sz w:val="18"/>
                <w:szCs w:val="18"/>
              </w:rPr>
              <w:t>2,945 </w:t>
            </w:r>
          </w:p>
        </w:tc>
        <w:tc>
          <w:tcPr>
            <w:tcW w:w="0" w:type="auto"/>
            <w:shd w:val="clear" w:color="auto" w:fill="CCEEFF"/>
            <w:tcMar>
              <w:top w:w="30" w:type="dxa"/>
              <w:left w:w="0" w:type="dxa"/>
              <w:bottom w:w="30" w:type="dxa"/>
              <w:right w:w="20" w:type="dxa"/>
            </w:tcMar>
            <w:vAlign w:val="bottom"/>
            <w:hideMark/>
          </w:tcPr>
          <w:p w14:paraId="67C2A883" w14:textId="77777777" w:rsidR="00000000" w:rsidRDefault="00E614A4">
            <w:pPr>
              <w:jc w:val="right"/>
              <w:rPr>
                <w:rFonts w:eastAsia="Times New Roman"/>
              </w:rPr>
            </w:pPr>
          </w:p>
        </w:tc>
      </w:tr>
      <w:tr w:rsidR="00000000" w14:paraId="7FEC0EDE" w14:textId="77777777">
        <w:trPr>
          <w:divId w:val="1521430937"/>
        </w:trPr>
        <w:tc>
          <w:tcPr>
            <w:tcW w:w="0" w:type="auto"/>
            <w:gridSpan w:val="3"/>
            <w:shd w:val="clear" w:color="auto" w:fill="FFFFFF"/>
            <w:tcMar>
              <w:top w:w="30" w:type="dxa"/>
              <w:left w:w="380" w:type="dxa"/>
              <w:bottom w:w="30" w:type="dxa"/>
              <w:right w:w="20" w:type="dxa"/>
            </w:tcMar>
            <w:hideMark/>
          </w:tcPr>
          <w:p w14:paraId="50CD04D1" w14:textId="77777777" w:rsidR="00000000" w:rsidRDefault="00E614A4">
            <w:pPr>
              <w:rPr>
                <w:rFonts w:eastAsia="Times New Roman"/>
              </w:rPr>
            </w:pPr>
            <w:r>
              <w:rPr>
                <w:rFonts w:eastAsia="Times New Roman"/>
                <w:color w:val="000000"/>
                <w:sz w:val="18"/>
                <w:szCs w:val="18"/>
              </w:rPr>
              <w:t>Tax contingencies</w:t>
            </w:r>
          </w:p>
        </w:tc>
        <w:tc>
          <w:tcPr>
            <w:tcW w:w="0" w:type="auto"/>
            <w:gridSpan w:val="3"/>
            <w:shd w:val="clear" w:color="auto" w:fill="FFFFFF"/>
            <w:tcMar>
              <w:top w:w="0" w:type="dxa"/>
              <w:left w:w="20" w:type="dxa"/>
              <w:bottom w:w="0" w:type="dxa"/>
              <w:right w:w="20" w:type="dxa"/>
            </w:tcMar>
            <w:vAlign w:val="center"/>
            <w:hideMark/>
          </w:tcPr>
          <w:p w14:paraId="643EB558"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BFCEA1" w14:textId="77777777" w:rsidR="00000000" w:rsidRDefault="00E614A4">
            <w:pPr>
              <w:jc w:val="right"/>
              <w:rPr>
                <w:rFonts w:eastAsia="Times New Roman"/>
              </w:rPr>
            </w:pPr>
            <w:r>
              <w:rPr>
                <w:rFonts w:eastAsia="Times New Roman"/>
                <w:color w:val="000000"/>
                <w:sz w:val="18"/>
                <w:szCs w:val="18"/>
              </w:rPr>
              <w:t>1,132 </w:t>
            </w:r>
          </w:p>
        </w:tc>
        <w:tc>
          <w:tcPr>
            <w:tcW w:w="0" w:type="auto"/>
            <w:shd w:val="clear" w:color="auto" w:fill="FFFFFF"/>
            <w:tcMar>
              <w:top w:w="30" w:type="dxa"/>
              <w:left w:w="0" w:type="dxa"/>
              <w:bottom w:w="30" w:type="dxa"/>
              <w:right w:w="20" w:type="dxa"/>
            </w:tcMar>
            <w:vAlign w:val="bottom"/>
            <w:hideMark/>
          </w:tcPr>
          <w:p w14:paraId="5D66D24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DB4D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2EE3FC" w14:textId="77777777" w:rsidR="00000000" w:rsidRDefault="00E614A4">
            <w:pPr>
              <w:jc w:val="right"/>
              <w:rPr>
                <w:rFonts w:eastAsia="Times New Roman"/>
              </w:rPr>
            </w:pPr>
            <w:r>
              <w:rPr>
                <w:rFonts w:eastAsia="Times New Roman"/>
                <w:color w:val="000000"/>
                <w:sz w:val="18"/>
                <w:szCs w:val="18"/>
              </w:rPr>
              <w:t>1,127 </w:t>
            </w:r>
          </w:p>
        </w:tc>
        <w:tc>
          <w:tcPr>
            <w:tcW w:w="0" w:type="auto"/>
            <w:shd w:val="clear" w:color="auto" w:fill="FFFFFF"/>
            <w:tcMar>
              <w:top w:w="30" w:type="dxa"/>
              <w:left w:w="0" w:type="dxa"/>
              <w:bottom w:w="30" w:type="dxa"/>
              <w:right w:w="20" w:type="dxa"/>
            </w:tcMar>
            <w:vAlign w:val="bottom"/>
            <w:hideMark/>
          </w:tcPr>
          <w:p w14:paraId="76ED1282" w14:textId="77777777" w:rsidR="00000000" w:rsidRDefault="00E614A4">
            <w:pPr>
              <w:jc w:val="right"/>
              <w:rPr>
                <w:rFonts w:eastAsia="Times New Roman"/>
              </w:rPr>
            </w:pPr>
          </w:p>
        </w:tc>
      </w:tr>
      <w:tr w:rsidR="00000000" w14:paraId="5BB759FD" w14:textId="77777777">
        <w:trPr>
          <w:divId w:val="1521430937"/>
        </w:trPr>
        <w:tc>
          <w:tcPr>
            <w:tcW w:w="0" w:type="auto"/>
            <w:gridSpan w:val="3"/>
            <w:shd w:val="clear" w:color="auto" w:fill="CCEEFF"/>
            <w:tcMar>
              <w:top w:w="30" w:type="dxa"/>
              <w:left w:w="380" w:type="dxa"/>
              <w:bottom w:w="30" w:type="dxa"/>
              <w:right w:w="20" w:type="dxa"/>
            </w:tcMar>
            <w:hideMark/>
          </w:tcPr>
          <w:p w14:paraId="1E034E6A" w14:textId="77777777" w:rsidR="00000000" w:rsidRDefault="00E614A4">
            <w:pPr>
              <w:rPr>
                <w:rFonts w:eastAsia="Times New Roman"/>
              </w:rPr>
            </w:pPr>
            <w:r>
              <w:rPr>
                <w:rFonts w:eastAsia="Times New Roman"/>
                <w:color w:val="000000"/>
                <w:sz w:val="18"/>
                <w:szCs w:val="18"/>
              </w:rPr>
              <w:t>Allowance for doubtful accounts</w:t>
            </w:r>
          </w:p>
        </w:tc>
        <w:tc>
          <w:tcPr>
            <w:tcW w:w="0" w:type="auto"/>
            <w:gridSpan w:val="3"/>
            <w:shd w:val="clear" w:color="auto" w:fill="CCEEFF"/>
            <w:tcMar>
              <w:top w:w="0" w:type="dxa"/>
              <w:left w:w="20" w:type="dxa"/>
              <w:bottom w:w="0" w:type="dxa"/>
              <w:right w:w="20" w:type="dxa"/>
            </w:tcMar>
            <w:vAlign w:val="center"/>
            <w:hideMark/>
          </w:tcPr>
          <w:p w14:paraId="7FE4046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8A0A0E" w14:textId="77777777" w:rsidR="00000000" w:rsidRDefault="00E614A4">
            <w:pPr>
              <w:jc w:val="right"/>
              <w:rPr>
                <w:rFonts w:eastAsia="Times New Roman"/>
              </w:rPr>
            </w:pPr>
            <w:r>
              <w:rPr>
                <w:rFonts w:eastAsia="Times New Roman"/>
                <w:color w:val="000000"/>
                <w:sz w:val="18"/>
                <w:szCs w:val="18"/>
              </w:rPr>
              <w:t>776 </w:t>
            </w:r>
          </w:p>
        </w:tc>
        <w:tc>
          <w:tcPr>
            <w:tcW w:w="0" w:type="auto"/>
            <w:shd w:val="clear" w:color="auto" w:fill="CCEEFF"/>
            <w:tcMar>
              <w:top w:w="30" w:type="dxa"/>
              <w:left w:w="0" w:type="dxa"/>
              <w:bottom w:w="30" w:type="dxa"/>
              <w:right w:w="20" w:type="dxa"/>
            </w:tcMar>
            <w:vAlign w:val="bottom"/>
            <w:hideMark/>
          </w:tcPr>
          <w:p w14:paraId="6FB0BA1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FD99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AC9DE0" w14:textId="77777777" w:rsidR="00000000" w:rsidRDefault="00E614A4">
            <w:pPr>
              <w:jc w:val="right"/>
              <w:rPr>
                <w:rFonts w:eastAsia="Times New Roman"/>
              </w:rPr>
            </w:pPr>
            <w:r>
              <w:rPr>
                <w:rFonts w:eastAsia="Times New Roman"/>
                <w:color w:val="000000"/>
                <w:sz w:val="18"/>
                <w:szCs w:val="18"/>
              </w:rPr>
              <w:t>453 </w:t>
            </w:r>
          </w:p>
        </w:tc>
        <w:tc>
          <w:tcPr>
            <w:tcW w:w="0" w:type="auto"/>
            <w:shd w:val="clear" w:color="auto" w:fill="CCEEFF"/>
            <w:tcMar>
              <w:top w:w="30" w:type="dxa"/>
              <w:left w:w="0" w:type="dxa"/>
              <w:bottom w:w="30" w:type="dxa"/>
              <w:right w:w="20" w:type="dxa"/>
            </w:tcMar>
            <w:vAlign w:val="bottom"/>
            <w:hideMark/>
          </w:tcPr>
          <w:p w14:paraId="3831708B" w14:textId="77777777" w:rsidR="00000000" w:rsidRDefault="00E614A4">
            <w:pPr>
              <w:jc w:val="right"/>
              <w:rPr>
                <w:rFonts w:eastAsia="Times New Roman"/>
              </w:rPr>
            </w:pPr>
          </w:p>
        </w:tc>
      </w:tr>
      <w:tr w:rsidR="00000000" w14:paraId="081BE871" w14:textId="77777777">
        <w:trPr>
          <w:divId w:val="1521430937"/>
        </w:trPr>
        <w:tc>
          <w:tcPr>
            <w:tcW w:w="0" w:type="auto"/>
            <w:gridSpan w:val="3"/>
            <w:shd w:val="clear" w:color="auto" w:fill="FFFFFF"/>
            <w:tcMar>
              <w:top w:w="30" w:type="dxa"/>
              <w:left w:w="380" w:type="dxa"/>
              <w:bottom w:w="30" w:type="dxa"/>
              <w:right w:w="20" w:type="dxa"/>
            </w:tcMar>
            <w:hideMark/>
          </w:tcPr>
          <w:p w14:paraId="2404226B" w14:textId="77777777" w:rsidR="00000000" w:rsidRDefault="00E614A4">
            <w:pPr>
              <w:rPr>
                <w:rFonts w:eastAsia="Times New Roman"/>
              </w:rPr>
            </w:pPr>
            <w:r>
              <w:rPr>
                <w:rFonts w:eastAsia="Times New Roman"/>
                <w:color w:val="000000"/>
                <w:sz w:val="18"/>
                <w:szCs w:val="18"/>
              </w:rPr>
              <w:t>Capital loss carryforwards</w:t>
            </w:r>
          </w:p>
        </w:tc>
        <w:tc>
          <w:tcPr>
            <w:tcW w:w="0" w:type="auto"/>
            <w:gridSpan w:val="3"/>
            <w:shd w:val="clear" w:color="auto" w:fill="FFFFFF"/>
            <w:tcMar>
              <w:top w:w="0" w:type="dxa"/>
              <w:left w:w="20" w:type="dxa"/>
              <w:bottom w:w="0" w:type="dxa"/>
              <w:right w:w="20" w:type="dxa"/>
            </w:tcMar>
            <w:vAlign w:val="center"/>
            <w:hideMark/>
          </w:tcPr>
          <w:p w14:paraId="4DA91EBD"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0D1784" w14:textId="77777777" w:rsidR="00000000" w:rsidRDefault="00E614A4">
            <w:pPr>
              <w:jc w:val="right"/>
              <w:rPr>
                <w:rFonts w:eastAsia="Times New Roman"/>
              </w:rPr>
            </w:pPr>
            <w:r>
              <w:rPr>
                <w:rFonts w:eastAsia="Times New Roman"/>
                <w:color w:val="000000"/>
                <w:sz w:val="18"/>
                <w:szCs w:val="18"/>
              </w:rPr>
              <w:t>263 </w:t>
            </w:r>
          </w:p>
        </w:tc>
        <w:tc>
          <w:tcPr>
            <w:tcW w:w="0" w:type="auto"/>
            <w:shd w:val="clear" w:color="auto" w:fill="FFFFFF"/>
            <w:tcMar>
              <w:top w:w="30" w:type="dxa"/>
              <w:left w:w="0" w:type="dxa"/>
              <w:bottom w:w="30" w:type="dxa"/>
              <w:right w:w="20" w:type="dxa"/>
            </w:tcMar>
            <w:vAlign w:val="bottom"/>
            <w:hideMark/>
          </w:tcPr>
          <w:p w14:paraId="4D4C218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AE4A1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5E758E" w14:textId="77777777" w:rsidR="00000000" w:rsidRDefault="00E614A4">
            <w:pPr>
              <w:jc w:val="right"/>
              <w:rPr>
                <w:rFonts w:eastAsia="Times New Roman"/>
              </w:rPr>
            </w:pPr>
            <w:r>
              <w:rPr>
                <w:rFonts w:eastAsia="Times New Roman"/>
                <w:color w:val="000000"/>
                <w:sz w:val="18"/>
                <w:szCs w:val="18"/>
              </w:rPr>
              <w:t>266 </w:t>
            </w:r>
          </w:p>
        </w:tc>
        <w:tc>
          <w:tcPr>
            <w:tcW w:w="0" w:type="auto"/>
            <w:shd w:val="clear" w:color="auto" w:fill="FFFFFF"/>
            <w:tcMar>
              <w:top w:w="30" w:type="dxa"/>
              <w:left w:w="0" w:type="dxa"/>
              <w:bottom w:w="30" w:type="dxa"/>
              <w:right w:w="20" w:type="dxa"/>
            </w:tcMar>
            <w:vAlign w:val="bottom"/>
            <w:hideMark/>
          </w:tcPr>
          <w:p w14:paraId="53D0B0CF" w14:textId="77777777" w:rsidR="00000000" w:rsidRDefault="00E614A4">
            <w:pPr>
              <w:jc w:val="right"/>
              <w:rPr>
                <w:rFonts w:eastAsia="Times New Roman"/>
              </w:rPr>
            </w:pPr>
          </w:p>
        </w:tc>
      </w:tr>
      <w:tr w:rsidR="00000000" w14:paraId="785A6E6B" w14:textId="77777777">
        <w:trPr>
          <w:divId w:val="1521430937"/>
        </w:trPr>
        <w:tc>
          <w:tcPr>
            <w:tcW w:w="0" w:type="auto"/>
            <w:gridSpan w:val="3"/>
            <w:shd w:val="clear" w:color="auto" w:fill="CCEEFF"/>
            <w:tcMar>
              <w:top w:w="30" w:type="dxa"/>
              <w:left w:w="380" w:type="dxa"/>
              <w:bottom w:w="30" w:type="dxa"/>
              <w:right w:w="20" w:type="dxa"/>
            </w:tcMar>
            <w:hideMark/>
          </w:tcPr>
          <w:p w14:paraId="31B0F877" w14:textId="77777777" w:rsidR="00000000" w:rsidRDefault="00E614A4">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6D38B6A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C44B8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928E0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F726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B53E7A" w14:textId="77777777" w:rsidR="00000000" w:rsidRDefault="00E614A4">
            <w:pPr>
              <w:jc w:val="right"/>
              <w:rPr>
                <w:rFonts w:eastAsia="Times New Roman"/>
              </w:rPr>
            </w:pPr>
            <w:r>
              <w:rPr>
                <w:rFonts w:eastAsia="Times New Roman"/>
                <w:color w:val="000000"/>
                <w:sz w:val="18"/>
                <w:szCs w:val="18"/>
              </w:rPr>
              <w:t>2,462 </w:t>
            </w:r>
          </w:p>
        </w:tc>
        <w:tc>
          <w:tcPr>
            <w:tcW w:w="0" w:type="auto"/>
            <w:shd w:val="clear" w:color="auto" w:fill="CCEEFF"/>
            <w:tcMar>
              <w:top w:w="30" w:type="dxa"/>
              <w:left w:w="0" w:type="dxa"/>
              <w:bottom w:w="30" w:type="dxa"/>
              <w:right w:w="20" w:type="dxa"/>
            </w:tcMar>
            <w:vAlign w:val="bottom"/>
            <w:hideMark/>
          </w:tcPr>
          <w:p w14:paraId="212A8C70" w14:textId="77777777" w:rsidR="00000000" w:rsidRDefault="00E614A4">
            <w:pPr>
              <w:jc w:val="right"/>
              <w:rPr>
                <w:rFonts w:eastAsia="Times New Roman"/>
              </w:rPr>
            </w:pPr>
          </w:p>
        </w:tc>
      </w:tr>
      <w:tr w:rsidR="00000000" w14:paraId="56E270B2" w14:textId="77777777">
        <w:trPr>
          <w:divId w:val="1521430937"/>
        </w:trPr>
        <w:tc>
          <w:tcPr>
            <w:tcW w:w="0" w:type="auto"/>
            <w:gridSpan w:val="3"/>
            <w:shd w:val="clear" w:color="auto" w:fill="FFFFFF"/>
            <w:tcMar>
              <w:top w:w="30" w:type="dxa"/>
              <w:left w:w="380" w:type="dxa"/>
              <w:bottom w:w="30" w:type="dxa"/>
              <w:right w:w="20" w:type="dxa"/>
            </w:tcMar>
            <w:hideMark/>
          </w:tcPr>
          <w:p w14:paraId="404AE586" w14:textId="77777777" w:rsidR="00000000" w:rsidRDefault="00E614A4">
            <w:pPr>
              <w:rPr>
                <w:rFonts w:eastAsia="Times New Roman"/>
              </w:rPr>
            </w:pPr>
            <w:r>
              <w:rPr>
                <w:rFonts w:eastAsia="Times New Roman"/>
                <w:color w:val="000000"/>
                <w:sz w:val="18"/>
                <w:szCs w:val="18"/>
              </w:rPr>
              <w:t>Litigation settlement</w:t>
            </w:r>
          </w:p>
        </w:tc>
        <w:tc>
          <w:tcPr>
            <w:tcW w:w="0" w:type="auto"/>
            <w:gridSpan w:val="3"/>
            <w:shd w:val="clear" w:color="auto" w:fill="FFFFFF"/>
            <w:tcMar>
              <w:top w:w="0" w:type="dxa"/>
              <w:left w:w="20" w:type="dxa"/>
              <w:bottom w:w="0" w:type="dxa"/>
              <w:right w:w="20" w:type="dxa"/>
            </w:tcMar>
            <w:vAlign w:val="center"/>
            <w:hideMark/>
          </w:tcPr>
          <w:p w14:paraId="145419D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6F8CD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77A0D9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8F1D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37D1B" w14:textId="77777777" w:rsidR="00000000" w:rsidRDefault="00E614A4">
            <w:pPr>
              <w:jc w:val="right"/>
              <w:rPr>
                <w:rFonts w:eastAsia="Times New Roman"/>
              </w:rPr>
            </w:pPr>
            <w:r>
              <w:rPr>
                <w:rFonts w:eastAsia="Times New Roman"/>
                <w:color w:val="000000"/>
                <w:sz w:val="18"/>
                <w:szCs w:val="18"/>
              </w:rPr>
              <w:t>225 </w:t>
            </w:r>
          </w:p>
        </w:tc>
        <w:tc>
          <w:tcPr>
            <w:tcW w:w="0" w:type="auto"/>
            <w:shd w:val="clear" w:color="auto" w:fill="FFFFFF"/>
            <w:tcMar>
              <w:top w:w="30" w:type="dxa"/>
              <w:left w:w="0" w:type="dxa"/>
              <w:bottom w:w="30" w:type="dxa"/>
              <w:right w:w="20" w:type="dxa"/>
            </w:tcMar>
            <w:vAlign w:val="bottom"/>
            <w:hideMark/>
          </w:tcPr>
          <w:p w14:paraId="17B35C23" w14:textId="77777777" w:rsidR="00000000" w:rsidRDefault="00E614A4">
            <w:pPr>
              <w:jc w:val="right"/>
              <w:rPr>
                <w:rFonts w:eastAsia="Times New Roman"/>
              </w:rPr>
            </w:pPr>
          </w:p>
        </w:tc>
      </w:tr>
      <w:tr w:rsidR="00000000" w14:paraId="366B1B9A" w14:textId="77777777">
        <w:trPr>
          <w:divId w:val="1521430937"/>
        </w:trPr>
        <w:tc>
          <w:tcPr>
            <w:tcW w:w="0" w:type="auto"/>
            <w:gridSpan w:val="3"/>
            <w:shd w:val="clear" w:color="auto" w:fill="CCEEFF"/>
            <w:tcMar>
              <w:top w:w="30" w:type="dxa"/>
              <w:left w:w="380" w:type="dxa"/>
              <w:bottom w:w="30" w:type="dxa"/>
              <w:right w:w="20" w:type="dxa"/>
            </w:tcMar>
            <w:hideMark/>
          </w:tcPr>
          <w:p w14:paraId="480A4F87" w14:textId="77777777" w:rsidR="00000000" w:rsidRDefault="00E614A4">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4E99D957"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33BCA3" w14:textId="77777777" w:rsidR="00000000" w:rsidRDefault="00E614A4">
            <w:pPr>
              <w:jc w:val="right"/>
              <w:rPr>
                <w:rFonts w:eastAsia="Times New Roman"/>
              </w:rPr>
            </w:pPr>
            <w:r>
              <w:rPr>
                <w:rFonts w:eastAsia="Times New Roman"/>
                <w:color w:val="000000"/>
                <w:sz w:val="18"/>
                <w:szCs w:val="18"/>
              </w:rPr>
              <w:t>2,550 </w:t>
            </w:r>
          </w:p>
        </w:tc>
        <w:tc>
          <w:tcPr>
            <w:tcW w:w="0" w:type="auto"/>
            <w:shd w:val="clear" w:color="auto" w:fill="CCEEFF"/>
            <w:tcMar>
              <w:top w:w="30" w:type="dxa"/>
              <w:left w:w="0" w:type="dxa"/>
              <w:bottom w:w="30" w:type="dxa"/>
              <w:right w:w="20" w:type="dxa"/>
            </w:tcMar>
            <w:vAlign w:val="bottom"/>
            <w:hideMark/>
          </w:tcPr>
          <w:p w14:paraId="7ED8B7D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1B26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F630FF" w14:textId="77777777" w:rsidR="00000000" w:rsidRDefault="00E614A4">
            <w:pPr>
              <w:jc w:val="right"/>
              <w:rPr>
                <w:rFonts w:eastAsia="Times New Roman"/>
              </w:rPr>
            </w:pPr>
            <w:r>
              <w:rPr>
                <w:rFonts w:eastAsia="Times New Roman"/>
                <w:color w:val="000000"/>
                <w:sz w:val="18"/>
                <w:szCs w:val="18"/>
              </w:rPr>
              <w:t>2,409 </w:t>
            </w:r>
          </w:p>
        </w:tc>
        <w:tc>
          <w:tcPr>
            <w:tcW w:w="0" w:type="auto"/>
            <w:shd w:val="clear" w:color="auto" w:fill="CCEEFF"/>
            <w:tcMar>
              <w:top w:w="30" w:type="dxa"/>
              <w:left w:w="0" w:type="dxa"/>
              <w:bottom w:w="30" w:type="dxa"/>
              <w:right w:w="20" w:type="dxa"/>
            </w:tcMar>
            <w:vAlign w:val="bottom"/>
            <w:hideMark/>
          </w:tcPr>
          <w:p w14:paraId="0FC29216" w14:textId="77777777" w:rsidR="00000000" w:rsidRDefault="00E614A4">
            <w:pPr>
              <w:jc w:val="right"/>
              <w:rPr>
                <w:rFonts w:eastAsia="Times New Roman"/>
              </w:rPr>
            </w:pPr>
          </w:p>
        </w:tc>
      </w:tr>
      <w:tr w:rsidR="00000000" w14:paraId="51E233F8" w14:textId="77777777">
        <w:trPr>
          <w:divId w:val="1521430937"/>
        </w:trPr>
        <w:tc>
          <w:tcPr>
            <w:tcW w:w="0" w:type="auto"/>
            <w:gridSpan w:val="3"/>
            <w:shd w:val="clear" w:color="auto" w:fill="FFFFFF"/>
            <w:tcMar>
              <w:top w:w="30" w:type="dxa"/>
              <w:left w:w="20" w:type="dxa"/>
              <w:bottom w:w="30" w:type="dxa"/>
              <w:right w:w="20" w:type="dxa"/>
            </w:tcMar>
            <w:hideMark/>
          </w:tcPr>
          <w:p w14:paraId="460EB2F8" w14:textId="77777777" w:rsidR="00000000" w:rsidRDefault="00E614A4">
            <w:pPr>
              <w:rPr>
                <w:rFonts w:eastAsia="Times New Roman"/>
              </w:rPr>
            </w:pPr>
            <w:r>
              <w:rPr>
                <w:rFonts w:eastAsia="Times New Roman"/>
                <w:color w:val="000000"/>
                <w:sz w:val="18"/>
                <w:szCs w:val="18"/>
              </w:rPr>
              <w:t>Gross deferred tax assets</w:t>
            </w:r>
          </w:p>
        </w:tc>
        <w:tc>
          <w:tcPr>
            <w:tcW w:w="0" w:type="auto"/>
            <w:gridSpan w:val="3"/>
            <w:shd w:val="clear" w:color="auto" w:fill="FFFFFF"/>
            <w:tcMar>
              <w:top w:w="0" w:type="dxa"/>
              <w:left w:w="20" w:type="dxa"/>
              <w:bottom w:w="0" w:type="dxa"/>
              <w:right w:w="20" w:type="dxa"/>
            </w:tcMar>
            <w:vAlign w:val="center"/>
            <w:hideMark/>
          </w:tcPr>
          <w:p w14:paraId="3CF4ADA2"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B5FC04" w14:textId="77777777" w:rsidR="00000000" w:rsidRDefault="00E614A4">
            <w:pPr>
              <w:jc w:val="right"/>
              <w:rPr>
                <w:rFonts w:eastAsia="Times New Roman"/>
              </w:rPr>
            </w:pPr>
            <w:r>
              <w:rPr>
                <w:rFonts w:eastAsia="Times New Roman"/>
                <w:color w:val="000000"/>
                <w:sz w:val="18"/>
                <w:szCs w:val="18"/>
              </w:rPr>
              <w:t>242,562 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91E8F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31875"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EE1A57" w14:textId="77777777" w:rsidR="00000000" w:rsidRDefault="00E614A4">
            <w:pPr>
              <w:jc w:val="right"/>
              <w:rPr>
                <w:rFonts w:eastAsia="Times New Roman"/>
              </w:rPr>
            </w:pPr>
            <w:r>
              <w:rPr>
                <w:rFonts w:eastAsia="Times New Roman"/>
                <w:color w:val="000000"/>
                <w:sz w:val="18"/>
                <w:szCs w:val="18"/>
              </w:rPr>
              <w:t>254,559 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7573A4" w14:textId="77777777" w:rsidR="00000000" w:rsidRDefault="00E614A4">
            <w:pPr>
              <w:jc w:val="right"/>
              <w:rPr>
                <w:rFonts w:eastAsia="Times New Roman"/>
              </w:rPr>
            </w:pPr>
          </w:p>
        </w:tc>
      </w:tr>
      <w:tr w:rsidR="00000000" w14:paraId="2DF3E3D7" w14:textId="77777777">
        <w:trPr>
          <w:divId w:val="1521430937"/>
        </w:trPr>
        <w:tc>
          <w:tcPr>
            <w:tcW w:w="0" w:type="auto"/>
            <w:gridSpan w:val="3"/>
            <w:shd w:val="clear" w:color="auto" w:fill="CCEEFF"/>
            <w:tcMar>
              <w:top w:w="30" w:type="dxa"/>
              <w:left w:w="380" w:type="dxa"/>
              <w:bottom w:w="30" w:type="dxa"/>
              <w:right w:w="20" w:type="dxa"/>
            </w:tcMar>
            <w:hideMark/>
          </w:tcPr>
          <w:p w14:paraId="6DF07F51" w14:textId="77777777" w:rsidR="00000000" w:rsidRDefault="00E614A4">
            <w:pPr>
              <w:rPr>
                <w:rFonts w:eastAsia="Times New Roman"/>
              </w:rPr>
            </w:pPr>
            <w:r>
              <w:rPr>
                <w:rFonts w:eastAsia="Times New Roman"/>
                <w:color w:val="000000"/>
                <w:sz w:val="18"/>
                <w:szCs w:val="18"/>
              </w:rPr>
              <w:t>Valuation allowance</w:t>
            </w:r>
          </w:p>
        </w:tc>
        <w:tc>
          <w:tcPr>
            <w:tcW w:w="0" w:type="auto"/>
            <w:gridSpan w:val="3"/>
            <w:shd w:val="clear" w:color="auto" w:fill="CCEEFF"/>
            <w:tcMar>
              <w:top w:w="0" w:type="dxa"/>
              <w:left w:w="20" w:type="dxa"/>
              <w:bottom w:w="0" w:type="dxa"/>
              <w:right w:w="20" w:type="dxa"/>
            </w:tcMar>
            <w:vAlign w:val="center"/>
            <w:hideMark/>
          </w:tcPr>
          <w:p w14:paraId="3E51388B"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F2F88C" w14:textId="77777777" w:rsidR="00000000" w:rsidRDefault="00E614A4">
            <w:pPr>
              <w:jc w:val="right"/>
              <w:rPr>
                <w:rFonts w:eastAsia="Times New Roman"/>
              </w:rPr>
            </w:pPr>
            <w:r>
              <w:rPr>
                <w:rFonts w:eastAsia="Times New Roman"/>
                <w:color w:val="000000"/>
                <w:sz w:val="18"/>
                <w:szCs w:val="18"/>
              </w:rPr>
              <w:t>(220,115)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35FAB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FE884"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E7E5F9" w14:textId="77777777" w:rsidR="00000000" w:rsidRDefault="00E614A4">
            <w:pPr>
              <w:jc w:val="right"/>
              <w:rPr>
                <w:rFonts w:eastAsia="Times New Roman"/>
              </w:rPr>
            </w:pPr>
            <w:r>
              <w:rPr>
                <w:rFonts w:eastAsia="Times New Roman"/>
                <w:color w:val="000000"/>
                <w:sz w:val="18"/>
                <w:szCs w:val="18"/>
              </w:rPr>
              <w:t>(219,607)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6E4903" w14:textId="77777777" w:rsidR="00000000" w:rsidRDefault="00E614A4">
            <w:pPr>
              <w:jc w:val="right"/>
              <w:rPr>
                <w:rFonts w:eastAsia="Times New Roman"/>
              </w:rPr>
            </w:pPr>
          </w:p>
        </w:tc>
      </w:tr>
      <w:tr w:rsidR="00000000" w14:paraId="03E3A5BE" w14:textId="77777777">
        <w:trPr>
          <w:divId w:val="1521430937"/>
        </w:trPr>
        <w:tc>
          <w:tcPr>
            <w:tcW w:w="0" w:type="auto"/>
            <w:gridSpan w:val="3"/>
            <w:shd w:val="clear" w:color="auto" w:fill="FFFFFF"/>
            <w:tcMar>
              <w:top w:w="30" w:type="dxa"/>
              <w:left w:w="20" w:type="dxa"/>
              <w:bottom w:w="30" w:type="dxa"/>
              <w:right w:w="20" w:type="dxa"/>
            </w:tcMar>
            <w:hideMark/>
          </w:tcPr>
          <w:p w14:paraId="00786A61" w14:textId="77777777" w:rsidR="00000000" w:rsidRDefault="00E614A4">
            <w:pPr>
              <w:rPr>
                <w:rFonts w:eastAsia="Times New Roman"/>
              </w:rPr>
            </w:pPr>
            <w:r>
              <w:rPr>
                <w:rFonts w:eastAsia="Times New Roman"/>
                <w:color w:val="000000"/>
                <w:sz w:val="18"/>
                <w:szCs w:val="18"/>
              </w:rPr>
              <w:t>Net deferred tax assets</w:t>
            </w:r>
          </w:p>
        </w:tc>
        <w:tc>
          <w:tcPr>
            <w:tcW w:w="0" w:type="auto"/>
            <w:gridSpan w:val="3"/>
            <w:shd w:val="clear" w:color="auto" w:fill="FFFFFF"/>
            <w:tcMar>
              <w:top w:w="0" w:type="dxa"/>
              <w:left w:w="20" w:type="dxa"/>
              <w:bottom w:w="0" w:type="dxa"/>
              <w:right w:w="20" w:type="dxa"/>
            </w:tcMar>
            <w:vAlign w:val="center"/>
            <w:hideMark/>
          </w:tcPr>
          <w:p w14:paraId="2695B25A" w14:textId="77777777" w:rsidR="00000000" w:rsidRDefault="00E614A4">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E7F97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5B3119" w14:textId="77777777" w:rsidR="00000000" w:rsidRDefault="00E614A4">
            <w:pPr>
              <w:jc w:val="right"/>
              <w:rPr>
                <w:rFonts w:eastAsia="Times New Roman"/>
              </w:rPr>
            </w:pPr>
            <w:r>
              <w:rPr>
                <w:rFonts w:eastAsia="Times New Roman"/>
                <w:color w:val="000000"/>
                <w:sz w:val="18"/>
                <w:szCs w:val="18"/>
              </w:rPr>
              <w:t>22,447 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7777D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CE1A6"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A96AC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724D74" w14:textId="77777777" w:rsidR="00000000" w:rsidRDefault="00E614A4">
            <w:pPr>
              <w:jc w:val="right"/>
              <w:rPr>
                <w:rFonts w:eastAsia="Times New Roman"/>
              </w:rPr>
            </w:pPr>
            <w:r>
              <w:rPr>
                <w:rFonts w:eastAsia="Times New Roman"/>
                <w:color w:val="000000"/>
                <w:sz w:val="18"/>
                <w:szCs w:val="18"/>
              </w:rPr>
              <w:t>34,952 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122A0A" w14:textId="77777777" w:rsidR="00000000" w:rsidRDefault="00E614A4">
            <w:pPr>
              <w:jc w:val="right"/>
              <w:rPr>
                <w:rFonts w:eastAsia="Times New Roman"/>
              </w:rPr>
            </w:pPr>
          </w:p>
        </w:tc>
      </w:tr>
      <w:tr w:rsidR="00000000" w14:paraId="0B575C4D" w14:textId="77777777">
        <w:trPr>
          <w:divId w:val="1521430937"/>
        </w:trPr>
        <w:tc>
          <w:tcPr>
            <w:tcW w:w="0" w:type="auto"/>
            <w:gridSpan w:val="3"/>
            <w:shd w:val="clear" w:color="auto" w:fill="CCEEFF"/>
            <w:tcMar>
              <w:top w:w="30" w:type="dxa"/>
              <w:left w:w="20" w:type="dxa"/>
              <w:bottom w:w="30" w:type="dxa"/>
              <w:right w:w="20" w:type="dxa"/>
            </w:tcMar>
            <w:hideMark/>
          </w:tcPr>
          <w:p w14:paraId="4F5A10E9" w14:textId="77777777" w:rsidR="00000000" w:rsidRDefault="00E614A4">
            <w:pPr>
              <w:rPr>
                <w:rFonts w:eastAsia="Times New Roman"/>
              </w:rPr>
            </w:pPr>
            <w:r>
              <w:rPr>
                <w:rFonts w:eastAsia="Times New Roman"/>
                <w:color w:val="000000"/>
                <w:sz w:val="18"/>
                <w:szCs w:val="18"/>
              </w:rPr>
              <w:t>Deferred tax liabilities:</w:t>
            </w:r>
          </w:p>
        </w:tc>
        <w:tc>
          <w:tcPr>
            <w:tcW w:w="0" w:type="auto"/>
            <w:gridSpan w:val="3"/>
            <w:shd w:val="clear" w:color="auto" w:fill="CCEEFF"/>
            <w:tcMar>
              <w:top w:w="0" w:type="dxa"/>
              <w:left w:w="20" w:type="dxa"/>
              <w:bottom w:w="0" w:type="dxa"/>
              <w:right w:w="20" w:type="dxa"/>
            </w:tcMar>
            <w:vAlign w:val="center"/>
            <w:hideMark/>
          </w:tcPr>
          <w:p w14:paraId="4D479EE6" w14:textId="77777777" w:rsidR="00000000" w:rsidRDefault="00E614A4">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A7B8B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672D08"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378E35" w14:textId="77777777" w:rsidR="00000000" w:rsidRDefault="00E614A4">
            <w:pPr>
              <w:rPr>
                <w:rFonts w:eastAsia="Times New Roman"/>
                <w:sz w:val="20"/>
                <w:szCs w:val="20"/>
              </w:rPr>
            </w:pPr>
          </w:p>
        </w:tc>
      </w:tr>
      <w:tr w:rsidR="00000000" w14:paraId="760DA549" w14:textId="77777777">
        <w:trPr>
          <w:divId w:val="1521430937"/>
        </w:trPr>
        <w:tc>
          <w:tcPr>
            <w:tcW w:w="0" w:type="auto"/>
            <w:gridSpan w:val="3"/>
            <w:shd w:val="clear" w:color="auto" w:fill="FFFFFF"/>
            <w:tcMar>
              <w:top w:w="30" w:type="dxa"/>
              <w:left w:w="380" w:type="dxa"/>
              <w:bottom w:w="30" w:type="dxa"/>
              <w:right w:w="20" w:type="dxa"/>
            </w:tcMar>
            <w:hideMark/>
          </w:tcPr>
          <w:p w14:paraId="317CAFAB" w14:textId="77777777" w:rsidR="00000000" w:rsidRDefault="00E614A4">
            <w:pPr>
              <w:rPr>
                <w:rFonts w:eastAsia="Times New Roman"/>
              </w:rPr>
            </w:pPr>
            <w:r>
              <w:rPr>
                <w:rFonts w:eastAsia="Times New Roman"/>
                <w:color w:val="000000"/>
                <w:sz w:val="18"/>
                <w:szCs w:val="18"/>
              </w:rPr>
              <w:t>Lease asset</w:t>
            </w:r>
          </w:p>
        </w:tc>
        <w:tc>
          <w:tcPr>
            <w:tcW w:w="0" w:type="auto"/>
            <w:gridSpan w:val="3"/>
            <w:shd w:val="clear" w:color="auto" w:fill="FFFFFF"/>
            <w:tcMar>
              <w:top w:w="0" w:type="dxa"/>
              <w:left w:w="20" w:type="dxa"/>
              <w:bottom w:w="0" w:type="dxa"/>
              <w:right w:w="20" w:type="dxa"/>
            </w:tcMar>
            <w:vAlign w:val="center"/>
            <w:hideMark/>
          </w:tcPr>
          <w:p w14:paraId="176C07B8"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2670D418"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18563AD" w14:textId="77777777" w:rsidR="00000000" w:rsidRDefault="00E614A4">
            <w:pPr>
              <w:jc w:val="right"/>
              <w:rPr>
                <w:rFonts w:eastAsia="Times New Roman"/>
              </w:rPr>
            </w:pPr>
            <w:r>
              <w:rPr>
                <w:rFonts w:eastAsia="Times New Roman"/>
                <w:color w:val="000000"/>
                <w:sz w:val="18"/>
                <w:szCs w:val="18"/>
              </w:rPr>
              <w:t>(8,829)</w:t>
            </w:r>
          </w:p>
        </w:tc>
        <w:tc>
          <w:tcPr>
            <w:tcW w:w="0" w:type="auto"/>
            <w:shd w:val="clear" w:color="auto" w:fill="FFFFFF"/>
            <w:tcMar>
              <w:top w:w="30" w:type="dxa"/>
              <w:left w:w="0" w:type="dxa"/>
              <w:bottom w:w="30" w:type="dxa"/>
              <w:right w:w="20" w:type="dxa"/>
            </w:tcMar>
            <w:vAlign w:val="bottom"/>
            <w:hideMark/>
          </w:tcPr>
          <w:p w14:paraId="054DBE3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6F9B5"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26514B"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C09A175" w14:textId="77777777" w:rsidR="00000000" w:rsidRDefault="00E614A4">
            <w:pPr>
              <w:jc w:val="right"/>
              <w:rPr>
                <w:rFonts w:eastAsia="Times New Roman"/>
              </w:rPr>
            </w:pPr>
            <w:r>
              <w:rPr>
                <w:rFonts w:eastAsia="Times New Roman"/>
                <w:color w:val="000000"/>
                <w:sz w:val="18"/>
                <w:szCs w:val="18"/>
              </w:rPr>
              <w:t>(11,219)</w:t>
            </w:r>
          </w:p>
        </w:tc>
        <w:tc>
          <w:tcPr>
            <w:tcW w:w="0" w:type="auto"/>
            <w:shd w:val="clear" w:color="auto" w:fill="FFFFFF"/>
            <w:tcMar>
              <w:top w:w="30" w:type="dxa"/>
              <w:left w:w="0" w:type="dxa"/>
              <w:bottom w:w="30" w:type="dxa"/>
              <w:right w:w="20" w:type="dxa"/>
            </w:tcMar>
            <w:vAlign w:val="bottom"/>
            <w:hideMark/>
          </w:tcPr>
          <w:p w14:paraId="7883DEF7" w14:textId="77777777" w:rsidR="00000000" w:rsidRDefault="00E614A4">
            <w:pPr>
              <w:jc w:val="right"/>
              <w:rPr>
                <w:rFonts w:eastAsia="Times New Roman"/>
              </w:rPr>
            </w:pPr>
          </w:p>
        </w:tc>
      </w:tr>
      <w:tr w:rsidR="00000000" w14:paraId="754CE520" w14:textId="77777777">
        <w:trPr>
          <w:divId w:val="1521430937"/>
        </w:trPr>
        <w:tc>
          <w:tcPr>
            <w:tcW w:w="0" w:type="auto"/>
            <w:gridSpan w:val="3"/>
            <w:shd w:val="clear" w:color="auto" w:fill="CCEEFF"/>
            <w:tcMar>
              <w:top w:w="30" w:type="dxa"/>
              <w:left w:w="380" w:type="dxa"/>
              <w:bottom w:w="30" w:type="dxa"/>
              <w:right w:w="20" w:type="dxa"/>
            </w:tcMar>
            <w:hideMark/>
          </w:tcPr>
          <w:p w14:paraId="048ACF98" w14:textId="77777777" w:rsidR="00000000" w:rsidRDefault="00E614A4">
            <w:pPr>
              <w:rPr>
                <w:rFonts w:eastAsia="Times New Roman"/>
              </w:rPr>
            </w:pPr>
            <w:r>
              <w:rPr>
                <w:rFonts w:eastAsia="Times New Roman"/>
                <w:color w:val="000000"/>
                <w:sz w:val="18"/>
                <w:szCs w:val="18"/>
              </w:rPr>
              <w:t>Property and equipment</w:t>
            </w:r>
          </w:p>
        </w:tc>
        <w:tc>
          <w:tcPr>
            <w:tcW w:w="0" w:type="auto"/>
            <w:gridSpan w:val="3"/>
            <w:shd w:val="clear" w:color="auto" w:fill="CCEEFF"/>
            <w:tcMar>
              <w:top w:w="0" w:type="dxa"/>
              <w:left w:w="20" w:type="dxa"/>
              <w:bottom w:w="0" w:type="dxa"/>
              <w:right w:w="20" w:type="dxa"/>
            </w:tcMar>
            <w:vAlign w:val="center"/>
            <w:hideMark/>
          </w:tcPr>
          <w:p w14:paraId="5C4AA740"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FF2275" w14:textId="77777777" w:rsidR="00000000" w:rsidRDefault="00E614A4">
            <w:pPr>
              <w:jc w:val="right"/>
              <w:rPr>
                <w:rFonts w:eastAsia="Times New Roman"/>
              </w:rPr>
            </w:pPr>
            <w:r>
              <w:rPr>
                <w:rFonts w:eastAsia="Times New Roman"/>
                <w:color w:val="000000"/>
                <w:sz w:val="18"/>
                <w:szCs w:val="18"/>
              </w:rPr>
              <w:t>(5,716)</w:t>
            </w:r>
          </w:p>
        </w:tc>
        <w:tc>
          <w:tcPr>
            <w:tcW w:w="0" w:type="auto"/>
            <w:shd w:val="clear" w:color="auto" w:fill="CCEEFF"/>
            <w:tcMar>
              <w:top w:w="30" w:type="dxa"/>
              <w:left w:w="0" w:type="dxa"/>
              <w:bottom w:w="30" w:type="dxa"/>
              <w:right w:w="20" w:type="dxa"/>
            </w:tcMar>
            <w:vAlign w:val="bottom"/>
            <w:hideMark/>
          </w:tcPr>
          <w:p w14:paraId="74D9C50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8BEA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666170" w14:textId="77777777" w:rsidR="00000000" w:rsidRDefault="00E614A4">
            <w:pPr>
              <w:jc w:val="right"/>
              <w:rPr>
                <w:rFonts w:eastAsia="Times New Roman"/>
              </w:rPr>
            </w:pPr>
            <w:r>
              <w:rPr>
                <w:rFonts w:eastAsia="Times New Roman"/>
                <w:color w:val="000000"/>
                <w:sz w:val="18"/>
                <w:szCs w:val="18"/>
              </w:rPr>
              <w:t>(5,134)</w:t>
            </w:r>
          </w:p>
        </w:tc>
        <w:tc>
          <w:tcPr>
            <w:tcW w:w="0" w:type="auto"/>
            <w:shd w:val="clear" w:color="auto" w:fill="CCEEFF"/>
            <w:tcMar>
              <w:top w:w="30" w:type="dxa"/>
              <w:left w:w="0" w:type="dxa"/>
              <w:bottom w:w="30" w:type="dxa"/>
              <w:right w:w="20" w:type="dxa"/>
            </w:tcMar>
            <w:vAlign w:val="bottom"/>
            <w:hideMark/>
          </w:tcPr>
          <w:p w14:paraId="14B4C096" w14:textId="77777777" w:rsidR="00000000" w:rsidRDefault="00E614A4">
            <w:pPr>
              <w:jc w:val="right"/>
              <w:rPr>
                <w:rFonts w:eastAsia="Times New Roman"/>
              </w:rPr>
            </w:pPr>
          </w:p>
        </w:tc>
      </w:tr>
      <w:tr w:rsidR="00000000" w14:paraId="27E81174" w14:textId="77777777">
        <w:trPr>
          <w:divId w:val="1521430937"/>
        </w:trPr>
        <w:tc>
          <w:tcPr>
            <w:tcW w:w="0" w:type="auto"/>
            <w:gridSpan w:val="3"/>
            <w:shd w:val="clear" w:color="auto" w:fill="FFFFFF"/>
            <w:tcMar>
              <w:top w:w="30" w:type="dxa"/>
              <w:left w:w="380" w:type="dxa"/>
              <w:bottom w:w="30" w:type="dxa"/>
              <w:right w:w="20" w:type="dxa"/>
            </w:tcMar>
            <w:hideMark/>
          </w:tcPr>
          <w:p w14:paraId="21FEE407" w14:textId="77777777" w:rsidR="00000000" w:rsidRDefault="00E614A4">
            <w:pPr>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14:paraId="4A7EAD7E"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D2A984" w14:textId="77777777" w:rsidR="00000000" w:rsidRDefault="00E614A4">
            <w:pPr>
              <w:jc w:val="right"/>
              <w:rPr>
                <w:rFonts w:eastAsia="Times New Roman"/>
              </w:rPr>
            </w:pPr>
            <w:r>
              <w:rPr>
                <w:rFonts w:eastAsia="Times New Roman"/>
                <w:color w:val="000000"/>
                <w:sz w:val="18"/>
                <w:szCs w:val="18"/>
              </w:rPr>
              <w:t>(3,495)</w:t>
            </w:r>
          </w:p>
        </w:tc>
        <w:tc>
          <w:tcPr>
            <w:tcW w:w="0" w:type="auto"/>
            <w:shd w:val="clear" w:color="auto" w:fill="FFFFFF"/>
            <w:tcMar>
              <w:top w:w="30" w:type="dxa"/>
              <w:left w:w="0" w:type="dxa"/>
              <w:bottom w:w="30" w:type="dxa"/>
              <w:right w:w="20" w:type="dxa"/>
            </w:tcMar>
            <w:vAlign w:val="bottom"/>
            <w:hideMark/>
          </w:tcPr>
          <w:p w14:paraId="44BE18A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38CB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FA131C" w14:textId="77777777" w:rsidR="00000000" w:rsidRDefault="00E614A4">
            <w:pPr>
              <w:jc w:val="right"/>
              <w:rPr>
                <w:rFonts w:eastAsia="Times New Roman"/>
              </w:rPr>
            </w:pPr>
            <w:r>
              <w:rPr>
                <w:rFonts w:eastAsia="Times New Roman"/>
                <w:color w:val="000000"/>
                <w:sz w:val="18"/>
                <w:szCs w:val="18"/>
              </w:rPr>
              <w:t>(15,202)</w:t>
            </w:r>
          </w:p>
        </w:tc>
        <w:tc>
          <w:tcPr>
            <w:tcW w:w="0" w:type="auto"/>
            <w:shd w:val="clear" w:color="auto" w:fill="FFFFFF"/>
            <w:tcMar>
              <w:top w:w="30" w:type="dxa"/>
              <w:left w:w="0" w:type="dxa"/>
              <w:bottom w:w="30" w:type="dxa"/>
              <w:right w:w="20" w:type="dxa"/>
            </w:tcMar>
            <w:vAlign w:val="bottom"/>
            <w:hideMark/>
          </w:tcPr>
          <w:p w14:paraId="3FBBEFB7" w14:textId="77777777" w:rsidR="00000000" w:rsidRDefault="00E614A4">
            <w:pPr>
              <w:jc w:val="right"/>
              <w:rPr>
                <w:rFonts w:eastAsia="Times New Roman"/>
              </w:rPr>
            </w:pPr>
          </w:p>
        </w:tc>
      </w:tr>
      <w:tr w:rsidR="00000000" w14:paraId="19C7A03A" w14:textId="77777777">
        <w:trPr>
          <w:divId w:val="1521430937"/>
        </w:trPr>
        <w:tc>
          <w:tcPr>
            <w:tcW w:w="0" w:type="auto"/>
            <w:gridSpan w:val="3"/>
            <w:shd w:val="clear" w:color="auto" w:fill="CCEEFF"/>
            <w:tcMar>
              <w:top w:w="30" w:type="dxa"/>
              <w:left w:w="380" w:type="dxa"/>
              <w:bottom w:w="30" w:type="dxa"/>
              <w:right w:w="20" w:type="dxa"/>
            </w:tcMar>
            <w:hideMark/>
          </w:tcPr>
          <w:p w14:paraId="0CF25E0B" w14:textId="77777777" w:rsidR="00000000" w:rsidRDefault="00E614A4">
            <w:pPr>
              <w:rPr>
                <w:rFonts w:eastAsia="Times New Roman"/>
              </w:rPr>
            </w:pPr>
            <w:r>
              <w:rPr>
                <w:rFonts w:eastAsia="Times New Roman"/>
                <w:color w:val="000000"/>
                <w:sz w:val="18"/>
                <w:szCs w:val="18"/>
              </w:rPr>
              <w:t>Subpart F income recapture</w:t>
            </w:r>
          </w:p>
        </w:tc>
        <w:tc>
          <w:tcPr>
            <w:tcW w:w="0" w:type="auto"/>
            <w:gridSpan w:val="3"/>
            <w:shd w:val="clear" w:color="auto" w:fill="CCEEFF"/>
            <w:tcMar>
              <w:top w:w="0" w:type="dxa"/>
              <w:left w:w="20" w:type="dxa"/>
              <w:bottom w:w="0" w:type="dxa"/>
              <w:right w:w="20" w:type="dxa"/>
            </w:tcMar>
            <w:vAlign w:val="center"/>
            <w:hideMark/>
          </w:tcPr>
          <w:p w14:paraId="490E89BD"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C6E4E9" w14:textId="77777777" w:rsidR="00000000" w:rsidRDefault="00E614A4">
            <w:pPr>
              <w:jc w:val="right"/>
              <w:rPr>
                <w:rFonts w:eastAsia="Times New Roman"/>
              </w:rPr>
            </w:pPr>
            <w:r>
              <w:rPr>
                <w:rFonts w:eastAsia="Times New Roman"/>
                <w:color w:val="000000"/>
                <w:sz w:val="18"/>
                <w:szCs w:val="18"/>
              </w:rPr>
              <w:t>(1,224)</w:t>
            </w:r>
          </w:p>
        </w:tc>
        <w:tc>
          <w:tcPr>
            <w:tcW w:w="0" w:type="auto"/>
            <w:shd w:val="clear" w:color="auto" w:fill="CCEEFF"/>
            <w:tcMar>
              <w:top w:w="30" w:type="dxa"/>
              <w:left w:w="0" w:type="dxa"/>
              <w:bottom w:w="30" w:type="dxa"/>
              <w:right w:w="20" w:type="dxa"/>
            </w:tcMar>
            <w:vAlign w:val="bottom"/>
            <w:hideMark/>
          </w:tcPr>
          <w:p w14:paraId="6248A2E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E2CB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275109" w14:textId="77777777" w:rsidR="00000000" w:rsidRDefault="00E614A4">
            <w:pPr>
              <w:jc w:val="right"/>
              <w:rPr>
                <w:rFonts w:eastAsia="Times New Roman"/>
              </w:rPr>
            </w:pPr>
            <w:r>
              <w:rPr>
                <w:rFonts w:eastAsia="Times New Roman"/>
                <w:color w:val="000000"/>
                <w:sz w:val="18"/>
                <w:szCs w:val="18"/>
              </w:rPr>
              <w:t>(1,224)</w:t>
            </w:r>
          </w:p>
        </w:tc>
        <w:tc>
          <w:tcPr>
            <w:tcW w:w="0" w:type="auto"/>
            <w:shd w:val="clear" w:color="auto" w:fill="CCEEFF"/>
            <w:tcMar>
              <w:top w:w="30" w:type="dxa"/>
              <w:left w:w="0" w:type="dxa"/>
              <w:bottom w:w="30" w:type="dxa"/>
              <w:right w:w="20" w:type="dxa"/>
            </w:tcMar>
            <w:vAlign w:val="bottom"/>
            <w:hideMark/>
          </w:tcPr>
          <w:p w14:paraId="415CA235" w14:textId="77777777" w:rsidR="00000000" w:rsidRDefault="00E614A4">
            <w:pPr>
              <w:jc w:val="right"/>
              <w:rPr>
                <w:rFonts w:eastAsia="Times New Roman"/>
              </w:rPr>
            </w:pPr>
          </w:p>
        </w:tc>
      </w:tr>
      <w:tr w:rsidR="00000000" w14:paraId="35A77FA9" w14:textId="77777777">
        <w:trPr>
          <w:divId w:val="1521430937"/>
        </w:trPr>
        <w:tc>
          <w:tcPr>
            <w:tcW w:w="0" w:type="auto"/>
            <w:gridSpan w:val="3"/>
            <w:shd w:val="clear" w:color="auto" w:fill="FFFFFF"/>
            <w:tcMar>
              <w:top w:w="30" w:type="dxa"/>
              <w:left w:w="380" w:type="dxa"/>
              <w:bottom w:w="30" w:type="dxa"/>
              <w:right w:w="20" w:type="dxa"/>
            </w:tcMar>
            <w:hideMark/>
          </w:tcPr>
          <w:p w14:paraId="1A5A83CD" w14:textId="77777777" w:rsidR="00000000" w:rsidRDefault="00E614A4">
            <w:pPr>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14:paraId="1D7F01D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75D7E4" w14:textId="77777777" w:rsidR="00000000" w:rsidRDefault="00E614A4">
            <w:pPr>
              <w:jc w:val="right"/>
              <w:rPr>
                <w:rFonts w:eastAsia="Times New Roman"/>
              </w:rPr>
            </w:pPr>
            <w:r>
              <w:rPr>
                <w:rFonts w:eastAsia="Times New Roman"/>
                <w:color w:val="000000"/>
                <w:sz w:val="18"/>
                <w:szCs w:val="18"/>
              </w:rPr>
              <w:t>(958)</w:t>
            </w:r>
          </w:p>
        </w:tc>
        <w:tc>
          <w:tcPr>
            <w:tcW w:w="0" w:type="auto"/>
            <w:shd w:val="clear" w:color="auto" w:fill="FFFFFF"/>
            <w:tcMar>
              <w:top w:w="30" w:type="dxa"/>
              <w:left w:w="0" w:type="dxa"/>
              <w:bottom w:w="30" w:type="dxa"/>
              <w:right w:w="20" w:type="dxa"/>
            </w:tcMar>
            <w:vAlign w:val="bottom"/>
            <w:hideMark/>
          </w:tcPr>
          <w:p w14:paraId="3FE8104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66F4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A8DD8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48385F" w14:textId="77777777" w:rsidR="00000000" w:rsidRDefault="00E614A4">
            <w:pPr>
              <w:jc w:val="right"/>
              <w:rPr>
                <w:rFonts w:eastAsia="Times New Roman"/>
              </w:rPr>
            </w:pPr>
          </w:p>
        </w:tc>
      </w:tr>
      <w:tr w:rsidR="00000000" w14:paraId="30907653" w14:textId="77777777">
        <w:trPr>
          <w:divId w:val="1521430937"/>
        </w:trPr>
        <w:tc>
          <w:tcPr>
            <w:tcW w:w="0" w:type="auto"/>
            <w:gridSpan w:val="3"/>
            <w:shd w:val="clear" w:color="auto" w:fill="CCEEFF"/>
            <w:tcMar>
              <w:top w:w="30" w:type="dxa"/>
              <w:left w:w="380" w:type="dxa"/>
              <w:bottom w:w="30" w:type="dxa"/>
              <w:right w:w="20" w:type="dxa"/>
            </w:tcMar>
            <w:hideMark/>
          </w:tcPr>
          <w:p w14:paraId="75D9467D" w14:textId="77777777" w:rsidR="00000000" w:rsidRDefault="00E614A4">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2B72304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B31232" w14:textId="77777777" w:rsidR="00000000" w:rsidRDefault="00E614A4">
            <w:pPr>
              <w:jc w:val="right"/>
              <w:rPr>
                <w:rFonts w:eastAsia="Times New Roman"/>
              </w:rPr>
            </w:pPr>
            <w:r>
              <w:rPr>
                <w:rFonts w:eastAsia="Times New Roman"/>
                <w:color w:val="000000"/>
                <w:sz w:val="18"/>
                <w:szCs w:val="18"/>
              </w:rPr>
              <w:t>(111)</w:t>
            </w:r>
          </w:p>
        </w:tc>
        <w:tc>
          <w:tcPr>
            <w:tcW w:w="0" w:type="auto"/>
            <w:shd w:val="clear" w:color="auto" w:fill="CCEEFF"/>
            <w:tcMar>
              <w:top w:w="30" w:type="dxa"/>
              <w:left w:w="0" w:type="dxa"/>
              <w:bottom w:w="30" w:type="dxa"/>
              <w:right w:w="20" w:type="dxa"/>
            </w:tcMar>
            <w:vAlign w:val="bottom"/>
            <w:hideMark/>
          </w:tcPr>
          <w:p w14:paraId="2ECDF26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995B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5152B8" w14:textId="77777777" w:rsidR="00000000" w:rsidRDefault="00E614A4">
            <w:pPr>
              <w:jc w:val="right"/>
              <w:rPr>
                <w:rFonts w:eastAsia="Times New Roman"/>
              </w:rPr>
            </w:pPr>
            <w:r>
              <w:rPr>
                <w:rFonts w:eastAsia="Times New Roman"/>
                <w:color w:val="000000"/>
                <w:sz w:val="18"/>
                <w:szCs w:val="18"/>
              </w:rPr>
              <w:t>(86)</w:t>
            </w:r>
          </w:p>
        </w:tc>
        <w:tc>
          <w:tcPr>
            <w:tcW w:w="0" w:type="auto"/>
            <w:shd w:val="clear" w:color="auto" w:fill="CCEEFF"/>
            <w:tcMar>
              <w:top w:w="30" w:type="dxa"/>
              <w:left w:w="0" w:type="dxa"/>
              <w:bottom w:w="30" w:type="dxa"/>
              <w:right w:w="20" w:type="dxa"/>
            </w:tcMar>
            <w:vAlign w:val="bottom"/>
            <w:hideMark/>
          </w:tcPr>
          <w:p w14:paraId="3DDF0A07" w14:textId="77777777" w:rsidR="00000000" w:rsidRDefault="00E614A4">
            <w:pPr>
              <w:jc w:val="right"/>
              <w:rPr>
                <w:rFonts w:eastAsia="Times New Roman"/>
              </w:rPr>
            </w:pPr>
          </w:p>
        </w:tc>
      </w:tr>
      <w:tr w:rsidR="00000000" w14:paraId="44A0E4DB" w14:textId="77777777">
        <w:trPr>
          <w:divId w:val="1521430937"/>
        </w:trPr>
        <w:tc>
          <w:tcPr>
            <w:tcW w:w="0" w:type="auto"/>
            <w:gridSpan w:val="3"/>
            <w:shd w:val="clear" w:color="auto" w:fill="FFFFFF"/>
            <w:tcMar>
              <w:top w:w="30" w:type="dxa"/>
              <w:left w:w="380" w:type="dxa"/>
              <w:bottom w:w="30" w:type="dxa"/>
              <w:right w:w="20" w:type="dxa"/>
            </w:tcMar>
            <w:hideMark/>
          </w:tcPr>
          <w:p w14:paraId="31182871" w14:textId="77777777" w:rsidR="00000000" w:rsidRDefault="00E614A4">
            <w:pPr>
              <w:rPr>
                <w:rFonts w:eastAsia="Times New Roman"/>
              </w:rPr>
            </w:pPr>
            <w:r>
              <w:rPr>
                <w:rFonts w:eastAsia="Times New Roman"/>
                <w:color w:val="000000"/>
                <w:sz w:val="18"/>
                <w:szCs w:val="18"/>
              </w:rPr>
              <w:t>Total deferred tax liabilities</w:t>
            </w:r>
          </w:p>
        </w:tc>
        <w:tc>
          <w:tcPr>
            <w:tcW w:w="0" w:type="auto"/>
            <w:gridSpan w:val="3"/>
            <w:shd w:val="clear" w:color="auto" w:fill="FFFFFF"/>
            <w:tcMar>
              <w:top w:w="0" w:type="dxa"/>
              <w:left w:w="20" w:type="dxa"/>
              <w:bottom w:w="0" w:type="dxa"/>
              <w:right w:w="20" w:type="dxa"/>
            </w:tcMar>
            <w:vAlign w:val="center"/>
            <w:hideMark/>
          </w:tcPr>
          <w:p w14:paraId="06D44C2C"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7AF4A6" w14:textId="77777777" w:rsidR="00000000" w:rsidRDefault="00E614A4">
            <w:pPr>
              <w:jc w:val="right"/>
              <w:rPr>
                <w:rFonts w:eastAsia="Times New Roman"/>
              </w:rPr>
            </w:pPr>
            <w:r>
              <w:rPr>
                <w:rFonts w:eastAsia="Times New Roman"/>
                <w:color w:val="000000"/>
                <w:sz w:val="18"/>
                <w:szCs w:val="18"/>
              </w:rPr>
              <w:t>(20,333)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0854C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93347"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211497" w14:textId="77777777" w:rsidR="00000000" w:rsidRDefault="00E614A4">
            <w:pPr>
              <w:jc w:val="right"/>
              <w:rPr>
                <w:rFonts w:eastAsia="Times New Roman"/>
              </w:rPr>
            </w:pPr>
            <w:r>
              <w:rPr>
                <w:rFonts w:eastAsia="Times New Roman"/>
                <w:color w:val="000000"/>
                <w:sz w:val="18"/>
                <w:szCs w:val="18"/>
              </w:rPr>
              <w:t>(32,865)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1FD0FB" w14:textId="77777777" w:rsidR="00000000" w:rsidRDefault="00E614A4">
            <w:pPr>
              <w:jc w:val="right"/>
              <w:rPr>
                <w:rFonts w:eastAsia="Times New Roman"/>
              </w:rPr>
            </w:pPr>
          </w:p>
        </w:tc>
      </w:tr>
      <w:tr w:rsidR="00000000" w14:paraId="50216092" w14:textId="77777777">
        <w:trPr>
          <w:divId w:val="1521430937"/>
        </w:trPr>
        <w:tc>
          <w:tcPr>
            <w:tcW w:w="0" w:type="auto"/>
            <w:gridSpan w:val="3"/>
            <w:shd w:val="clear" w:color="auto" w:fill="CCEEFF"/>
            <w:tcMar>
              <w:top w:w="30" w:type="dxa"/>
              <w:left w:w="20" w:type="dxa"/>
              <w:bottom w:w="30" w:type="dxa"/>
              <w:right w:w="20" w:type="dxa"/>
            </w:tcMar>
            <w:hideMark/>
          </w:tcPr>
          <w:p w14:paraId="6B787DD2" w14:textId="77777777" w:rsidR="00000000" w:rsidRDefault="00E614A4">
            <w:pPr>
              <w:rPr>
                <w:rFonts w:eastAsia="Times New Roman"/>
              </w:rPr>
            </w:pPr>
            <w:r>
              <w:rPr>
                <w:rFonts w:eastAsia="Times New Roman"/>
                <w:color w:val="000000"/>
                <w:sz w:val="18"/>
                <w:szCs w:val="18"/>
              </w:rPr>
              <w:t>Net deferred tax asset</w:t>
            </w:r>
          </w:p>
        </w:tc>
        <w:tc>
          <w:tcPr>
            <w:tcW w:w="0" w:type="auto"/>
            <w:gridSpan w:val="3"/>
            <w:shd w:val="clear" w:color="auto" w:fill="CCEEFF"/>
            <w:tcMar>
              <w:top w:w="0" w:type="dxa"/>
              <w:left w:w="20" w:type="dxa"/>
              <w:bottom w:w="0" w:type="dxa"/>
              <w:right w:w="20" w:type="dxa"/>
            </w:tcMar>
            <w:vAlign w:val="center"/>
            <w:hideMark/>
          </w:tcPr>
          <w:p w14:paraId="087FE072"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D2325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E1B435" w14:textId="77777777" w:rsidR="00000000" w:rsidRDefault="00E614A4">
            <w:pPr>
              <w:jc w:val="right"/>
              <w:rPr>
                <w:rFonts w:eastAsia="Times New Roman"/>
              </w:rPr>
            </w:pPr>
            <w:r>
              <w:rPr>
                <w:rFonts w:eastAsia="Times New Roman"/>
                <w:color w:val="000000"/>
                <w:sz w:val="18"/>
                <w:szCs w:val="18"/>
              </w:rPr>
              <w:t>2,114 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CB1A1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5A19A"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056D7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45EE0A" w14:textId="77777777" w:rsidR="00000000" w:rsidRDefault="00E614A4">
            <w:pPr>
              <w:jc w:val="right"/>
              <w:rPr>
                <w:rFonts w:eastAsia="Times New Roman"/>
              </w:rPr>
            </w:pPr>
            <w:r>
              <w:rPr>
                <w:rFonts w:eastAsia="Times New Roman"/>
                <w:color w:val="000000"/>
                <w:sz w:val="18"/>
                <w:szCs w:val="18"/>
              </w:rPr>
              <w:t>2,087 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C9ADE8" w14:textId="77777777" w:rsidR="00000000" w:rsidRDefault="00E614A4">
            <w:pPr>
              <w:jc w:val="right"/>
              <w:rPr>
                <w:rFonts w:eastAsia="Times New Roman"/>
              </w:rPr>
            </w:pPr>
          </w:p>
        </w:tc>
      </w:tr>
    </w:tbl>
    <w:p w14:paraId="2B828FDD" w14:textId="77777777" w:rsidR="00000000" w:rsidRDefault="00E614A4">
      <w:pPr>
        <w:jc w:val="both"/>
        <w:divId w:val="1138648620"/>
        <w:rPr>
          <w:rFonts w:eastAsia="Times New Roman"/>
        </w:rPr>
      </w:pPr>
      <w:r>
        <w:rPr>
          <w:rFonts w:eastAsia="Times New Roman"/>
          <w:i/>
          <w:iCs/>
          <w:color w:val="000000"/>
          <w:sz w:val="20"/>
          <w:szCs w:val="20"/>
        </w:rPr>
        <w:t>Tax Valuation Allowance</w:t>
      </w:r>
    </w:p>
    <w:p w14:paraId="4AD5EE6C" w14:textId="77777777" w:rsidR="00000000" w:rsidRDefault="00E614A4">
      <w:pPr>
        <w:jc w:val="both"/>
        <w:divId w:val="1366981284"/>
        <w:rPr>
          <w:rFonts w:eastAsia="Times New Roman"/>
        </w:rPr>
      </w:pPr>
      <w:r>
        <w:rPr>
          <w:rFonts w:eastAsia="Times New Roman"/>
          <w:color w:val="000000"/>
          <w:sz w:val="20"/>
          <w:szCs w:val="20"/>
        </w:rPr>
        <w:t>As of December 31, 2020, and 2019, the Company had a valuation allowance of $220.1 million and $219.6 million, respectively, against certain deferred tax assets. The valuation allowance relates to the deferred tax assets of the Comp</w:t>
      </w:r>
      <w:r>
        <w:rPr>
          <w:rFonts w:eastAsia="Times New Roman"/>
          <w:color w:val="000000"/>
          <w:sz w:val="20"/>
          <w:szCs w:val="20"/>
        </w:rPr>
        <w:t>any's U.S. entities, including federal and state tax attributes and timing differences, as well as the deferred tax assets of certain foreign subsidiaries. The increase in the valuation allowance during 2020 is primarily related to the pre-tax losses gener</w:t>
      </w:r>
      <w:r>
        <w:rPr>
          <w:rFonts w:eastAsia="Times New Roman"/>
          <w:color w:val="000000"/>
          <w:sz w:val="20"/>
          <w:szCs w:val="20"/>
        </w:rPr>
        <w:t xml:space="preserve">ated in the U.S. To the extent the Company determines that, based on the weight of available evidence, all or a portion of its valuation allowance is no longer necessary, the </w:t>
      </w:r>
    </w:p>
    <w:p w14:paraId="0C28769C" w14:textId="77777777" w:rsidR="00000000" w:rsidRDefault="00E614A4">
      <w:pPr>
        <w:jc w:val="center"/>
        <w:divId w:val="571550701"/>
        <w:rPr>
          <w:rFonts w:eastAsia="Times New Roman"/>
        </w:rPr>
      </w:pPr>
      <w:r>
        <w:rPr>
          <w:rFonts w:eastAsia="Times New Roman"/>
          <w:color w:val="000000"/>
          <w:sz w:val="20"/>
          <w:szCs w:val="20"/>
        </w:rPr>
        <w:t>94</w:t>
      </w:r>
    </w:p>
    <w:p w14:paraId="075AFC31" w14:textId="77777777" w:rsidR="00000000" w:rsidRDefault="00E614A4">
      <w:pPr>
        <w:rPr>
          <w:rFonts w:eastAsia="Times New Roman"/>
        </w:rPr>
      </w:pPr>
      <w:r>
        <w:rPr>
          <w:rFonts w:eastAsia="Times New Roman"/>
        </w:rPr>
        <w:pict w14:anchorId="17791A00">
          <v:rect id="_x0000_i1122" style="width:0;height:1.5pt" o:hralign="center" o:hrstd="t" o:hr="t" fillcolor="#a0a0a0" stroked="f"/>
        </w:pict>
      </w:r>
    </w:p>
    <w:p w14:paraId="48899C26" w14:textId="77777777" w:rsidR="00000000" w:rsidRDefault="00E614A4">
      <w:pPr>
        <w:divId w:val="1373847896"/>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238280F" w14:textId="77777777" w:rsidR="00000000" w:rsidRDefault="00E614A4">
      <w:pPr>
        <w:divId w:val="1860309847"/>
        <w:rPr>
          <w:rFonts w:eastAsia="Times New Roman"/>
        </w:rPr>
      </w:pPr>
    </w:p>
    <w:p w14:paraId="1F65A184" w14:textId="77777777" w:rsidR="00000000" w:rsidRDefault="00E614A4">
      <w:pPr>
        <w:jc w:val="both"/>
        <w:divId w:val="622345906"/>
        <w:rPr>
          <w:rFonts w:eastAsia="Times New Roman"/>
        </w:rPr>
      </w:pPr>
      <w:r>
        <w:rPr>
          <w:rFonts w:eastAsia="Times New Roman"/>
          <w:color w:val="000000"/>
          <w:sz w:val="20"/>
          <w:szCs w:val="20"/>
        </w:rPr>
        <w:t>Company will recognize an income tax benefit in the period such determination is made for the reversal of the valuation allowance. If management determines that, based on the weight of available evidence, it is more-likely-than-not that all or a portion of</w:t>
      </w:r>
      <w:r>
        <w:rPr>
          <w:rFonts w:eastAsia="Times New Roman"/>
          <w:color w:val="000000"/>
          <w:sz w:val="20"/>
          <w:szCs w:val="20"/>
        </w:rPr>
        <w:t xml:space="preserve"> the net deferred tax assets will not be realized, the Company may recognize income tax expense in the period such determination is made to increase the valuation allowance. It is possible that such reduction of or addition to the Company's valuation allow</w:t>
      </w:r>
      <w:r>
        <w:rPr>
          <w:rFonts w:eastAsia="Times New Roman"/>
          <w:color w:val="000000"/>
          <w:sz w:val="20"/>
          <w:szCs w:val="20"/>
        </w:rPr>
        <w:t>ance may have a material impact on the Company's results from operations.</w:t>
      </w:r>
    </w:p>
    <w:p w14:paraId="18F2052B" w14:textId="77777777" w:rsidR="00000000" w:rsidRDefault="00E614A4">
      <w:pPr>
        <w:divId w:val="1524783549"/>
        <w:rPr>
          <w:rFonts w:eastAsia="Times New Roman"/>
        </w:rPr>
      </w:pPr>
      <w:r>
        <w:rPr>
          <w:rFonts w:eastAsia="Times New Roman"/>
          <w:color w:val="000000"/>
          <w:sz w:val="20"/>
          <w:szCs w:val="20"/>
        </w:rPr>
        <w:t>A summary of the deferred tax asset valuation allowance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800"/>
        <w:gridCol w:w="37"/>
        <w:gridCol w:w="36"/>
        <w:gridCol w:w="36"/>
        <w:gridCol w:w="36"/>
        <w:gridCol w:w="110"/>
        <w:gridCol w:w="961"/>
        <w:gridCol w:w="36"/>
        <w:gridCol w:w="36"/>
        <w:gridCol w:w="36"/>
        <w:gridCol w:w="36"/>
        <w:gridCol w:w="110"/>
        <w:gridCol w:w="962"/>
        <w:gridCol w:w="36"/>
      </w:tblGrid>
      <w:tr w:rsidR="00000000" w14:paraId="518E3B67" w14:textId="77777777">
        <w:trPr>
          <w:divId w:val="977995249"/>
        </w:trPr>
        <w:tc>
          <w:tcPr>
            <w:tcW w:w="50" w:type="pct"/>
            <w:vAlign w:val="center"/>
            <w:hideMark/>
          </w:tcPr>
          <w:p w14:paraId="17BD0FA6" w14:textId="77777777" w:rsidR="00000000" w:rsidRDefault="00E614A4">
            <w:pPr>
              <w:rPr>
                <w:rFonts w:eastAsia="Times New Roman"/>
              </w:rPr>
            </w:pPr>
          </w:p>
        </w:tc>
        <w:tc>
          <w:tcPr>
            <w:tcW w:w="3542" w:type="pct"/>
            <w:vAlign w:val="center"/>
            <w:hideMark/>
          </w:tcPr>
          <w:p w14:paraId="4B0E22A7" w14:textId="77777777" w:rsidR="00000000" w:rsidRDefault="00E614A4">
            <w:pPr>
              <w:rPr>
                <w:rFonts w:eastAsia="Times New Roman"/>
                <w:sz w:val="20"/>
                <w:szCs w:val="20"/>
              </w:rPr>
            </w:pPr>
          </w:p>
        </w:tc>
        <w:tc>
          <w:tcPr>
            <w:tcW w:w="5" w:type="pct"/>
            <w:vAlign w:val="center"/>
            <w:hideMark/>
          </w:tcPr>
          <w:p w14:paraId="78544837" w14:textId="77777777" w:rsidR="00000000" w:rsidRDefault="00E614A4">
            <w:pPr>
              <w:rPr>
                <w:rFonts w:eastAsia="Times New Roman"/>
                <w:sz w:val="20"/>
                <w:szCs w:val="20"/>
              </w:rPr>
            </w:pPr>
          </w:p>
        </w:tc>
        <w:tc>
          <w:tcPr>
            <w:tcW w:w="5" w:type="pct"/>
            <w:vAlign w:val="center"/>
            <w:hideMark/>
          </w:tcPr>
          <w:p w14:paraId="5463673B" w14:textId="77777777" w:rsidR="00000000" w:rsidRDefault="00E614A4">
            <w:pPr>
              <w:rPr>
                <w:rFonts w:eastAsia="Times New Roman"/>
                <w:sz w:val="20"/>
                <w:szCs w:val="20"/>
              </w:rPr>
            </w:pPr>
          </w:p>
        </w:tc>
        <w:tc>
          <w:tcPr>
            <w:tcW w:w="17" w:type="pct"/>
            <w:vAlign w:val="center"/>
            <w:hideMark/>
          </w:tcPr>
          <w:p w14:paraId="047C2904" w14:textId="77777777" w:rsidR="00000000" w:rsidRDefault="00E614A4">
            <w:pPr>
              <w:rPr>
                <w:rFonts w:eastAsia="Times New Roman"/>
                <w:sz w:val="20"/>
                <w:szCs w:val="20"/>
              </w:rPr>
            </w:pPr>
          </w:p>
        </w:tc>
        <w:tc>
          <w:tcPr>
            <w:tcW w:w="5" w:type="pct"/>
            <w:vAlign w:val="center"/>
            <w:hideMark/>
          </w:tcPr>
          <w:p w14:paraId="2A3E251E" w14:textId="77777777" w:rsidR="00000000" w:rsidRDefault="00E614A4">
            <w:pPr>
              <w:rPr>
                <w:rFonts w:eastAsia="Times New Roman"/>
                <w:sz w:val="20"/>
                <w:szCs w:val="20"/>
              </w:rPr>
            </w:pPr>
          </w:p>
        </w:tc>
        <w:tc>
          <w:tcPr>
            <w:tcW w:w="50" w:type="pct"/>
            <w:vAlign w:val="center"/>
            <w:hideMark/>
          </w:tcPr>
          <w:p w14:paraId="2D22BF40" w14:textId="77777777" w:rsidR="00000000" w:rsidRDefault="00E614A4">
            <w:pPr>
              <w:rPr>
                <w:rFonts w:eastAsia="Times New Roman"/>
                <w:sz w:val="20"/>
                <w:szCs w:val="20"/>
              </w:rPr>
            </w:pPr>
          </w:p>
        </w:tc>
        <w:tc>
          <w:tcPr>
            <w:tcW w:w="618" w:type="pct"/>
            <w:vAlign w:val="center"/>
            <w:hideMark/>
          </w:tcPr>
          <w:p w14:paraId="290FBB70" w14:textId="77777777" w:rsidR="00000000" w:rsidRDefault="00E614A4">
            <w:pPr>
              <w:rPr>
                <w:rFonts w:eastAsia="Times New Roman"/>
                <w:sz w:val="20"/>
                <w:szCs w:val="20"/>
              </w:rPr>
            </w:pPr>
          </w:p>
        </w:tc>
        <w:tc>
          <w:tcPr>
            <w:tcW w:w="5" w:type="pct"/>
            <w:vAlign w:val="center"/>
            <w:hideMark/>
          </w:tcPr>
          <w:p w14:paraId="5B969293" w14:textId="77777777" w:rsidR="00000000" w:rsidRDefault="00E614A4">
            <w:pPr>
              <w:rPr>
                <w:rFonts w:eastAsia="Times New Roman"/>
                <w:sz w:val="20"/>
                <w:szCs w:val="20"/>
              </w:rPr>
            </w:pPr>
          </w:p>
        </w:tc>
        <w:tc>
          <w:tcPr>
            <w:tcW w:w="5" w:type="pct"/>
            <w:vAlign w:val="center"/>
            <w:hideMark/>
          </w:tcPr>
          <w:p w14:paraId="3A81F7E8" w14:textId="77777777" w:rsidR="00000000" w:rsidRDefault="00E614A4">
            <w:pPr>
              <w:rPr>
                <w:rFonts w:eastAsia="Times New Roman"/>
                <w:sz w:val="20"/>
                <w:szCs w:val="20"/>
              </w:rPr>
            </w:pPr>
          </w:p>
        </w:tc>
        <w:tc>
          <w:tcPr>
            <w:tcW w:w="17" w:type="pct"/>
            <w:vAlign w:val="center"/>
            <w:hideMark/>
          </w:tcPr>
          <w:p w14:paraId="27104557" w14:textId="77777777" w:rsidR="00000000" w:rsidRDefault="00E614A4">
            <w:pPr>
              <w:rPr>
                <w:rFonts w:eastAsia="Times New Roman"/>
                <w:sz w:val="20"/>
                <w:szCs w:val="20"/>
              </w:rPr>
            </w:pPr>
          </w:p>
        </w:tc>
        <w:tc>
          <w:tcPr>
            <w:tcW w:w="5" w:type="pct"/>
            <w:vAlign w:val="center"/>
            <w:hideMark/>
          </w:tcPr>
          <w:p w14:paraId="3640EE14" w14:textId="77777777" w:rsidR="00000000" w:rsidRDefault="00E614A4">
            <w:pPr>
              <w:rPr>
                <w:rFonts w:eastAsia="Times New Roman"/>
                <w:sz w:val="20"/>
                <w:szCs w:val="20"/>
              </w:rPr>
            </w:pPr>
          </w:p>
        </w:tc>
        <w:tc>
          <w:tcPr>
            <w:tcW w:w="50" w:type="pct"/>
            <w:vAlign w:val="center"/>
            <w:hideMark/>
          </w:tcPr>
          <w:p w14:paraId="73FA3613" w14:textId="77777777" w:rsidR="00000000" w:rsidRDefault="00E614A4">
            <w:pPr>
              <w:rPr>
                <w:rFonts w:eastAsia="Times New Roman"/>
                <w:sz w:val="20"/>
                <w:szCs w:val="20"/>
              </w:rPr>
            </w:pPr>
          </w:p>
        </w:tc>
        <w:tc>
          <w:tcPr>
            <w:tcW w:w="618" w:type="pct"/>
            <w:vAlign w:val="center"/>
            <w:hideMark/>
          </w:tcPr>
          <w:p w14:paraId="60F97BAC" w14:textId="77777777" w:rsidR="00000000" w:rsidRDefault="00E614A4">
            <w:pPr>
              <w:rPr>
                <w:rFonts w:eastAsia="Times New Roman"/>
                <w:sz w:val="20"/>
                <w:szCs w:val="20"/>
              </w:rPr>
            </w:pPr>
          </w:p>
        </w:tc>
        <w:tc>
          <w:tcPr>
            <w:tcW w:w="5" w:type="pct"/>
            <w:vAlign w:val="center"/>
            <w:hideMark/>
          </w:tcPr>
          <w:p w14:paraId="5E0A7097" w14:textId="77777777" w:rsidR="00000000" w:rsidRDefault="00E614A4">
            <w:pPr>
              <w:rPr>
                <w:rFonts w:eastAsia="Times New Roman"/>
                <w:sz w:val="20"/>
                <w:szCs w:val="20"/>
              </w:rPr>
            </w:pPr>
          </w:p>
        </w:tc>
      </w:tr>
      <w:tr w:rsidR="00000000" w14:paraId="0DEE634F" w14:textId="77777777">
        <w:trPr>
          <w:divId w:val="977995249"/>
        </w:trPr>
        <w:tc>
          <w:tcPr>
            <w:tcW w:w="0" w:type="auto"/>
            <w:gridSpan w:val="3"/>
            <w:tcMar>
              <w:top w:w="30" w:type="dxa"/>
              <w:left w:w="20" w:type="dxa"/>
              <w:bottom w:w="30" w:type="dxa"/>
              <w:right w:w="20" w:type="dxa"/>
            </w:tcMar>
            <w:vAlign w:val="bottom"/>
            <w:hideMark/>
          </w:tcPr>
          <w:p w14:paraId="5889C37F"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81DBA40" w14:textId="77777777" w:rsidR="00000000" w:rsidRDefault="00E614A4">
            <w:pPr>
              <w:rPr>
                <w:rFonts w:eastAsia="Times New Roman"/>
              </w:rPr>
            </w:pPr>
          </w:p>
        </w:tc>
        <w:tc>
          <w:tcPr>
            <w:tcW w:w="0" w:type="auto"/>
            <w:gridSpan w:val="9"/>
            <w:tcMar>
              <w:top w:w="30" w:type="dxa"/>
              <w:left w:w="20" w:type="dxa"/>
              <w:bottom w:w="30" w:type="dxa"/>
              <w:right w:w="20" w:type="dxa"/>
            </w:tcMar>
            <w:vAlign w:val="bottom"/>
            <w:hideMark/>
          </w:tcPr>
          <w:p w14:paraId="677EFE4B"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7FE44C36" w14:textId="77777777">
        <w:trPr>
          <w:divId w:val="977995249"/>
        </w:trPr>
        <w:tc>
          <w:tcPr>
            <w:tcW w:w="0" w:type="auto"/>
            <w:gridSpan w:val="3"/>
            <w:tcMar>
              <w:top w:w="30" w:type="dxa"/>
              <w:left w:w="20" w:type="dxa"/>
              <w:bottom w:w="30" w:type="dxa"/>
              <w:right w:w="20" w:type="dxa"/>
            </w:tcMar>
            <w:vAlign w:val="bottom"/>
            <w:hideMark/>
          </w:tcPr>
          <w:p w14:paraId="0D647BEF"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2F33612"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6E3DDC"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B47FB49"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7FFB9C" w14:textId="77777777" w:rsidR="00000000" w:rsidRDefault="00E614A4">
            <w:pPr>
              <w:jc w:val="center"/>
              <w:rPr>
                <w:rFonts w:eastAsia="Times New Roman"/>
              </w:rPr>
            </w:pPr>
            <w:r>
              <w:rPr>
                <w:rFonts w:eastAsia="Times New Roman"/>
                <w:b/>
                <w:bCs/>
                <w:color w:val="000000"/>
                <w:sz w:val="16"/>
                <w:szCs w:val="16"/>
              </w:rPr>
              <w:t>2019</w:t>
            </w:r>
          </w:p>
        </w:tc>
      </w:tr>
      <w:tr w:rsidR="00000000" w14:paraId="789A2F77" w14:textId="77777777">
        <w:trPr>
          <w:divId w:val="977995249"/>
        </w:trPr>
        <w:tc>
          <w:tcPr>
            <w:tcW w:w="0" w:type="auto"/>
            <w:gridSpan w:val="3"/>
            <w:shd w:val="clear" w:color="auto" w:fill="CCEEFF"/>
            <w:tcMar>
              <w:top w:w="30" w:type="dxa"/>
              <w:left w:w="20" w:type="dxa"/>
              <w:bottom w:w="30" w:type="dxa"/>
              <w:right w:w="20" w:type="dxa"/>
            </w:tcMar>
            <w:hideMark/>
          </w:tcPr>
          <w:p w14:paraId="744CAAD3" w14:textId="77777777" w:rsidR="00000000" w:rsidRDefault="00E614A4">
            <w:pPr>
              <w:divId w:val="1078478553"/>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14:paraId="3C42608E"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7F03D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C28021" w14:textId="77777777" w:rsidR="00000000" w:rsidRDefault="00E614A4">
            <w:pPr>
              <w:jc w:val="right"/>
              <w:rPr>
                <w:rFonts w:eastAsia="Times New Roman"/>
              </w:rPr>
            </w:pPr>
            <w:r>
              <w:rPr>
                <w:rFonts w:eastAsia="Times New Roman"/>
                <w:color w:val="000000"/>
                <w:sz w:val="18"/>
                <w:szCs w:val="18"/>
              </w:rPr>
              <w:t>219,607 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BA60F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6714C"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D51F5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2119D1" w14:textId="77777777" w:rsidR="00000000" w:rsidRDefault="00E614A4">
            <w:pPr>
              <w:jc w:val="right"/>
              <w:rPr>
                <w:rFonts w:eastAsia="Times New Roman"/>
              </w:rPr>
            </w:pPr>
            <w:r>
              <w:rPr>
                <w:rFonts w:eastAsia="Times New Roman"/>
                <w:color w:val="000000"/>
                <w:sz w:val="18"/>
                <w:szCs w:val="18"/>
              </w:rPr>
              <w:t>200,366 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E81C81" w14:textId="77777777" w:rsidR="00000000" w:rsidRDefault="00E614A4">
            <w:pPr>
              <w:jc w:val="right"/>
              <w:rPr>
                <w:rFonts w:eastAsia="Times New Roman"/>
              </w:rPr>
            </w:pPr>
          </w:p>
        </w:tc>
      </w:tr>
      <w:tr w:rsidR="00000000" w14:paraId="69EC7E6F" w14:textId="77777777">
        <w:trPr>
          <w:divId w:val="977995249"/>
        </w:trPr>
        <w:tc>
          <w:tcPr>
            <w:tcW w:w="0" w:type="auto"/>
            <w:gridSpan w:val="3"/>
            <w:shd w:val="clear" w:color="auto" w:fill="FFFFFF"/>
            <w:tcMar>
              <w:top w:w="30" w:type="dxa"/>
              <w:left w:w="20" w:type="dxa"/>
              <w:bottom w:w="30" w:type="dxa"/>
              <w:right w:w="20" w:type="dxa"/>
            </w:tcMar>
            <w:hideMark/>
          </w:tcPr>
          <w:p w14:paraId="4E1BE7AF" w14:textId="77777777" w:rsidR="00000000" w:rsidRDefault="00E614A4">
            <w:pPr>
              <w:rPr>
                <w:rFonts w:eastAsia="Times New Roman"/>
              </w:rPr>
            </w:pPr>
            <w:r>
              <w:rPr>
                <w:rFonts w:eastAsia="Times New Roman"/>
                <w:color w:val="000000"/>
                <w:sz w:val="18"/>
                <w:szCs w:val="18"/>
              </w:rPr>
              <w:t>Additions</w:t>
            </w:r>
          </w:p>
        </w:tc>
        <w:tc>
          <w:tcPr>
            <w:tcW w:w="0" w:type="auto"/>
            <w:gridSpan w:val="3"/>
            <w:shd w:val="clear" w:color="auto" w:fill="FFFFFF"/>
            <w:tcMar>
              <w:top w:w="0" w:type="dxa"/>
              <w:left w:w="20" w:type="dxa"/>
              <w:bottom w:w="0" w:type="dxa"/>
              <w:right w:w="20" w:type="dxa"/>
            </w:tcMar>
            <w:vAlign w:val="center"/>
            <w:hideMark/>
          </w:tcPr>
          <w:p w14:paraId="1F93FD5E"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6BBBFE" w14:textId="77777777" w:rsidR="00000000" w:rsidRDefault="00E614A4">
            <w:pPr>
              <w:jc w:val="right"/>
              <w:rPr>
                <w:rFonts w:eastAsia="Times New Roman"/>
              </w:rPr>
            </w:pPr>
            <w:r>
              <w:rPr>
                <w:rFonts w:eastAsia="Times New Roman"/>
                <w:color w:val="000000"/>
                <w:sz w:val="18"/>
                <w:szCs w:val="18"/>
              </w:rPr>
              <w:t>737 </w:t>
            </w:r>
          </w:p>
        </w:tc>
        <w:tc>
          <w:tcPr>
            <w:tcW w:w="0" w:type="auto"/>
            <w:shd w:val="clear" w:color="auto" w:fill="FFFFFF"/>
            <w:tcMar>
              <w:top w:w="30" w:type="dxa"/>
              <w:left w:w="0" w:type="dxa"/>
              <w:bottom w:w="30" w:type="dxa"/>
              <w:right w:w="20" w:type="dxa"/>
            </w:tcMar>
            <w:vAlign w:val="bottom"/>
            <w:hideMark/>
          </w:tcPr>
          <w:p w14:paraId="3F17C5A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5A0D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7E213" w14:textId="77777777" w:rsidR="00000000" w:rsidRDefault="00E614A4">
            <w:pPr>
              <w:jc w:val="right"/>
              <w:rPr>
                <w:rFonts w:eastAsia="Times New Roman"/>
              </w:rPr>
            </w:pPr>
            <w:r>
              <w:rPr>
                <w:rFonts w:eastAsia="Times New Roman"/>
                <w:color w:val="000000"/>
                <w:sz w:val="18"/>
                <w:szCs w:val="18"/>
              </w:rPr>
              <w:t>19,832 </w:t>
            </w:r>
          </w:p>
        </w:tc>
        <w:tc>
          <w:tcPr>
            <w:tcW w:w="0" w:type="auto"/>
            <w:shd w:val="clear" w:color="auto" w:fill="FFFFFF"/>
            <w:tcMar>
              <w:top w:w="30" w:type="dxa"/>
              <w:left w:w="0" w:type="dxa"/>
              <w:bottom w:w="30" w:type="dxa"/>
              <w:right w:w="20" w:type="dxa"/>
            </w:tcMar>
            <w:vAlign w:val="bottom"/>
            <w:hideMark/>
          </w:tcPr>
          <w:p w14:paraId="28A8AC73" w14:textId="77777777" w:rsidR="00000000" w:rsidRDefault="00E614A4">
            <w:pPr>
              <w:jc w:val="right"/>
              <w:rPr>
                <w:rFonts w:eastAsia="Times New Roman"/>
              </w:rPr>
            </w:pPr>
          </w:p>
        </w:tc>
      </w:tr>
      <w:tr w:rsidR="00000000" w14:paraId="6844B054" w14:textId="77777777">
        <w:trPr>
          <w:divId w:val="977995249"/>
        </w:trPr>
        <w:tc>
          <w:tcPr>
            <w:tcW w:w="0" w:type="auto"/>
            <w:gridSpan w:val="3"/>
            <w:shd w:val="clear" w:color="auto" w:fill="CCEEFF"/>
            <w:tcMar>
              <w:top w:w="30" w:type="dxa"/>
              <w:left w:w="20" w:type="dxa"/>
              <w:bottom w:w="30" w:type="dxa"/>
              <w:right w:w="20" w:type="dxa"/>
            </w:tcMar>
            <w:hideMark/>
          </w:tcPr>
          <w:p w14:paraId="30BB4D2E" w14:textId="77777777" w:rsidR="00000000" w:rsidRDefault="00E614A4">
            <w:pPr>
              <w:rPr>
                <w:rFonts w:eastAsia="Times New Roman"/>
              </w:rPr>
            </w:pPr>
            <w:r>
              <w:rPr>
                <w:rFonts w:eastAsia="Times New Roman"/>
                <w:color w:val="000000"/>
                <w:sz w:val="18"/>
                <w:szCs w:val="18"/>
              </w:rPr>
              <w:t>Reductions</w:t>
            </w:r>
          </w:p>
        </w:tc>
        <w:tc>
          <w:tcPr>
            <w:tcW w:w="0" w:type="auto"/>
            <w:gridSpan w:val="3"/>
            <w:shd w:val="clear" w:color="auto" w:fill="CCEEFF"/>
            <w:tcMar>
              <w:top w:w="0" w:type="dxa"/>
              <w:left w:w="20" w:type="dxa"/>
              <w:bottom w:w="0" w:type="dxa"/>
              <w:right w:w="20" w:type="dxa"/>
            </w:tcMar>
            <w:vAlign w:val="center"/>
            <w:hideMark/>
          </w:tcPr>
          <w:p w14:paraId="1C8CA3EC"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794FC7" w14:textId="77777777" w:rsidR="00000000" w:rsidRDefault="00E614A4">
            <w:pPr>
              <w:jc w:val="right"/>
              <w:rPr>
                <w:rFonts w:eastAsia="Times New Roman"/>
              </w:rPr>
            </w:pPr>
            <w:r>
              <w:rPr>
                <w:rFonts w:eastAsia="Times New Roman"/>
                <w:color w:val="000000"/>
                <w:sz w:val="18"/>
                <w:szCs w:val="18"/>
              </w:rPr>
              <w:t>(229)</w:t>
            </w:r>
          </w:p>
        </w:tc>
        <w:tc>
          <w:tcPr>
            <w:tcW w:w="0" w:type="auto"/>
            <w:shd w:val="clear" w:color="auto" w:fill="CCEEFF"/>
            <w:tcMar>
              <w:top w:w="30" w:type="dxa"/>
              <w:left w:w="0" w:type="dxa"/>
              <w:bottom w:w="30" w:type="dxa"/>
              <w:right w:w="20" w:type="dxa"/>
            </w:tcMar>
            <w:vAlign w:val="bottom"/>
            <w:hideMark/>
          </w:tcPr>
          <w:p w14:paraId="7AF6643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FE43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37949" w14:textId="77777777" w:rsidR="00000000" w:rsidRDefault="00E614A4">
            <w:pPr>
              <w:jc w:val="right"/>
              <w:rPr>
                <w:rFonts w:eastAsia="Times New Roman"/>
              </w:rPr>
            </w:pPr>
            <w:r>
              <w:rPr>
                <w:rFonts w:eastAsia="Times New Roman"/>
                <w:color w:val="000000"/>
                <w:sz w:val="18"/>
                <w:szCs w:val="18"/>
              </w:rPr>
              <w:t>(591)</w:t>
            </w:r>
          </w:p>
        </w:tc>
        <w:tc>
          <w:tcPr>
            <w:tcW w:w="0" w:type="auto"/>
            <w:shd w:val="clear" w:color="auto" w:fill="CCEEFF"/>
            <w:tcMar>
              <w:top w:w="30" w:type="dxa"/>
              <w:left w:w="0" w:type="dxa"/>
              <w:bottom w:w="30" w:type="dxa"/>
              <w:right w:w="20" w:type="dxa"/>
            </w:tcMar>
            <w:vAlign w:val="bottom"/>
            <w:hideMark/>
          </w:tcPr>
          <w:p w14:paraId="18A0B4CC" w14:textId="77777777" w:rsidR="00000000" w:rsidRDefault="00E614A4">
            <w:pPr>
              <w:jc w:val="right"/>
              <w:rPr>
                <w:rFonts w:eastAsia="Times New Roman"/>
              </w:rPr>
            </w:pPr>
          </w:p>
        </w:tc>
      </w:tr>
      <w:tr w:rsidR="00000000" w14:paraId="4949C8D2" w14:textId="77777777">
        <w:trPr>
          <w:divId w:val="977995249"/>
        </w:trPr>
        <w:tc>
          <w:tcPr>
            <w:tcW w:w="0" w:type="auto"/>
            <w:gridSpan w:val="3"/>
            <w:shd w:val="clear" w:color="auto" w:fill="FFFFFF"/>
            <w:tcMar>
              <w:top w:w="30" w:type="dxa"/>
              <w:left w:w="20" w:type="dxa"/>
              <w:bottom w:w="30" w:type="dxa"/>
              <w:right w:w="20" w:type="dxa"/>
            </w:tcMar>
            <w:hideMark/>
          </w:tcPr>
          <w:p w14:paraId="2E2D6587" w14:textId="77777777" w:rsidR="00000000" w:rsidRDefault="00E614A4">
            <w:pPr>
              <w:rPr>
                <w:rFonts w:eastAsia="Times New Roman"/>
              </w:rPr>
            </w:pPr>
            <w:r>
              <w:rPr>
                <w:rFonts w:eastAsia="Times New Roman"/>
                <w:b/>
                <w:bCs/>
                <w:color w:val="000000"/>
                <w:sz w:val="18"/>
                <w:szCs w:val="18"/>
              </w:rPr>
              <w:t>Ending Balance</w:t>
            </w:r>
          </w:p>
        </w:tc>
        <w:tc>
          <w:tcPr>
            <w:tcW w:w="0" w:type="auto"/>
            <w:gridSpan w:val="3"/>
            <w:shd w:val="clear" w:color="auto" w:fill="FFFFFF"/>
            <w:tcMar>
              <w:top w:w="0" w:type="dxa"/>
              <w:left w:w="20" w:type="dxa"/>
              <w:bottom w:w="0" w:type="dxa"/>
              <w:right w:w="20" w:type="dxa"/>
            </w:tcMar>
            <w:vAlign w:val="center"/>
            <w:hideMark/>
          </w:tcPr>
          <w:p w14:paraId="1E9CABCF"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77EDC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E9D35E" w14:textId="77777777" w:rsidR="00000000" w:rsidRDefault="00E614A4">
            <w:pPr>
              <w:jc w:val="right"/>
              <w:rPr>
                <w:rFonts w:eastAsia="Times New Roman"/>
              </w:rPr>
            </w:pPr>
            <w:r>
              <w:rPr>
                <w:rFonts w:eastAsia="Times New Roman"/>
                <w:color w:val="000000"/>
                <w:sz w:val="18"/>
                <w:szCs w:val="18"/>
              </w:rPr>
              <w:t>220,115 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5EA28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DE5AB"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B095A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6B15C5" w14:textId="77777777" w:rsidR="00000000" w:rsidRDefault="00E614A4">
            <w:pPr>
              <w:jc w:val="right"/>
              <w:rPr>
                <w:rFonts w:eastAsia="Times New Roman"/>
              </w:rPr>
            </w:pPr>
            <w:r>
              <w:rPr>
                <w:rFonts w:eastAsia="Times New Roman"/>
                <w:color w:val="000000"/>
                <w:sz w:val="18"/>
                <w:szCs w:val="18"/>
              </w:rPr>
              <w:t>219,607 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2EED13" w14:textId="77777777" w:rsidR="00000000" w:rsidRDefault="00E614A4">
            <w:pPr>
              <w:jc w:val="right"/>
              <w:rPr>
                <w:rFonts w:eastAsia="Times New Roman"/>
              </w:rPr>
            </w:pPr>
          </w:p>
        </w:tc>
      </w:tr>
    </w:tbl>
    <w:p w14:paraId="2EA9EEBE" w14:textId="77777777" w:rsidR="00000000" w:rsidRDefault="00E614A4">
      <w:pPr>
        <w:jc w:val="both"/>
        <w:divId w:val="1759524419"/>
        <w:rPr>
          <w:rFonts w:eastAsia="Times New Roman"/>
        </w:rPr>
      </w:pPr>
      <w:r>
        <w:rPr>
          <w:rFonts w:eastAsia="Times New Roman"/>
          <w:i/>
          <w:iCs/>
          <w:color w:val="000000"/>
          <w:sz w:val="20"/>
          <w:szCs w:val="20"/>
        </w:rPr>
        <w:t>Net Op</w:t>
      </w:r>
      <w:r>
        <w:rPr>
          <w:rFonts w:eastAsia="Times New Roman"/>
          <w:i/>
          <w:iCs/>
          <w:color w:val="000000"/>
          <w:sz w:val="20"/>
          <w:szCs w:val="20"/>
        </w:rPr>
        <w:t xml:space="preserve">erating Loss and Credit Carryforwards </w:t>
      </w:r>
    </w:p>
    <w:p w14:paraId="4838A951" w14:textId="77777777" w:rsidR="00000000" w:rsidRDefault="00E614A4">
      <w:pPr>
        <w:jc w:val="both"/>
        <w:divId w:val="1236546181"/>
        <w:rPr>
          <w:rFonts w:eastAsia="Times New Roman"/>
        </w:rPr>
      </w:pPr>
      <w:r>
        <w:rPr>
          <w:rFonts w:eastAsia="Times New Roman"/>
          <w:color w:val="000000"/>
          <w:sz w:val="20"/>
          <w:szCs w:val="20"/>
        </w:rPr>
        <w:t>As of December 31, 2020, the Company had federal and state net operating loss carryforwards for tax purposes of $578.5 million and $1,360.7 million, respectively. These net operating loss carryforwards will begin to e</w:t>
      </w:r>
      <w:r>
        <w:rPr>
          <w:rFonts w:eastAsia="Times New Roman"/>
          <w:color w:val="000000"/>
          <w:sz w:val="20"/>
          <w:szCs w:val="20"/>
        </w:rPr>
        <w:t>xpire in 2023 for federal income tax purposes and 2021 for state income tax purposes. The federal and certain state net operating losses generated after December 31, 2017 have an indefinite carryforward period. As of December 31, 2020, the Company had an a</w:t>
      </w:r>
      <w:r>
        <w:rPr>
          <w:rFonts w:eastAsia="Times New Roman"/>
          <w:color w:val="000000"/>
          <w:sz w:val="20"/>
          <w:szCs w:val="20"/>
        </w:rPr>
        <w:t xml:space="preserve">ggregate net operating loss carryforward for tax purposes related to its foreign subsidiaries of $5.1 million, which will begin to expire in 2024. </w:t>
      </w:r>
    </w:p>
    <w:p w14:paraId="40C46E67" w14:textId="77777777" w:rsidR="00000000" w:rsidRDefault="00E614A4">
      <w:pPr>
        <w:jc w:val="both"/>
        <w:divId w:val="959065353"/>
        <w:rPr>
          <w:rFonts w:eastAsia="Times New Roman"/>
        </w:rPr>
      </w:pPr>
      <w:r>
        <w:rPr>
          <w:rFonts w:eastAsia="Times New Roman"/>
          <w:color w:val="000000"/>
          <w:sz w:val="20"/>
          <w:szCs w:val="20"/>
        </w:rPr>
        <w:t>As of December 31, 2020, the Company had research and development credit carryforwards of $3.2 million which</w:t>
      </w:r>
      <w:r>
        <w:rPr>
          <w:rFonts w:eastAsia="Times New Roman"/>
          <w:color w:val="000000"/>
          <w:sz w:val="20"/>
          <w:szCs w:val="20"/>
        </w:rPr>
        <w:t xml:space="preserve"> begin to expire in 2025.</w:t>
      </w:r>
    </w:p>
    <w:p w14:paraId="4ACC476D" w14:textId="77777777" w:rsidR="00000000" w:rsidRDefault="00E614A4">
      <w:pPr>
        <w:jc w:val="both"/>
        <w:divId w:val="1337919434"/>
        <w:rPr>
          <w:rFonts w:eastAsia="Times New Roman"/>
        </w:rPr>
      </w:pPr>
      <w:r>
        <w:rPr>
          <w:rFonts w:eastAsia="Times New Roman"/>
          <w:color w:val="000000"/>
          <w:sz w:val="20"/>
          <w:szCs w:val="20"/>
        </w:rPr>
        <w:t>Under the provisions of Internal Revenue Code Section 382, certain substantial changes in the Company's ownership may result in a limitation on the amount of U.S. net operating loss carryforwards that can be utilized annually to o</w:t>
      </w:r>
      <w:r>
        <w:rPr>
          <w:rFonts w:eastAsia="Times New Roman"/>
          <w:color w:val="000000"/>
          <w:sz w:val="20"/>
          <w:szCs w:val="20"/>
        </w:rPr>
        <w:t>ffset future taxable income and taxes payable. A significant portion of the Company's net operating loss carryforwards are subject to an annual limitation under Section 382 of the Internal Revenue Code, and the Company anticipates that the Transactions wil</w:t>
      </w:r>
      <w:r>
        <w:rPr>
          <w:rFonts w:eastAsia="Times New Roman"/>
          <w:color w:val="000000"/>
          <w:sz w:val="20"/>
          <w:szCs w:val="20"/>
        </w:rPr>
        <w:t>l trigger further limitations. Additionally, despite the net operating loss carryforwards, the Company may have a future tax liability due to foreign tax or state tax requirements.</w:t>
      </w:r>
    </w:p>
    <w:p w14:paraId="19DCEA8E" w14:textId="77777777" w:rsidR="00000000" w:rsidRDefault="00E614A4">
      <w:pPr>
        <w:jc w:val="both"/>
        <w:divId w:val="1776098417"/>
        <w:rPr>
          <w:rFonts w:eastAsia="Times New Roman"/>
        </w:rPr>
      </w:pPr>
      <w:r>
        <w:rPr>
          <w:rFonts w:eastAsia="Times New Roman"/>
          <w:i/>
          <w:iCs/>
          <w:color w:val="000000"/>
          <w:sz w:val="20"/>
          <w:szCs w:val="20"/>
        </w:rPr>
        <w:t>Foreign Undistributed Earnings</w:t>
      </w:r>
    </w:p>
    <w:p w14:paraId="4B1F07C7" w14:textId="77777777" w:rsidR="00000000" w:rsidRDefault="00E614A4">
      <w:pPr>
        <w:jc w:val="both"/>
        <w:divId w:val="774979739"/>
        <w:rPr>
          <w:rFonts w:eastAsia="Times New Roman"/>
        </w:rPr>
      </w:pPr>
      <w:r>
        <w:rPr>
          <w:rFonts w:eastAsia="Times New Roman"/>
          <w:color w:val="000000"/>
          <w:sz w:val="20"/>
          <w:szCs w:val="20"/>
        </w:rPr>
        <w:t>As of December </w:t>
      </w:r>
      <w:r>
        <w:rPr>
          <w:rFonts w:eastAsia="Times New Roman"/>
          <w:color w:val="000000"/>
          <w:sz w:val="20"/>
          <w:szCs w:val="20"/>
        </w:rPr>
        <w:t>31, 2020, the Company has certain foreign subsidiaries with accumulated undistributed earnings. The TCJA allows for a dividend received deduction resulting in no material U.S. federal income tax upon repatriation of these earnings. The Company intends to i</w:t>
      </w:r>
      <w:r>
        <w:rPr>
          <w:rFonts w:eastAsia="Times New Roman"/>
          <w:color w:val="000000"/>
          <w:sz w:val="20"/>
          <w:szCs w:val="20"/>
        </w:rPr>
        <w:t>ndefinitely reinvest these earnings, as well as future earnings from its foreign subsidiaries, to fund its international operations and therefore has not accrued any foreign withholding taxes or state income taxes.</w:t>
      </w:r>
    </w:p>
    <w:p w14:paraId="007A2DFF" w14:textId="77777777" w:rsidR="00000000" w:rsidRDefault="00E614A4">
      <w:pPr>
        <w:jc w:val="both"/>
        <w:divId w:val="74981755"/>
        <w:rPr>
          <w:rFonts w:eastAsia="Times New Roman"/>
        </w:rPr>
      </w:pPr>
      <w:r>
        <w:rPr>
          <w:rFonts w:eastAsia="Times New Roman"/>
          <w:i/>
          <w:iCs/>
          <w:color w:val="000000"/>
          <w:sz w:val="20"/>
          <w:szCs w:val="20"/>
        </w:rPr>
        <w:t>Uncertain Tax Positions</w:t>
      </w:r>
    </w:p>
    <w:p w14:paraId="6A4334CD" w14:textId="77777777" w:rsidR="00000000" w:rsidRDefault="00E614A4">
      <w:pPr>
        <w:jc w:val="both"/>
        <w:divId w:val="1883440032"/>
        <w:rPr>
          <w:rFonts w:eastAsia="Times New Roman"/>
        </w:rPr>
      </w:pPr>
      <w:r>
        <w:rPr>
          <w:rFonts w:eastAsia="Times New Roman"/>
          <w:color w:val="000000"/>
          <w:sz w:val="20"/>
          <w:szCs w:val="20"/>
        </w:rPr>
        <w:t>For uncertain tax</w:t>
      </w:r>
      <w:r>
        <w:rPr>
          <w:rFonts w:eastAsia="Times New Roman"/>
          <w:color w:val="000000"/>
          <w:sz w:val="20"/>
          <w:szCs w:val="20"/>
        </w:rPr>
        <w:t xml:space="preserve"> positions, the Company uses a more-likely-than-not recognition threshold based on the technical merits of the tax position taken. Tax positions that meet the more-likely-than-not recognition threshold are measured as the largest amount of tax benefits det</w:t>
      </w:r>
      <w:r>
        <w:rPr>
          <w:rFonts w:eastAsia="Times New Roman"/>
          <w:color w:val="000000"/>
          <w:sz w:val="20"/>
          <w:szCs w:val="20"/>
        </w:rPr>
        <w:t>ermined on a cumulative probability basis, which are more-likely-than-not to be realized upon ultimate settlement in the financial statements. The Company has unrecognized tax benefits, which are tax benefits related to uncertain tax positions which have b</w:t>
      </w:r>
      <w:r>
        <w:rPr>
          <w:rFonts w:eastAsia="Times New Roman"/>
          <w:color w:val="000000"/>
          <w:sz w:val="20"/>
          <w:szCs w:val="20"/>
        </w:rPr>
        <w:t>een or will be reflected in income tax filings that have not been recognized in the financial statements due to potential adjustments by taxing authorities in the applicable jurisdictions. The Company's liabilities for unrecognized tax benefits, which incl</w:t>
      </w:r>
      <w:r>
        <w:rPr>
          <w:rFonts w:eastAsia="Times New Roman"/>
          <w:color w:val="000000"/>
          <w:sz w:val="20"/>
          <w:szCs w:val="20"/>
        </w:rPr>
        <w:t>ude interest and penalties, were $0.7 million and $1.6 million as of December 31, 2020 and 2019, respectively. The remaining unrecognized tax benefits have reduced deferred tax balances. The amount of unrecognized tax benefits that, if recognized, would af</w:t>
      </w:r>
      <w:r>
        <w:rPr>
          <w:rFonts w:eastAsia="Times New Roman"/>
          <w:color w:val="000000"/>
          <w:sz w:val="20"/>
          <w:szCs w:val="20"/>
        </w:rPr>
        <w:t>fect the Company's effective tax rate are $2.0 million, $2.3 million and $2.5 million as of December 31, 2020, 2019 and 2018, respectively, and include the federal tax benefit of state deductions. The Company anticipates a negligible amount of unrecognized</w:t>
      </w:r>
      <w:r>
        <w:rPr>
          <w:rFonts w:eastAsia="Times New Roman"/>
          <w:color w:val="000000"/>
          <w:sz w:val="20"/>
          <w:szCs w:val="20"/>
        </w:rPr>
        <w:t xml:space="preserve"> tax benefits will reverse during the next year due to the expiration of statutes of limitation. </w:t>
      </w:r>
    </w:p>
    <w:p w14:paraId="2F4D79E9" w14:textId="77777777" w:rsidR="00000000" w:rsidRDefault="00E614A4">
      <w:pPr>
        <w:jc w:val="center"/>
        <w:divId w:val="457189231"/>
        <w:rPr>
          <w:rFonts w:eastAsia="Times New Roman"/>
        </w:rPr>
      </w:pPr>
      <w:r>
        <w:rPr>
          <w:rFonts w:eastAsia="Times New Roman"/>
          <w:color w:val="000000"/>
          <w:sz w:val="20"/>
          <w:szCs w:val="20"/>
        </w:rPr>
        <w:t>95</w:t>
      </w:r>
    </w:p>
    <w:p w14:paraId="4A4AB1FE" w14:textId="77777777" w:rsidR="00000000" w:rsidRDefault="00E614A4">
      <w:pPr>
        <w:rPr>
          <w:rFonts w:eastAsia="Times New Roman"/>
        </w:rPr>
      </w:pPr>
      <w:r>
        <w:rPr>
          <w:rFonts w:eastAsia="Times New Roman"/>
        </w:rPr>
        <w:pict w14:anchorId="1BE72C4C">
          <v:rect id="_x0000_i1123" style="width:0;height:1.5pt" o:hralign="center" o:hrstd="t" o:hr="t" fillcolor="#a0a0a0" stroked="f"/>
        </w:pict>
      </w:r>
    </w:p>
    <w:p w14:paraId="2E9B28A7" w14:textId="77777777" w:rsidR="00000000" w:rsidRDefault="00E614A4">
      <w:pPr>
        <w:divId w:val="190305485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1735E2C" w14:textId="77777777" w:rsidR="00000000" w:rsidRDefault="00E614A4">
      <w:pPr>
        <w:divId w:val="528252648"/>
        <w:rPr>
          <w:rFonts w:eastAsia="Times New Roman"/>
        </w:rPr>
      </w:pPr>
    </w:p>
    <w:p w14:paraId="11F066C0" w14:textId="77777777" w:rsidR="00000000" w:rsidRDefault="00E614A4">
      <w:pPr>
        <w:jc w:val="both"/>
        <w:divId w:val="2097750963"/>
        <w:rPr>
          <w:rFonts w:eastAsia="Times New Roman"/>
        </w:rPr>
      </w:pPr>
      <w:r>
        <w:rPr>
          <w:rFonts w:eastAsia="Times New Roman"/>
          <w:color w:val="000000"/>
          <w:sz w:val="20"/>
          <w:szCs w:val="20"/>
        </w:rPr>
        <w:t>Changes in the Company's unrecognized income tax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614"/>
        <w:gridCol w:w="37"/>
        <w:gridCol w:w="36"/>
        <w:gridCol w:w="36"/>
        <w:gridCol w:w="36"/>
        <w:gridCol w:w="110"/>
        <w:gridCol w:w="951"/>
        <w:gridCol w:w="36"/>
        <w:gridCol w:w="36"/>
        <w:gridCol w:w="36"/>
        <w:gridCol w:w="36"/>
        <w:gridCol w:w="110"/>
        <w:gridCol w:w="952"/>
        <w:gridCol w:w="36"/>
        <w:gridCol w:w="36"/>
        <w:gridCol w:w="36"/>
        <w:gridCol w:w="36"/>
        <w:gridCol w:w="110"/>
        <w:gridCol w:w="952"/>
        <w:gridCol w:w="36"/>
      </w:tblGrid>
      <w:tr w:rsidR="00000000" w14:paraId="43DBBA52" w14:textId="77777777">
        <w:trPr>
          <w:divId w:val="1117411021"/>
        </w:trPr>
        <w:tc>
          <w:tcPr>
            <w:tcW w:w="50" w:type="pct"/>
            <w:vAlign w:val="center"/>
            <w:hideMark/>
          </w:tcPr>
          <w:p w14:paraId="4EA28008" w14:textId="77777777" w:rsidR="00000000" w:rsidRDefault="00E614A4">
            <w:pPr>
              <w:jc w:val="both"/>
              <w:rPr>
                <w:rFonts w:eastAsia="Times New Roman"/>
              </w:rPr>
            </w:pPr>
          </w:p>
        </w:tc>
        <w:tc>
          <w:tcPr>
            <w:tcW w:w="2840" w:type="pct"/>
            <w:vAlign w:val="center"/>
            <w:hideMark/>
          </w:tcPr>
          <w:p w14:paraId="4B169A28" w14:textId="77777777" w:rsidR="00000000" w:rsidRDefault="00E614A4">
            <w:pPr>
              <w:rPr>
                <w:rFonts w:eastAsia="Times New Roman"/>
                <w:sz w:val="20"/>
                <w:szCs w:val="20"/>
              </w:rPr>
            </w:pPr>
          </w:p>
        </w:tc>
        <w:tc>
          <w:tcPr>
            <w:tcW w:w="5" w:type="pct"/>
            <w:vAlign w:val="center"/>
            <w:hideMark/>
          </w:tcPr>
          <w:p w14:paraId="3D24D5E9" w14:textId="77777777" w:rsidR="00000000" w:rsidRDefault="00E614A4">
            <w:pPr>
              <w:rPr>
                <w:rFonts w:eastAsia="Times New Roman"/>
                <w:sz w:val="20"/>
                <w:szCs w:val="20"/>
              </w:rPr>
            </w:pPr>
          </w:p>
        </w:tc>
        <w:tc>
          <w:tcPr>
            <w:tcW w:w="5" w:type="pct"/>
            <w:vAlign w:val="center"/>
            <w:hideMark/>
          </w:tcPr>
          <w:p w14:paraId="492F1C44" w14:textId="77777777" w:rsidR="00000000" w:rsidRDefault="00E614A4">
            <w:pPr>
              <w:rPr>
                <w:rFonts w:eastAsia="Times New Roman"/>
                <w:sz w:val="20"/>
                <w:szCs w:val="20"/>
              </w:rPr>
            </w:pPr>
          </w:p>
        </w:tc>
        <w:tc>
          <w:tcPr>
            <w:tcW w:w="17" w:type="pct"/>
            <w:vAlign w:val="center"/>
            <w:hideMark/>
          </w:tcPr>
          <w:p w14:paraId="2F5C47A1" w14:textId="77777777" w:rsidR="00000000" w:rsidRDefault="00E614A4">
            <w:pPr>
              <w:rPr>
                <w:rFonts w:eastAsia="Times New Roman"/>
                <w:sz w:val="20"/>
                <w:szCs w:val="20"/>
              </w:rPr>
            </w:pPr>
          </w:p>
        </w:tc>
        <w:tc>
          <w:tcPr>
            <w:tcW w:w="5" w:type="pct"/>
            <w:vAlign w:val="center"/>
            <w:hideMark/>
          </w:tcPr>
          <w:p w14:paraId="0234A6B0" w14:textId="77777777" w:rsidR="00000000" w:rsidRDefault="00E614A4">
            <w:pPr>
              <w:rPr>
                <w:rFonts w:eastAsia="Times New Roman"/>
                <w:sz w:val="20"/>
                <w:szCs w:val="20"/>
              </w:rPr>
            </w:pPr>
          </w:p>
        </w:tc>
        <w:tc>
          <w:tcPr>
            <w:tcW w:w="50" w:type="pct"/>
            <w:vAlign w:val="center"/>
            <w:hideMark/>
          </w:tcPr>
          <w:p w14:paraId="38EB4E15" w14:textId="77777777" w:rsidR="00000000" w:rsidRDefault="00E614A4">
            <w:pPr>
              <w:rPr>
                <w:rFonts w:eastAsia="Times New Roman"/>
                <w:sz w:val="20"/>
                <w:szCs w:val="20"/>
              </w:rPr>
            </w:pPr>
          </w:p>
        </w:tc>
        <w:tc>
          <w:tcPr>
            <w:tcW w:w="618" w:type="pct"/>
            <w:vAlign w:val="center"/>
            <w:hideMark/>
          </w:tcPr>
          <w:p w14:paraId="361F528D" w14:textId="77777777" w:rsidR="00000000" w:rsidRDefault="00E614A4">
            <w:pPr>
              <w:rPr>
                <w:rFonts w:eastAsia="Times New Roman"/>
                <w:sz w:val="20"/>
                <w:szCs w:val="20"/>
              </w:rPr>
            </w:pPr>
          </w:p>
        </w:tc>
        <w:tc>
          <w:tcPr>
            <w:tcW w:w="5" w:type="pct"/>
            <w:vAlign w:val="center"/>
            <w:hideMark/>
          </w:tcPr>
          <w:p w14:paraId="6AAEAA4F" w14:textId="77777777" w:rsidR="00000000" w:rsidRDefault="00E614A4">
            <w:pPr>
              <w:rPr>
                <w:rFonts w:eastAsia="Times New Roman"/>
                <w:sz w:val="20"/>
                <w:szCs w:val="20"/>
              </w:rPr>
            </w:pPr>
          </w:p>
        </w:tc>
        <w:tc>
          <w:tcPr>
            <w:tcW w:w="5" w:type="pct"/>
            <w:vAlign w:val="center"/>
            <w:hideMark/>
          </w:tcPr>
          <w:p w14:paraId="49C896A7" w14:textId="77777777" w:rsidR="00000000" w:rsidRDefault="00E614A4">
            <w:pPr>
              <w:rPr>
                <w:rFonts w:eastAsia="Times New Roman"/>
                <w:sz w:val="20"/>
                <w:szCs w:val="20"/>
              </w:rPr>
            </w:pPr>
          </w:p>
        </w:tc>
        <w:tc>
          <w:tcPr>
            <w:tcW w:w="17" w:type="pct"/>
            <w:vAlign w:val="center"/>
            <w:hideMark/>
          </w:tcPr>
          <w:p w14:paraId="2F486B79" w14:textId="77777777" w:rsidR="00000000" w:rsidRDefault="00E614A4">
            <w:pPr>
              <w:rPr>
                <w:rFonts w:eastAsia="Times New Roman"/>
                <w:sz w:val="20"/>
                <w:szCs w:val="20"/>
              </w:rPr>
            </w:pPr>
          </w:p>
        </w:tc>
        <w:tc>
          <w:tcPr>
            <w:tcW w:w="5" w:type="pct"/>
            <w:vAlign w:val="center"/>
            <w:hideMark/>
          </w:tcPr>
          <w:p w14:paraId="084FBC87" w14:textId="77777777" w:rsidR="00000000" w:rsidRDefault="00E614A4">
            <w:pPr>
              <w:rPr>
                <w:rFonts w:eastAsia="Times New Roman"/>
                <w:sz w:val="20"/>
                <w:szCs w:val="20"/>
              </w:rPr>
            </w:pPr>
          </w:p>
        </w:tc>
        <w:tc>
          <w:tcPr>
            <w:tcW w:w="50" w:type="pct"/>
            <w:vAlign w:val="center"/>
            <w:hideMark/>
          </w:tcPr>
          <w:p w14:paraId="76004A07" w14:textId="77777777" w:rsidR="00000000" w:rsidRDefault="00E614A4">
            <w:pPr>
              <w:rPr>
                <w:rFonts w:eastAsia="Times New Roman"/>
                <w:sz w:val="20"/>
                <w:szCs w:val="20"/>
              </w:rPr>
            </w:pPr>
          </w:p>
        </w:tc>
        <w:tc>
          <w:tcPr>
            <w:tcW w:w="618" w:type="pct"/>
            <w:vAlign w:val="center"/>
            <w:hideMark/>
          </w:tcPr>
          <w:p w14:paraId="0424D739" w14:textId="77777777" w:rsidR="00000000" w:rsidRDefault="00E614A4">
            <w:pPr>
              <w:rPr>
                <w:rFonts w:eastAsia="Times New Roman"/>
                <w:sz w:val="20"/>
                <w:szCs w:val="20"/>
              </w:rPr>
            </w:pPr>
          </w:p>
        </w:tc>
        <w:tc>
          <w:tcPr>
            <w:tcW w:w="5" w:type="pct"/>
            <w:vAlign w:val="center"/>
            <w:hideMark/>
          </w:tcPr>
          <w:p w14:paraId="14614FBF" w14:textId="77777777" w:rsidR="00000000" w:rsidRDefault="00E614A4">
            <w:pPr>
              <w:rPr>
                <w:rFonts w:eastAsia="Times New Roman"/>
                <w:sz w:val="20"/>
                <w:szCs w:val="20"/>
              </w:rPr>
            </w:pPr>
          </w:p>
        </w:tc>
        <w:tc>
          <w:tcPr>
            <w:tcW w:w="5" w:type="pct"/>
            <w:vAlign w:val="center"/>
            <w:hideMark/>
          </w:tcPr>
          <w:p w14:paraId="743D020A" w14:textId="77777777" w:rsidR="00000000" w:rsidRDefault="00E614A4">
            <w:pPr>
              <w:rPr>
                <w:rFonts w:eastAsia="Times New Roman"/>
                <w:sz w:val="20"/>
                <w:szCs w:val="20"/>
              </w:rPr>
            </w:pPr>
          </w:p>
        </w:tc>
        <w:tc>
          <w:tcPr>
            <w:tcW w:w="17" w:type="pct"/>
            <w:vAlign w:val="center"/>
            <w:hideMark/>
          </w:tcPr>
          <w:p w14:paraId="6384278D" w14:textId="77777777" w:rsidR="00000000" w:rsidRDefault="00E614A4">
            <w:pPr>
              <w:rPr>
                <w:rFonts w:eastAsia="Times New Roman"/>
                <w:sz w:val="20"/>
                <w:szCs w:val="20"/>
              </w:rPr>
            </w:pPr>
          </w:p>
        </w:tc>
        <w:tc>
          <w:tcPr>
            <w:tcW w:w="5" w:type="pct"/>
            <w:vAlign w:val="center"/>
            <w:hideMark/>
          </w:tcPr>
          <w:p w14:paraId="5FEE380B" w14:textId="77777777" w:rsidR="00000000" w:rsidRDefault="00E614A4">
            <w:pPr>
              <w:rPr>
                <w:rFonts w:eastAsia="Times New Roman"/>
                <w:sz w:val="20"/>
                <w:szCs w:val="20"/>
              </w:rPr>
            </w:pPr>
          </w:p>
        </w:tc>
        <w:tc>
          <w:tcPr>
            <w:tcW w:w="50" w:type="pct"/>
            <w:vAlign w:val="center"/>
            <w:hideMark/>
          </w:tcPr>
          <w:p w14:paraId="50E8E672" w14:textId="77777777" w:rsidR="00000000" w:rsidRDefault="00E614A4">
            <w:pPr>
              <w:rPr>
                <w:rFonts w:eastAsia="Times New Roman"/>
                <w:sz w:val="20"/>
                <w:szCs w:val="20"/>
              </w:rPr>
            </w:pPr>
          </w:p>
        </w:tc>
        <w:tc>
          <w:tcPr>
            <w:tcW w:w="618" w:type="pct"/>
            <w:vAlign w:val="center"/>
            <w:hideMark/>
          </w:tcPr>
          <w:p w14:paraId="11DD8533" w14:textId="77777777" w:rsidR="00000000" w:rsidRDefault="00E614A4">
            <w:pPr>
              <w:rPr>
                <w:rFonts w:eastAsia="Times New Roman"/>
                <w:sz w:val="20"/>
                <w:szCs w:val="20"/>
              </w:rPr>
            </w:pPr>
          </w:p>
        </w:tc>
        <w:tc>
          <w:tcPr>
            <w:tcW w:w="5" w:type="pct"/>
            <w:vAlign w:val="center"/>
            <w:hideMark/>
          </w:tcPr>
          <w:p w14:paraId="7A4BAA93" w14:textId="77777777" w:rsidR="00000000" w:rsidRDefault="00E614A4">
            <w:pPr>
              <w:rPr>
                <w:rFonts w:eastAsia="Times New Roman"/>
                <w:sz w:val="20"/>
                <w:szCs w:val="20"/>
              </w:rPr>
            </w:pPr>
          </w:p>
        </w:tc>
      </w:tr>
      <w:tr w:rsidR="00000000" w14:paraId="38E1F43E" w14:textId="77777777">
        <w:trPr>
          <w:divId w:val="1117411021"/>
        </w:trPr>
        <w:tc>
          <w:tcPr>
            <w:tcW w:w="0" w:type="auto"/>
            <w:gridSpan w:val="3"/>
            <w:tcMar>
              <w:top w:w="30" w:type="dxa"/>
              <w:left w:w="20" w:type="dxa"/>
              <w:bottom w:w="30" w:type="dxa"/>
              <w:right w:w="20" w:type="dxa"/>
            </w:tcMar>
            <w:vAlign w:val="bottom"/>
            <w:hideMark/>
          </w:tcPr>
          <w:p w14:paraId="5F87AB70"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2C8C4BF" w14:textId="77777777" w:rsidR="00000000" w:rsidRDefault="00E614A4">
            <w:pPr>
              <w:rPr>
                <w:rFonts w:eastAsia="Times New Roman"/>
              </w:rPr>
            </w:pPr>
          </w:p>
        </w:tc>
        <w:tc>
          <w:tcPr>
            <w:tcW w:w="0" w:type="auto"/>
            <w:gridSpan w:val="15"/>
            <w:tcMar>
              <w:top w:w="30" w:type="dxa"/>
              <w:left w:w="20" w:type="dxa"/>
              <w:bottom w:w="30" w:type="dxa"/>
              <w:right w:w="20" w:type="dxa"/>
            </w:tcMar>
            <w:vAlign w:val="bottom"/>
            <w:hideMark/>
          </w:tcPr>
          <w:p w14:paraId="1B30C428"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17D58925" w14:textId="77777777">
        <w:trPr>
          <w:divId w:val="1117411021"/>
        </w:trPr>
        <w:tc>
          <w:tcPr>
            <w:tcW w:w="0" w:type="auto"/>
            <w:gridSpan w:val="3"/>
            <w:tcMar>
              <w:top w:w="30" w:type="dxa"/>
              <w:left w:w="20" w:type="dxa"/>
              <w:bottom w:w="30" w:type="dxa"/>
              <w:right w:w="20" w:type="dxa"/>
            </w:tcMar>
            <w:vAlign w:val="bottom"/>
            <w:hideMark/>
          </w:tcPr>
          <w:p w14:paraId="4F63D3D3" w14:textId="77777777" w:rsidR="00000000" w:rsidRDefault="00E614A4">
            <w:pPr>
              <w:divId w:val="645017626"/>
              <w:rPr>
                <w:rFonts w:eastAsia="Times New Roman"/>
              </w:rPr>
            </w:pPr>
            <w:r>
              <w:rPr>
                <w:rFonts w:eastAsia="Times New Roman"/>
                <w:color w:val="000000"/>
                <w:sz w:val="16"/>
                <w:szCs w:val="16"/>
              </w:rPr>
              <w:t> </w:t>
            </w: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43C235AC" w14:textId="77777777" w:rsidR="00000000" w:rsidRDefault="00E614A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91D02B"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0EBBC70"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A90514"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3534BBCA"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150109" w14:textId="77777777" w:rsidR="00000000" w:rsidRDefault="00E614A4">
            <w:pPr>
              <w:jc w:val="center"/>
              <w:rPr>
                <w:rFonts w:eastAsia="Times New Roman"/>
              </w:rPr>
            </w:pPr>
            <w:r>
              <w:rPr>
                <w:rFonts w:eastAsia="Times New Roman"/>
                <w:b/>
                <w:bCs/>
                <w:color w:val="000000"/>
                <w:sz w:val="16"/>
                <w:szCs w:val="16"/>
              </w:rPr>
              <w:t>2018</w:t>
            </w:r>
          </w:p>
        </w:tc>
      </w:tr>
      <w:tr w:rsidR="00000000" w14:paraId="11C00851" w14:textId="77777777">
        <w:trPr>
          <w:divId w:val="1117411021"/>
        </w:trPr>
        <w:tc>
          <w:tcPr>
            <w:tcW w:w="0" w:type="auto"/>
            <w:gridSpan w:val="3"/>
            <w:shd w:val="clear" w:color="auto" w:fill="CCEEFF"/>
            <w:tcMar>
              <w:top w:w="30" w:type="dxa"/>
              <w:left w:w="20" w:type="dxa"/>
              <w:bottom w:w="30" w:type="dxa"/>
              <w:right w:w="20" w:type="dxa"/>
            </w:tcMar>
            <w:hideMark/>
          </w:tcPr>
          <w:p w14:paraId="75FAFFDE" w14:textId="77777777" w:rsidR="00000000" w:rsidRDefault="00E614A4">
            <w:pPr>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14:paraId="3936E707"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49C94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BBFC3D" w14:textId="77777777" w:rsidR="00000000" w:rsidRDefault="00E614A4">
            <w:pPr>
              <w:jc w:val="right"/>
              <w:rPr>
                <w:rFonts w:eastAsia="Times New Roman"/>
              </w:rPr>
            </w:pPr>
            <w:r>
              <w:rPr>
                <w:rFonts w:eastAsia="Times New Roman"/>
                <w:color w:val="000000"/>
                <w:sz w:val="18"/>
                <w:szCs w:val="18"/>
              </w:rPr>
              <w:t>2,400 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C8A0A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70C9D"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3BD1D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EE8AE9" w14:textId="77777777" w:rsidR="00000000" w:rsidRDefault="00E614A4">
            <w:pPr>
              <w:jc w:val="right"/>
              <w:rPr>
                <w:rFonts w:eastAsia="Times New Roman"/>
              </w:rPr>
            </w:pPr>
            <w:r>
              <w:rPr>
                <w:rFonts w:eastAsia="Times New Roman"/>
                <w:color w:val="000000"/>
                <w:sz w:val="18"/>
                <w:szCs w:val="18"/>
              </w:rPr>
              <w:t>2,560 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53EA1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7EE83"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95EAF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64A5C1" w14:textId="77777777" w:rsidR="00000000" w:rsidRDefault="00E614A4">
            <w:pPr>
              <w:jc w:val="right"/>
              <w:rPr>
                <w:rFonts w:eastAsia="Times New Roman"/>
              </w:rPr>
            </w:pPr>
            <w:r>
              <w:rPr>
                <w:rFonts w:eastAsia="Times New Roman"/>
                <w:color w:val="000000"/>
                <w:sz w:val="18"/>
                <w:szCs w:val="18"/>
              </w:rPr>
              <w:t>2,508 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37BFA5" w14:textId="77777777" w:rsidR="00000000" w:rsidRDefault="00E614A4">
            <w:pPr>
              <w:jc w:val="right"/>
              <w:rPr>
                <w:rFonts w:eastAsia="Times New Roman"/>
              </w:rPr>
            </w:pPr>
          </w:p>
        </w:tc>
      </w:tr>
      <w:tr w:rsidR="00000000" w14:paraId="7B883326" w14:textId="77777777">
        <w:trPr>
          <w:divId w:val="1117411021"/>
        </w:trPr>
        <w:tc>
          <w:tcPr>
            <w:tcW w:w="0" w:type="auto"/>
            <w:gridSpan w:val="3"/>
            <w:shd w:val="clear" w:color="auto" w:fill="FFFFFF"/>
            <w:tcMar>
              <w:top w:w="30" w:type="dxa"/>
              <w:left w:w="20" w:type="dxa"/>
              <w:bottom w:w="30" w:type="dxa"/>
              <w:right w:w="20" w:type="dxa"/>
            </w:tcMar>
            <w:hideMark/>
          </w:tcPr>
          <w:p w14:paraId="0F0BCA12" w14:textId="77777777" w:rsidR="00000000" w:rsidRDefault="00E614A4">
            <w:pPr>
              <w:divId w:val="1746604316"/>
              <w:rPr>
                <w:rFonts w:eastAsia="Times New Roman"/>
              </w:rPr>
            </w:pPr>
            <w:r>
              <w:rPr>
                <w:rFonts w:eastAsia="Times New Roman"/>
                <w:color w:val="000000"/>
                <w:sz w:val="18"/>
                <w:szCs w:val="18"/>
              </w:rPr>
              <w:t>Increase related to tax positions of prior years</w:t>
            </w:r>
          </w:p>
        </w:tc>
        <w:tc>
          <w:tcPr>
            <w:tcW w:w="0" w:type="auto"/>
            <w:gridSpan w:val="3"/>
            <w:shd w:val="clear" w:color="auto" w:fill="FFFFFF"/>
            <w:tcMar>
              <w:top w:w="0" w:type="dxa"/>
              <w:left w:w="20" w:type="dxa"/>
              <w:bottom w:w="0" w:type="dxa"/>
              <w:right w:w="20" w:type="dxa"/>
            </w:tcMar>
            <w:vAlign w:val="center"/>
            <w:hideMark/>
          </w:tcPr>
          <w:p w14:paraId="5253C252"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529CF3" w14:textId="77777777" w:rsidR="00000000" w:rsidRDefault="00E614A4">
            <w:pPr>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665C1C5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7745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725CA" w14:textId="77777777" w:rsidR="00000000" w:rsidRDefault="00E614A4">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02719DB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BC152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8532D2" w14:textId="77777777" w:rsidR="00000000" w:rsidRDefault="00E614A4">
            <w:pPr>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bottom"/>
            <w:hideMark/>
          </w:tcPr>
          <w:p w14:paraId="65FB7A1A" w14:textId="77777777" w:rsidR="00000000" w:rsidRDefault="00E614A4">
            <w:pPr>
              <w:jc w:val="right"/>
              <w:rPr>
                <w:rFonts w:eastAsia="Times New Roman"/>
              </w:rPr>
            </w:pPr>
          </w:p>
        </w:tc>
      </w:tr>
      <w:tr w:rsidR="00000000" w14:paraId="4C075A42" w14:textId="77777777">
        <w:trPr>
          <w:divId w:val="1117411021"/>
        </w:trPr>
        <w:tc>
          <w:tcPr>
            <w:tcW w:w="0" w:type="auto"/>
            <w:gridSpan w:val="3"/>
            <w:shd w:val="clear" w:color="auto" w:fill="CCEEFF"/>
            <w:tcMar>
              <w:top w:w="30" w:type="dxa"/>
              <w:left w:w="20" w:type="dxa"/>
              <w:bottom w:w="30" w:type="dxa"/>
              <w:right w:w="20" w:type="dxa"/>
            </w:tcMar>
            <w:hideMark/>
          </w:tcPr>
          <w:p w14:paraId="331F34BD" w14:textId="77777777" w:rsidR="00000000" w:rsidRDefault="00E614A4">
            <w:pPr>
              <w:rPr>
                <w:rFonts w:eastAsia="Times New Roman"/>
              </w:rPr>
            </w:pPr>
            <w:r>
              <w:rPr>
                <w:rFonts w:eastAsia="Times New Roman"/>
                <w:color w:val="000000"/>
                <w:sz w:val="18"/>
                <w:szCs w:val="18"/>
              </w:rPr>
              <w:t>Increase related to tax positions of the current year</w:t>
            </w:r>
          </w:p>
        </w:tc>
        <w:tc>
          <w:tcPr>
            <w:tcW w:w="0" w:type="auto"/>
            <w:gridSpan w:val="3"/>
            <w:shd w:val="clear" w:color="auto" w:fill="CCEEFF"/>
            <w:tcMar>
              <w:top w:w="0" w:type="dxa"/>
              <w:left w:w="20" w:type="dxa"/>
              <w:bottom w:w="0" w:type="dxa"/>
              <w:right w:w="20" w:type="dxa"/>
            </w:tcMar>
            <w:vAlign w:val="center"/>
            <w:hideMark/>
          </w:tcPr>
          <w:p w14:paraId="4F36FAEB"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44F56C" w14:textId="77777777" w:rsidR="00000000" w:rsidRDefault="00E614A4">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14:paraId="6F87E0D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A53B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F9FCED" w14:textId="77777777" w:rsidR="00000000" w:rsidRDefault="00E614A4">
            <w:pPr>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14:paraId="6768F67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3784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E97E0E" w14:textId="77777777" w:rsidR="00000000" w:rsidRDefault="00E614A4">
            <w:pPr>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bottom"/>
            <w:hideMark/>
          </w:tcPr>
          <w:p w14:paraId="09959F27" w14:textId="77777777" w:rsidR="00000000" w:rsidRDefault="00E614A4">
            <w:pPr>
              <w:jc w:val="right"/>
              <w:rPr>
                <w:rFonts w:eastAsia="Times New Roman"/>
              </w:rPr>
            </w:pPr>
          </w:p>
        </w:tc>
      </w:tr>
      <w:tr w:rsidR="00000000" w14:paraId="7B9A94DB" w14:textId="77777777">
        <w:trPr>
          <w:divId w:val="1117411021"/>
        </w:trPr>
        <w:tc>
          <w:tcPr>
            <w:tcW w:w="0" w:type="auto"/>
            <w:gridSpan w:val="3"/>
            <w:vAlign w:val="center"/>
            <w:hideMark/>
          </w:tcPr>
          <w:p w14:paraId="511E6D91" w14:textId="77777777" w:rsidR="00000000" w:rsidRDefault="00E614A4">
            <w:pPr>
              <w:jc w:val="right"/>
              <w:rPr>
                <w:rFonts w:eastAsia="Times New Roman"/>
                <w:sz w:val="20"/>
                <w:szCs w:val="20"/>
              </w:rPr>
            </w:pPr>
          </w:p>
        </w:tc>
        <w:tc>
          <w:tcPr>
            <w:tcW w:w="0" w:type="auto"/>
            <w:gridSpan w:val="3"/>
            <w:vAlign w:val="center"/>
            <w:hideMark/>
          </w:tcPr>
          <w:p w14:paraId="175E3A7B" w14:textId="77777777" w:rsidR="00000000" w:rsidRDefault="00E614A4">
            <w:pPr>
              <w:rPr>
                <w:rFonts w:eastAsia="Times New Roman"/>
                <w:sz w:val="20"/>
                <w:szCs w:val="20"/>
              </w:rPr>
            </w:pPr>
          </w:p>
        </w:tc>
        <w:tc>
          <w:tcPr>
            <w:tcW w:w="0" w:type="auto"/>
            <w:gridSpan w:val="3"/>
            <w:vAlign w:val="center"/>
            <w:hideMark/>
          </w:tcPr>
          <w:p w14:paraId="14F63C41" w14:textId="77777777" w:rsidR="00000000" w:rsidRDefault="00E614A4">
            <w:pPr>
              <w:rPr>
                <w:rFonts w:eastAsia="Times New Roman"/>
                <w:sz w:val="20"/>
                <w:szCs w:val="20"/>
              </w:rPr>
            </w:pPr>
          </w:p>
        </w:tc>
        <w:tc>
          <w:tcPr>
            <w:tcW w:w="0" w:type="auto"/>
            <w:gridSpan w:val="3"/>
            <w:vAlign w:val="center"/>
            <w:hideMark/>
          </w:tcPr>
          <w:p w14:paraId="45724C99" w14:textId="77777777" w:rsidR="00000000" w:rsidRDefault="00E614A4">
            <w:pPr>
              <w:rPr>
                <w:rFonts w:eastAsia="Times New Roman"/>
                <w:sz w:val="20"/>
                <w:szCs w:val="20"/>
              </w:rPr>
            </w:pPr>
          </w:p>
        </w:tc>
        <w:tc>
          <w:tcPr>
            <w:tcW w:w="0" w:type="auto"/>
            <w:gridSpan w:val="3"/>
            <w:vAlign w:val="center"/>
            <w:hideMark/>
          </w:tcPr>
          <w:p w14:paraId="4CF17242" w14:textId="77777777" w:rsidR="00000000" w:rsidRDefault="00E614A4">
            <w:pPr>
              <w:rPr>
                <w:rFonts w:eastAsia="Times New Roman"/>
                <w:sz w:val="20"/>
                <w:szCs w:val="20"/>
              </w:rPr>
            </w:pPr>
          </w:p>
        </w:tc>
        <w:tc>
          <w:tcPr>
            <w:tcW w:w="0" w:type="auto"/>
            <w:gridSpan w:val="3"/>
            <w:vAlign w:val="center"/>
            <w:hideMark/>
          </w:tcPr>
          <w:p w14:paraId="65B91E4C" w14:textId="77777777" w:rsidR="00000000" w:rsidRDefault="00E614A4">
            <w:pPr>
              <w:rPr>
                <w:rFonts w:eastAsia="Times New Roman"/>
                <w:sz w:val="20"/>
                <w:szCs w:val="20"/>
              </w:rPr>
            </w:pPr>
          </w:p>
        </w:tc>
        <w:tc>
          <w:tcPr>
            <w:tcW w:w="0" w:type="auto"/>
            <w:gridSpan w:val="3"/>
            <w:vAlign w:val="center"/>
            <w:hideMark/>
          </w:tcPr>
          <w:p w14:paraId="09CC3F07" w14:textId="77777777" w:rsidR="00000000" w:rsidRDefault="00E614A4">
            <w:pPr>
              <w:rPr>
                <w:rFonts w:eastAsia="Times New Roman"/>
                <w:sz w:val="20"/>
                <w:szCs w:val="20"/>
              </w:rPr>
            </w:pPr>
          </w:p>
        </w:tc>
      </w:tr>
      <w:tr w:rsidR="00000000" w14:paraId="3E1D8A1F" w14:textId="77777777">
        <w:trPr>
          <w:divId w:val="1117411021"/>
        </w:trPr>
        <w:tc>
          <w:tcPr>
            <w:tcW w:w="0" w:type="auto"/>
            <w:gridSpan w:val="3"/>
            <w:shd w:val="clear" w:color="auto" w:fill="FFFFFF"/>
            <w:tcMar>
              <w:top w:w="30" w:type="dxa"/>
              <w:left w:w="20" w:type="dxa"/>
              <w:bottom w:w="30" w:type="dxa"/>
              <w:right w:w="20" w:type="dxa"/>
            </w:tcMar>
            <w:hideMark/>
          </w:tcPr>
          <w:p w14:paraId="744D80EE" w14:textId="77777777" w:rsidR="00000000" w:rsidRDefault="00E614A4">
            <w:pPr>
              <w:rPr>
                <w:rFonts w:eastAsia="Times New Roman"/>
              </w:rPr>
            </w:pPr>
            <w:r>
              <w:rPr>
                <w:rFonts w:eastAsia="Times New Roman"/>
                <w:color w:val="000000"/>
                <w:sz w:val="18"/>
                <w:szCs w:val="18"/>
              </w:rPr>
              <w:t>Decrease related to tax positions of prior years</w:t>
            </w:r>
          </w:p>
        </w:tc>
        <w:tc>
          <w:tcPr>
            <w:tcW w:w="0" w:type="auto"/>
            <w:gridSpan w:val="3"/>
            <w:shd w:val="clear" w:color="auto" w:fill="FFFFFF"/>
            <w:tcMar>
              <w:top w:w="0" w:type="dxa"/>
              <w:left w:w="20" w:type="dxa"/>
              <w:bottom w:w="0" w:type="dxa"/>
              <w:right w:w="20" w:type="dxa"/>
            </w:tcMar>
            <w:vAlign w:val="center"/>
            <w:hideMark/>
          </w:tcPr>
          <w:p w14:paraId="5C580F8A"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58FC52" w14:textId="77777777" w:rsidR="00000000" w:rsidRDefault="00E614A4">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14:paraId="25D4B1C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5E16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54E1D" w14:textId="77777777" w:rsidR="00000000" w:rsidRDefault="00E614A4">
            <w:pPr>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14:paraId="69E287C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F9D9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D311F" w14:textId="77777777" w:rsidR="00000000" w:rsidRDefault="00E614A4">
            <w:pPr>
              <w:jc w:val="right"/>
              <w:rPr>
                <w:rFonts w:eastAsia="Times New Roman"/>
              </w:rPr>
            </w:pPr>
            <w:r>
              <w:rPr>
                <w:rFonts w:eastAsia="Times New Roman"/>
                <w:color w:val="000000"/>
                <w:sz w:val="18"/>
                <w:szCs w:val="18"/>
              </w:rPr>
              <w:t>(106)</w:t>
            </w:r>
          </w:p>
        </w:tc>
        <w:tc>
          <w:tcPr>
            <w:tcW w:w="0" w:type="auto"/>
            <w:shd w:val="clear" w:color="auto" w:fill="FFFFFF"/>
            <w:tcMar>
              <w:top w:w="30" w:type="dxa"/>
              <w:left w:w="0" w:type="dxa"/>
              <w:bottom w:w="30" w:type="dxa"/>
              <w:right w:w="20" w:type="dxa"/>
            </w:tcMar>
            <w:vAlign w:val="bottom"/>
            <w:hideMark/>
          </w:tcPr>
          <w:p w14:paraId="2EE263DB" w14:textId="77777777" w:rsidR="00000000" w:rsidRDefault="00E614A4">
            <w:pPr>
              <w:jc w:val="right"/>
              <w:rPr>
                <w:rFonts w:eastAsia="Times New Roman"/>
              </w:rPr>
            </w:pPr>
          </w:p>
        </w:tc>
      </w:tr>
      <w:tr w:rsidR="00000000" w14:paraId="5623F3DB" w14:textId="77777777">
        <w:trPr>
          <w:divId w:val="1117411021"/>
        </w:trPr>
        <w:tc>
          <w:tcPr>
            <w:tcW w:w="0" w:type="auto"/>
            <w:gridSpan w:val="3"/>
            <w:vAlign w:val="center"/>
            <w:hideMark/>
          </w:tcPr>
          <w:p w14:paraId="0E489EA2" w14:textId="77777777" w:rsidR="00000000" w:rsidRDefault="00E614A4">
            <w:pPr>
              <w:jc w:val="right"/>
              <w:rPr>
                <w:rFonts w:eastAsia="Times New Roman"/>
                <w:sz w:val="20"/>
                <w:szCs w:val="20"/>
              </w:rPr>
            </w:pPr>
          </w:p>
        </w:tc>
        <w:tc>
          <w:tcPr>
            <w:tcW w:w="0" w:type="auto"/>
            <w:gridSpan w:val="3"/>
            <w:vAlign w:val="center"/>
            <w:hideMark/>
          </w:tcPr>
          <w:p w14:paraId="12FA5863" w14:textId="77777777" w:rsidR="00000000" w:rsidRDefault="00E614A4">
            <w:pPr>
              <w:rPr>
                <w:rFonts w:eastAsia="Times New Roman"/>
                <w:sz w:val="20"/>
                <w:szCs w:val="20"/>
              </w:rPr>
            </w:pPr>
          </w:p>
        </w:tc>
        <w:tc>
          <w:tcPr>
            <w:tcW w:w="0" w:type="auto"/>
            <w:gridSpan w:val="3"/>
            <w:vAlign w:val="center"/>
            <w:hideMark/>
          </w:tcPr>
          <w:p w14:paraId="291D95E6" w14:textId="77777777" w:rsidR="00000000" w:rsidRDefault="00E614A4">
            <w:pPr>
              <w:rPr>
                <w:rFonts w:eastAsia="Times New Roman"/>
                <w:sz w:val="20"/>
                <w:szCs w:val="20"/>
              </w:rPr>
            </w:pPr>
          </w:p>
        </w:tc>
        <w:tc>
          <w:tcPr>
            <w:tcW w:w="0" w:type="auto"/>
            <w:gridSpan w:val="3"/>
            <w:vAlign w:val="center"/>
            <w:hideMark/>
          </w:tcPr>
          <w:p w14:paraId="6F0C5A6A" w14:textId="77777777" w:rsidR="00000000" w:rsidRDefault="00E614A4">
            <w:pPr>
              <w:rPr>
                <w:rFonts w:eastAsia="Times New Roman"/>
                <w:sz w:val="20"/>
                <w:szCs w:val="20"/>
              </w:rPr>
            </w:pPr>
          </w:p>
        </w:tc>
        <w:tc>
          <w:tcPr>
            <w:tcW w:w="0" w:type="auto"/>
            <w:gridSpan w:val="3"/>
            <w:vAlign w:val="center"/>
            <w:hideMark/>
          </w:tcPr>
          <w:p w14:paraId="47F587BF" w14:textId="77777777" w:rsidR="00000000" w:rsidRDefault="00E614A4">
            <w:pPr>
              <w:rPr>
                <w:rFonts w:eastAsia="Times New Roman"/>
                <w:sz w:val="20"/>
                <w:szCs w:val="20"/>
              </w:rPr>
            </w:pPr>
          </w:p>
        </w:tc>
        <w:tc>
          <w:tcPr>
            <w:tcW w:w="0" w:type="auto"/>
            <w:gridSpan w:val="3"/>
            <w:vAlign w:val="center"/>
            <w:hideMark/>
          </w:tcPr>
          <w:p w14:paraId="31659250" w14:textId="77777777" w:rsidR="00000000" w:rsidRDefault="00E614A4">
            <w:pPr>
              <w:rPr>
                <w:rFonts w:eastAsia="Times New Roman"/>
                <w:sz w:val="20"/>
                <w:szCs w:val="20"/>
              </w:rPr>
            </w:pPr>
          </w:p>
        </w:tc>
        <w:tc>
          <w:tcPr>
            <w:tcW w:w="0" w:type="auto"/>
            <w:gridSpan w:val="3"/>
            <w:vAlign w:val="center"/>
            <w:hideMark/>
          </w:tcPr>
          <w:p w14:paraId="20AADE6E" w14:textId="77777777" w:rsidR="00000000" w:rsidRDefault="00E614A4">
            <w:pPr>
              <w:rPr>
                <w:rFonts w:eastAsia="Times New Roman"/>
                <w:sz w:val="20"/>
                <w:szCs w:val="20"/>
              </w:rPr>
            </w:pPr>
          </w:p>
        </w:tc>
      </w:tr>
      <w:tr w:rsidR="00000000" w14:paraId="2D6D735A" w14:textId="77777777">
        <w:trPr>
          <w:divId w:val="1117411021"/>
        </w:trPr>
        <w:tc>
          <w:tcPr>
            <w:tcW w:w="0" w:type="auto"/>
            <w:gridSpan w:val="3"/>
            <w:shd w:val="clear" w:color="auto" w:fill="CCEEFF"/>
            <w:tcMar>
              <w:top w:w="30" w:type="dxa"/>
              <w:left w:w="20" w:type="dxa"/>
              <w:bottom w:w="30" w:type="dxa"/>
              <w:right w:w="20" w:type="dxa"/>
            </w:tcMar>
            <w:hideMark/>
          </w:tcPr>
          <w:p w14:paraId="3C4F06DB" w14:textId="77777777" w:rsidR="00000000" w:rsidRDefault="00E614A4">
            <w:pPr>
              <w:rPr>
                <w:rFonts w:eastAsia="Times New Roman"/>
              </w:rPr>
            </w:pPr>
            <w:r>
              <w:rPr>
                <w:rFonts w:eastAsia="Times New Roman"/>
                <w:color w:val="000000"/>
                <w:sz w:val="18"/>
                <w:szCs w:val="18"/>
              </w:rPr>
              <w:t>Decrease due to lapse in statutes of limitations</w:t>
            </w:r>
          </w:p>
        </w:tc>
        <w:tc>
          <w:tcPr>
            <w:tcW w:w="0" w:type="auto"/>
            <w:gridSpan w:val="3"/>
            <w:shd w:val="clear" w:color="auto" w:fill="CCEEFF"/>
            <w:tcMar>
              <w:top w:w="0" w:type="dxa"/>
              <w:left w:w="20" w:type="dxa"/>
              <w:bottom w:w="0" w:type="dxa"/>
              <w:right w:w="20" w:type="dxa"/>
            </w:tcMar>
            <w:vAlign w:val="center"/>
            <w:hideMark/>
          </w:tcPr>
          <w:p w14:paraId="3EC6C16C"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F7191C" w14:textId="77777777" w:rsidR="00000000" w:rsidRDefault="00E614A4">
            <w:pPr>
              <w:jc w:val="right"/>
              <w:rPr>
                <w:rFonts w:eastAsia="Times New Roman"/>
              </w:rPr>
            </w:pPr>
            <w:r>
              <w:rPr>
                <w:rFonts w:eastAsia="Times New Roman"/>
                <w:color w:val="000000"/>
                <w:sz w:val="18"/>
                <w:szCs w:val="18"/>
              </w:rPr>
              <w:t>(415)</w:t>
            </w:r>
          </w:p>
        </w:tc>
        <w:tc>
          <w:tcPr>
            <w:tcW w:w="0" w:type="auto"/>
            <w:shd w:val="clear" w:color="auto" w:fill="CCEEFF"/>
            <w:tcMar>
              <w:top w:w="30" w:type="dxa"/>
              <w:left w:w="0" w:type="dxa"/>
              <w:bottom w:w="30" w:type="dxa"/>
              <w:right w:w="20" w:type="dxa"/>
            </w:tcMar>
            <w:vAlign w:val="bottom"/>
            <w:hideMark/>
          </w:tcPr>
          <w:p w14:paraId="478B2EF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4E9B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D69EE5" w14:textId="77777777" w:rsidR="00000000" w:rsidRDefault="00E614A4">
            <w:pPr>
              <w:jc w:val="right"/>
              <w:rPr>
                <w:rFonts w:eastAsia="Times New Roman"/>
              </w:rPr>
            </w:pPr>
            <w:r>
              <w:rPr>
                <w:rFonts w:eastAsia="Times New Roman"/>
                <w:color w:val="000000"/>
                <w:sz w:val="18"/>
                <w:szCs w:val="18"/>
              </w:rPr>
              <w:t>(143)</w:t>
            </w:r>
          </w:p>
        </w:tc>
        <w:tc>
          <w:tcPr>
            <w:tcW w:w="0" w:type="auto"/>
            <w:shd w:val="clear" w:color="auto" w:fill="CCEEFF"/>
            <w:tcMar>
              <w:top w:w="30" w:type="dxa"/>
              <w:left w:w="0" w:type="dxa"/>
              <w:bottom w:w="30" w:type="dxa"/>
              <w:right w:w="20" w:type="dxa"/>
            </w:tcMar>
            <w:vAlign w:val="bottom"/>
            <w:hideMark/>
          </w:tcPr>
          <w:p w14:paraId="2C9A7E6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EF1C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BE5562" w14:textId="77777777" w:rsidR="00000000" w:rsidRDefault="00E614A4">
            <w:pPr>
              <w:jc w:val="right"/>
              <w:rPr>
                <w:rFonts w:eastAsia="Times New Roman"/>
              </w:rPr>
            </w:pPr>
            <w:r>
              <w:rPr>
                <w:rFonts w:eastAsia="Times New Roman"/>
                <w:color w:val="000000"/>
                <w:sz w:val="18"/>
                <w:szCs w:val="18"/>
              </w:rPr>
              <w:t>(99)</w:t>
            </w:r>
          </w:p>
        </w:tc>
        <w:tc>
          <w:tcPr>
            <w:tcW w:w="0" w:type="auto"/>
            <w:shd w:val="clear" w:color="auto" w:fill="CCEEFF"/>
            <w:tcMar>
              <w:top w:w="30" w:type="dxa"/>
              <w:left w:w="0" w:type="dxa"/>
              <w:bottom w:w="30" w:type="dxa"/>
              <w:right w:w="20" w:type="dxa"/>
            </w:tcMar>
            <w:vAlign w:val="bottom"/>
            <w:hideMark/>
          </w:tcPr>
          <w:p w14:paraId="2ADE4E45" w14:textId="77777777" w:rsidR="00000000" w:rsidRDefault="00E614A4">
            <w:pPr>
              <w:jc w:val="right"/>
              <w:rPr>
                <w:rFonts w:eastAsia="Times New Roman"/>
              </w:rPr>
            </w:pPr>
          </w:p>
        </w:tc>
      </w:tr>
      <w:tr w:rsidR="00000000" w14:paraId="451FFAB5" w14:textId="77777777">
        <w:trPr>
          <w:divId w:val="1117411021"/>
        </w:trPr>
        <w:tc>
          <w:tcPr>
            <w:tcW w:w="0" w:type="auto"/>
            <w:gridSpan w:val="3"/>
            <w:shd w:val="clear" w:color="auto" w:fill="FFFFFF"/>
            <w:tcMar>
              <w:top w:w="30" w:type="dxa"/>
              <w:left w:w="20" w:type="dxa"/>
              <w:bottom w:w="30" w:type="dxa"/>
              <w:right w:w="20" w:type="dxa"/>
            </w:tcMar>
            <w:hideMark/>
          </w:tcPr>
          <w:p w14:paraId="5AEF05B5" w14:textId="77777777" w:rsidR="00000000" w:rsidRDefault="00E614A4">
            <w:pPr>
              <w:rPr>
                <w:rFonts w:eastAsia="Times New Roman"/>
              </w:rPr>
            </w:pPr>
            <w:r>
              <w:rPr>
                <w:rFonts w:eastAsia="Times New Roman"/>
                <w:b/>
                <w:bCs/>
                <w:color w:val="000000"/>
                <w:sz w:val="18"/>
                <w:szCs w:val="18"/>
              </w:rPr>
              <w:t>Ending balance</w:t>
            </w:r>
          </w:p>
        </w:tc>
        <w:tc>
          <w:tcPr>
            <w:tcW w:w="0" w:type="auto"/>
            <w:gridSpan w:val="3"/>
            <w:shd w:val="clear" w:color="auto" w:fill="FFFFFF"/>
            <w:tcMar>
              <w:top w:w="0" w:type="dxa"/>
              <w:left w:w="20" w:type="dxa"/>
              <w:bottom w:w="0" w:type="dxa"/>
              <w:right w:w="20" w:type="dxa"/>
            </w:tcMar>
            <w:vAlign w:val="center"/>
            <w:hideMark/>
          </w:tcPr>
          <w:p w14:paraId="1EBACB92"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20593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0B36CD" w14:textId="77777777" w:rsidR="00000000" w:rsidRDefault="00E614A4">
            <w:pPr>
              <w:jc w:val="right"/>
              <w:rPr>
                <w:rFonts w:eastAsia="Times New Roman"/>
              </w:rPr>
            </w:pPr>
            <w:r>
              <w:rPr>
                <w:rFonts w:eastAsia="Times New Roman"/>
                <w:color w:val="000000"/>
                <w:sz w:val="18"/>
                <w:szCs w:val="18"/>
              </w:rPr>
              <w:t>2,078 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42035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878C55"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1F5D4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4AB381" w14:textId="77777777" w:rsidR="00000000" w:rsidRDefault="00E614A4">
            <w:pPr>
              <w:jc w:val="right"/>
              <w:rPr>
                <w:rFonts w:eastAsia="Times New Roman"/>
              </w:rPr>
            </w:pPr>
            <w:r>
              <w:rPr>
                <w:rFonts w:eastAsia="Times New Roman"/>
                <w:color w:val="000000"/>
                <w:sz w:val="18"/>
                <w:szCs w:val="18"/>
              </w:rPr>
              <w:t>2,400 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D52A9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09F35"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78636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898A1B" w14:textId="77777777" w:rsidR="00000000" w:rsidRDefault="00E614A4">
            <w:pPr>
              <w:jc w:val="right"/>
              <w:rPr>
                <w:rFonts w:eastAsia="Times New Roman"/>
              </w:rPr>
            </w:pPr>
            <w:r>
              <w:rPr>
                <w:rFonts w:eastAsia="Times New Roman"/>
                <w:color w:val="000000"/>
                <w:sz w:val="18"/>
                <w:szCs w:val="18"/>
              </w:rPr>
              <w:t>2,560 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841B80" w14:textId="77777777" w:rsidR="00000000" w:rsidRDefault="00E614A4">
            <w:pPr>
              <w:jc w:val="right"/>
              <w:rPr>
                <w:rFonts w:eastAsia="Times New Roman"/>
              </w:rPr>
            </w:pPr>
          </w:p>
        </w:tc>
      </w:tr>
    </w:tbl>
    <w:p w14:paraId="76E1B94F" w14:textId="77777777" w:rsidR="00000000" w:rsidRDefault="00E614A4">
      <w:pPr>
        <w:jc w:val="both"/>
        <w:divId w:val="449395808"/>
        <w:rPr>
          <w:rFonts w:eastAsia="Times New Roman"/>
        </w:rPr>
      </w:pPr>
      <w:r>
        <w:rPr>
          <w:rFonts w:eastAsia="Times New Roman"/>
          <w:color w:val="000000"/>
          <w:sz w:val="20"/>
          <w:szCs w:val="20"/>
        </w:rPr>
        <w:t xml:space="preserve">The Company recognizes interest and penalties related to income tax matters in income tax expense. As of December 31, 2020 and 2019, accrued interest and penalties on </w:t>
      </w:r>
      <w:r>
        <w:rPr>
          <w:rFonts w:eastAsia="Times New Roman"/>
          <w:color w:val="000000"/>
          <w:sz w:val="20"/>
          <w:szCs w:val="20"/>
        </w:rPr>
        <w:t>unrecognized tax benefits were $0.1 million and $0.7 million, respectively. The Company or one of its subsidiaries files income tax returns in the U.S. federal jurisdiction, and various state and foreign jurisdictions. For income tax returns filed by the C</w:t>
      </w:r>
      <w:r>
        <w:rPr>
          <w:rFonts w:eastAsia="Times New Roman"/>
          <w:color w:val="000000"/>
          <w:sz w:val="20"/>
          <w:szCs w:val="20"/>
        </w:rPr>
        <w:t>ompany, the Company is generally no longer subject to U.S. federal examinations by tax authorities for years prior to 2017 or state and local tax examinations by tax authorities for years prior to 2016. The Company is no longer subject to examination by ta</w:t>
      </w:r>
      <w:r>
        <w:rPr>
          <w:rFonts w:eastAsia="Times New Roman"/>
          <w:color w:val="000000"/>
          <w:sz w:val="20"/>
          <w:szCs w:val="20"/>
        </w:rPr>
        <w:t>x authorities in the Netherlands for years prior to 2014. However, tax attribute carryforwards may still be adjusted upon examination by tax authorities.</w:t>
      </w:r>
    </w:p>
    <w:p w14:paraId="4C8EF772" w14:textId="77777777" w:rsidR="00000000" w:rsidRDefault="00E614A4">
      <w:pPr>
        <w:ind w:hanging="360"/>
        <w:jc w:val="both"/>
        <w:divId w:val="1510102673"/>
        <w:rPr>
          <w:rFonts w:eastAsia="Times New Roman"/>
        </w:rPr>
      </w:pPr>
      <w:r>
        <w:rPr>
          <w:rFonts w:eastAsia="Times New Roman"/>
          <w:b/>
          <w:bCs/>
          <w:color w:val="000000"/>
          <w:sz w:val="20"/>
          <w:szCs w:val="20"/>
        </w:rPr>
        <w:t>13.Related Party Transactions</w:t>
      </w:r>
    </w:p>
    <w:p w14:paraId="23B7B20C" w14:textId="77777777" w:rsidR="00000000" w:rsidRDefault="00E614A4">
      <w:pPr>
        <w:jc w:val="both"/>
        <w:divId w:val="704327025"/>
        <w:rPr>
          <w:rFonts w:eastAsia="Times New Roman"/>
        </w:rPr>
      </w:pPr>
      <w:r>
        <w:rPr>
          <w:rFonts w:eastAsia="Times New Roman"/>
          <w:i/>
          <w:iCs/>
          <w:color w:val="000000"/>
          <w:sz w:val="20"/>
          <w:szCs w:val="20"/>
        </w:rPr>
        <w:t>Transactions with WPP</w:t>
      </w:r>
    </w:p>
    <w:p w14:paraId="593643D6" w14:textId="77777777" w:rsidR="00000000" w:rsidRDefault="00E614A4">
      <w:pPr>
        <w:jc w:val="both"/>
        <w:divId w:val="1832063557"/>
        <w:rPr>
          <w:rFonts w:eastAsia="Times New Roman"/>
        </w:rPr>
      </w:pPr>
      <w:r>
        <w:rPr>
          <w:rFonts w:eastAsia="Times New Roman"/>
          <w:color w:val="000000"/>
          <w:sz w:val="20"/>
          <w:szCs w:val="20"/>
        </w:rPr>
        <w:t>As of December 31, 2020 (based on public filings),</w:t>
      </w:r>
      <w:r>
        <w:rPr>
          <w:rFonts w:eastAsia="Times New Roman"/>
          <w:color w:val="000000"/>
          <w:sz w:val="20"/>
          <w:szCs w:val="20"/>
        </w:rPr>
        <w:t xml:space="preserve"> WPP owned 11,319,363 shares of the Company's outstanding Common Stock, representing 15.5% ownership in the Company. On July 19, 2018, the Company filed a registration statement on Form S-1 with the SEC for the purpose of registering the shares of Common S</w:t>
      </w:r>
      <w:r>
        <w:rPr>
          <w:rFonts w:eastAsia="Times New Roman"/>
          <w:color w:val="000000"/>
          <w:sz w:val="20"/>
          <w:szCs w:val="20"/>
        </w:rPr>
        <w:t xml:space="preserve">tock owned by WPP in order to fulfill the Company's contractual obligations under a stockholders' rights agreement entered into by the Company and WPP in 2015. 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w:t>
      </w:r>
      <w:r>
        <w:rPr>
          <w:rFonts w:eastAsia="Times New Roman"/>
          <w:i/>
          <w:iCs/>
          <w:color w:val="000000"/>
          <w:sz w:val="20"/>
          <w:szCs w:val="20"/>
        </w:rPr>
        <w:t xml:space="preserve"> Debt</w:t>
      </w:r>
      <w:r>
        <w:rPr>
          <w:rFonts w:eastAsia="Times New Roman"/>
          <w:color w:val="000000"/>
          <w:sz w:val="20"/>
          <w:szCs w:val="20"/>
        </w:rPr>
        <w:t xml:space="preserve"> </w:t>
      </w:r>
      <w:r>
        <w:rPr>
          <w:rFonts w:eastAsia="Times New Roman"/>
          <w:color w:val="000000"/>
          <w:sz w:val="20"/>
          <w:szCs w:val="20"/>
        </w:rPr>
        <w:t>for more information. The Company provides WPP, in the normal course of business, services amongst its different products and receives various services from WPP supporting the Company's data collection efforts.</w:t>
      </w:r>
    </w:p>
    <w:p w14:paraId="11D53B8B" w14:textId="77777777" w:rsidR="00000000" w:rsidRDefault="00E614A4">
      <w:pPr>
        <w:jc w:val="both"/>
        <w:divId w:val="1724718796"/>
        <w:rPr>
          <w:rFonts w:eastAsia="Times New Roman"/>
        </w:rPr>
      </w:pPr>
      <w:r>
        <w:rPr>
          <w:rFonts w:eastAsia="Times New Roman"/>
          <w:color w:val="000000"/>
          <w:sz w:val="20"/>
          <w:szCs w:val="20"/>
        </w:rPr>
        <w:t xml:space="preserve">In 2015, there were a series of business and </w:t>
      </w:r>
      <w:r>
        <w:rPr>
          <w:rFonts w:eastAsia="Times New Roman"/>
          <w:color w:val="000000"/>
          <w:sz w:val="20"/>
          <w:szCs w:val="20"/>
        </w:rPr>
        <w:t>asset acquisitions and sales and issuances of Common Stock between the Company and WPP (giving rise to the stockholders' rights agreement described above) as well as a Subscription Receivable agreement that the Company entered into with GroupM, a WPP subsi</w:t>
      </w:r>
      <w:r>
        <w:rPr>
          <w:rFonts w:eastAsia="Times New Roman"/>
          <w:color w:val="000000"/>
          <w:sz w:val="20"/>
          <w:szCs w:val="20"/>
        </w:rPr>
        <w:t>diary.</w:t>
      </w:r>
    </w:p>
    <w:p w14:paraId="3C59EBF5" w14:textId="77777777" w:rsidR="00000000" w:rsidRDefault="00E614A4">
      <w:pPr>
        <w:jc w:val="both"/>
        <w:divId w:val="2058696698"/>
        <w:rPr>
          <w:rFonts w:eastAsia="Times New Roman"/>
        </w:rPr>
      </w:pPr>
      <w:r>
        <w:rPr>
          <w:rFonts w:eastAsia="Times New Roman"/>
          <w:color w:val="000000"/>
          <w:sz w:val="20"/>
          <w:szCs w:val="20"/>
        </w:rPr>
        <w:t>In 2016, as part of the Company's merger with Rentrak Corporation, the Company acquired contracts with WPP wholly-owned subsidiaries which were also included as a Subscription Receivable.</w:t>
      </w:r>
    </w:p>
    <w:p w14:paraId="60BDF323" w14:textId="77777777" w:rsidR="00000000" w:rsidRDefault="00E614A4">
      <w:pPr>
        <w:jc w:val="both"/>
        <w:divId w:val="152374704"/>
        <w:rPr>
          <w:rFonts w:eastAsia="Times New Roman"/>
        </w:rPr>
      </w:pPr>
      <w:r>
        <w:rPr>
          <w:rFonts w:eastAsia="Times New Roman"/>
          <w:color w:val="000000"/>
          <w:sz w:val="20"/>
          <w:szCs w:val="20"/>
        </w:rPr>
        <w:t>The Subscription Receivable was recorded as contra equity wit</w:t>
      </w:r>
      <w:r>
        <w:rPr>
          <w:rFonts w:eastAsia="Times New Roman"/>
          <w:color w:val="000000"/>
          <w:sz w:val="20"/>
          <w:szCs w:val="20"/>
        </w:rPr>
        <w:t xml:space="preserve">hin additional paid-in capital on the Consolidated Statements of Stockholders' Equity. As cash was received on the Subscription Receivable, additional paid-in capital was increased by the amount of cash received and the Company recognized imputed interest </w:t>
      </w:r>
      <w:r>
        <w:rPr>
          <w:rFonts w:eastAsia="Times New Roman"/>
          <w:color w:val="000000"/>
          <w:sz w:val="20"/>
          <w:szCs w:val="20"/>
        </w:rPr>
        <w:t>income. Upon fully utilizing the Subscription Receivable in September 2018, the Company began recognizing revenue as products and services were delivered under the respective agreements. Total revenue recognized under these agreements was $6.6 million, $8.</w:t>
      </w:r>
      <w:r>
        <w:rPr>
          <w:rFonts w:eastAsia="Times New Roman"/>
          <w:color w:val="000000"/>
          <w:sz w:val="20"/>
          <w:szCs w:val="20"/>
        </w:rPr>
        <w:t xml:space="preserve">3 million and $2.8 million for the years ended December 31, 2020, 2019 and 2018, respectively. </w:t>
      </w:r>
    </w:p>
    <w:p w14:paraId="72257D73" w14:textId="77777777" w:rsidR="00000000" w:rsidRDefault="00E614A4">
      <w:pPr>
        <w:jc w:val="both"/>
        <w:divId w:val="529879905"/>
        <w:rPr>
          <w:rFonts w:eastAsia="Times New Roman"/>
        </w:rPr>
      </w:pPr>
      <w:r>
        <w:rPr>
          <w:rFonts w:eastAsia="Times New Roman"/>
          <w:color w:val="000000"/>
          <w:sz w:val="20"/>
          <w:szCs w:val="20"/>
        </w:rPr>
        <w:t>The Company has a cancelable five-year agreement with Lightspeed, a WPP subsidiary, to collect browsing and demographic data for individual participating househ</w:t>
      </w:r>
      <w:r>
        <w:rPr>
          <w:rFonts w:eastAsia="Times New Roman"/>
          <w:color w:val="000000"/>
          <w:sz w:val="20"/>
          <w:szCs w:val="20"/>
        </w:rPr>
        <w:t>olds. The agreement provides that the Company makes payments to Lightspeed of approximately $5.4 million per year through December 2025. The agreement is designed to be a comprehensive data collection effort across multiple in-home devices (e.g., televisio</w:t>
      </w:r>
      <w:r>
        <w:rPr>
          <w:rFonts w:eastAsia="Times New Roman"/>
          <w:color w:val="000000"/>
          <w:sz w:val="20"/>
          <w:szCs w:val="20"/>
        </w:rPr>
        <w:t>n, streaming devices, computers, mobile phones, tablets, gaming devices and wearables) for which data is collected and sent to the Company for use in its products. Lightspeed is paid to manage the operational aspects of panel recruitment, compliance, inven</w:t>
      </w:r>
      <w:r>
        <w:rPr>
          <w:rFonts w:eastAsia="Times New Roman"/>
          <w:color w:val="000000"/>
          <w:sz w:val="20"/>
          <w:szCs w:val="20"/>
        </w:rPr>
        <w:t>tory management, support and collection of panel demographic data.</w:t>
      </w:r>
    </w:p>
    <w:p w14:paraId="234A88A9" w14:textId="77777777" w:rsidR="00000000" w:rsidRDefault="00E614A4">
      <w:pPr>
        <w:jc w:val="both"/>
        <w:divId w:val="1564752128"/>
        <w:rPr>
          <w:rFonts w:eastAsia="Times New Roman"/>
        </w:rPr>
      </w:pPr>
      <w:r>
        <w:rPr>
          <w:rFonts w:eastAsia="Times New Roman"/>
          <w:color w:val="000000"/>
          <w:sz w:val="20"/>
          <w:szCs w:val="20"/>
        </w:rPr>
        <w:t>The Company's results from transactions with WPP and its affiliates, as reflected in the Consolidated Statements of Operations and Comprehensive Loss, are detailed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685"/>
        <w:gridCol w:w="37"/>
        <w:gridCol w:w="110"/>
        <w:gridCol w:w="964"/>
        <w:gridCol w:w="36"/>
        <w:gridCol w:w="36"/>
        <w:gridCol w:w="36"/>
        <w:gridCol w:w="36"/>
        <w:gridCol w:w="110"/>
        <w:gridCol w:w="964"/>
        <w:gridCol w:w="36"/>
        <w:gridCol w:w="36"/>
        <w:gridCol w:w="36"/>
        <w:gridCol w:w="36"/>
        <w:gridCol w:w="110"/>
        <w:gridCol w:w="964"/>
        <w:gridCol w:w="36"/>
      </w:tblGrid>
      <w:tr w:rsidR="00000000" w14:paraId="5851F3CF" w14:textId="77777777">
        <w:trPr>
          <w:divId w:val="1514370379"/>
          <w:jc w:val="center"/>
        </w:trPr>
        <w:tc>
          <w:tcPr>
            <w:tcW w:w="50" w:type="pct"/>
            <w:vAlign w:val="center"/>
            <w:hideMark/>
          </w:tcPr>
          <w:p w14:paraId="7D6973D0" w14:textId="77777777" w:rsidR="00000000" w:rsidRDefault="00E614A4">
            <w:pPr>
              <w:jc w:val="both"/>
              <w:rPr>
                <w:rFonts w:eastAsia="Times New Roman"/>
              </w:rPr>
            </w:pPr>
          </w:p>
        </w:tc>
        <w:tc>
          <w:tcPr>
            <w:tcW w:w="2868" w:type="pct"/>
            <w:vAlign w:val="center"/>
            <w:hideMark/>
          </w:tcPr>
          <w:p w14:paraId="518CEA26" w14:textId="77777777" w:rsidR="00000000" w:rsidRDefault="00E614A4">
            <w:pPr>
              <w:rPr>
                <w:rFonts w:eastAsia="Times New Roman"/>
                <w:sz w:val="20"/>
                <w:szCs w:val="20"/>
              </w:rPr>
            </w:pPr>
          </w:p>
        </w:tc>
        <w:tc>
          <w:tcPr>
            <w:tcW w:w="5" w:type="pct"/>
            <w:vAlign w:val="center"/>
            <w:hideMark/>
          </w:tcPr>
          <w:p w14:paraId="25FF89C0" w14:textId="77777777" w:rsidR="00000000" w:rsidRDefault="00E614A4">
            <w:pPr>
              <w:rPr>
                <w:rFonts w:eastAsia="Times New Roman"/>
                <w:sz w:val="20"/>
                <w:szCs w:val="20"/>
              </w:rPr>
            </w:pPr>
          </w:p>
        </w:tc>
        <w:tc>
          <w:tcPr>
            <w:tcW w:w="50" w:type="pct"/>
            <w:vAlign w:val="center"/>
            <w:hideMark/>
          </w:tcPr>
          <w:p w14:paraId="57544B56" w14:textId="77777777" w:rsidR="00000000" w:rsidRDefault="00E614A4">
            <w:pPr>
              <w:rPr>
                <w:rFonts w:eastAsia="Times New Roman"/>
                <w:sz w:val="20"/>
                <w:szCs w:val="20"/>
              </w:rPr>
            </w:pPr>
          </w:p>
        </w:tc>
        <w:tc>
          <w:tcPr>
            <w:tcW w:w="618" w:type="pct"/>
            <w:vAlign w:val="center"/>
            <w:hideMark/>
          </w:tcPr>
          <w:p w14:paraId="57DB121C" w14:textId="77777777" w:rsidR="00000000" w:rsidRDefault="00E614A4">
            <w:pPr>
              <w:rPr>
                <w:rFonts w:eastAsia="Times New Roman"/>
                <w:sz w:val="20"/>
                <w:szCs w:val="20"/>
              </w:rPr>
            </w:pPr>
          </w:p>
        </w:tc>
        <w:tc>
          <w:tcPr>
            <w:tcW w:w="5" w:type="pct"/>
            <w:vAlign w:val="center"/>
            <w:hideMark/>
          </w:tcPr>
          <w:p w14:paraId="0A529D48" w14:textId="77777777" w:rsidR="00000000" w:rsidRDefault="00E614A4">
            <w:pPr>
              <w:rPr>
                <w:rFonts w:eastAsia="Times New Roman"/>
                <w:sz w:val="20"/>
                <w:szCs w:val="20"/>
              </w:rPr>
            </w:pPr>
          </w:p>
        </w:tc>
        <w:tc>
          <w:tcPr>
            <w:tcW w:w="5" w:type="pct"/>
            <w:vAlign w:val="center"/>
            <w:hideMark/>
          </w:tcPr>
          <w:p w14:paraId="1E689638" w14:textId="77777777" w:rsidR="00000000" w:rsidRDefault="00E614A4">
            <w:pPr>
              <w:rPr>
                <w:rFonts w:eastAsia="Times New Roman"/>
                <w:sz w:val="20"/>
                <w:szCs w:val="20"/>
              </w:rPr>
            </w:pPr>
          </w:p>
        </w:tc>
        <w:tc>
          <w:tcPr>
            <w:tcW w:w="17" w:type="pct"/>
            <w:vAlign w:val="center"/>
            <w:hideMark/>
          </w:tcPr>
          <w:p w14:paraId="2D57ABA0" w14:textId="77777777" w:rsidR="00000000" w:rsidRDefault="00E614A4">
            <w:pPr>
              <w:rPr>
                <w:rFonts w:eastAsia="Times New Roman"/>
                <w:sz w:val="20"/>
                <w:szCs w:val="20"/>
              </w:rPr>
            </w:pPr>
          </w:p>
        </w:tc>
        <w:tc>
          <w:tcPr>
            <w:tcW w:w="5" w:type="pct"/>
            <w:vAlign w:val="center"/>
            <w:hideMark/>
          </w:tcPr>
          <w:p w14:paraId="175FE554" w14:textId="77777777" w:rsidR="00000000" w:rsidRDefault="00E614A4">
            <w:pPr>
              <w:rPr>
                <w:rFonts w:eastAsia="Times New Roman"/>
                <w:sz w:val="20"/>
                <w:szCs w:val="20"/>
              </w:rPr>
            </w:pPr>
          </w:p>
        </w:tc>
        <w:tc>
          <w:tcPr>
            <w:tcW w:w="50" w:type="pct"/>
            <w:vAlign w:val="center"/>
            <w:hideMark/>
          </w:tcPr>
          <w:p w14:paraId="54ED96F0" w14:textId="77777777" w:rsidR="00000000" w:rsidRDefault="00E614A4">
            <w:pPr>
              <w:rPr>
                <w:rFonts w:eastAsia="Times New Roman"/>
                <w:sz w:val="20"/>
                <w:szCs w:val="20"/>
              </w:rPr>
            </w:pPr>
          </w:p>
        </w:tc>
        <w:tc>
          <w:tcPr>
            <w:tcW w:w="618" w:type="pct"/>
            <w:vAlign w:val="center"/>
            <w:hideMark/>
          </w:tcPr>
          <w:p w14:paraId="39C463B5" w14:textId="77777777" w:rsidR="00000000" w:rsidRDefault="00E614A4">
            <w:pPr>
              <w:rPr>
                <w:rFonts w:eastAsia="Times New Roman"/>
                <w:sz w:val="20"/>
                <w:szCs w:val="20"/>
              </w:rPr>
            </w:pPr>
          </w:p>
        </w:tc>
        <w:tc>
          <w:tcPr>
            <w:tcW w:w="5" w:type="pct"/>
            <w:vAlign w:val="center"/>
            <w:hideMark/>
          </w:tcPr>
          <w:p w14:paraId="3E31ED85" w14:textId="77777777" w:rsidR="00000000" w:rsidRDefault="00E614A4">
            <w:pPr>
              <w:rPr>
                <w:rFonts w:eastAsia="Times New Roman"/>
                <w:sz w:val="20"/>
                <w:szCs w:val="20"/>
              </w:rPr>
            </w:pPr>
          </w:p>
        </w:tc>
        <w:tc>
          <w:tcPr>
            <w:tcW w:w="5" w:type="pct"/>
            <w:vAlign w:val="center"/>
            <w:hideMark/>
          </w:tcPr>
          <w:p w14:paraId="1C71EE32" w14:textId="77777777" w:rsidR="00000000" w:rsidRDefault="00E614A4">
            <w:pPr>
              <w:rPr>
                <w:rFonts w:eastAsia="Times New Roman"/>
                <w:sz w:val="20"/>
                <w:szCs w:val="20"/>
              </w:rPr>
            </w:pPr>
          </w:p>
        </w:tc>
        <w:tc>
          <w:tcPr>
            <w:tcW w:w="17" w:type="pct"/>
            <w:vAlign w:val="center"/>
            <w:hideMark/>
          </w:tcPr>
          <w:p w14:paraId="59CBB6B3" w14:textId="77777777" w:rsidR="00000000" w:rsidRDefault="00E614A4">
            <w:pPr>
              <w:rPr>
                <w:rFonts w:eastAsia="Times New Roman"/>
                <w:sz w:val="20"/>
                <w:szCs w:val="20"/>
              </w:rPr>
            </w:pPr>
          </w:p>
        </w:tc>
        <w:tc>
          <w:tcPr>
            <w:tcW w:w="5" w:type="pct"/>
            <w:vAlign w:val="center"/>
            <w:hideMark/>
          </w:tcPr>
          <w:p w14:paraId="772CD641" w14:textId="77777777" w:rsidR="00000000" w:rsidRDefault="00E614A4">
            <w:pPr>
              <w:rPr>
                <w:rFonts w:eastAsia="Times New Roman"/>
                <w:sz w:val="20"/>
                <w:szCs w:val="20"/>
              </w:rPr>
            </w:pPr>
          </w:p>
        </w:tc>
        <w:tc>
          <w:tcPr>
            <w:tcW w:w="50" w:type="pct"/>
            <w:vAlign w:val="center"/>
            <w:hideMark/>
          </w:tcPr>
          <w:p w14:paraId="0E2464AB" w14:textId="77777777" w:rsidR="00000000" w:rsidRDefault="00E614A4">
            <w:pPr>
              <w:rPr>
                <w:rFonts w:eastAsia="Times New Roman"/>
                <w:sz w:val="20"/>
                <w:szCs w:val="20"/>
              </w:rPr>
            </w:pPr>
          </w:p>
        </w:tc>
        <w:tc>
          <w:tcPr>
            <w:tcW w:w="618" w:type="pct"/>
            <w:vAlign w:val="center"/>
            <w:hideMark/>
          </w:tcPr>
          <w:p w14:paraId="25369AB6" w14:textId="77777777" w:rsidR="00000000" w:rsidRDefault="00E614A4">
            <w:pPr>
              <w:rPr>
                <w:rFonts w:eastAsia="Times New Roman"/>
                <w:sz w:val="20"/>
                <w:szCs w:val="20"/>
              </w:rPr>
            </w:pPr>
          </w:p>
        </w:tc>
        <w:tc>
          <w:tcPr>
            <w:tcW w:w="5" w:type="pct"/>
            <w:vAlign w:val="center"/>
            <w:hideMark/>
          </w:tcPr>
          <w:p w14:paraId="3ADA0080" w14:textId="77777777" w:rsidR="00000000" w:rsidRDefault="00E614A4">
            <w:pPr>
              <w:rPr>
                <w:rFonts w:eastAsia="Times New Roman"/>
                <w:sz w:val="20"/>
                <w:szCs w:val="20"/>
              </w:rPr>
            </w:pPr>
          </w:p>
        </w:tc>
      </w:tr>
      <w:tr w:rsidR="00000000" w14:paraId="125285BF" w14:textId="77777777">
        <w:trPr>
          <w:divId w:val="1514370379"/>
          <w:jc w:val="center"/>
        </w:trPr>
        <w:tc>
          <w:tcPr>
            <w:tcW w:w="0" w:type="auto"/>
            <w:gridSpan w:val="3"/>
            <w:tcMar>
              <w:top w:w="0" w:type="dxa"/>
              <w:left w:w="20" w:type="dxa"/>
              <w:bottom w:w="0" w:type="dxa"/>
              <w:right w:w="20" w:type="dxa"/>
            </w:tcMar>
            <w:vAlign w:val="center"/>
            <w:hideMark/>
          </w:tcPr>
          <w:p w14:paraId="5B0326B6" w14:textId="77777777" w:rsidR="00000000" w:rsidRDefault="00E614A4">
            <w:pPr>
              <w:rPr>
                <w:rFonts w:eastAsia="Times New Roman"/>
                <w:sz w:val="20"/>
                <w:szCs w:val="20"/>
              </w:rPr>
            </w:pPr>
          </w:p>
        </w:tc>
        <w:tc>
          <w:tcPr>
            <w:tcW w:w="0" w:type="auto"/>
            <w:gridSpan w:val="15"/>
            <w:tcMar>
              <w:top w:w="30" w:type="dxa"/>
              <w:left w:w="20" w:type="dxa"/>
              <w:bottom w:w="30" w:type="dxa"/>
              <w:right w:w="20" w:type="dxa"/>
            </w:tcMar>
            <w:vAlign w:val="bottom"/>
            <w:hideMark/>
          </w:tcPr>
          <w:p w14:paraId="22F0FE25" w14:textId="77777777" w:rsidR="00000000" w:rsidRDefault="00E614A4">
            <w:pPr>
              <w:jc w:val="center"/>
              <w:rPr>
                <w:rFonts w:eastAsia="Times New Roman"/>
              </w:rPr>
            </w:pPr>
            <w:r>
              <w:rPr>
                <w:rFonts w:eastAsia="Times New Roman"/>
                <w:b/>
                <w:bCs/>
                <w:color w:val="000000"/>
                <w:sz w:val="16"/>
                <w:szCs w:val="16"/>
              </w:rPr>
              <w:t>Years Ended December 31,</w:t>
            </w:r>
          </w:p>
        </w:tc>
      </w:tr>
      <w:tr w:rsidR="00000000" w14:paraId="186A3617" w14:textId="77777777">
        <w:trPr>
          <w:divId w:val="1514370379"/>
          <w:jc w:val="center"/>
        </w:trPr>
        <w:tc>
          <w:tcPr>
            <w:tcW w:w="0" w:type="auto"/>
            <w:gridSpan w:val="3"/>
            <w:tcMar>
              <w:top w:w="30" w:type="dxa"/>
              <w:left w:w="20" w:type="dxa"/>
              <w:bottom w:w="30" w:type="dxa"/>
              <w:right w:w="20" w:type="dxa"/>
            </w:tcMar>
            <w:vAlign w:val="bottom"/>
            <w:hideMark/>
          </w:tcPr>
          <w:p w14:paraId="02E19BA0"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41BF52F"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F99DE6C"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F6B79E" w14:textId="77777777" w:rsidR="00000000" w:rsidRDefault="00E614A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0FEEEED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4D3153" w14:textId="77777777" w:rsidR="00000000" w:rsidRDefault="00E614A4">
            <w:pPr>
              <w:jc w:val="center"/>
              <w:rPr>
                <w:rFonts w:eastAsia="Times New Roman"/>
              </w:rPr>
            </w:pPr>
            <w:r>
              <w:rPr>
                <w:rFonts w:eastAsia="Times New Roman"/>
                <w:b/>
                <w:bCs/>
                <w:color w:val="000000"/>
                <w:sz w:val="16"/>
                <w:szCs w:val="16"/>
              </w:rPr>
              <w:t>2018</w:t>
            </w:r>
          </w:p>
        </w:tc>
      </w:tr>
      <w:tr w:rsidR="00000000" w14:paraId="3B3833AB" w14:textId="77777777">
        <w:trPr>
          <w:divId w:val="1514370379"/>
          <w:jc w:val="center"/>
        </w:trPr>
        <w:tc>
          <w:tcPr>
            <w:tcW w:w="0" w:type="auto"/>
            <w:gridSpan w:val="3"/>
            <w:shd w:val="clear" w:color="auto" w:fill="CCEEFF"/>
            <w:tcMar>
              <w:top w:w="30" w:type="dxa"/>
              <w:left w:w="20" w:type="dxa"/>
              <w:bottom w:w="30" w:type="dxa"/>
              <w:right w:w="20" w:type="dxa"/>
            </w:tcMar>
            <w:vAlign w:val="bottom"/>
            <w:hideMark/>
          </w:tcPr>
          <w:p w14:paraId="3DA9CA47" w14:textId="77777777" w:rsidR="00000000" w:rsidRDefault="00E614A4">
            <w:pPr>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C1C8E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4622B5" w14:textId="77777777" w:rsidR="00000000" w:rsidRDefault="00E614A4">
            <w:pPr>
              <w:jc w:val="right"/>
              <w:rPr>
                <w:rFonts w:eastAsia="Times New Roman"/>
              </w:rPr>
            </w:pPr>
            <w:r>
              <w:rPr>
                <w:rFonts w:eastAsia="Times New Roman"/>
                <w:color w:val="000000"/>
                <w:sz w:val="18"/>
                <w:szCs w:val="18"/>
              </w:rPr>
              <w:t>13,315 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AE683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03C53"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77272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25C554" w14:textId="77777777" w:rsidR="00000000" w:rsidRDefault="00E614A4">
            <w:pPr>
              <w:jc w:val="right"/>
              <w:rPr>
                <w:rFonts w:eastAsia="Times New Roman"/>
              </w:rPr>
            </w:pPr>
            <w:r>
              <w:rPr>
                <w:rFonts w:eastAsia="Times New Roman"/>
                <w:color w:val="000000"/>
                <w:sz w:val="18"/>
                <w:szCs w:val="18"/>
              </w:rPr>
              <w:t>15,858 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10104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CD826"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0CDC4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6C8683" w14:textId="77777777" w:rsidR="00000000" w:rsidRDefault="00E614A4">
            <w:pPr>
              <w:jc w:val="right"/>
              <w:rPr>
                <w:rFonts w:eastAsia="Times New Roman"/>
              </w:rPr>
            </w:pPr>
            <w:r>
              <w:rPr>
                <w:rFonts w:eastAsia="Times New Roman"/>
                <w:color w:val="000000"/>
                <w:sz w:val="18"/>
                <w:szCs w:val="18"/>
              </w:rPr>
              <w:t>11,610 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7128D5" w14:textId="77777777" w:rsidR="00000000" w:rsidRDefault="00E614A4">
            <w:pPr>
              <w:jc w:val="right"/>
              <w:rPr>
                <w:rFonts w:eastAsia="Times New Roman"/>
              </w:rPr>
            </w:pPr>
          </w:p>
        </w:tc>
      </w:tr>
      <w:tr w:rsidR="00000000" w14:paraId="3027F99A" w14:textId="77777777">
        <w:trPr>
          <w:divId w:val="1514370379"/>
          <w:jc w:val="center"/>
        </w:trPr>
        <w:tc>
          <w:tcPr>
            <w:tcW w:w="0" w:type="auto"/>
            <w:gridSpan w:val="3"/>
            <w:shd w:val="clear" w:color="auto" w:fill="FFFFFF"/>
            <w:tcMar>
              <w:top w:w="30" w:type="dxa"/>
              <w:left w:w="20" w:type="dxa"/>
              <w:bottom w:w="30" w:type="dxa"/>
              <w:right w:w="20" w:type="dxa"/>
            </w:tcMar>
            <w:vAlign w:val="bottom"/>
            <w:hideMark/>
          </w:tcPr>
          <w:p w14:paraId="7622FB1D" w14:textId="77777777" w:rsidR="00000000" w:rsidRDefault="00E614A4">
            <w:pPr>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37087921" w14:textId="77777777" w:rsidR="00000000" w:rsidRDefault="00E614A4">
            <w:pPr>
              <w:jc w:val="right"/>
              <w:rPr>
                <w:rFonts w:eastAsia="Times New Roman"/>
              </w:rPr>
            </w:pPr>
            <w:r>
              <w:rPr>
                <w:rFonts w:eastAsia="Times New Roman"/>
                <w:color w:val="000000"/>
                <w:sz w:val="18"/>
                <w:szCs w:val="18"/>
              </w:rPr>
              <w:t>10,094 </w:t>
            </w:r>
          </w:p>
        </w:tc>
        <w:tc>
          <w:tcPr>
            <w:tcW w:w="0" w:type="auto"/>
            <w:shd w:val="clear" w:color="auto" w:fill="FFFFFF"/>
            <w:tcMar>
              <w:top w:w="30" w:type="dxa"/>
              <w:left w:w="0" w:type="dxa"/>
              <w:bottom w:w="30" w:type="dxa"/>
              <w:right w:w="20" w:type="dxa"/>
            </w:tcMar>
            <w:vAlign w:val="bottom"/>
            <w:hideMark/>
          </w:tcPr>
          <w:p w14:paraId="5B1BA88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E009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0972C0" w14:textId="77777777" w:rsidR="00000000" w:rsidRDefault="00E614A4">
            <w:pPr>
              <w:jc w:val="right"/>
              <w:rPr>
                <w:rFonts w:eastAsia="Times New Roman"/>
              </w:rPr>
            </w:pPr>
            <w:r>
              <w:rPr>
                <w:rFonts w:eastAsia="Times New Roman"/>
                <w:color w:val="000000"/>
                <w:sz w:val="18"/>
                <w:szCs w:val="18"/>
              </w:rPr>
              <w:t>10,455 </w:t>
            </w:r>
          </w:p>
        </w:tc>
        <w:tc>
          <w:tcPr>
            <w:tcW w:w="0" w:type="auto"/>
            <w:shd w:val="clear" w:color="auto" w:fill="FFFFFF"/>
            <w:tcMar>
              <w:top w:w="30" w:type="dxa"/>
              <w:left w:w="0" w:type="dxa"/>
              <w:bottom w:w="30" w:type="dxa"/>
              <w:right w:w="20" w:type="dxa"/>
            </w:tcMar>
            <w:vAlign w:val="bottom"/>
            <w:hideMark/>
          </w:tcPr>
          <w:p w14:paraId="7E841E0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1743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547BA8" w14:textId="77777777" w:rsidR="00000000" w:rsidRDefault="00E614A4">
            <w:pPr>
              <w:jc w:val="right"/>
              <w:rPr>
                <w:rFonts w:eastAsia="Times New Roman"/>
              </w:rPr>
            </w:pPr>
            <w:r>
              <w:rPr>
                <w:rFonts w:eastAsia="Times New Roman"/>
                <w:color w:val="000000"/>
                <w:sz w:val="18"/>
                <w:szCs w:val="18"/>
              </w:rPr>
              <w:t>11,077 </w:t>
            </w:r>
          </w:p>
        </w:tc>
        <w:tc>
          <w:tcPr>
            <w:tcW w:w="0" w:type="auto"/>
            <w:shd w:val="clear" w:color="auto" w:fill="FFFFFF"/>
            <w:tcMar>
              <w:top w:w="30" w:type="dxa"/>
              <w:left w:w="0" w:type="dxa"/>
              <w:bottom w:w="30" w:type="dxa"/>
              <w:right w:w="20" w:type="dxa"/>
            </w:tcMar>
            <w:vAlign w:val="bottom"/>
            <w:hideMark/>
          </w:tcPr>
          <w:p w14:paraId="7618CAC6" w14:textId="77777777" w:rsidR="00000000" w:rsidRDefault="00E614A4">
            <w:pPr>
              <w:jc w:val="right"/>
              <w:rPr>
                <w:rFonts w:eastAsia="Times New Roman"/>
              </w:rPr>
            </w:pPr>
          </w:p>
        </w:tc>
      </w:tr>
      <w:tr w:rsidR="00000000" w14:paraId="50E65F4A" w14:textId="77777777">
        <w:trPr>
          <w:divId w:val="1514370379"/>
          <w:jc w:val="center"/>
        </w:trPr>
        <w:tc>
          <w:tcPr>
            <w:tcW w:w="0" w:type="auto"/>
            <w:gridSpan w:val="3"/>
            <w:vAlign w:val="center"/>
            <w:hideMark/>
          </w:tcPr>
          <w:p w14:paraId="089F638A" w14:textId="77777777" w:rsidR="00000000" w:rsidRDefault="00E614A4">
            <w:pPr>
              <w:jc w:val="right"/>
              <w:rPr>
                <w:rFonts w:eastAsia="Times New Roman"/>
                <w:sz w:val="20"/>
                <w:szCs w:val="20"/>
              </w:rPr>
            </w:pPr>
          </w:p>
        </w:tc>
        <w:tc>
          <w:tcPr>
            <w:tcW w:w="0" w:type="auto"/>
            <w:gridSpan w:val="3"/>
            <w:vAlign w:val="center"/>
            <w:hideMark/>
          </w:tcPr>
          <w:p w14:paraId="65BA4965" w14:textId="77777777" w:rsidR="00000000" w:rsidRDefault="00E614A4">
            <w:pPr>
              <w:rPr>
                <w:rFonts w:eastAsia="Times New Roman"/>
                <w:sz w:val="20"/>
                <w:szCs w:val="20"/>
              </w:rPr>
            </w:pPr>
          </w:p>
        </w:tc>
        <w:tc>
          <w:tcPr>
            <w:tcW w:w="0" w:type="auto"/>
            <w:gridSpan w:val="3"/>
            <w:vAlign w:val="center"/>
            <w:hideMark/>
          </w:tcPr>
          <w:p w14:paraId="369EA499" w14:textId="77777777" w:rsidR="00000000" w:rsidRDefault="00E614A4">
            <w:pPr>
              <w:rPr>
                <w:rFonts w:eastAsia="Times New Roman"/>
                <w:sz w:val="20"/>
                <w:szCs w:val="20"/>
              </w:rPr>
            </w:pPr>
          </w:p>
        </w:tc>
        <w:tc>
          <w:tcPr>
            <w:tcW w:w="0" w:type="auto"/>
            <w:gridSpan w:val="3"/>
            <w:vAlign w:val="center"/>
            <w:hideMark/>
          </w:tcPr>
          <w:p w14:paraId="7F1D538D" w14:textId="77777777" w:rsidR="00000000" w:rsidRDefault="00E614A4">
            <w:pPr>
              <w:rPr>
                <w:rFonts w:eastAsia="Times New Roman"/>
                <w:sz w:val="20"/>
                <w:szCs w:val="20"/>
              </w:rPr>
            </w:pPr>
          </w:p>
        </w:tc>
        <w:tc>
          <w:tcPr>
            <w:tcW w:w="0" w:type="auto"/>
            <w:gridSpan w:val="3"/>
            <w:vAlign w:val="center"/>
            <w:hideMark/>
          </w:tcPr>
          <w:p w14:paraId="231B3D7D" w14:textId="77777777" w:rsidR="00000000" w:rsidRDefault="00E614A4">
            <w:pPr>
              <w:rPr>
                <w:rFonts w:eastAsia="Times New Roman"/>
                <w:sz w:val="20"/>
                <w:szCs w:val="20"/>
              </w:rPr>
            </w:pPr>
          </w:p>
        </w:tc>
        <w:tc>
          <w:tcPr>
            <w:tcW w:w="0" w:type="auto"/>
            <w:gridSpan w:val="3"/>
            <w:vAlign w:val="center"/>
            <w:hideMark/>
          </w:tcPr>
          <w:p w14:paraId="6712A239" w14:textId="77777777" w:rsidR="00000000" w:rsidRDefault="00E614A4">
            <w:pPr>
              <w:rPr>
                <w:rFonts w:eastAsia="Times New Roman"/>
                <w:sz w:val="20"/>
                <w:szCs w:val="20"/>
              </w:rPr>
            </w:pPr>
          </w:p>
        </w:tc>
      </w:tr>
      <w:tr w:rsidR="00000000" w14:paraId="612F0290" w14:textId="77777777">
        <w:trPr>
          <w:divId w:val="1514370379"/>
          <w:jc w:val="center"/>
        </w:trPr>
        <w:tc>
          <w:tcPr>
            <w:tcW w:w="0" w:type="auto"/>
            <w:gridSpan w:val="3"/>
            <w:vAlign w:val="center"/>
            <w:hideMark/>
          </w:tcPr>
          <w:p w14:paraId="30E27A04" w14:textId="77777777" w:rsidR="00000000" w:rsidRDefault="00E614A4">
            <w:pPr>
              <w:rPr>
                <w:rFonts w:eastAsia="Times New Roman"/>
                <w:sz w:val="20"/>
                <w:szCs w:val="20"/>
              </w:rPr>
            </w:pPr>
          </w:p>
        </w:tc>
        <w:tc>
          <w:tcPr>
            <w:tcW w:w="0" w:type="auto"/>
            <w:gridSpan w:val="3"/>
            <w:vAlign w:val="center"/>
            <w:hideMark/>
          </w:tcPr>
          <w:p w14:paraId="7B6FC703" w14:textId="77777777" w:rsidR="00000000" w:rsidRDefault="00E614A4">
            <w:pPr>
              <w:rPr>
                <w:rFonts w:eastAsia="Times New Roman"/>
                <w:sz w:val="20"/>
                <w:szCs w:val="20"/>
              </w:rPr>
            </w:pPr>
          </w:p>
        </w:tc>
        <w:tc>
          <w:tcPr>
            <w:tcW w:w="0" w:type="auto"/>
            <w:gridSpan w:val="3"/>
            <w:vAlign w:val="center"/>
            <w:hideMark/>
          </w:tcPr>
          <w:p w14:paraId="0A32BCF2" w14:textId="77777777" w:rsidR="00000000" w:rsidRDefault="00E614A4">
            <w:pPr>
              <w:rPr>
                <w:rFonts w:eastAsia="Times New Roman"/>
                <w:sz w:val="20"/>
                <w:szCs w:val="20"/>
              </w:rPr>
            </w:pPr>
          </w:p>
        </w:tc>
        <w:tc>
          <w:tcPr>
            <w:tcW w:w="0" w:type="auto"/>
            <w:gridSpan w:val="3"/>
            <w:vAlign w:val="center"/>
            <w:hideMark/>
          </w:tcPr>
          <w:p w14:paraId="57875752" w14:textId="77777777" w:rsidR="00000000" w:rsidRDefault="00E614A4">
            <w:pPr>
              <w:rPr>
                <w:rFonts w:eastAsia="Times New Roman"/>
                <w:sz w:val="20"/>
                <w:szCs w:val="20"/>
              </w:rPr>
            </w:pPr>
          </w:p>
        </w:tc>
        <w:tc>
          <w:tcPr>
            <w:tcW w:w="0" w:type="auto"/>
            <w:gridSpan w:val="3"/>
            <w:vAlign w:val="center"/>
            <w:hideMark/>
          </w:tcPr>
          <w:p w14:paraId="7E2DC299" w14:textId="77777777" w:rsidR="00000000" w:rsidRDefault="00E614A4">
            <w:pPr>
              <w:rPr>
                <w:rFonts w:eastAsia="Times New Roman"/>
                <w:sz w:val="20"/>
                <w:szCs w:val="20"/>
              </w:rPr>
            </w:pPr>
          </w:p>
        </w:tc>
        <w:tc>
          <w:tcPr>
            <w:tcW w:w="0" w:type="auto"/>
            <w:gridSpan w:val="3"/>
            <w:vAlign w:val="center"/>
            <w:hideMark/>
          </w:tcPr>
          <w:p w14:paraId="3C8F514E" w14:textId="77777777" w:rsidR="00000000" w:rsidRDefault="00E614A4">
            <w:pPr>
              <w:rPr>
                <w:rFonts w:eastAsia="Times New Roman"/>
                <w:sz w:val="20"/>
                <w:szCs w:val="20"/>
              </w:rPr>
            </w:pPr>
          </w:p>
        </w:tc>
      </w:tr>
      <w:tr w:rsidR="00000000" w14:paraId="7A572B3F" w14:textId="77777777">
        <w:trPr>
          <w:divId w:val="1514370379"/>
          <w:jc w:val="center"/>
        </w:trPr>
        <w:tc>
          <w:tcPr>
            <w:tcW w:w="0" w:type="auto"/>
            <w:gridSpan w:val="3"/>
            <w:shd w:val="clear" w:color="auto" w:fill="CCEEFF"/>
            <w:tcMar>
              <w:top w:w="30" w:type="dxa"/>
              <w:left w:w="20" w:type="dxa"/>
              <w:bottom w:w="30" w:type="dxa"/>
              <w:right w:w="20" w:type="dxa"/>
            </w:tcMar>
            <w:vAlign w:val="bottom"/>
            <w:hideMark/>
          </w:tcPr>
          <w:p w14:paraId="6382375C" w14:textId="77777777" w:rsidR="00000000" w:rsidRDefault="00E614A4">
            <w:pPr>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14:paraId="1592B797" w14:textId="77777777" w:rsidR="00000000" w:rsidRDefault="00E614A4">
            <w:pPr>
              <w:jc w:val="right"/>
              <w:rPr>
                <w:rFonts w:eastAsia="Times New Roman"/>
              </w:rPr>
            </w:pPr>
            <w:r>
              <w:rPr>
                <w:rFonts w:eastAsia="Times New Roman"/>
                <w:color w:val="000000"/>
                <w:sz w:val="18"/>
                <w:szCs w:val="18"/>
              </w:rPr>
              <w:t>316 </w:t>
            </w:r>
          </w:p>
        </w:tc>
        <w:tc>
          <w:tcPr>
            <w:tcW w:w="0" w:type="auto"/>
            <w:shd w:val="clear" w:color="auto" w:fill="CCEEFF"/>
            <w:tcMar>
              <w:top w:w="30" w:type="dxa"/>
              <w:left w:w="0" w:type="dxa"/>
              <w:bottom w:w="30" w:type="dxa"/>
              <w:right w:w="20" w:type="dxa"/>
            </w:tcMar>
            <w:vAlign w:val="bottom"/>
            <w:hideMark/>
          </w:tcPr>
          <w:p w14:paraId="3899D64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F158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A98F72" w14:textId="77777777" w:rsidR="00000000" w:rsidRDefault="00E614A4">
            <w:pPr>
              <w:jc w:val="right"/>
              <w:rPr>
                <w:rFonts w:eastAsia="Times New Roman"/>
              </w:rPr>
            </w:pPr>
            <w:r>
              <w:rPr>
                <w:rFonts w:eastAsia="Times New Roman"/>
                <w:color w:val="000000"/>
                <w:sz w:val="18"/>
                <w:szCs w:val="18"/>
              </w:rPr>
              <w:t>539 </w:t>
            </w:r>
          </w:p>
        </w:tc>
        <w:tc>
          <w:tcPr>
            <w:tcW w:w="0" w:type="auto"/>
            <w:shd w:val="clear" w:color="auto" w:fill="CCEEFF"/>
            <w:tcMar>
              <w:top w:w="30" w:type="dxa"/>
              <w:left w:w="0" w:type="dxa"/>
              <w:bottom w:w="30" w:type="dxa"/>
              <w:right w:w="20" w:type="dxa"/>
            </w:tcMar>
            <w:vAlign w:val="bottom"/>
            <w:hideMark/>
          </w:tcPr>
          <w:p w14:paraId="2CF0D31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00EE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76D36" w14:textId="77777777" w:rsidR="00000000" w:rsidRDefault="00E614A4">
            <w:pPr>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bottom"/>
            <w:hideMark/>
          </w:tcPr>
          <w:p w14:paraId="3D156F2F" w14:textId="77777777" w:rsidR="00000000" w:rsidRDefault="00E614A4">
            <w:pPr>
              <w:jc w:val="right"/>
              <w:rPr>
                <w:rFonts w:eastAsia="Times New Roman"/>
              </w:rPr>
            </w:pPr>
          </w:p>
        </w:tc>
      </w:tr>
      <w:tr w:rsidR="00000000" w14:paraId="7E06EBDE" w14:textId="77777777">
        <w:trPr>
          <w:divId w:val="1514370379"/>
          <w:jc w:val="center"/>
        </w:trPr>
        <w:tc>
          <w:tcPr>
            <w:tcW w:w="0" w:type="auto"/>
            <w:gridSpan w:val="3"/>
            <w:vAlign w:val="center"/>
            <w:hideMark/>
          </w:tcPr>
          <w:p w14:paraId="7D231388" w14:textId="77777777" w:rsidR="00000000" w:rsidRDefault="00E614A4">
            <w:pPr>
              <w:jc w:val="right"/>
              <w:rPr>
                <w:rFonts w:eastAsia="Times New Roman"/>
                <w:sz w:val="20"/>
                <w:szCs w:val="20"/>
              </w:rPr>
            </w:pPr>
          </w:p>
        </w:tc>
        <w:tc>
          <w:tcPr>
            <w:tcW w:w="0" w:type="auto"/>
            <w:gridSpan w:val="3"/>
            <w:vAlign w:val="center"/>
            <w:hideMark/>
          </w:tcPr>
          <w:p w14:paraId="45B14E27" w14:textId="77777777" w:rsidR="00000000" w:rsidRDefault="00E614A4">
            <w:pPr>
              <w:rPr>
                <w:rFonts w:eastAsia="Times New Roman"/>
                <w:sz w:val="20"/>
                <w:szCs w:val="20"/>
              </w:rPr>
            </w:pPr>
          </w:p>
        </w:tc>
        <w:tc>
          <w:tcPr>
            <w:tcW w:w="0" w:type="auto"/>
            <w:gridSpan w:val="3"/>
            <w:vAlign w:val="center"/>
            <w:hideMark/>
          </w:tcPr>
          <w:p w14:paraId="3E1010D9" w14:textId="77777777" w:rsidR="00000000" w:rsidRDefault="00E614A4">
            <w:pPr>
              <w:rPr>
                <w:rFonts w:eastAsia="Times New Roman"/>
                <w:sz w:val="20"/>
                <w:szCs w:val="20"/>
              </w:rPr>
            </w:pPr>
          </w:p>
        </w:tc>
        <w:tc>
          <w:tcPr>
            <w:tcW w:w="0" w:type="auto"/>
            <w:gridSpan w:val="3"/>
            <w:vAlign w:val="center"/>
            <w:hideMark/>
          </w:tcPr>
          <w:p w14:paraId="09633724" w14:textId="77777777" w:rsidR="00000000" w:rsidRDefault="00E614A4">
            <w:pPr>
              <w:rPr>
                <w:rFonts w:eastAsia="Times New Roman"/>
                <w:sz w:val="20"/>
                <w:szCs w:val="20"/>
              </w:rPr>
            </w:pPr>
          </w:p>
        </w:tc>
        <w:tc>
          <w:tcPr>
            <w:tcW w:w="0" w:type="auto"/>
            <w:gridSpan w:val="3"/>
            <w:vAlign w:val="center"/>
            <w:hideMark/>
          </w:tcPr>
          <w:p w14:paraId="3E471F8B" w14:textId="77777777" w:rsidR="00000000" w:rsidRDefault="00E614A4">
            <w:pPr>
              <w:rPr>
                <w:rFonts w:eastAsia="Times New Roman"/>
                <w:sz w:val="20"/>
                <w:szCs w:val="20"/>
              </w:rPr>
            </w:pPr>
          </w:p>
        </w:tc>
        <w:tc>
          <w:tcPr>
            <w:tcW w:w="0" w:type="auto"/>
            <w:gridSpan w:val="3"/>
            <w:vAlign w:val="center"/>
            <w:hideMark/>
          </w:tcPr>
          <w:p w14:paraId="4991EB91" w14:textId="77777777" w:rsidR="00000000" w:rsidRDefault="00E614A4">
            <w:pPr>
              <w:rPr>
                <w:rFonts w:eastAsia="Times New Roman"/>
                <w:sz w:val="20"/>
                <w:szCs w:val="20"/>
              </w:rPr>
            </w:pPr>
          </w:p>
        </w:tc>
      </w:tr>
      <w:tr w:rsidR="00000000" w14:paraId="7A8E0159" w14:textId="77777777">
        <w:trPr>
          <w:divId w:val="1514370379"/>
          <w:jc w:val="center"/>
        </w:trPr>
        <w:tc>
          <w:tcPr>
            <w:tcW w:w="0" w:type="auto"/>
            <w:gridSpan w:val="3"/>
            <w:shd w:val="clear" w:color="auto" w:fill="FFFFFF"/>
            <w:tcMar>
              <w:top w:w="30" w:type="dxa"/>
              <w:left w:w="20" w:type="dxa"/>
              <w:bottom w:w="30" w:type="dxa"/>
              <w:right w:w="20" w:type="dxa"/>
            </w:tcMar>
            <w:vAlign w:val="bottom"/>
            <w:hideMark/>
          </w:tcPr>
          <w:p w14:paraId="6A93ADD0" w14:textId="77777777" w:rsidR="00000000" w:rsidRDefault="00E614A4">
            <w:pPr>
              <w:rPr>
                <w:rFonts w:eastAsia="Times New Roman"/>
              </w:rPr>
            </w:pPr>
            <w:r>
              <w:rPr>
                <w:rFonts w:eastAsia="Times New Roman"/>
                <w:color w:val="000000"/>
                <w:sz w:val="18"/>
                <w:szCs w:val="18"/>
              </w:rPr>
              <w:t>Interest income</w:t>
            </w:r>
          </w:p>
        </w:tc>
        <w:tc>
          <w:tcPr>
            <w:tcW w:w="0" w:type="auto"/>
            <w:gridSpan w:val="2"/>
            <w:shd w:val="clear" w:color="auto" w:fill="FFFFFF"/>
            <w:tcMar>
              <w:top w:w="30" w:type="dxa"/>
              <w:left w:w="20" w:type="dxa"/>
              <w:bottom w:w="30" w:type="dxa"/>
              <w:right w:w="0" w:type="dxa"/>
            </w:tcMar>
            <w:vAlign w:val="bottom"/>
            <w:hideMark/>
          </w:tcPr>
          <w:p w14:paraId="3E8002A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F3287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569D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9ADC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AB806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8FD1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C1BB0F" w14:textId="77777777" w:rsidR="00000000" w:rsidRDefault="00E614A4">
            <w:pPr>
              <w:jc w:val="right"/>
              <w:rPr>
                <w:rFonts w:eastAsia="Times New Roman"/>
              </w:rPr>
            </w:pPr>
            <w:r>
              <w:rPr>
                <w:rFonts w:eastAsia="Times New Roman"/>
                <w:color w:val="000000"/>
                <w:sz w:val="18"/>
                <w:szCs w:val="18"/>
              </w:rPr>
              <w:t>343 </w:t>
            </w:r>
          </w:p>
        </w:tc>
        <w:tc>
          <w:tcPr>
            <w:tcW w:w="0" w:type="auto"/>
            <w:shd w:val="clear" w:color="auto" w:fill="FFFFFF"/>
            <w:tcMar>
              <w:top w:w="30" w:type="dxa"/>
              <w:left w:w="0" w:type="dxa"/>
              <w:bottom w:w="30" w:type="dxa"/>
              <w:right w:w="20" w:type="dxa"/>
            </w:tcMar>
            <w:vAlign w:val="bottom"/>
            <w:hideMark/>
          </w:tcPr>
          <w:p w14:paraId="0C3223A4" w14:textId="77777777" w:rsidR="00000000" w:rsidRDefault="00E614A4">
            <w:pPr>
              <w:jc w:val="right"/>
              <w:rPr>
                <w:rFonts w:eastAsia="Times New Roman"/>
              </w:rPr>
            </w:pPr>
          </w:p>
        </w:tc>
      </w:tr>
    </w:tbl>
    <w:p w14:paraId="34D6AB12" w14:textId="77777777" w:rsidR="00000000" w:rsidRDefault="00E614A4">
      <w:pPr>
        <w:jc w:val="center"/>
        <w:divId w:val="1937975212"/>
        <w:rPr>
          <w:rFonts w:eastAsia="Times New Roman"/>
        </w:rPr>
      </w:pPr>
      <w:r>
        <w:rPr>
          <w:rFonts w:eastAsia="Times New Roman"/>
          <w:color w:val="000000"/>
          <w:sz w:val="20"/>
          <w:szCs w:val="20"/>
        </w:rPr>
        <w:t>96</w:t>
      </w:r>
    </w:p>
    <w:p w14:paraId="2A6D8F35" w14:textId="77777777" w:rsidR="00000000" w:rsidRDefault="00E614A4">
      <w:pPr>
        <w:rPr>
          <w:rFonts w:eastAsia="Times New Roman"/>
        </w:rPr>
      </w:pPr>
      <w:r>
        <w:rPr>
          <w:rFonts w:eastAsia="Times New Roman"/>
        </w:rPr>
        <w:pict w14:anchorId="0E9B1F3A">
          <v:rect id="_x0000_i1124" style="width:0;height:1.5pt" o:hralign="center" o:hrstd="t" o:hr="t" fillcolor="#a0a0a0" stroked="f"/>
        </w:pict>
      </w:r>
    </w:p>
    <w:p w14:paraId="481BAA89" w14:textId="77777777" w:rsidR="00000000" w:rsidRDefault="00E614A4">
      <w:pPr>
        <w:divId w:val="1316690297"/>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86A3224" w14:textId="77777777" w:rsidR="00000000" w:rsidRDefault="00E614A4">
      <w:pPr>
        <w:divId w:val="1030685249"/>
        <w:rPr>
          <w:rFonts w:eastAsia="Times New Roman"/>
        </w:rPr>
      </w:pPr>
    </w:p>
    <w:p w14:paraId="4D129041" w14:textId="77777777" w:rsidR="00000000" w:rsidRDefault="00E614A4">
      <w:pPr>
        <w:jc w:val="both"/>
        <w:divId w:val="507408188"/>
        <w:rPr>
          <w:rFonts w:eastAsia="Times New Roman"/>
        </w:rPr>
      </w:pPr>
      <w:r>
        <w:rPr>
          <w:rFonts w:eastAsia="Times New Roman"/>
          <w:color w:val="000000"/>
          <w:sz w:val="20"/>
          <w:szCs w:val="20"/>
        </w:rPr>
        <w:t>The Company has the following balances related to transactions with WPP and its affi</w:t>
      </w:r>
      <w:r>
        <w:rPr>
          <w:rFonts w:eastAsia="Times New Roman"/>
          <w:color w:val="000000"/>
          <w:sz w:val="20"/>
          <w:szCs w:val="20"/>
        </w:rPr>
        <w:t>liates, as reflected in the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00"/>
        <w:gridCol w:w="37"/>
        <w:gridCol w:w="36"/>
        <w:gridCol w:w="36"/>
        <w:gridCol w:w="36"/>
        <w:gridCol w:w="110"/>
        <w:gridCol w:w="961"/>
        <w:gridCol w:w="36"/>
        <w:gridCol w:w="36"/>
        <w:gridCol w:w="36"/>
        <w:gridCol w:w="36"/>
        <w:gridCol w:w="110"/>
        <w:gridCol w:w="962"/>
        <w:gridCol w:w="36"/>
      </w:tblGrid>
      <w:tr w:rsidR="00000000" w14:paraId="2A979423" w14:textId="77777777">
        <w:trPr>
          <w:divId w:val="1927181943"/>
          <w:jc w:val="center"/>
        </w:trPr>
        <w:tc>
          <w:tcPr>
            <w:tcW w:w="50" w:type="pct"/>
            <w:vAlign w:val="center"/>
            <w:hideMark/>
          </w:tcPr>
          <w:p w14:paraId="5C34ED25" w14:textId="77777777" w:rsidR="00000000" w:rsidRDefault="00E614A4">
            <w:pPr>
              <w:jc w:val="both"/>
              <w:rPr>
                <w:rFonts w:eastAsia="Times New Roman"/>
              </w:rPr>
            </w:pPr>
          </w:p>
        </w:tc>
        <w:tc>
          <w:tcPr>
            <w:tcW w:w="3542" w:type="pct"/>
            <w:vAlign w:val="center"/>
            <w:hideMark/>
          </w:tcPr>
          <w:p w14:paraId="757A94FB" w14:textId="77777777" w:rsidR="00000000" w:rsidRDefault="00E614A4">
            <w:pPr>
              <w:rPr>
                <w:rFonts w:eastAsia="Times New Roman"/>
                <w:sz w:val="20"/>
                <w:szCs w:val="20"/>
              </w:rPr>
            </w:pPr>
          </w:p>
        </w:tc>
        <w:tc>
          <w:tcPr>
            <w:tcW w:w="5" w:type="pct"/>
            <w:vAlign w:val="center"/>
            <w:hideMark/>
          </w:tcPr>
          <w:p w14:paraId="7AB25AA4" w14:textId="77777777" w:rsidR="00000000" w:rsidRDefault="00E614A4">
            <w:pPr>
              <w:rPr>
                <w:rFonts w:eastAsia="Times New Roman"/>
                <w:sz w:val="20"/>
                <w:szCs w:val="20"/>
              </w:rPr>
            </w:pPr>
          </w:p>
        </w:tc>
        <w:tc>
          <w:tcPr>
            <w:tcW w:w="5" w:type="pct"/>
            <w:vAlign w:val="center"/>
            <w:hideMark/>
          </w:tcPr>
          <w:p w14:paraId="274C305A" w14:textId="77777777" w:rsidR="00000000" w:rsidRDefault="00E614A4">
            <w:pPr>
              <w:rPr>
                <w:rFonts w:eastAsia="Times New Roman"/>
                <w:sz w:val="20"/>
                <w:szCs w:val="20"/>
              </w:rPr>
            </w:pPr>
          </w:p>
        </w:tc>
        <w:tc>
          <w:tcPr>
            <w:tcW w:w="17" w:type="pct"/>
            <w:vAlign w:val="center"/>
            <w:hideMark/>
          </w:tcPr>
          <w:p w14:paraId="30E7C064" w14:textId="77777777" w:rsidR="00000000" w:rsidRDefault="00E614A4">
            <w:pPr>
              <w:rPr>
                <w:rFonts w:eastAsia="Times New Roman"/>
                <w:sz w:val="20"/>
                <w:szCs w:val="20"/>
              </w:rPr>
            </w:pPr>
          </w:p>
        </w:tc>
        <w:tc>
          <w:tcPr>
            <w:tcW w:w="5" w:type="pct"/>
            <w:vAlign w:val="center"/>
            <w:hideMark/>
          </w:tcPr>
          <w:p w14:paraId="45CC920C" w14:textId="77777777" w:rsidR="00000000" w:rsidRDefault="00E614A4">
            <w:pPr>
              <w:rPr>
                <w:rFonts w:eastAsia="Times New Roman"/>
                <w:sz w:val="20"/>
                <w:szCs w:val="20"/>
              </w:rPr>
            </w:pPr>
          </w:p>
        </w:tc>
        <w:tc>
          <w:tcPr>
            <w:tcW w:w="50" w:type="pct"/>
            <w:vAlign w:val="center"/>
            <w:hideMark/>
          </w:tcPr>
          <w:p w14:paraId="540BA868" w14:textId="77777777" w:rsidR="00000000" w:rsidRDefault="00E614A4">
            <w:pPr>
              <w:rPr>
                <w:rFonts w:eastAsia="Times New Roman"/>
                <w:sz w:val="20"/>
                <w:szCs w:val="20"/>
              </w:rPr>
            </w:pPr>
          </w:p>
        </w:tc>
        <w:tc>
          <w:tcPr>
            <w:tcW w:w="618" w:type="pct"/>
            <w:vAlign w:val="center"/>
            <w:hideMark/>
          </w:tcPr>
          <w:p w14:paraId="5E4873A6" w14:textId="77777777" w:rsidR="00000000" w:rsidRDefault="00E614A4">
            <w:pPr>
              <w:rPr>
                <w:rFonts w:eastAsia="Times New Roman"/>
                <w:sz w:val="20"/>
                <w:szCs w:val="20"/>
              </w:rPr>
            </w:pPr>
          </w:p>
        </w:tc>
        <w:tc>
          <w:tcPr>
            <w:tcW w:w="5" w:type="pct"/>
            <w:vAlign w:val="center"/>
            <w:hideMark/>
          </w:tcPr>
          <w:p w14:paraId="1C89874A" w14:textId="77777777" w:rsidR="00000000" w:rsidRDefault="00E614A4">
            <w:pPr>
              <w:rPr>
                <w:rFonts w:eastAsia="Times New Roman"/>
                <w:sz w:val="20"/>
                <w:szCs w:val="20"/>
              </w:rPr>
            </w:pPr>
          </w:p>
        </w:tc>
        <w:tc>
          <w:tcPr>
            <w:tcW w:w="5" w:type="pct"/>
            <w:vAlign w:val="center"/>
            <w:hideMark/>
          </w:tcPr>
          <w:p w14:paraId="6317EF82" w14:textId="77777777" w:rsidR="00000000" w:rsidRDefault="00E614A4">
            <w:pPr>
              <w:rPr>
                <w:rFonts w:eastAsia="Times New Roman"/>
                <w:sz w:val="20"/>
                <w:szCs w:val="20"/>
              </w:rPr>
            </w:pPr>
          </w:p>
        </w:tc>
        <w:tc>
          <w:tcPr>
            <w:tcW w:w="17" w:type="pct"/>
            <w:vAlign w:val="center"/>
            <w:hideMark/>
          </w:tcPr>
          <w:p w14:paraId="284C2EF6" w14:textId="77777777" w:rsidR="00000000" w:rsidRDefault="00E614A4">
            <w:pPr>
              <w:rPr>
                <w:rFonts w:eastAsia="Times New Roman"/>
                <w:sz w:val="20"/>
                <w:szCs w:val="20"/>
              </w:rPr>
            </w:pPr>
          </w:p>
        </w:tc>
        <w:tc>
          <w:tcPr>
            <w:tcW w:w="5" w:type="pct"/>
            <w:vAlign w:val="center"/>
            <w:hideMark/>
          </w:tcPr>
          <w:p w14:paraId="0DB259F4" w14:textId="77777777" w:rsidR="00000000" w:rsidRDefault="00E614A4">
            <w:pPr>
              <w:rPr>
                <w:rFonts w:eastAsia="Times New Roman"/>
                <w:sz w:val="20"/>
                <w:szCs w:val="20"/>
              </w:rPr>
            </w:pPr>
          </w:p>
        </w:tc>
        <w:tc>
          <w:tcPr>
            <w:tcW w:w="50" w:type="pct"/>
            <w:vAlign w:val="center"/>
            <w:hideMark/>
          </w:tcPr>
          <w:p w14:paraId="0E319D2A" w14:textId="77777777" w:rsidR="00000000" w:rsidRDefault="00E614A4">
            <w:pPr>
              <w:rPr>
                <w:rFonts w:eastAsia="Times New Roman"/>
                <w:sz w:val="20"/>
                <w:szCs w:val="20"/>
              </w:rPr>
            </w:pPr>
          </w:p>
        </w:tc>
        <w:tc>
          <w:tcPr>
            <w:tcW w:w="618" w:type="pct"/>
            <w:vAlign w:val="center"/>
            <w:hideMark/>
          </w:tcPr>
          <w:p w14:paraId="20671E97" w14:textId="77777777" w:rsidR="00000000" w:rsidRDefault="00E614A4">
            <w:pPr>
              <w:rPr>
                <w:rFonts w:eastAsia="Times New Roman"/>
                <w:sz w:val="20"/>
                <w:szCs w:val="20"/>
              </w:rPr>
            </w:pPr>
          </w:p>
        </w:tc>
        <w:tc>
          <w:tcPr>
            <w:tcW w:w="5" w:type="pct"/>
            <w:vAlign w:val="center"/>
            <w:hideMark/>
          </w:tcPr>
          <w:p w14:paraId="2F0D4187" w14:textId="77777777" w:rsidR="00000000" w:rsidRDefault="00E614A4">
            <w:pPr>
              <w:rPr>
                <w:rFonts w:eastAsia="Times New Roman"/>
                <w:sz w:val="20"/>
                <w:szCs w:val="20"/>
              </w:rPr>
            </w:pPr>
          </w:p>
        </w:tc>
      </w:tr>
      <w:tr w:rsidR="00000000" w14:paraId="049078B8" w14:textId="77777777">
        <w:trPr>
          <w:divId w:val="1927181943"/>
          <w:jc w:val="center"/>
        </w:trPr>
        <w:tc>
          <w:tcPr>
            <w:tcW w:w="0" w:type="auto"/>
            <w:gridSpan w:val="3"/>
            <w:tcMar>
              <w:top w:w="0" w:type="dxa"/>
              <w:left w:w="20" w:type="dxa"/>
              <w:bottom w:w="0" w:type="dxa"/>
              <w:right w:w="20" w:type="dxa"/>
            </w:tcMar>
            <w:vAlign w:val="center"/>
            <w:hideMark/>
          </w:tcPr>
          <w:p w14:paraId="141AD01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3AEDAB9"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4609E484"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3443BF18" w14:textId="77777777">
        <w:trPr>
          <w:divId w:val="1927181943"/>
          <w:jc w:val="center"/>
        </w:trPr>
        <w:tc>
          <w:tcPr>
            <w:tcW w:w="0" w:type="auto"/>
            <w:gridSpan w:val="3"/>
            <w:tcMar>
              <w:top w:w="30" w:type="dxa"/>
              <w:left w:w="20" w:type="dxa"/>
              <w:bottom w:w="30" w:type="dxa"/>
              <w:right w:w="20" w:type="dxa"/>
            </w:tcMar>
            <w:vAlign w:val="bottom"/>
            <w:hideMark/>
          </w:tcPr>
          <w:p w14:paraId="3573D960" w14:textId="77777777" w:rsidR="00000000" w:rsidRDefault="00E614A4">
            <w:pPr>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386709FF" w14:textId="77777777" w:rsidR="00000000" w:rsidRDefault="00E614A4">
            <w:pPr>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F75879"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309F5D2"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28474A" w14:textId="77777777" w:rsidR="00000000" w:rsidRDefault="00E614A4">
            <w:pPr>
              <w:jc w:val="center"/>
              <w:rPr>
                <w:rFonts w:eastAsia="Times New Roman"/>
              </w:rPr>
            </w:pPr>
            <w:r>
              <w:rPr>
                <w:rFonts w:eastAsia="Times New Roman"/>
                <w:b/>
                <w:bCs/>
                <w:color w:val="000000"/>
                <w:sz w:val="16"/>
                <w:szCs w:val="16"/>
              </w:rPr>
              <w:t>2019</w:t>
            </w:r>
          </w:p>
        </w:tc>
      </w:tr>
      <w:tr w:rsidR="00000000" w14:paraId="52FFDE27" w14:textId="77777777">
        <w:trPr>
          <w:divId w:val="1927181943"/>
          <w:jc w:val="center"/>
        </w:trPr>
        <w:tc>
          <w:tcPr>
            <w:tcW w:w="0" w:type="auto"/>
            <w:gridSpan w:val="3"/>
            <w:shd w:val="clear" w:color="auto" w:fill="CCEEFF"/>
            <w:tcMar>
              <w:top w:w="30" w:type="dxa"/>
              <w:left w:w="20" w:type="dxa"/>
              <w:bottom w:w="30" w:type="dxa"/>
              <w:right w:w="20" w:type="dxa"/>
            </w:tcMar>
            <w:vAlign w:val="bottom"/>
            <w:hideMark/>
          </w:tcPr>
          <w:p w14:paraId="2606D410" w14:textId="77777777" w:rsidR="00000000" w:rsidRDefault="00E614A4">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6F022334" w14:textId="77777777" w:rsidR="00000000" w:rsidRDefault="00E614A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0D8757"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0DDB69" w14:textId="77777777" w:rsidR="00000000" w:rsidRDefault="00E614A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A73DEF" w14:textId="77777777" w:rsidR="00000000" w:rsidRDefault="00E614A4">
            <w:pPr>
              <w:rPr>
                <w:rFonts w:eastAsia="Times New Roman"/>
                <w:sz w:val="20"/>
                <w:szCs w:val="20"/>
              </w:rPr>
            </w:pPr>
          </w:p>
        </w:tc>
      </w:tr>
      <w:tr w:rsidR="00000000" w14:paraId="60802692" w14:textId="77777777">
        <w:trPr>
          <w:divId w:val="1927181943"/>
          <w:jc w:val="center"/>
        </w:trPr>
        <w:tc>
          <w:tcPr>
            <w:tcW w:w="0" w:type="auto"/>
            <w:gridSpan w:val="3"/>
            <w:shd w:val="clear" w:color="auto" w:fill="FFFFFF"/>
            <w:tcMar>
              <w:top w:w="30" w:type="dxa"/>
              <w:left w:w="140" w:type="dxa"/>
              <w:bottom w:w="30" w:type="dxa"/>
              <w:right w:w="20" w:type="dxa"/>
            </w:tcMar>
            <w:vAlign w:val="bottom"/>
            <w:hideMark/>
          </w:tcPr>
          <w:p w14:paraId="3CFA6053" w14:textId="77777777" w:rsidR="00000000" w:rsidRDefault="00E614A4">
            <w:pPr>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14:paraId="6C4E280A"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0D630A50"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B8F4A26" w14:textId="77777777" w:rsidR="00000000" w:rsidRDefault="00E614A4">
            <w:pPr>
              <w:jc w:val="right"/>
              <w:rPr>
                <w:rFonts w:eastAsia="Times New Roman"/>
              </w:rPr>
            </w:pPr>
            <w:r>
              <w:rPr>
                <w:rFonts w:eastAsia="Times New Roman"/>
                <w:color w:val="000000"/>
                <w:sz w:val="18"/>
                <w:szCs w:val="18"/>
              </w:rPr>
              <w:t>4,045 </w:t>
            </w:r>
          </w:p>
        </w:tc>
        <w:tc>
          <w:tcPr>
            <w:tcW w:w="0" w:type="auto"/>
            <w:shd w:val="clear" w:color="auto" w:fill="FFFFFF"/>
            <w:tcMar>
              <w:top w:w="30" w:type="dxa"/>
              <w:left w:w="0" w:type="dxa"/>
              <w:bottom w:w="30" w:type="dxa"/>
              <w:right w:w="20" w:type="dxa"/>
            </w:tcMar>
            <w:vAlign w:val="bottom"/>
            <w:hideMark/>
          </w:tcPr>
          <w:p w14:paraId="331C584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3E978"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D09196"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A6DFE08" w14:textId="77777777" w:rsidR="00000000" w:rsidRDefault="00E614A4">
            <w:pPr>
              <w:jc w:val="right"/>
              <w:rPr>
                <w:rFonts w:eastAsia="Times New Roman"/>
              </w:rPr>
            </w:pPr>
            <w:r>
              <w:rPr>
                <w:rFonts w:eastAsia="Times New Roman"/>
                <w:color w:val="000000"/>
                <w:sz w:val="18"/>
                <w:szCs w:val="18"/>
              </w:rPr>
              <w:t>2,542 </w:t>
            </w:r>
          </w:p>
        </w:tc>
        <w:tc>
          <w:tcPr>
            <w:tcW w:w="0" w:type="auto"/>
            <w:shd w:val="clear" w:color="auto" w:fill="FFFFFF"/>
            <w:tcMar>
              <w:top w:w="30" w:type="dxa"/>
              <w:left w:w="0" w:type="dxa"/>
              <w:bottom w:w="30" w:type="dxa"/>
              <w:right w:w="20" w:type="dxa"/>
            </w:tcMar>
            <w:vAlign w:val="bottom"/>
            <w:hideMark/>
          </w:tcPr>
          <w:p w14:paraId="68B7713D" w14:textId="77777777" w:rsidR="00000000" w:rsidRDefault="00E614A4">
            <w:pPr>
              <w:jc w:val="right"/>
              <w:rPr>
                <w:rFonts w:eastAsia="Times New Roman"/>
              </w:rPr>
            </w:pPr>
          </w:p>
        </w:tc>
      </w:tr>
      <w:tr w:rsidR="00000000" w14:paraId="00640508" w14:textId="77777777">
        <w:trPr>
          <w:divId w:val="1927181943"/>
          <w:jc w:val="center"/>
        </w:trPr>
        <w:tc>
          <w:tcPr>
            <w:tcW w:w="0" w:type="auto"/>
            <w:gridSpan w:val="3"/>
            <w:shd w:val="clear" w:color="auto" w:fill="CCEEFF"/>
            <w:tcMar>
              <w:top w:w="30" w:type="dxa"/>
              <w:left w:w="140" w:type="dxa"/>
              <w:bottom w:w="30" w:type="dxa"/>
              <w:right w:w="20" w:type="dxa"/>
            </w:tcMar>
            <w:vAlign w:val="bottom"/>
            <w:hideMark/>
          </w:tcPr>
          <w:p w14:paraId="2F54A115" w14:textId="77777777" w:rsidR="00000000" w:rsidRDefault="00E614A4">
            <w:pPr>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14:paraId="5CB467A3"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F8BD39" w14:textId="77777777" w:rsidR="00000000" w:rsidRDefault="00E614A4">
            <w:pPr>
              <w:jc w:val="right"/>
              <w:rPr>
                <w:rFonts w:eastAsia="Times New Roman"/>
              </w:rPr>
            </w:pPr>
            <w:r>
              <w:rPr>
                <w:rFonts w:eastAsia="Times New Roman"/>
                <w:color w:val="000000"/>
                <w:sz w:val="18"/>
                <w:szCs w:val="18"/>
              </w:rPr>
              <w:t>1,496 </w:t>
            </w:r>
          </w:p>
        </w:tc>
        <w:tc>
          <w:tcPr>
            <w:tcW w:w="0" w:type="auto"/>
            <w:shd w:val="clear" w:color="auto" w:fill="CCEEFF"/>
            <w:tcMar>
              <w:top w:w="30" w:type="dxa"/>
              <w:left w:w="0" w:type="dxa"/>
              <w:bottom w:w="30" w:type="dxa"/>
              <w:right w:w="20" w:type="dxa"/>
            </w:tcMar>
            <w:vAlign w:val="bottom"/>
            <w:hideMark/>
          </w:tcPr>
          <w:p w14:paraId="547FE17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A519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185416" w14:textId="77777777" w:rsidR="00000000" w:rsidRDefault="00E614A4">
            <w:pPr>
              <w:jc w:val="right"/>
              <w:rPr>
                <w:rFonts w:eastAsia="Times New Roman"/>
              </w:rPr>
            </w:pPr>
            <w:r>
              <w:rPr>
                <w:rFonts w:eastAsia="Times New Roman"/>
                <w:color w:val="000000"/>
                <w:sz w:val="18"/>
                <w:szCs w:val="18"/>
              </w:rPr>
              <w:t>1,180 </w:t>
            </w:r>
          </w:p>
        </w:tc>
        <w:tc>
          <w:tcPr>
            <w:tcW w:w="0" w:type="auto"/>
            <w:shd w:val="clear" w:color="auto" w:fill="CCEEFF"/>
            <w:tcMar>
              <w:top w:w="30" w:type="dxa"/>
              <w:left w:w="0" w:type="dxa"/>
              <w:bottom w:w="30" w:type="dxa"/>
              <w:right w:w="20" w:type="dxa"/>
            </w:tcMar>
            <w:vAlign w:val="bottom"/>
            <w:hideMark/>
          </w:tcPr>
          <w:p w14:paraId="2E5EA81C" w14:textId="77777777" w:rsidR="00000000" w:rsidRDefault="00E614A4">
            <w:pPr>
              <w:jc w:val="right"/>
              <w:rPr>
                <w:rFonts w:eastAsia="Times New Roman"/>
              </w:rPr>
            </w:pPr>
          </w:p>
        </w:tc>
      </w:tr>
      <w:tr w:rsidR="00000000" w14:paraId="1B2EFB01" w14:textId="77777777">
        <w:trPr>
          <w:divId w:val="1927181943"/>
          <w:jc w:val="center"/>
        </w:trPr>
        <w:tc>
          <w:tcPr>
            <w:tcW w:w="0" w:type="auto"/>
            <w:gridSpan w:val="3"/>
            <w:vAlign w:val="center"/>
            <w:hideMark/>
          </w:tcPr>
          <w:p w14:paraId="1821A2A1" w14:textId="77777777" w:rsidR="00000000" w:rsidRDefault="00E614A4">
            <w:pPr>
              <w:jc w:val="right"/>
              <w:rPr>
                <w:rFonts w:eastAsia="Times New Roman"/>
                <w:sz w:val="20"/>
                <w:szCs w:val="20"/>
              </w:rPr>
            </w:pPr>
          </w:p>
        </w:tc>
        <w:tc>
          <w:tcPr>
            <w:tcW w:w="0" w:type="auto"/>
            <w:gridSpan w:val="3"/>
            <w:vAlign w:val="center"/>
            <w:hideMark/>
          </w:tcPr>
          <w:p w14:paraId="5D68C019" w14:textId="77777777" w:rsidR="00000000" w:rsidRDefault="00E614A4">
            <w:pPr>
              <w:rPr>
                <w:rFonts w:eastAsia="Times New Roman"/>
                <w:sz w:val="20"/>
                <w:szCs w:val="20"/>
              </w:rPr>
            </w:pPr>
          </w:p>
        </w:tc>
        <w:tc>
          <w:tcPr>
            <w:tcW w:w="0" w:type="auto"/>
            <w:gridSpan w:val="3"/>
            <w:vAlign w:val="center"/>
            <w:hideMark/>
          </w:tcPr>
          <w:p w14:paraId="169E5D7A" w14:textId="77777777" w:rsidR="00000000" w:rsidRDefault="00E614A4">
            <w:pPr>
              <w:rPr>
                <w:rFonts w:eastAsia="Times New Roman"/>
                <w:sz w:val="20"/>
                <w:szCs w:val="20"/>
              </w:rPr>
            </w:pPr>
          </w:p>
        </w:tc>
        <w:tc>
          <w:tcPr>
            <w:tcW w:w="0" w:type="auto"/>
            <w:gridSpan w:val="3"/>
            <w:vAlign w:val="center"/>
            <w:hideMark/>
          </w:tcPr>
          <w:p w14:paraId="5474C791" w14:textId="77777777" w:rsidR="00000000" w:rsidRDefault="00E614A4">
            <w:pPr>
              <w:rPr>
                <w:rFonts w:eastAsia="Times New Roman"/>
                <w:sz w:val="20"/>
                <w:szCs w:val="20"/>
              </w:rPr>
            </w:pPr>
          </w:p>
        </w:tc>
        <w:tc>
          <w:tcPr>
            <w:tcW w:w="0" w:type="auto"/>
            <w:gridSpan w:val="3"/>
            <w:vAlign w:val="center"/>
            <w:hideMark/>
          </w:tcPr>
          <w:p w14:paraId="1F18F300" w14:textId="77777777" w:rsidR="00000000" w:rsidRDefault="00E614A4">
            <w:pPr>
              <w:rPr>
                <w:rFonts w:eastAsia="Times New Roman"/>
                <w:sz w:val="20"/>
                <w:szCs w:val="20"/>
              </w:rPr>
            </w:pPr>
          </w:p>
        </w:tc>
      </w:tr>
      <w:tr w:rsidR="00000000" w14:paraId="35DFDF3E" w14:textId="77777777">
        <w:trPr>
          <w:divId w:val="1927181943"/>
          <w:jc w:val="center"/>
        </w:trPr>
        <w:tc>
          <w:tcPr>
            <w:tcW w:w="0" w:type="auto"/>
            <w:gridSpan w:val="3"/>
            <w:shd w:val="clear" w:color="auto" w:fill="FFFFFF"/>
            <w:tcMar>
              <w:top w:w="30" w:type="dxa"/>
              <w:left w:w="20" w:type="dxa"/>
              <w:bottom w:w="30" w:type="dxa"/>
              <w:right w:w="20" w:type="dxa"/>
            </w:tcMar>
            <w:vAlign w:val="bottom"/>
            <w:hideMark/>
          </w:tcPr>
          <w:p w14:paraId="74600B16" w14:textId="77777777" w:rsidR="00000000" w:rsidRDefault="00E614A4">
            <w:pPr>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23962DE6"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BA167"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1BC5E1" w14:textId="77777777" w:rsidR="00000000" w:rsidRDefault="00E614A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83444C" w14:textId="77777777" w:rsidR="00000000" w:rsidRDefault="00E614A4">
            <w:pPr>
              <w:rPr>
                <w:rFonts w:eastAsia="Times New Roman"/>
                <w:sz w:val="20"/>
                <w:szCs w:val="20"/>
              </w:rPr>
            </w:pPr>
          </w:p>
        </w:tc>
      </w:tr>
      <w:tr w:rsidR="00000000" w14:paraId="6337FF83" w14:textId="77777777">
        <w:trPr>
          <w:divId w:val="1927181943"/>
          <w:jc w:val="center"/>
        </w:trPr>
        <w:tc>
          <w:tcPr>
            <w:tcW w:w="0" w:type="auto"/>
            <w:gridSpan w:val="3"/>
            <w:shd w:val="clear" w:color="auto" w:fill="CCEEFF"/>
            <w:tcMar>
              <w:top w:w="30" w:type="dxa"/>
              <w:left w:w="140" w:type="dxa"/>
              <w:bottom w:w="30" w:type="dxa"/>
              <w:right w:w="20" w:type="dxa"/>
            </w:tcMar>
            <w:vAlign w:val="bottom"/>
            <w:hideMark/>
          </w:tcPr>
          <w:p w14:paraId="688419E0" w14:textId="77777777" w:rsidR="00000000" w:rsidRDefault="00E614A4">
            <w:pPr>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14:paraId="2EE183BD" w14:textId="77777777" w:rsidR="00000000" w:rsidRDefault="00E614A4">
            <w:pPr>
              <w:rPr>
                <w:rFonts w:eastAsia="Times New Roman"/>
              </w:rPr>
            </w:pPr>
          </w:p>
        </w:tc>
        <w:tc>
          <w:tcPr>
            <w:tcW w:w="0" w:type="auto"/>
            <w:shd w:val="clear" w:color="auto" w:fill="CCEEFF"/>
            <w:tcMar>
              <w:top w:w="30" w:type="dxa"/>
              <w:left w:w="20" w:type="dxa"/>
              <w:bottom w:w="30" w:type="dxa"/>
              <w:right w:w="0" w:type="dxa"/>
            </w:tcMar>
            <w:vAlign w:val="bottom"/>
            <w:hideMark/>
          </w:tcPr>
          <w:p w14:paraId="1C87A994"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8143EC" w14:textId="77777777" w:rsidR="00000000" w:rsidRDefault="00E614A4">
            <w:pPr>
              <w:jc w:val="right"/>
              <w:rPr>
                <w:rFonts w:eastAsia="Times New Roman"/>
              </w:rPr>
            </w:pPr>
            <w:r>
              <w:rPr>
                <w:rFonts w:eastAsia="Times New Roman"/>
                <w:color w:val="000000"/>
                <w:sz w:val="18"/>
                <w:szCs w:val="18"/>
              </w:rPr>
              <w:t>2,817 </w:t>
            </w:r>
          </w:p>
        </w:tc>
        <w:tc>
          <w:tcPr>
            <w:tcW w:w="0" w:type="auto"/>
            <w:shd w:val="clear" w:color="auto" w:fill="CCEEFF"/>
            <w:tcMar>
              <w:top w:w="30" w:type="dxa"/>
              <w:left w:w="0" w:type="dxa"/>
              <w:bottom w:w="30" w:type="dxa"/>
              <w:right w:w="20" w:type="dxa"/>
            </w:tcMar>
            <w:vAlign w:val="bottom"/>
            <w:hideMark/>
          </w:tcPr>
          <w:p w14:paraId="49176E3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BA6F2" w14:textId="77777777" w:rsidR="00000000" w:rsidRDefault="00E614A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705486"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16784E1" w14:textId="77777777" w:rsidR="00000000" w:rsidRDefault="00E614A4">
            <w:pPr>
              <w:jc w:val="right"/>
              <w:rPr>
                <w:rFonts w:eastAsia="Times New Roman"/>
              </w:rPr>
            </w:pPr>
            <w:r>
              <w:rPr>
                <w:rFonts w:eastAsia="Times New Roman"/>
                <w:color w:val="000000"/>
                <w:sz w:val="18"/>
                <w:szCs w:val="18"/>
              </w:rPr>
              <w:t>2,510 </w:t>
            </w:r>
          </w:p>
        </w:tc>
        <w:tc>
          <w:tcPr>
            <w:tcW w:w="0" w:type="auto"/>
            <w:shd w:val="clear" w:color="auto" w:fill="CCEEFF"/>
            <w:tcMar>
              <w:top w:w="30" w:type="dxa"/>
              <w:left w:w="0" w:type="dxa"/>
              <w:bottom w:w="30" w:type="dxa"/>
              <w:right w:w="20" w:type="dxa"/>
            </w:tcMar>
            <w:vAlign w:val="bottom"/>
            <w:hideMark/>
          </w:tcPr>
          <w:p w14:paraId="7B616A4D" w14:textId="77777777" w:rsidR="00000000" w:rsidRDefault="00E614A4">
            <w:pPr>
              <w:jc w:val="right"/>
              <w:rPr>
                <w:rFonts w:eastAsia="Times New Roman"/>
              </w:rPr>
            </w:pPr>
          </w:p>
        </w:tc>
      </w:tr>
      <w:tr w:rsidR="00000000" w14:paraId="701C3CDC" w14:textId="77777777">
        <w:trPr>
          <w:divId w:val="1927181943"/>
          <w:jc w:val="center"/>
        </w:trPr>
        <w:tc>
          <w:tcPr>
            <w:tcW w:w="0" w:type="auto"/>
            <w:gridSpan w:val="3"/>
            <w:shd w:val="clear" w:color="auto" w:fill="FFFFFF"/>
            <w:tcMar>
              <w:top w:w="30" w:type="dxa"/>
              <w:left w:w="140" w:type="dxa"/>
              <w:bottom w:w="30" w:type="dxa"/>
              <w:right w:w="20" w:type="dxa"/>
            </w:tcMar>
            <w:vAlign w:val="bottom"/>
            <w:hideMark/>
          </w:tcPr>
          <w:p w14:paraId="76522D69" w14:textId="77777777" w:rsidR="00000000" w:rsidRDefault="00E614A4">
            <w:pPr>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14:paraId="49A519C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DA6186" w14:textId="77777777" w:rsidR="00000000" w:rsidRDefault="00E614A4">
            <w:pPr>
              <w:jc w:val="right"/>
              <w:rPr>
                <w:rFonts w:eastAsia="Times New Roman"/>
              </w:rPr>
            </w:pPr>
            <w:r>
              <w:rPr>
                <w:rFonts w:eastAsia="Times New Roman"/>
                <w:color w:val="000000"/>
                <w:sz w:val="18"/>
                <w:szCs w:val="18"/>
              </w:rPr>
              <w:t>835 </w:t>
            </w:r>
          </w:p>
        </w:tc>
        <w:tc>
          <w:tcPr>
            <w:tcW w:w="0" w:type="auto"/>
            <w:shd w:val="clear" w:color="auto" w:fill="FFFFFF"/>
            <w:tcMar>
              <w:top w:w="30" w:type="dxa"/>
              <w:left w:w="0" w:type="dxa"/>
              <w:bottom w:w="30" w:type="dxa"/>
              <w:right w:w="20" w:type="dxa"/>
            </w:tcMar>
            <w:vAlign w:val="bottom"/>
            <w:hideMark/>
          </w:tcPr>
          <w:p w14:paraId="1DDC2C0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927E1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FBCE88" w14:textId="77777777" w:rsidR="00000000" w:rsidRDefault="00E614A4">
            <w:pPr>
              <w:jc w:val="right"/>
              <w:rPr>
                <w:rFonts w:eastAsia="Times New Roman"/>
              </w:rPr>
            </w:pPr>
            <w:r>
              <w:rPr>
                <w:rFonts w:eastAsia="Times New Roman"/>
                <w:color w:val="000000"/>
                <w:sz w:val="18"/>
                <w:szCs w:val="18"/>
              </w:rPr>
              <w:t>716 </w:t>
            </w:r>
          </w:p>
        </w:tc>
        <w:tc>
          <w:tcPr>
            <w:tcW w:w="0" w:type="auto"/>
            <w:shd w:val="clear" w:color="auto" w:fill="FFFFFF"/>
            <w:tcMar>
              <w:top w:w="30" w:type="dxa"/>
              <w:left w:w="0" w:type="dxa"/>
              <w:bottom w:w="30" w:type="dxa"/>
              <w:right w:w="20" w:type="dxa"/>
            </w:tcMar>
            <w:vAlign w:val="bottom"/>
            <w:hideMark/>
          </w:tcPr>
          <w:p w14:paraId="1F2F2E9F" w14:textId="77777777" w:rsidR="00000000" w:rsidRDefault="00E614A4">
            <w:pPr>
              <w:jc w:val="right"/>
              <w:rPr>
                <w:rFonts w:eastAsia="Times New Roman"/>
              </w:rPr>
            </w:pPr>
          </w:p>
        </w:tc>
      </w:tr>
      <w:tr w:rsidR="00000000" w14:paraId="71F202F3" w14:textId="77777777">
        <w:trPr>
          <w:divId w:val="1927181943"/>
          <w:jc w:val="center"/>
        </w:trPr>
        <w:tc>
          <w:tcPr>
            <w:tcW w:w="0" w:type="auto"/>
            <w:gridSpan w:val="3"/>
            <w:shd w:val="clear" w:color="auto" w:fill="CCEEFF"/>
            <w:tcMar>
              <w:top w:w="30" w:type="dxa"/>
              <w:left w:w="140" w:type="dxa"/>
              <w:bottom w:w="30" w:type="dxa"/>
              <w:right w:w="20" w:type="dxa"/>
            </w:tcMar>
            <w:vAlign w:val="bottom"/>
            <w:hideMark/>
          </w:tcPr>
          <w:p w14:paraId="0657BF7C" w14:textId="77777777" w:rsidR="00000000" w:rsidRDefault="00E614A4">
            <w:pPr>
              <w:rPr>
                <w:rFonts w:eastAsia="Times New Roman"/>
              </w:rPr>
            </w:pPr>
            <w:r>
              <w:rPr>
                <w:rFonts w:eastAsia="Times New Roman"/>
                <w:color w:val="000000"/>
                <w:sz w:val="18"/>
                <w:szCs w:val="18"/>
              </w:rPr>
              <w:t>Contract liabilities</w:t>
            </w:r>
          </w:p>
        </w:tc>
        <w:tc>
          <w:tcPr>
            <w:tcW w:w="0" w:type="auto"/>
            <w:gridSpan w:val="3"/>
            <w:shd w:val="clear" w:color="auto" w:fill="CCEEFF"/>
            <w:tcMar>
              <w:top w:w="0" w:type="dxa"/>
              <w:left w:w="20" w:type="dxa"/>
              <w:bottom w:w="0" w:type="dxa"/>
              <w:right w:w="20" w:type="dxa"/>
            </w:tcMar>
            <w:vAlign w:val="center"/>
            <w:hideMark/>
          </w:tcPr>
          <w:p w14:paraId="6F599963"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5E64A6" w14:textId="77777777" w:rsidR="00000000" w:rsidRDefault="00E614A4">
            <w:pPr>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bottom"/>
            <w:hideMark/>
          </w:tcPr>
          <w:p w14:paraId="4F480D8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C742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40A9CD" w14:textId="77777777" w:rsidR="00000000" w:rsidRDefault="00E614A4">
            <w:pPr>
              <w:jc w:val="right"/>
              <w:rPr>
                <w:rFonts w:eastAsia="Times New Roman"/>
              </w:rPr>
            </w:pPr>
            <w:r>
              <w:rPr>
                <w:rFonts w:eastAsia="Times New Roman"/>
                <w:color w:val="000000"/>
                <w:sz w:val="18"/>
                <w:szCs w:val="18"/>
              </w:rPr>
              <w:t>1,361 </w:t>
            </w:r>
          </w:p>
        </w:tc>
        <w:tc>
          <w:tcPr>
            <w:tcW w:w="0" w:type="auto"/>
            <w:shd w:val="clear" w:color="auto" w:fill="CCEEFF"/>
            <w:tcMar>
              <w:top w:w="30" w:type="dxa"/>
              <w:left w:w="0" w:type="dxa"/>
              <w:bottom w:w="30" w:type="dxa"/>
              <w:right w:w="20" w:type="dxa"/>
            </w:tcMar>
            <w:vAlign w:val="bottom"/>
            <w:hideMark/>
          </w:tcPr>
          <w:p w14:paraId="77BEE8B3" w14:textId="77777777" w:rsidR="00000000" w:rsidRDefault="00E614A4">
            <w:pPr>
              <w:jc w:val="right"/>
              <w:rPr>
                <w:rFonts w:eastAsia="Times New Roman"/>
              </w:rPr>
            </w:pPr>
          </w:p>
        </w:tc>
      </w:tr>
      <w:tr w:rsidR="00000000" w14:paraId="26954355" w14:textId="77777777">
        <w:trPr>
          <w:divId w:val="1927181943"/>
          <w:jc w:val="center"/>
        </w:trPr>
        <w:tc>
          <w:tcPr>
            <w:tcW w:w="0" w:type="auto"/>
            <w:gridSpan w:val="3"/>
            <w:vAlign w:val="center"/>
            <w:hideMark/>
          </w:tcPr>
          <w:p w14:paraId="6C682214" w14:textId="77777777" w:rsidR="00000000" w:rsidRDefault="00E614A4">
            <w:pPr>
              <w:jc w:val="right"/>
              <w:rPr>
                <w:rFonts w:eastAsia="Times New Roman"/>
                <w:sz w:val="20"/>
                <w:szCs w:val="20"/>
              </w:rPr>
            </w:pPr>
          </w:p>
        </w:tc>
        <w:tc>
          <w:tcPr>
            <w:tcW w:w="0" w:type="auto"/>
            <w:gridSpan w:val="3"/>
            <w:vAlign w:val="center"/>
            <w:hideMark/>
          </w:tcPr>
          <w:p w14:paraId="71F05891" w14:textId="77777777" w:rsidR="00000000" w:rsidRDefault="00E614A4">
            <w:pPr>
              <w:rPr>
                <w:rFonts w:eastAsia="Times New Roman"/>
                <w:sz w:val="20"/>
                <w:szCs w:val="20"/>
              </w:rPr>
            </w:pPr>
          </w:p>
        </w:tc>
        <w:tc>
          <w:tcPr>
            <w:tcW w:w="0" w:type="auto"/>
            <w:gridSpan w:val="3"/>
            <w:vAlign w:val="center"/>
            <w:hideMark/>
          </w:tcPr>
          <w:p w14:paraId="2C82A3E5" w14:textId="77777777" w:rsidR="00000000" w:rsidRDefault="00E614A4">
            <w:pPr>
              <w:rPr>
                <w:rFonts w:eastAsia="Times New Roman"/>
                <w:sz w:val="20"/>
                <w:szCs w:val="20"/>
              </w:rPr>
            </w:pPr>
          </w:p>
        </w:tc>
        <w:tc>
          <w:tcPr>
            <w:tcW w:w="0" w:type="auto"/>
            <w:gridSpan w:val="3"/>
            <w:vAlign w:val="center"/>
            <w:hideMark/>
          </w:tcPr>
          <w:p w14:paraId="2AD64D5A" w14:textId="77777777" w:rsidR="00000000" w:rsidRDefault="00E614A4">
            <w:pPr>
              <w:rPr>
                <w:rFonts w:eastAsia="Times New Roman"/>
                <w:sz w:val="20"/>
                <w:szCs w:val="20"/>
              </w:rPr>
            </w:pPr>
          </w:p>
        </w:tc>
        <w:tc>
          <w:tcPr>
            <w:tcW w:w="0" w:type="auto"/>
            <w:gridSpan w:val="3"/>
            <w:vAlign w:val="center"/>
            <w:hideMark/>
          </w:tcPr>
          <w:p w14:paraId="7A624245" w14:textId="77777777" w:rsidR="00000000" w:rsidRDefault="00E614A4">
            <w:pPr>
              <w:rPr>
                <w:rFonts w:eastAsia="Times New Roman"/>
                <w:sz w:val="20"/>
                <w:szCs w:val="20"/>
              </w:rPr>
            </w:pPr>
          </w:p>
        </w:tc>
      </w:tr>
      <w:tr w:rsidR="00000000" w14:paraId="52A16DE7" w14:textId="77777777">
        <w:trPr>
          <w:divId w:val="1927181943"/>
          <w:jc w:val="center"/>
        </w:trPr>
        <w:tc>
          <w:tcPr>
            <w:tcW w:w="0" w:type="auto"/>
            <w:gridSpan w:val="3"/>
            <w:vAlign w:val="center"/>
            <w:hideMark/>
          </w:tcPr>
          <w:p w14:paraId="4744EDDE" w14:textId="77777777" w:rsidR="00000000" w:rsidRDefault="00E614A4">
            <w:pPr>
              <w:rPr>
                <w:rFonts w:eastAsia="Times New Roman"/>
                <w:sz w:val="20"/>
                <w:szCs w:val="20"/>
              </w:rPr>
            </w:pPr>
          </w:p>
        </w:tc>
        <w:tc>
          <w:tcPr>
            <w:tcW w:w="0" w:type="auto"/>
            <w:gridSpan w:val="3"/>
            <w:vAlign w:val="center"/>
            <w:hideMark/>
          </w:tcPr>
          <w:p w14:paraId="3A663D42" w14:textId="77777777" w:rsidR="00000000" w:rsidRDefault="00E614A4">
            <w:pPr>
              <w:rPr>
                <w:rFonts w:eastAsia="Times New Roman"/>
                <w:sz w:val="20"/>
                <w:szCs w:val="20"/>
              </w:rPr>
            </w:pPr>
          </w:p>
        </w:tc>
        <w:tc>
          <w:tcPr>
            <w:tcW w:w="0" w:type="auto"/>
            <w:gridSpan w:val="3"/>
            <w:vAlign w:val="center"/>
            <w:hideMark/>
          </w:tcPr>
          <w:p w14:paraId="7F48DE1F" w14:textId="77777777" w:rsidR="00000000" w:rsidRDefault="00E614A4">
            <w:pPr>
              <w:rPr>
                <w:rFonts w:eastAsia="Times New Roman"/>
                <w:sz w:val="20"/>
                <w:szCs w:val="20"/>
              </w:rPr>
            </w:pPr>
          </w:p>
        </w:tc>
        <w:tc>
          <w:tcPr>
            <w:tcW w:w="0" w:type="auto"/>
            <w:gridSpan w:val="3"/>
            <w:vAlign w:val="center"/>
            <w:hideMark/>
          </w:tcPr>
          <w:p w14:paraId="297E409A" w14:textId="77777777" w:rsidR="00000000" w:rsidRDefault="00E614A4">
            <w:pPr>
              <w:rPr>
                <w:rFonts w:eastAsia="Times New Roman"/>
                <w:sz w:val="20"/>
                <w:szCs w:val="20"/>
              </w:rPr>
            </w:pPr>
          </w:p>
        </w:tc>
        <w:tc>
          <w:tcPr>
            <w:tcW w:w="0" w:type="auto"/>
            <w:gridSpan w:val="3"/>
            <w:vAlign w:val="center"/>
            <w:hideMark/>
          </w:tcPr>
          <w:p w14:paraId="6B8118CD" w14:textId="77777777" w:rsidR="00000000" w:rsidRDefault="00E614A4">
            <w:pPr>
              <w:rPr>
                <w:rFonts w:eastAsia="Times New Roman"/>
                <w:sz w:val="20"/>
                <w:szCs w:val="20"/>
              </w:rPr>
            </w:pPr>
          </w:p>
        </w:tc>
      </w:tr>
      <w:tr w:rsidR="00000000" w14:paraId="15D1593E" w14:textId="77777777">
        <w:trPr>
          <w:divId w:val="1927181943"/>
          <w:jc w:val="center"/>
        </w:trPr>
        <w:tc>
          <w:tcPr>
            <w:tcW w:w="0" w:type="auto"/>
            <w:gridSpan w:val="3"/>
            <w:vAlign w:val="center"/>
            <w:hideMark/>
          </w:tcPr>
          <w:p w14:paraId="16021375" w14:textId="77777777" w:rsidR="00000000" w:rsidRDefault="00E614A4">
            <w:pPr>
              <w:rPr>
                <w:rFonts w:eastAsia="Times New Roman"/>
                <w:sz w:val="20"/>
                <w:szCs w:val="20"/>
              </w:rPr>
            </w:pPr>
          </w:p>
        </w:tc>
        <w:tc>
          <w:tcPr>
            <w:tcW w:w="0" w:type="auto"/>
            <w:gridSpan w:val="3"/>
            <w:vAlign w:val="center"/>
            <w:hideMark/>
          </w:tcPr>
          <w:p w14:paraId="68B12F7E" w14:textId="77777777" w:rsidR="00000000" w:rsidRDefault="00E614A4">
            <w:pPr>
              <w:rPr>
                <w:rFonts w:eastAsia="Times New Roman"/>
                <w:sz w:val="20"/>
                <w:szCs w:val="20"/>
              </w:rPr>
            </w:pPr>
          </w:p>
        </w:tc>
        <w:tc>
          <w:tcPr>
            <w:tcW w:w="0" w:type="auto"/>
            <w:gridSpan w:val="3"/>
            <w:vAlign w:val="center"/>
            <w:hideMark/>
          </w:tcPr>
          <w:p w14:paraId="7077D341" w14:textId="77777777" w:rsidR="00000000" w:rsidRDefault="00E614A4">
            <w:pPr>
              <w:rPr>
                <w:rFonts w:eastAsia="Times New Roman"/>
                <w:sz w:val="20"/>
                <w:szCs w:val="20"/>
              </w:rPr>
            </w:pPr>
          </w:p>
        </w:tc>
        <w:tc>
          <w:tcPr>
            <w:tcW w:w="0" w:type="auto"/>
            <w:gridSpan w:val="3"/>
            <w:vAlign w:val="center"/>
            <w:hideMark/>
          </w:tcPr>
          <w:p w14:paraId="3FF066B0" w14:textId="77777777" w:rsidR="00000000" w:rsidRDefault="00E614A4">
            <w:pPr>
              <w:rPr>
                <w:rFonts w:eastAsia="Times New Roman"/>
                <w:sz w:val="20"/>
                <w:szCs w:val="20"/>
              </w:rPr>
            </w:pPr>
          </w:p>
        </w:tc>
        <w:tc>
          <w:tcPr>
            <w:tcW w:w="0" w:type="auto"/>
            <w:gridSpan w:val="3"/>
            <w:vAlign w:val="center"/>
            <w:hideMark/>
          </w:tcPr>
          <w:p w14:paraId="04A0545E" w14:textId="77777777" w:rsidR="00000000" w:rsidRDefault="00E614A4">
            <w:pPr>
              <w:rPr>
                <w:rFonts w:eastAsia="Times New Roman"/>
                <w:sz w:val="20"/>
                <w:szCs w:val="20"/>
              </w:rPr>
            </w:pPr>
          </w:p>
        </w:tc>
      </w:tr>
      <w:tr w:rsidR="00000000" w14:paraId="3605F4D0" w14:textId="77777777">
        <w:trPr>
          <w:divId w:val="1927181943"/>
          <w:jc w:val="center"/>
        </w:trPr>
        <w:tc>
          <w:tcPr>
            <w:tcW w:w="0" w:type="auto"/>
            <w:gridSpan w:val="3"/>
            <w:vAlign w:val="center"/>
            <w:hideMark/>
          </w:tcPr>
          <w:p w14:paraId="1B5950C1" w14:textId="77777777" w:rsidR="00000000" w:rsidRDefault="00E614A4">
            <w:pPr>
              <w:rPr>
                <w:rFonts w:eastAsia="Times New Roman"/>
                <w:sz w:val="20"/>
                <w:szCs w:val="20"/>
              </w:rPr>
            </w:pPr>
          </w:p>
        </w:tc>
        <w:tc>
          <w:tcPr>
            <w:tcW w:w="0" w:type="auto"/>
            <w:gridSpan w:val="3"/>
            <w:vAlign w:val="center"/>
            <w:hideMark/>
          </w:tcPr>
          <w:p w14:paraId="4C7BBC8D" w14:textId="77777777" w:rsidR="00000000" w:rsidRDefault="00E614A4">
            <w:pPr>
              <w:rPr>
                <w:rFonts w:eastAsia="Times New Roman"/>
                <w:sz w:val="20"/>
                <w:szCs w:val="20"/>
              </w:rPr>
            </w:pPr>
          </w:p>
        </w:tc>
        <w:tc>
          <w:tcPr>
            <w:tcW w:w="0" w:type="auto"/>
            <w:gridSpan w:val="3"/>
            <w:vAlign w:val="center"/>
            <w:hideMark/>
          </w:tcPr>
          <w:p w14:paraId="41FD4F27" w14:textId="77777777" w:rsidR="00000000" w:rsidRDefault="00E614A4">
            <w:pPr>
              <w:rPr>
                <w:rFonts w:eastAsia="Times New Roman"/>
                <w:sz w:val="20"/>
                <w:szCs w:val="20"/>
              </w:rPr>
            </w:pPr>
          </w:p>
        </w:tc>
        <w:tc>
          <w:tcPr>
            <w:tcW w:w="0" w:type="auto"/>
            <w:gridSpan w:val="3"/>
            <w:vAlign w:val="center"/>
            <w:hideMark/>
          </w:tcPr>
          <w:p w14:paraId="2DD27485" w14:textId="77777777" w:rsidR="00000000" w:rsidRDefault="00E614A4">
            <w:pPr>
              <w:rPr>
                <w:rFonts w:eastAsia="Times New Roman"/>
                <w:sz w:val="20"/>
                <w:szCs w:val="20"/>
              </w:rPr>
            </w:pPr>
          </w:p>
        </w:tc>
        <w:tc>
          <w:tcPr>
            <w:tcW w:w="0" w:type="auto"/>
            <w:gridSpan w:val="3"/>
            <w:vAlign w:val="center"/>
            <w:hideMark/>
          </w:tcPr>
          <w:p w14:paraId="7DCCD4A0" w14:textId="77777777" w:rsidR="00000000" w:rsidRDefault="00E614A4">
            <w:pPr>
              <w:rPr>
                <w:rFonts w:eastAsia="Times New Roman"/>
                <w:sz w:val="20"/>
                <w:szCs w:val="20"/>
              </w:rPr>
            </w:pPr>
          </w:p>
        </w:tc>
      </w:tr>
      <w:tr w:rsidR="00000000" w14:paraId="5365CAD5" w14:textId="77777777">
        <w:trPr>
          <w:divId w:val="1927181943"/>
          <w:jc w:val="center"/>
        </w:trPr>
        <w:tc>
          <w:tcPr>
            <w:tcW w:w="0" w:type="auto"/>
            <w:gridSpan w:val="3"/>
            <w:vAlign w:val="center"/>
            <w:hideMark/>
          </w:tcPr>
          <w:p w14:paraId="1D8D9E9D" w14:textId="77777777" w:rsidR="00000000" w:rsidRDefault="00E614A4">
            <w:pPr>
              <w:rPr>
                <w:rFonts w:eastAsia="Times New Roman"/>
                <w:sz w:val="20"/>
                <w:szCs w:val="20"/>
              </w:rPr>
            </w:pPr>
          </w:p>
        </w:tc>
        <w:tc>
          <w:tcPr>
            <w:tcW w:w="0" w:type="auto"/>
            <w:gridSpan w:val="3"/>
            <w:vAlign w:val="center"/>
            <w:hideMark/>
          </w:tcPr>
          <w:p w14:paraId="5D0AB8B6" w14:textId="77777777" w:rsidR="00000000" w:rsidRDefault="00E614A4">
            <w:pPr>
              <w:rPr>
                <w:rFonts w:eastAsia="Times New Roman"/>
                <w:sz w:val="20"/>
                <w:szCs w:val="20"/>
              </w:rPr>
            </w:pPr>
          </w:p>
        </w:tc>
        <w:tc>
          <w:tcPr>
            <w:tcW w:w="0" w:type="auto"/>
            <w:gridSpan w:val="3"/>
            <w:vAlign w:val="center"/>
            <w:hideMark/>
          </w:tcPr>
          <w:p w14:paraId="7F5D097C" w14:textId="77777777" w:rsidR="00000000" w:rsidRDefault="00E614A4">
            <w:pPr>
              <w:rPr>
                <w:rFonts w:eastAsia="Times New Roman"/>
                <w:sz w:val="20"/>
                <w:szCs w:val="20"/>
              </w:rPr>
            </w:pPr>
          </w:p>
        </w:tc>
        <w:tc>
          <w:tcPr>
            <w:tcW w:w="0" w:type="auto"/>
            <w:gridSpan w:val="3"/>
            <w:vAlign w:val="center"/>
            <w:hideMark/>
          </w:tcPr>
          <w:p w14:paraId="2F41E56A" w14:textId="77777777" w:rsidR="00000000" w:rsidRDefault="00E614A4">
            <w:pPr>
              <w:rPr>
                <w:rFonts w:eastAsia="Times New Roman"/>
                <w:sz w:val="20"/>
                <w:szCs w:val="20"/>
              </w:rPr>
            </w:pPr>
          </w:p>
        </w:tc>
        <w:tc>
          <w:tcPr>
            <w:tcW w:w="0" w:type="auto"/>
            <w:gridSpan w:val="3"/>
            <w:vAlign w:val="center"/>
            <w:hideMark/>
          </w:tcPr>
          <w:p w14:paraId="0E0AE7A8" w14:textId="77777777" w:rsidR="00000000" w:rsidRDefault="00E614A4">
            <w:pPr>
              <w:rPr>
                <w:rFonts w:eastAsia="Times New Roman"/>
                <w:sz w:val="20"/>
                <w:szCs w:val="20"/>
              </w:rPr>
            </w:pPr>
          </w:p>
        </w:tc>
      </w:tr>
    </w:tbl>
    <w:p w14:paraId="03232D11" w14:textId="77777777" w:rsidR="00000000" w:rsidRDefault="00E614A4">
      <w:pPr>
        <w:jc w:val="both"/>
        <w:divId w:val="1426263299"/>
        <w:rPr>
          <w:rFonts w:eastAsia="Times New Roman"/>
        </w:rPr>
      </w:pPr>
      <w:r>
        <w:rPr>
          <w:rFonts w:eastAsia="Times New Roman"/>
          <w:i/>
          <w:iCs/>
          <w:color w:val="000000"/>
          <w:sz w:val="20"/>
          <w:szCs w:val="20"/>
        </w:rPr>
        <w:t xml:space="preserve">Transactions with Starboard </w:t>
      </w:r>
    </w:p>
    <w:p w14:paraId="778496ED" w14:textId="77777777" w:rsidR="00000000" w:rsidRDefault="00E614A4">
      <w:pPr>
        <w:jc w:val="both"/>
        <w:divId w:val="1115831249"/>
        <w:rPr>
          <w:rFonts w:eastAsia="Times New Roman"/>
        </w:rPr>
      </w:pPr>
      <w:r>
        <w:rPr>
          <w:rFonts w:eastAsia="Times New Roman"/>
          <w:color w:val="000000"/>
          <w:sz w:val="20"/>
          <w:szCs w:val="20"/>
        </w:rPr>
        <w:t>On January </w:t>
      </w:r>
      <w:r>
        <w:rPr>
          <w:rFonts w:eastAsia="Times New Roman"/>
          <w:color w:val="000000"/>
          <w:sz w:val="20"/>
          <w:szCs w:val="20"/>
        </w:rPr>
        <w:t xml:space="preserve">16, 2018, the Company entered into certain agreements with Starboard, then a beneficial owner of more than five percent of the Company's outstanding Common Stock. 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for fu</w:t>
      </w:r>
      <w:r>
        <w:rPr>
          <w:rFonts w:eastAsia="Times New Roman"/>
          <w:color w:val="000000"/>
          <w:sz w:val="20"/>
          <w:szCs w:val="20"/>
        </w:rPr>
        <w:t>rther information regarding these agreements and the Company's issuance of senior secured convertible notes to Starboard in 2018. As a result of these agreements and the transactions contemplated thereby, Starboard ceased to be a beneficial owner of more t</w:t>
      </w:r>
      <w:r>
        <w:rPr>
          <w:rFonts w:eastAsia="Times New Roman"/>
          <w:color w:val="000000"/>
          <w:sz w:val="20"/>
          <w:szCs w:val="20"/>
        </w:rPr>
        <w:t>han five percent of the Company's outstanding Common Stock on January 16, 2018.</w:t>
      </w:r>
    </w:p>
    <w:p w14:paraId="349EF351" w14:textId="77777777" w:rsidR="00000000" w:rsidRDefault="00E614A4">
      <w:pPr>
        <w:jc w:val="both"/>
        <w:divId w:val="1742210681"/>
        <w:rPr>
          <w:rFonts w:eastAsia="Times New Roman"/>
        </w:rPr>
      </w:pPr>
      <w:r>
        <w:rPr>
          <w:rFonts w:eastAsia="Times New Roman"/>
          <w:color w:val="000000"/>
          <w:sz w:val="20"/>
          <w:szCs w:val="20"/>
        </w:rPr>
        <w:t>On April 18, 2018, the Company amended a prior agreement with Starboard, dated as of September 28, 2017 (the "September Agreement"), pertaining to the membership and compositio</w:t>
      </w:r>
      <w:r>
        <w:rPr>
          <w:rFonts w:eastAsia="Times New Roman"/>
          <w:color w:val="000000"/>
          <w:sz w:val="20"/>
          <w:szCs w:val="20"/>
        </w:rPr>
        <w:t xml:space="preserve">n of the Company's Board of Directors (the "Board"). Pursuant to the amendment, the Company and Starboard agreed that, effective as of the Company's annual meeting of stockholders on May 30, 2018, the size of the Board would be fixed at eight members. The </w:t>
      </w:r>
      <w:r>
        <w:rPr>
          <w:rFonts w:eastAsia="Times New Roman"/>
          <w:color w:val="000000"/>
          <w:sz w:val="20"/>
          <w:szCs w:val="20"/>
        </w:rPr>
        <w:t xml:space="preserve">amendment further designated Starboard's "appointees" under the September Agreement. As of December 31, 2018, Starboard had no remaining right to designate any directors to the Board. </w:t>
      </w:r>
    </w:p>
    <w:p w14:paraId="50E94683" w14:textId="77777777" w:rsidR="00000000" w:rsidRDefault="00E614A4">
      <w:pPr>
        <w:jc w:val="both"/>
        <w:divId w:val="1722242162"/>
        <w:rPr>
          <w:rFonts w:eastAsia="Times New Roman"/>
        </w:rPr>
      </w:pPr>
      <w:r>
        <w:rPr>
          <w:rFonts w:eastAsia="Times New Roman"/>
          <w:color w:val="000000"/>
          <w:sz w:val="20"/>
          <w:szCs w:val="20"/>
        </w:rPr>
        <w:t>Included in the Consolidated Statements of Operations and Comprehensive</w:t>
      </w:r>
      <w:r>
        <w:rPr>
          <w:rFonts w:eastAsia="Times New Roman"/>
          <w:color w:val="000000"/>
          <w:sz w:val="20"/>
          <w:szCs w:val="20"/>
        </w:rPr>
        <w:t xml:space="preserve"> Loss, the Company recorded interest expense, inclusive of non-cash accretion of issuance discount and deferred financing costs, related to the senior secured convertible notes of $33.3 million, $30.8 million, and $16.4 million during the years ended Decem</w:t>
      </w:r>
      <w:r>
        <w:rPr>
          <w:rFonts w:eastAsia="Times New Roman"/>
          <w:color w:val="000000"/>
          <w:sz w:val="20"/>
          <w:szCs w:val="20"/>
        </w:rPr>
        <w:t>ber 31, 2020, 2019 and 2018, respectively.</w:t>
      </w:r>
    </w:p>
    <w:p w14:paraId="2042F27F" w14:textId="77777777" w:rsidR="00000000" w:rsidRDefault="00E614A4">
      <w:pPr>
        <w:jc w:val="both"/>
        <w:divId w:val="1247152479"/>
        <w:rPr>
          <w:rFonts w:eastAsia="Times New Roman"/>
        </w:rPr>
      </w:pPr>
      <w:r>
        <w:rPr>
          <w:rFonts w:eastAsia="Times New Roman"/>
          <w:color w:val="000000"/>
          <w:sz w:val="20"/>
          <w:szCs w:val="20"/>
        </w:rPr>
        <w:t>The Company has the following balances related to transactions with Starboard, as reflected in the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1"/>
        <w:gridCol w:w="961"/>
        <w:gridCol w:w="36"/>
        <w:gridCol w:w="36"/>
        <w:gridCol w:w="36"/>
        <w:gridCol w:w="36"/>
        <w:gridCol w:w="111"/>
        <w:gridCol w:w="961"/>
        <w:gridCol w:w="36"/>
      </w:tblGrid>
      <w:tr w:rsidR="00000000" w14:paraId="037A6B5A" w14:textId="77777777">
        <w:trPr>
          <w:divId w:val="1683429559"/>
          <w:jc w:val="center"/>
        </w:trPr>
        <w:tc>
          <w:tcPr>
            <w:tcW w:w="50" w:type="pct"/>
            <w:vAlign w:val="center"/>
            <w:hideMark/>
          </w:tcPr>
          <w:p w14:paraId="435DC2FC" w14:textId="77777777" w:rsidR="00000000" w:rsidRDefault="00E614A4">
            <w:pPr>
              <w:jc w:val="both"/>
              <w:rPr>
                <w:rFonts w:eastAsia="Times New Roman"/>
              </w:rPr>
            </w:pPr>
          </w:p>
        </w:tc>
        <w:tc>
          <w:tcPr>
            <w:tcW w:w="3542" w:type="pct"/>
            <w:vAlign w:val="center"/>
            <w:hideMark/>
          </w:tcPr>
          <w:p w14:paraId="7F0E1702" w14:textId="77777777" w:rsidR="00000000" w:rsidRDefault="00E614A4">
            <w:pPr>
              <w:rPr>
                <w:rFonts w:eastAsia="Times New Roman"/>
                <w:sz w:val="20"/>
                <w:szCs w:val="20"/>
              </w:rPr>
            </w:pPr>
          </w:p>
        </w:tc>
        <w:tc>
          <w:tcPr>
            <w:tcW w:w="5" w:type="pct"/>
            <w:vAlign w:val="center"/>
            <w:hideMark/>
          </w:tcPr>
          <w:p w14:paraId="5A95A348" w14:textId="77777777" w:rsidR="00000000" w:rsidRDefault="00E614A4">
            <w:pPr>
              <w:rPr>
                <w:rFonts w:eastAsia="Times New Roman"/>
                <w:sz w:val="20"/>
                <w:szCs w:val="20"/>
              </w:rPr>
            </w:pPr>
          </w:p>
        </w:tc>
        <w:tc>
          <w:tcPr>
            <w:tcW w:w="5" w:type="pct"/>
            <w:vAlign w:val="center"/>
            <w:hideMark/>
          </w:tcPr>
          <w:p w14:paraId="39A5EF3A" w14:textId="77777777" w:rsidR="00000000" w:rsidRDefault="00E614A4">
            <w:pPr>
              <w:rPr>
                <w:rFonts w:eastAsia="Times New Roman"/>
                <w:sz w:val="20"/>
                <w:szCs w:val="20"/>
              </w:rPr>
            </w:pPr>
          </w:p>
        </w:tc>
        <w:tc>
          <w:tcPr>
            <w:tcW w:w="17" w:type="pct"/>
            <w:vAlign w:val="center"/>
            <w:hideMark/>
          </w:tcPr>
          <w:p w14:paraId="2DD75764" w14:textId="77777777" w:rsidR="00000000" w:rsidRDefault="00E614A4">
            <w:pPr>
              <w:rPr>
                <w:rFonts w:eastAsia="Times New Roman"/>
                <w:sz w:val="20"/>
                <w:szCs w:val="20"/>
              </w:rPr>
            </w:pPr>
          </w:p>
        </w:tc>
        <w:tc>
          <w:tcPr>
            <w:tcW w:w="5" w:type="pct"/>
            <w:vAlign w:val="center"/>
            <w:hideMark/>
          </w:tcPr>
          <w:p w14:paraId="39407092" w14:textId="77777777" w:rsidR="00000000" w:rsidRDefault="00E614A4">
            <w:pPr>
              <w:rPr>
                <w:rFonts w:eastAsia="Times New Roman"/>
                <w:sz w:val="20"/>
                <w:szCs w:val="20"/>
              </w:rPr>
            </w:pPr>
          </w:p>
        </w:tc>
        <w:tc>
          <w:tcPr>
            <w:tcW w:w="50" w:type="pct"/>
            <w:vAlign w:val="center"/>
            <w:hideMark/>
          </w:tcPr>
          <w:p w14:paraId="782B5153" w14:textId="77777777" w:rsidR="00000000" w:rsidRDefault="00E614A4">
            <w:pPr>
              <w:rPr>
                <w:rFonts w:eastAsia="Times New Roman"/>
                <w:sz w:val="20"/>
                <w:szCs w:val="20"/>
              </w:rPr>
            </w:pPr>
          </w:p>
        </w:tc>
        <w:tc>
          <w:tcPr>
            <w:tcW w:w="618" w:type="pct"/>
            <w:vAlign w:val="center"/>
            <w:hideMark/>
          </w:tcPr>
          <w:p w14:paraId="30DBD783" w14:textId="77777777" w:rsidR="00000000" w:rsidRDefault="00E614A4">
            <w:pPr>
              <w:rPr>
                <w:rFonts w:eastAsia="Times New Roman"/>
                <w:sz w:val="20"/>
                <w:szCs w:val="20"/>
              </w:rPr>
            </w:pPr>
          </w:p>
        </w:tc>
        <w:tc>
          <w:tcPr>
            <w:tcW w:w="5" w:type="pct"/>
            <w:vAlign w:val="center"/>
            <w:hideMark/>
          </w:tcPr>
          <w:p w14:paraId="7CE787E4" w14:textId="77777777" w:rsidR="00000000" w:rsidRDefault="00E614A4">
            <w:pPr>
              <w:rPr>
                <w:rFonts w:eastAsia="Times New Roman"/>
                <w:sz w:val="20"/>
                <w:szCs w:val="20"/>
              </w:rPr>
            </w:pPr>
          </w:p>
        </w:tc>
        <w:tc>
          <w:tcPr>
            <w:tcW w:w="5" w:type="pct"/>
            <w:vAlign w:val="center"/>
            <w:hideMark/>
          </w:tcPr>
          <w:p w14:paraId="595524B9" w14:textId="77777777" w:rsidR="00000000" w:rsidRDefault="00E614A4">
            <w:pPr>
              <w:rPr>
                <w:rFonts w:eastAsia="Times New Roman"/>
                <w:sz w:val="20"/>
                <w:szCs w:val="20"/>
              </w:rPr>
            </w:pPr>
          </w:p>
        </w:tc>
        <w:tc>
          <w:tcPr>
            <w:tcW w:w="17" w:type="pct"/>
            <w:vAlign w:val="center"/>
            <w:hideMark/>
          </w:tcPr>
          <w:p w14:paraId="326EA074" w14:textId="77777777" w:rsidR="00000000" w:rsidRDefault="00E614A4">
            <w:pPr>
              <w:rPr>
                <w:rFonts w:eastAsia="Times New Roman"/>
                <w:sz w:val="20"/>
                <w:szCs w:val="20"/>
              </w:rPr>
            </w:pPr>
          </w:p>
        </w:tc>
        <w:tc>
          <w:tcPr>
            <w:tcW w:w="5" w:type="pct"/>
            <w:vAlign w:val="center"/>
            <w:hideMark/>
          </w:tcPr>
          <w:p w14:paraId="590E5469" w14:textId="77777777" w:rsidR="00000000" w:rsidRDefault="00E614A4">
            <w:pPr>
              <w:rPr>
                <w:rFonts w:eastAsia="Times New Roman"/>
                <w:sz w:val="20"/>
                <w:szCs w:val="20"/>
              </w:rPr>
            </w:pPr>
          </w:p>
        </w:tc>
        <w:tc>
          <w:tcPr>
            <w:tcW w:w="50" w:type="pct"/>
            <w:vAlign w:val="center"/>
            <w:hideMark/>
          </w:tcPr>
          <w:p w14:paraId="15C92AEC" w14:textId="77777777" w:rsidR="00000000" w:rsidRDefault="00E614A4">
            <w:pPr>
              <w:rPr>
                <w:rFonts w:eastAsia="Times New Roman"/>
                <w:sz w:val="20"/>
                <w:szCs w:val="20"/>
              </w:rPr>
            </w:pPr>
          </w:p>
        </w:tc>
        <w:tc>
          <w:tcPr>
            <w:tcW w:w="618" w:type="pct"/>
            <w:vAlign w:val="center"/>
            <w:hideMark/>
          </w:tcPr>
          <w:p w14:paraId="61804CFD" w14:textId="77777777" w:rsidR="00000000" w:rsidRDefault="00E614A4">
            <w:pPr>
              <w:rPr>
                <w:rFonts w:eastAsia="Times New Roman"/>
                <w:sz w:val="20"/>
                <w:szCs w:val="20"/>
              </w:rPr>
            </w:pPr>
          </w:p>
        </w:tc>
        <w:tc>
          <w:tcPr>
            <w:tcW w:w="5" w:type="pct"/>
            <w:vAlign w:val="center"/>
            <w:hideMark/>
          </w:tcPr>
          <w:p w14:paraId="12167B07" w14:textId="77777777" w:rsidR="00000000" w:rsidRDefault="00E614A4">
            <w:pPr>
              <w:rPr>
                <w:rFonts w:eastAsia="Times New Roman"/>
                <w:sz w:val="20"/>
                <w:szCs w:val="20"/>
              </w:rPr>
            </w:pPr>
          </w:p>
        </w:tc>
      </w:tr>
      <w:tr w:rsidR="00000000" w14:paraId="504ABBB3" w14:textId="77777777">
        <w:trPr>
          <w:divId w:val="1683429559"/>
          <w:jc w:val="center"/>
        </w:trPr>
        <w:tc>
          <w:tcPr>
            <w:tcW w:w="0" w:type="auto"/>
            <w:gridSpan w:val="3"/>
            <w:tcMar>
              <w:top w:w="0" w:type="dxa"/>
              <w:left w:w="20" w:type="dxa"/>
              <w:bottom w:w="0" w:type="dxa"/>
              <w:right w:w="20" w:type="dxa"/>
            </w:tcMar>
            <w:vAlign w:val="center"/>
            <w:hideMark/>
          </w:tcPr>
          <w:p w14:paraId="0A750AD4"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72D2428"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29D0F4C4" w14:textId="77777777" w:rsidR="00000000" w:rsidRDefault="00E614A4">
            <w:pPr>
              <w:jc w:val="center"/>
              <w:rPr>
                <w:rFonts w:eastAsia="Times New Roman"/>
              </w:rPr>
            </w:pPr>
            <w:r>
              <w:rPr>
                <w:rFonts w:eastAsia="Times New Roman"/>
                <w:b/>
                <w:bCs/>
                <w:color w:val="000000"/>
                <w:sz w:val="16"/>
                <w:szCs w:val="16"/>
              </w:rPr>
              <w:t>As of December 31,</w:t>
            </w:r>
          </w:p>
        </w:tc>
      </w:tr>
      <w:tr w:rsidR="00000000" w14:paraId="7E6089A8" w14:textId="77777777">
        <w:trPr>
          <w:divId w:val="1683429559"/>
          <w:jc w:val="center"/>
        </w:trPr>
        <w:tc>
          <w:tcPr>
            <w:tcW w:w="0" w:type="auto"/>
            <w:gridSpan w:val="3"/>
            <w:tcMar>
              <w:top w:w="30" w:type="dxa"/>
              <w:left w:w="20" w:type="dxa"/>
              <w:bottom w:w="30" w:type="dxa"/>
              <w:right w:w="20" w:type="dxa"/>
            </w:tcMar>
            <w:vAlign w:val="bottom"/>
            <w:hideMark/>
          </w:tcPr>
          <w:p w14:paraId="5E0F9A37" w14:textId="77777777" w:rsidR="00000000" w:rsidRDefault="00E614A4">
            <w:pPr>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179C282B" w14:textId="77777777" w:rsidR="00000000" w:rsidRDefault="00E614A4">
            <w:pPr>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BDBA95" w14:textId="77777777" w:rsidR="00000000" w:rsidRDefault="00E614A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5ABD279"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B65ED2" w14:textId="77777777" w:rsidR="00000000" w:rsidRDefault="00E614A4">
            <w:pPr>
              <w:jc w:val="center"/>
              <w:rPr>
                <w:rFonts w:eastAsia="Times New Roman"/>
              </w:rPr>
            </w:pPr>
            <w:r>
              <w:rPr>
                <w:rFonts w:eastAsia="Times New Roman"/>
                <w:b/>
                <w:bCs/>
                <w:color w:val="000000"/>
                <w:sz w:val="16"/>
                <w:szCs w:val="16"/>
              </w:rPr>
              <w:t>2019</w:t>
            </w:r>
          </w:p>
        </w:tc>
      </w:tr>
      <w:tr w:rsidR="00000000" w14:paraId="1AF6379D" w14:textId="77777777">
        <w:trPr>
          <w:divId w:val="1683429559"/>
          <w:jc w:val="center"/>
        </w:trPr>
        <w:tc>
          <w:tcPr>
            <w:tcW w:w="0" w:type="auto"/>
            <w:gridSpan w:val="3"/>
            <w:vAlign w:val="center"/>
            <w:hideMark/>
          </w:tcPr>
          <w:p w14:paraId="588DFD66" w14:textId="77777777" w:rsidR="00000000" w:rsidRDefault="00E614A4">
            <w:pPr>
              <w:jc w:val="center"/>
              <w:rPr>
                <w:rFonts w:eastAsia="Times New Roman"/>
              </w:rPr>
            </w:pPr>
          </w:p>
        </w:tc>
        <w:tc>
          <w:tcPr>
            <w:tcW w:w="0" w:type="auto"/>
            <w:gridSpan w:val="3"/>
            <w:vAlign w:val="center"/>
            <w:hideMark/>
          </w:tcPr>
          <w:p w14:paraId="5A3F0633" w14:textId="77777777" w:rsidR="00000000" w:rsidRDefault="00E614A4">
            <w:pPr>
              <w:rPr>
                <w:rFonts w:eastAsia="Times New Roman"/>
                <w:sz w:val="20"/>
                <w:szCs w:val="20"/>
              </w:rPr>
            </w:pPr>
          </w:p>
        </w:tc>
        <w:tc>
          <w:tcPr>
            <w:tcW w:w="0" w:type="auto"/>
            <w:gridSpan w:val="3"/>
            <w:vAlign w:val="center"/>
            <w:hideMark/>
          </w:tcPr>
          <w:p w14:paraId="3EDDABB1" w14:textId="77777777" w:rsidR="00000000" w:rsidRDefault="00E614A4">
            <w:pPr>
              <w:rPr>
                <w:rFonts w:eastAsia="Times New Roman"/>
                <w:sz w:val="20"/>
                <w:szCs w:val="20"/>
              </w:rPr>
            </w:pPr>
          </w:p>
        </w:tc>
        <w:tc>
          <w:tcPr>
            <w:tcW w:w="0" w:type="auto"/>
            <w:gridSpan w:val="3"/>
            <w:vAlign w:val="center"/>
            <w:hideMark/>
          </w:tcPr>
          <w:p w14:paraId="591084FC" w14:textId="77777777" w:rsidR="00000000" w:rsidRDefault="00E614A4">
            <w:pPr>
              <w:rPr>
                <w:rFonts w:eastAsia="Times New Roman"/>
                <w:sz w:val="20"/>
                <w:szCs w:val="20"/>
              </w:rPr>
            </w:pPr>
          </w:p>
        </w:tc>
        <w:tc>
          <w:tcPr>
            <w:tcW w:w="0" w:type="auto"/>
            <w:gridSpan w:val="3"/>
            <w:vAlign w:val="center"/>
            <w:hideMark/>
          </w:tcPr>
          <w:p w14:paraId="69CA8FA9" w14:textId="77777777" w:rsidR="00000000" w:rsidRDefault="00E614A4">
            <w:pPr>
              <w:rPr>
                <w:rFonts w:eastAsia="Times New Roman"/>
                <w:sz w:val="20"/>
                <w:szCs w:val="20"/>
              </w:rPr>
            </w:pPr>
          </w:p>
        </w:tc>
      </w:tr>
      <w:tr w:rsidR="00000000" w14:paraId="5BCF6E7F" w14:textId="77777777">
        <w:trPr>
          <w:divId w:val="1683429559"/>
          <w:jc w:val="center"/>
        </w:trPr>
        <w:tc>
          <w:tcPr>
            <w:tcW w:w="0" w:type="auto"/>
            <w:gridSpan w:val="3"/>
            <w:vAlign w:val="center"/>
            <w:hideMark/>
          </w:tcPr>
          <w:p w14:paraId="72C0471E" w14:textId="77777777" w:rsidR="00000000" w:rsidRDefault="00E614A4">
            <w:pPr>
              <w:rPr>
                <w:rFonts w:eastAsia="Times New Roman"/>
                <w:sz w:val="20"/>
                <w:szCs w:val="20"/>
              </w:rPr>
            </w:pPr>
          </w:p>
        </w:tc>
        <w:tc>
          <w:tcPr>
            <w:tcW w:w="0" w:type="auto"/>
            <w:gridSpan w:val="3"/>
            <w:vAlign w:val="center"/>
            <w:hideMark/>
          </w:tcPr>
          <w:p w14:paraId="557535DE" w14:textId="77777777" w:rsidR="00000000" w:rsidRDefault="00E614A4">
            <w:pPr>
              <w:rPr>
                <w:rFonts w:eastAsia="Times New Roman"/>
                <w:sz w:val="20"/>
                <w:szCs w:val="20"/>
              </w:rPr>
            </w:pPr>
          </w:p>
        </w:tc>
        <w:tc>
          <w:tcPr>
            <w:tcW w:w="0" w:type="auto"/>
            <w:gridSpan w:val="3"/>
            <w:vAlign w:val="center"/>
            <w:hideMark/>
          </w:tcPr>
          <w:p w14:paraId="0CA07C1D" w14:textId="77777777" w:rsidR="00000000" w:rsidRDefault="00E614A4">
            <w:pPr>
              <w:rPr>
                <w:rFonts w:eastAsia="Times New Roman"/>
                <w:sz w:val="20"/>
                <w:szCs w:val="20"/>
              </w:rPr>
            </w:pPr>
          </w:p>
        </w:tc>
        <w:tc>
          <w:tcPr>
            <w:tcW w:w="0" w:type="auto"/>
            <w:gridSpan w:val="3"/>
            <w:vAlign w:val="center"/>
            <w:hideMark/>
          </w:tcPr>
          <w:p w14:paraId="03C61EAF" w14:textId="77777777" w:rsidR="00000000" w:rsidRDefault="00E614A4">
            <w:pPr>
              <w:rPr>
                <w:rFonts w:eastAsia="Times New Roman"/>
                <w:sz w:val="20"/>
                <w:szCs w:val="20"/>
              </w:rPr>
            </w:pPr>
          </w:p>
        </w:tc>
        <w:tc>
          <w:tcPr>
            <w:tcW w:w="0" w:type="auto"/>
            <w:gridSpan w:val="3"/>
            <w:vAlign w:val="center"/>
            <w:hideMark/>
          </w:tcPr>
          <w:p w14:paraId="6293D140" w14:textId="77777777" w:rsidR="00000000" w:rsidRDefault="00E614A4">
            <w:pPr>
              <w:rPr>
                <w:rFonts w:eastAsia="Times New Roman"/>
                <w:sz w:val="20"/>
                <w:szCs w:val="20"/>
              </w:rPr>
            </w:pPr>
          </w:p>
        </w:tc>
      </w:tr>
      <w:tr w:rsidR="00000000" w14:paraId="21F28678" w14:textId="77777777">
        <w:trPr>
          <w:divId w:val="1683429559"/>
          <w:jc w:val="center"/>
        </w:trPr>
        <w:tc>
          <w:tcPr>
            <w:tcW w:w="0" w:type="auto"/>
            <w:gridSpan w:val="3"/>
            <w:vAlign w:val="center"/>
            <w:hideMark/>
          </w:tcPr>
          <w:p w14:paraId="3FCEEDB5" w14:textId="77777777" w:rsidR="00000000" w:rsidRDefault="00E614A4">
            <w:pPr>
              <w:rPr>
                <w:rFonts w:eastAsia="Times New Roman"/>
                <w:sz w:val="20"/>
                <w:szCs w:val="20"/>
              </w:rPr>
            </w:pPr>
          </w:p>
        </w:tc>
        <w:tc>
          <w:tcPr>
            <w:tcW w:w="0" w:type="auto"/>
            <w:gridSpan w:val="3"/>
            <w:vAlign w:val="center"/>
            <w:hideMark/>
          </w:tcPr>
          <w:p w14:paraId="0081FDFE" w14:textId="77777777" w:rsidR="00000000" w:rsidRDefault="00E614A4">
            <w:pPr>
              <w:rPr>
                <w:rFonts w:eastAsia="Times New Roman"/>
                <w:sz w:val="20"/>
                <w:szCs w:val="20"/>
              </w:rPr>
            </w:pPr>
          </w:p>
        </w:tc>
        <w:tc>
          <w:tcPr>
            <w:tcW w:w="0" w:type="auto"/>
            <w:gridSpan w:val="3"/>
            <w:vAlign w:val="center"/>
            <w:hideMark/>
          </w:tcPr>
          <w:p w14:paraId="15F9A675" w14:textId="77777777" w:rsidR="00000000" w:rsidRDefault="00E614A4">
            <w:pPr>
              <w:rPr>
                <w:rFonts w:eastAsia="Times New Roman"/>
                <w:sz w:val="20"/>
                <w:szCs w:val="20"/>
              </w:rPr>
            </w:pPr>
          </w:p>
        </w:tc>
        <w:tc>
          <w:tcPr>
            <w:tcW w:w="0" w:type="auto"/>
            <w:gridSpan w:val="3"/>
            <w:vAlign w:val="center"/>
            <w:hideMark/>
          </w:tcPr>
          <w:p w14:paraId="25739E4A" w14:textId="77777777" w:rsidR="00000000" w:rsidRDefault="00E614A4">
            <w:pPr>
              <w:rPr>
                <w:rFonts w:eastAsia="Times New Roman"/>
                <w:sz w:val="20"/>
                <w:szCs w:val="20"/>
              </w:rPr>
            </w:pPr>
          </w:p>
        </w:tc>
        <w:tc>
          <w:tcPr>
            <w:tcW w:w="0" w:type="auto"/>
            <w:gridSpan w:val="3"/>
            <w:vAlign w:val="center"/>
            <w:hideMark/>
          </w:tcPr>
          <w:p w14:paraId="5F8C3C4F" w14:textId="77777777" w:rsidR="00000000" w:rsidRDefault="00E614A4">
            <w:pPr>
              <w:rPr>
                <w:rFonts w:eastAsia="Times New Roman"/>
                <w:sz w:val="20"/>
                <w:szCs w:val="20"/>
              </w:rPr>
            </w:pPr>
          </w:p>
        </w:tc>
      </w:tr>
      <w:tr w:rsidR="00000000" w14:paraId="40B9F4F0" w14:textId="77777777">
        <w:trPr>
          <w:divId w:val="1683429559"/>
          <w:jc w:val="center"/>
        </w:trPr>
        <w:tc>
          <w:tcPr>
            <w:tcW w:w="0" w:type="auto"/>
            <w:gridSpan w:val="3"/>
            <w:vAlign w:val="center"/>
            <w:hideMark/>
          </w:tcPr>
          <w:p w14:paraId="701D6AA1" w14:textId="77777777" w:rsidR="00000000" w:rsidRDefault="00E614A4">
            <w:pPr>
              <w:rPr>
                <w:rFonts w:eastAsia="Times New Roman"/>
                <w:sz w:val="20"/>
                <w:szCs w:val="20"/>
              </w:rPr>
            </w:pPr>
          </w:p>
        </w:tc>
        <w:tc>
          <w:tcPr>
            <w:tcW w:w="0" w:type="auto"/>
            <w:gridSpan w:val="3"/>
            <w:vAlign w:val="center"/>
            <w:hideMark/>
          </w:tcPr>
          <w:p w14:paraId="339095CE" w14:textId="77777777" w:rsidR="00000000" w:rsidRDefault="00E614A4">
            <w:pPr>
              <w:rPr>
                <w:rFonts w:eastAsia="Times New Roman"/>
                <w:sz w:val="20"/>
                <w:szCs w:val="20"/>
              </w:rPr>
            </w:pPr>
          </w:p>
        </w:tc>
        <w:tc>
          <w:tcPr>
            <w:tcW w:w="0" w:type="auto"/>
            <w:gridSpan w:val="3"/>
            <w:vAlign w:val="center"/>
            <w:hideMark/>
          </w:tcPr>
          <w:p w14:paraId="4CCFC84B" w14:textId="77777777" w:rsidR="00000000" w:rsidRDefault="00E614A4">
            <w:pPr>
              <w:rPr>
                <w:rFonts w:eastAsia="Times New Roman"/>
                <w:sz w:val="20"/>
                <w:szCs w:val="20"/>
              </w:rPr>
            </w:pPr>
          </w:p>
        </w:tc>
        <w:tc>
          <w:tcPr>
            <w:tcW w:w="0" w:type="auto"/>
            <w:gridSpan w:val="3"/>
            <w:vAlign w:val="center"/>
            <w:hideMark/>
          </w:tcPr>
          <w:p w14:paraId="5A43B186" w14:textId="77777777" w:rsidR="00000000" w:rsidRDefault="00E614A4">
            <w:pPr>
              <w:rPr>
                <w:rFonts w:eastAsia="Times New Roman"/>
                <w:sz w:val="20"/>
                <w:szCs w:val="20"/>
              </w:rPr>
            </w:pPr>
          </w:p>
        </w:tc>
        <w:tc>
          <w:tcPr>
            <w:tcW w:w="0" w:type="auto"/>
            <w:gridSpan w:val="3"/>
            <w:vAlign w:val="center"/>
            <w:hideMark/>
          </w:tcPr>
          <w:p w14:paraId="71FE3812" w14:textId="77777777" w:rsidR="00000000" w:rsidRDefault="00E614A4">
            <w:pPr>
              <w:rPr>
                <w:rFonts w:eastAsia="Times New Roman"/>
                <w:sz w:val="20"/>
                <w:szCs w:val="20"/>
              </w:rPr>
            </w:pPr>
          </w:p>
        </w:tc>
      </w:tr>
      <w:tr w:rsidR="00000000" w14:paraId="3AD807DB" w14:textId="77777777">
        <w:trPr>
          <w:divId w:val="1683429559"/>
          <w:jc w:val="center"/>
        </w:trPr>
        <w:tc>
          <w:tcPr>
            <w:tcW w:w="0" w:type="auto"/>
            <w:gridSpan w:val="3"/>
            <w:vAlign w:val="center"/>
            <w:hideMark/>
          </w:tcPr>
          <w:p w14:paraId="38F67254" w14:textId="77777777" w:rsidR="00000000" w:rsidRDefault="00E614A4">
            <w:pPr>
              <w:rPr>
                <w:rFonts w:eastAsia="Times New Roman"/>
                <w:sz w:val="20"/>
                <w:szCs w:val="20"/>
              </w:rPr>
            </w:pPr>
          </w:p>
        </w:tc>
        <w:tc>
          <w:tcPr>
            <w:tcW w:w="0" w:type="auto"/>
            <w:gridSpan w:val="3"/>
            <w:vAlign w:val="center"/>
            <w:hideMark/>
          </w:tcPr>
          <w:p w14:paraId="618CE3DE" w14:textId="77777777" w:rsidR="00000000" w:rsidRDefault="00E614A4">
            <w:pPr>
              <w:rPr>
                <w:rFonts w:eastAsia="Times New Roman"/>
                <w:sz w:val="20"/>
                <w:szCs w:val="20"/>
              </w:rPr>
            </w:pPr>
          </w:p>
        </w:tc>
        <w:tc>
          <w:tcPr>
            <w:tcW w:w="0" w:type="auto"/>
            <w:gridSpan w:val="3"/>
            <w:vAlign w:val="center"/>
            <w:hideMark/>
          </w:tcPr>
          <w:p w14:paraId="750EB64E" w14:textId="77777777" w:rsidR="00000000" w:rsidRDefault="00E614A4">
            <w:pPr>
              <w:rPr>
                <w:rFonts w:eastAsia="Times New Roman"/>
                <w:sz w:val="20"/>
                <w:szCs w:val="20"/>
              </w:rPr>
            </w:pPr>
          </w:p>
        </w:tc>
        <w:tc>
          <w:tcPr>
            <w:tcW w:w="0" w:type="auto"/>
            <w:gridSpan w:val="3"/>
            <w:vAlign w:val="center"/>
            <w:hideMark/>
          </w:tcPr>
          <w:p w14:paraId="5074B570" w14:textId="77777777" w:rsidR="00000000" w:rsidRDefault="00E614A4">
            <w:pPr>
              <w:rPr>
                <w:rFonts w:eastAsia="Times New Roman"/>
                <w:sz w:val="20"/>
                <w:szCs w:val="20"/>
              </w:rPr>
            </w:pPr>
          </w:p>
        </w:tc>
        <w:tc>
          <w:tcPr>
            <w:tcW w:w="0" w:type="auto"/>
            <w:gridSpan w:val="3"/>
            <w:vAlign w:val="center"/>
            <w:hideMark/>
          </w:tcPr>
          <w:p w14:paraId="28616121" w14:textId="77777777" w:rsidR="00000000" w:rsidRDefault="00E614A4">
            <w:pPr>
              <w:rPr>
                <w:rFonts w:eastAsia="Times New Roman"/>
                <w:sz w:val="20"/>
                <w:szCs w:val="20"/>
              </w:rPr>
            </w:pPr>
          </w:p>
        </w:tc>
      </w:tr>
      <w:tr w:rsidR="00000000" w14:paraId="382E62F1" w14:textId="77777777">
        <w:trPr>
          <w:divId w:val="1683429559"/>
          <w:jc w:val="center"/>
        </w:trPr>
        <w:tc>
          <w:tcPr>
            <w:tcW w:w="0" w:type="auto"/>
            <w:gridSpan w:val="3"/>
            <w:vAlign w:val="center"/>
            <w:hideMark/>
          </w:tcPr>
          <w:p w14:paraId="0CB2205F" w14:textId="77777777" w:rsidR="00000000" w:rsidRDefault="00E614A4">
            <w:pPr>
              <w:rPr>
                <w:rFonts w:eastAsia="Times New Roman"/>
                <w:sz w:val="20"/>
                <w:szCs w:val="20"/>
              </w:rPr>
            </w:pPr>
          </w:p>
        </w:tc>
        <w:tc>
          <w:tcPr>
            <w:tcW w:w="0" w:type="auto"/>
            <w:gridSpan w:val="3"/>
            <w:vAlign w:val="center"/>
            <w:hideMark/>
          </w:tcPr>
          <w:p w14:paraId="28909EC0" w14:textId="77777777" w:rsidR="00000000" w:rsidRDefault="00E614A4">
            <w:pPr>
              <w:rPr>
                <w:rFonts w:eastAsia="Times New Roman"/>
                <w:sz w:val="20"/>
                <w:szCs w:val="20"/>
              </w:rPr>
            </w:pPr>
          </w:p>
        </w:tc>
        <w:tc>
          <w:tcPr>
            <w:tcW w:w="0" w:type="auto"/>
            <w:gridSpan w:val="3"/>
            <w:vAlign w:val="center"/>
            <w:hideMark/>
          </w:tcPr>
          <w:p w14:paraId="4F26F51B" w14:textId="77777777" w:rsidR="00000000" w:rsidRDefault="00E614A4">
            <w:pPr>
              <w:rPr>
                <w:rFonts w:eastAsia="Times New Roman"/>
                <w:sz w:val="20"/>
                <w:szCs w:val="20"/>
              </w:rPr>
            </w:pPr>
          </w:p>
        </w:tc>
        <w:tc>
          <w:tcPr>
            <w:tcW w:w="0" w:type="auto"/>
            <w:gridSpan w:val="3"/>
            <w:vAlign w:val="center"/>
            <w:hideMark/>
          </w:tcPr>
          <w:p w14:paraId="2495DFFB" w14:textId="77777777" w:rsidR="00000000" w:rsidRDefault="00E614A4">
            <w:pPr>
              <w:rPr>
                <w:rFonts w:eastAsia="Times New Roman"/>
                <w:sz w:val="20"/>
                <w:szCs w:val="20"/>
              </w:rPr>
            </w:pPr>
          </w:p>
        </w:tc>
        <w:tc>
          <w:tcPr>
            <w:tcW w:w="0" w:type="auto"/>
            <w:gridSpan w:val="3"/>
            <w:vAlign w:val="center"/>
            <w:hideMark/>
          </w:tcPr>
          <w:p w14:paraId="24BE6B7D" w14:textId="77777777" w:rsidR="00000000" w:rsidRDefault="00E614A4">
            <w:pPr>
              <w:rPr>
                <w:rFonts w:eastAsia="Times New Roman"/>
                <w:sz w:val="20"/>
                <w:szCs w:val="20"/>
              </w:rPr>
            </w:pPr>
          </w:p>
        </w:tc>
      </w:tr>
      <w:tr w:rsidR="00000000" w14:paraId="6D52C8D0" w14:textId="77777777">
        <w:trPr>
          <w:divId w:val="1683429559"/>
          <w:jc w:val="center"/>
        </w:trPr>
        <w:tc>
          <w:tcPr>
            <w:tcW w:w="0" w:type="auto"/>
            <w:gridSpan w:val="3"/>
            <w:shd w:val="clear" w:color="auto" w:fill="CCEEFF"/>
            <w:tcMar>
              <w:top w:w="30" w:type="dxa"/>
              <w:left w:w="20" w:type="dxa"/>
              <w:bottom w:w="30" w:type="dxa"/>
              <w:right w:w="20" w:type="dxa"/>
            </w:tcMar>
            <w:vAlign w:val="bottom"/>
            <w:hideMark/>
          </w:tcPr>
          <w:p w14:paraId="66968ACB" w14:textId="77777777" w:rsidR="00000000" w:rsidRDefault="00E614A4">
            <w:pPr>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14:paraId="38578662"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CB220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E4A0B5"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F634D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6FED1"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7A6D9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CA451F" w14:textId="77777777" w:rsidR="00000000" w:rsidRDefault="00E614A4">
            <w:pPr>
              <w:jc w:val="right"/>
              <w:rPr>
                <w:rFonts w:eastAsia="Times New Roman"/>
              </w:rPr>
            </w:pPr>
            <w:r>
              <w:rPr>
                <w:rFonts w:eastAsia="Times New Roman"/>
                <w:color w:val="000000"/>
                <w:sz w:val="18"/>
                <w:szCs w:val="18"/>
              </w:rPr>
              <w:t>6,120 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CA6A0A" w14:textId="77777777" w:rsidR="00000000" w:rsidRDefault="00E614A4">
            <w:pPr>
              <w:jc w:val="right"/>
              <w:rPr>
                <w:rFonts w:eastAsia="Times New Roman"/>
              </w:rPr>
            </w:pPr>
          </w:p>
        </w:tc>
      </w:tr>
      <w:tr w:rsidR="00000000" w14:paraId="6C8BB7F8" w14:textId="77777777">
        <w:trPr>
          <w:divId w:val="1683429559"/>
          <w:jc w:val="center"/>
        </w:trPr>
        <w:tc>
          <w:tcPr>
            <w:tcW w:w="0" w:type="auto"/>
            <w:gridSpan w:val="3"/>
            <w:vAlign w:val="center"/>
            <w:hideMark/>
          </w:tcPr>
          <w:p w14:paraId="1BEEC2D5" w14:textId="77777777" w:rsidR="00000000" w:rsidRDefault="00E614A4">
            <w:pPr>
              <w:jc w:val="right"/>
              <w:rPr>
                <w:rFonts w:eastAsia="Times New Roman"/>
                <w:sz w:val="20"/>
                <w:szCs w:val="20"/>
              </w:rPr>
            </w:pPr>
          </w:p>
        </w:tc>
        <w:tc>
          <w:tcPr>
            <w:tcW w:w="0" w:type="auto"/>
            <w:gridSpan w:val="3"/>
            <w:vAlign w:val="center"/>
            <w:hideMark/>
          </w:tcPr>
          <w:p w14:paraId="31B5352E" w14:textId="77777777" w:rsidR="00000000" w:rsidRDefault="00E614A4">
            <w:pPr>
              <w:rPr>
                <w:rFonts w:eastAsia="Times New Roman"/>
                <w:sz w:val="20"/>
                <w:szCs w:val="20"/>
              </w:rPr>
            </w:pPr>
          </w:p>
        </w:tc>
        <w:tc>
          <w:tcPr>
            <w:tcW w:w="0" w:type="auto"/>
            <w:gridSpan w:val="3"/>
            <w:vAlign w:val="center"/>
            <w:hideMark/>
          </w:tcPr>
          <w:p w14:paraId="0FC5EA59" w14:textId="77777777" w:rsidR="00000000" w:rsidRDefault="00E614A4">
            <w:pPr>
              <w:rPr>
                <w:rFonts w:eastAsia="Times New Roman"/>
                <w:sz w:val="20"/>
                <w:szCs w:val="20"/>
              </w:rPr>
            </w:pPr>
          </w:p>
        </w:tc>
        <w:tc>
          <w:tcPr>
            <w:tcW w:w="0" w:type="auto"/>
            <w:gridSpan w:val="3"/>
            <w:vAlign w:val="center"/>
            <w:hideMark/>
          </w:tcPr>
          <w:p w14:paraId="36BC1A7F" w14:textId="77777777" w:rsidR="00000000" w:rsidRDefault="00E614A4">
            <w:pPr>
              <w:rPr>
                <w:rFonts w:eastAsia="Times New Roman"/>
                <w:sz w:val="20"/>
                <w:szCs w:val="20"/>
              </w:rPr>
            </w:pPr>
          </w:p>
        </w:tc>
        <w:tc>
          <w:tcPr>
            <w:tcW w:w="0" w:type="auto"/>
            <w:gridSpan w:val="3"/>
            <w:vAlign w:val="center"/>
            <w:hideMark/>
          </w:tcPr>
          <w:p w14:paraId="69513C85" w14:textId="77777777" w:rsidR="00000000" w:rsidRDefault="00E614A4">
            <w:pPr>
              <w:rPr>
                <w:rFonts w:eastAsia="Times New Roman"/>
                <w:sz w:val="20"/>
                <w:szCs w:val="20"/>
              </w:rPr>
            </w:pPr>
          </w:p>
        </w:tc>
      </w:tr>
      <w:tr w:rsidR="00000000" w14:paraId="4E31C4F1" w14:textId="77777777">
        <w:trPr>
          <w:divId w:val="1683429559"/>
          <w:jc w:val="center"/>
        </w:trPr>
        <w:tc>
          <w:tcPr>
            <w:tcW w:w="0" w:type="auto"/>
            <w:gridSpan w:val="3"/>
            <w:shd w:val="clear" w:color="auto" w:fill="FFFFFF"/>
            <w:tcMar>
              <w:top w:w="30" w:type="dxa"/>
              <w:left w:w="20" w:type="dxa"/>
              <w:bottom w:w="30" w:type="dxa"/>
              <w:right w:w="20" w:type="dxa"/>
            </w:tcMar>
            <w:vAlign w:val="bottom"/>
            <w:hideMark/>
          </w:tcPr>
          <w:p w14:paraId="471D9663" w14:textId="77777777" w:rsidR="00000000" w:rsidRDefault="00E614A4">
            <w:pPr>
              <w:rPr>
                <w:rFonts w:eastAsia="Times New Roman"/>
              </w:rPr>
            </w:pPr>
            <w:r>
              <w:rPr>
                <w:rFonts w:eastAsia="Times New Roman"/>
                <w:color w:val="000000"/>
                <w:sz w:val="18"/>
                <w:szCs w:val="18"/>
              </w:rPr>
              <w:t>Senior secured convertible notes</w:t>
            </w:r>
          </w:p>
        </w:tc>
        <w:tc>
          <w:tcPr>
            <w:tcW w:w="0" w:type="auto"/>
            <w:gridSpan w:val="3"/>
            <w:shd w:val="clear" w:color="auto" w:fill="FFFFFF"/>
            <w:tcMar>
              <w:top w:w="0" w:type="dxa"/>
              <w:left w:w="20" w:type="dxa"/>
              <w:bottom w:w="0" w:type="dxa"/>
              <w:right w:w="20" w:type="dxa"/>
            </w:tcMar>
            <w:vAlign w:val="center"/>
            <w:hideMark/>
          </w:tcPr>
          <w:p w14:paraId="551F200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1C214E" w14:textId="77777777" w:rsidR="00000000" w:rsidRDefault="00E614A4">
            <w:pPr>
              <w:jc w:val="right"/>
              <w:rPr>
                <w:rFonts w:eastAsia="Times New Roman"/>
              </w:rPr>
            </w:pPr>
            <w:r>
              <w:rPr>
                <w:rFonts w:eastAsia="Times New Roman"/>
                <w:color w:val="000000"/>
                <w:sz w:val="18"/>
                <w:szCs w:val="18"/>
              </w:rPr>
              <w:t>192,895 </w:t>
            </w:r>
          </w:p>
        </w:tc>
        <w:tc>
          <w:tcPr>
            <w:tcW w:w="0" w:type="auto"/>
            <w:shd w:val="clear" w:color="auto" w:fill="FFFFFF"/>
            <w:tcMar>
              <w:top w:w="30" w:type="dxa"/>
              <w:left w:w="0" w:type="dxa"/>
              <w:bottom w:w="30" w:type="dxa"/>
              <w:right w:w="20" w:type="dxa"/>
            </w:tcMar>
            <w:vAlign w:val="bottom"/>
            <w:hideMark/>
          </w:tcPr>
          <w:p w14:paraId="20367DB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26B5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5BC9FB" w14:textId="77777777" w:rsidR="00000000" w:rsidRDefault="00E614A4">
            <w:pPr>
              <w:jc w:val="right"/>
              <w:rPr>
                <w:rFonts w:eastAsia="Times New Roman"/>
              </w:rPr>
            </w:pPr>
            <w:r>
              <w:rPr>
                <w:rFonts w:eastAsia="Times New Roman"/>
                <w:color w:val="000000"/>
                <w:sz w:val="18"/>
                <w:szCs w:val="18"/>
              </w:rPr>
              <w:t>184,075 </w:t>
            </w:r>
          </w:p>
        </w:tc>
        <w:tc>
          <w:tcPr>
            <w:tcW w:w="0" w:type="auto"/>
            <w:shd w:val="clear" w:color="auto" w:fill="FFFFFF"/>
            <w:tcMar>
              <w:top w:w="30" w:type="dxa"/>
              <w:left w:w="0" w:type="dxa"/>
              <w:bottom w:w="30" w:type="dxa"/>
              <w:right w:w="20" w:type="dxa"/>
            </w:tcMar>
            <w:vAlign w:val="bottom"/>
            <w:hideMark/>
          </w:tcPr>
          <w:p w14:paraId="77608DED" w14:textId="77777777" w:rsidR="00000000" w:rsidRDefault="00E614A4">
            <w:pPr>
              <w:jc w:val="right"/>
              <w:rPr>
                <w:rFonts w:eastAsia="Times New Roman"/>
              </w:rPr>
            </w:pPr>
          </w:p>
        </w:tc>
      </w:tr>
      <w:tr w:rsidR="00000000" w14:paraId="35E40627" w14:textId="77777777">
        <w:trPr>
          <w:divId w:val="1683429559"/>
          <w:jc w:val="center"/>
        </w:trPr>
        <w:tc>
          <w:tcPr>
            <w:tcW w:w="0" w:type="auto"/>
            <w:gridSpan w:val="3"/>
            <w:shd w:val="clear" w:color="auto" w:fill="CCEEFF"/>
            <w:tcMar>
              <w:top w:w="30" w:type="dxa"/>
              <w:left w:w="20" w:type="dxa"/>
              <w:bottom w:w="30" w:type="dxa"/>
              <w:right w:w="20" w:type="dxa"/>
            </w:tcMar>
            <w:vAlign w:val="bottom"/>
            <w:hideMark/>
          </w:tcPr>
          <w:p w14:paraId="665D3787" w14:textId="77777777" w:rsidR="00000000" w:rsidRDefault="00E614A4">
            <w:pPr>
              <w:rPr>
                <w:rFonts w:eastAsia="Times New Roman"/>
              </w:rPr>
            </w:pPr>
            <w:r>
              <w:rPr>
                <w:rFonts w:eastAsia="Times New Roman"/>
                <w:color w:val="000000"/>
                <w:sz w:val="18"/>
                <w:szCs w:val="18"/>
              </w:rPr>
              <w:t>Financing derivatives</w:t>
            </w:r>
          </w:p>
        </w:tc>
        <w:tc>
          <w:tcPr>
            <w:tcW w:w="0" w:type="auto"/>
            <w:gridSpan w:val="3"/>
            <w:shd w:val="clear" w:color="auto" w:fill="CCEEFF"/>
            <w:tcMar>
              <w:top w:w="0" w:type="dxa"/>
              <w:left w:w="20" w:type="dxa"/>
              <w:bottom w:w="0" w:type="dxa"/>
              <w:right w:w="20" w:type="dxa"/>
            </w:tcMar>
            <w:vAlign w:val="center"/>
            <w:hideMark/>
          </w:tcPr>
          <w:p w14:paraId="2128180D"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2F74AE" w14:textId="77777777" w:rsidR="00000000" w:rsidRDefault="00E614A4">
            <w:pPr>
              <w:jc w:val="right"/>
              <w:rPr>
                <w:rFonts w:eastAsia="Times New Roman"/>
              </w:rPr>
            </w:pPr>
            <w:r>
              <w:rPr>
                <w:rFonts w:eastAsia="Times New Roman"/>
                <w:color w:val="000000"/>
                <w:sz w:val="18"/>
                <w:szCs w:val="18"/>
              </w:rPr>
              <w:t>11,300 </w:t>
            </w:r>
          </w:p>
        </w:tc>
        <w:tc>
          <w:tcPr>
            <w:tcW w:w="0" w:type="auto"/>
            <w:shd w:val="clear" w:color="auto" w:fill="CCEEFF"/>
            <w:tcMar>
              <w:top w:w="30" w:type="dxa"/>
              <w:left w:w="0" w:type="dxa"/>
              <w:bottom w:w="30" w:type="dxa"/>
              <w:right w:w="20" w:type="dxa"/>
            </w:tcMar>
            <w:vAlign w:val="bottom"/>
            <w:hideMark/>
          </w:tcPr>
          <w:p w14:paraId="299BF56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2411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28E76D" w14:textId="77777777" w:rsidR="00000000" w:rsidRDefault="00E614A4">
            <w:pPr>
              <w:jc w:val="right"/>
              <w:rPr>
                <w:rFonts w:eastAsia="Times New Roman"/>
              </w:rPr>
            </w:pPr>
            <w:r>
              <w:rPr>
                <w:rFonts w:eastAsia="Times New Roman"/>
                <w:color w:val="000000"/>
                <w:sz w:val="18"/>
                <w:szCs w:val="18"/>
              </w:rPr>
              <w:t>21,587 </w:t>
            </w:r>
          </w:p>
        </w:tc>
        <w:tc>
          <w:tcPr>
            <w:tcW w:w="0" w:type="auto"/>
            <w:shd w:val="clear" w:color="auto" w:fill="CCEEFF"/>
            <w:tcMar>
              <w:top w:w="30" w:type="dxa"/>
              <w:left w:w="0" w:type="dxa"/>
              <w:bottom w:w="30" w:type="dxa"/>
              <w:right w:w="20" w:type="dxa"/>
            </w:tcMar>
            <w:vAlign w:val="bottom"/>
            <w:hideMark/>
          </w:tcPr>
          <w:p w14:paraId="7C431E08" w14:textId="77777777" w:rsidR="00000000" w:rsidRDefault="00E614A4">
            <w:pPr>
              <w:jc w:val="right"/>
              <w:rPr>
                <w:rFonts w:eastAsia="Times New Roman"/>
              </w:rPr>
            </w:pPr>
          </w:p>
        </w:tc>
      </w:tr>
      <w:tr w:rsidR="00000000" w14:paraId="68C02DC5" w14:textId="77777777">
        <w:trPr>
          <w:divId w:val="1683429559"/>
          <w:jc w:val="center"/>
        </w:trPr>
        <w:tc>
          <w:tcPr>
            <w:tcW w:w="0" w:type="auto"/>
            <w:gridSpan w:val="3"/>
            <w:shd w:val="clear" w:color="auto" w:fill="FFFFFF"/>
            <w:tcMar>
              <w:top w:w="30" w:type="dxa"/>
              <w:left w:w="20" w:type="dxa"/>
              <w:bottom w:w="30" w:type="dxa"/>
              <w:right w:w="20" w:type="dxa"/>
            </w:tcMar>
            <w:vAlign w:val="bottom"/>
            <w:hideMark/>
          </w:tcPr>
          <w:p w14:paraId="07CCD9B7" w14:textId="77777777" w:rsidR="00000000" w:rsidRDefault="00E614A4">
            <w:pPr>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14:paraId="58C90943"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7529A1" w14:textId="77777777" w:rsidR="00000000" w:rsidRDefault="00E614A4">
            <w:pPr>
              <w:jc w:val="right"/>
              <w:rPr>
                <w:rFonts w:eastAsia="Times New Roman"/>
              </w:rPr>
            </w:pPr>
            <w:r>
              <w:rPr>
                <w:rFonts w:eastAsia="Times New Roman"/>
                <w:color w:val="000000"/>
                <w:sz w:val="18"/>
                <w:szCs w:val="18"/>
              </w:rPr>
              <w:t>6,120 </w:t>
            </w:r>
          </w:p>
        </w:tc>
        <w:tc>
          <w:tcPr>
            <w:tcW w:w="0" w:type="auto"/>
            <w:shd w:val="clear" w:color="auto" w:fill="FFFFFF"/>
            <w:tcMar>
              <w:top w:w="30" w:type="dxa"/>
              <w:left w:w="0" w:type="dxa"/>
              <w:bottom w:w="30" w:type="dxa"/>
              <w:right w:w="20" w:type="dxa"/>
            </w:tcMar>
            <w:vAlign w:val="bottom"/>
            <w:hideMark/>
          </w:tcPr>
          <w:p w14:paraId="30CADA9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1535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56DAB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B117B9D" w14:textId="77777777" w:rsidR="00000000" w:rsidRDefault="00E614A4">
            <w:pPr>
              <w:jc w:val="right"/>
              <w:rPr>
                <w:rFonts w:eastAsia="Times New Roman"/>
              </w:rPr>
            </w:pPr>
          </w:p>
        </w:tc>
      </w:tr>
      <w:tr w:rsidR="00000000" w14:paraId="07450275" w14:textId="77777777">
        <w:trPr>
          <w:divId w:val="1683429559"/>
          <w:jc w:val="center"/>
        </w:trPr>
        <w:tc>
          <w:tcPr>
            <w:tcW w:w="0" w:type="auto"/>
            <w:gridSpan w:val="3"/>
            <w:vAlign w:val="center"/>
            <w:hideMark/>
          </w:tcPr>
          <w:p w14:paraId="2FA8C299" w14:textId="77777777" w:rsidR="00000000" w:rsidRDefault="00E614A4">
            <w:pPr>
              <w:jc w:val="right"/>
              <w:rPr>
                <w:rFonts w:eastAsia="Times New Roman"/>
                <w:sz w:val="20"/>
                <w:szCs w:val="20"/>
              </w:rPr>
            </w:pPr>
          </w:p>
        </w:tc>
        <w:tc>
          <w:tcPr>
            <w:tcW w:w="0" w:type="auto"/>
            <w:gridSpan w:val="3"/>
            <w:vAlign w:val="center"/>
            <w:hideMark/>
          </w:tcPr>
          <w:p w14:paraId="783E2DDD" w14:textId="77777777" w:rsidR="00000000" w:rsidRDefault="00E614A4">
            <w:pPr>
              <w:rPr>
                <w:rFonts w:eastAsia="Times New Roman"/>
                <w:sz w:val="20"/>
                <w:szCs w:val="20"/>
              </w:rPr>
            </w:pPr>
          </w:p>
        </w:tc>
        <w:tc>
          <w:tcPr>
            <w:tcW w:w="0" w:type="auto"/>
            <w:gridSpan w:val="3"/>
            <w:vAlign w:val="center"/>
            <w:hideMark/>
          </w:tcPr>
          <w:p w14:paraId="04725FAA" w14:textId="77777777" w:rsidR="00000000" w:rsidRDefault="00E614A4">
            <w:pPr>
              <w:rPr>
                <w:rFonts w:eastAsia="Times New Roman"/>
                <w:sz w:val="20"/>
                <w:szCs w:val="20"/>
              </w:rPr>
            </w:pPr>
          </w:p>
        </w:tc>
        <w:tc>
          <w:tcPr>
            <w:tcW w:w="0" w:type="auto"/>
            <w:gridSpan w:val="3"/>
            <w:vAlign w:val="center"/>
            <w:hideMark/>
          </w:tcPr>
          <w:p w14:paraId="32CCB149" w14:textId="77777777" w:rsidR="00000000" w:rsidRDefault="00E614A4">
            <w:pPr>
              <w:rPr>
                <w:rFonts w:eastAsia="Times New Roman"/>
                <w:sz w:val="20"/>
                <w:szCs w:val="20"/>
              </w:rPr>
            </w:pPr>
          </w:p>
        </w:tc>
        <w:tc>
          <w:tcPr>
            <w:tcW w:w="0" w:type="auto"/>
            <w:gridSpan w:val="3"/>
            <w:vAlign w:val="center"/>
            <w:hideMark/>
          </w:tcPr>
          <w:p w14:paraId="71B9FDA8" w14:textId="77777777" w:rsidR="00000000" w:rsidRDefault="00E614A4">
            <w:pPr>
              <w:rPr>
                <w:rFonts w:eastAsia="Times New Roman"/>
                <w:sz w:val="20"/>
                <w:szCs w:val="20"/>
              </w:rPr>
            </w:pPr>
          </w:p>
        </w:tc>
      </w:tr>
      <w:tr w:rsidR="00000000" w14:paraId="4267AEA4" w14:textId="77777777">
        <w:trPr>
          <w:divId w:val="1683429559"/>
          <w:jc w:val="center"/>
        </w:trPr>
        <w:tc>
          <w:tcPr>
            <w:tcW w:w="0" w:type="auto"/>
            <w:gridSpan w:val="3"/>
            <w:vAlign w:val="center"/>
            <w:hideMark/>
          </w:tcPr>
          <w:p w14:paraId="7D7BEFAF" w14:textId="77777777" w:rsidR="00000000" w:rsidRDefault="00E614A4">
            <w:pPr>
              <w:rPr>
                <w:rFonts w:eastAsia="Times New Roman"/>
                <w:sz w:val="20"/>
                <w:szCs w:val="20"/>
              </w:rPr>
            </w:pPr>
          </w:p>
        </w:tc>
        <w:tc>
          <w:tcPr>
            <w:tcW w:w="0" w:type="auto"/>
            <w:gridSpan w:val="3"/>
            <w:vAlign w:val="center"/>
            <w:hideMark/>
          </w:tcPr>
          <w:p w14:paraId="16A6FAB9" w14:textId="77777777" w:rsidR="00000000" w:rsidRDefault="00E614A4">
            <w:pPr>
              <w:rPr>
                <w:rFonts w:eastAsia="Times New Roman"/>
                <w:sz w:val="20"/>
                <w:szCs w:val="20"/>
              </w:rPr>
            </w:pPr>
          </w:p>
        </w:tc>
        <w:tc>
          <w:tcPr>
            <w:tcW w:w="0" w:type="auto"/>
            <w:gridSpan w:val="3"/>
            <w:vAlign w:val="center"/>
            <w:hideMark/>
          </w:tcPr>
          <w:p w14:paraId="1EED3F49" w14:textId="77777777" w:rsidR="00000000" w:rsidRDefault="00E614A4">
            <w:pPr>
              <w:rPr>
                <w:rFonts w:eastAsia="Times New Roman"/>
                <w:sz w:val="20"/>
                <w:szCs w:val="20"/>
              </w:rPr>
            </w:pPr>
          </w:p>
        </w:tc>
        <w:tc>
          <w:tcPr>
            <w:tcW w:w="0" w:type="auto"/>
            <w:gridSpan w:val="3"/>
            <w:vAlign w:val="center"/>
            <w:hideMark/>
          </w:tcPr>
          <w:p w14:paraId="0EA19037" w14:textId="77777777" w:rsidR="00000000" w:rsidRDefault="00E614A4">
            <w:pPr>
              <w:rPr>
                <w:rFonts w:eastAsia="Times New Roman"/>
                <w:sz w:val="20"/>
                <w:szCs w:val="20"/>
              </w:rPr>
            </w:pPr>
          </w:p>
        </w:tc>
        <w:tc>
          <w:tcPr>
            <w:tcW w:w="0" w:type="auto"/>
            <w:gridSpan w:val="3"/>
            <w:vAlign w:val="center"/>
            <w:hideMark/>
          </w:tcPr>
          <w:p w14:paraId="67264666" w14:textId="77777777" w:rsidR="00000000" w:rsidRDefault="00E614A4">
            <w:pPr>
              <w:rPr>
                <w:rFonts w:eastAsia="Times New Roman"/>
                <w:sz w:val="20"/>
                <w:szCs w:val="20"/>
              </w:rPr>
            </w:pPr>
          </w:p>
        </w:tc>
      </w:tr>
    </w:tbl>
    <w:p w14:paraId="1EA39F86" w14:textId="77777777" w:rsidR="00000000" w:rsidRDefault="00E614A4">
      <w:pPr>
        <w:divId w:val="775832264"/>
        <w:rPr>
          <w:rFonts w:eastAsia="Times New Roman"/>
        </w:rPr>
      </w:pPr>
    </w:p>
    <w:p w14:paraId="062B9846" w14:textId="77777777" w:rsidR="00000000" w:rsidRDefault="00E614A4">
      <w:pPr>
        <w:ind w:hanging="360"/>
        <w:jc w:val="both"/>
        <w:divId w:val="297028292"/>
        <w:rPr>
          <w:rFonts w:eastAsia="Times New Roman"/>
        </w:rPr>
      </w:pPr>
      <w:r>
        <w:rPr>
          <w:rFonts w:eastAsia="Times New Roman"/>
          <w:b/>
          <w:bCs/>
          <w:color w:val="000000"/>
          <w:sz w:val="20"/>
          <w:szCs w:val="20"/>
        </w:rPr>
        <w:t>14.Organizational Restructuring</w:t>
      </w:r>
    </w:p>
    <w:p w14:paraId="517D5892" w14:textId="77777777" w:rsidR="00000000" w:rsidRDefault="00E614A4">
      <w:pPr>
        <w:jc w:val="both"/>
        <w:divId w:val="1708681243"/>
        <w:rPr>
          <w:rFonts w:eastAsia="Times New Roman"/>
        </w:rPr>
      </w:pPr>
      <w:r>
        <w:rPr>
          <w:rFonts w:eastAsia="Times New Roman"/>
          <w:color w:val="000000"/>
          <w:sz w:val="20"/>
          <w:szCs w:val="20"/>
        </w:rPr>
        <w:t>In June and December 2018, the Company's Board of Directors authorized management to implement reductions in its workforce (less than 10%) and rationalize its portfolio of leased properties due to the reductions in headcount ("2018 Restructuring Plans"). T</w:t>
      </w:r>
      <w:r>
        <w:rPr>
          <w:rFonts w:eastAsia="Times New Roman"/>
          <w:color w:val="000000"/>
          <w:sz w:val="20"/>
          <w:szCs w:val="20"/>
        </w:rPr>
        <w:t>his restructuring effort resulted in the termination of one operating lease, the extension of the lease related to the Company's headquarters, and the sublease of three offices. In connection with the 2018 Restructuring Plans, the Company incurred total ex</w:t>
      </w:r>
      <w:r>
        <w:rPr>
          <w:rFonts w:eastAsia="Times New Roman"/>
          <w:color w:val="000000"/>
          <w:sz w:val="20"/>
          <w:szCs w:val="20"/>
        </w:rPr>
        <w:t>it-related costs of $8.1 million. $10.3 million was recorded in 2018, and $2.2 million was reversed in 2019 related to an employee who ultimately did not exit the Company. These plans were complete as of December 31, 2019.</w:t>
      </w:r>
    </w:p>
    <w:p w14:paraId="50BBBA25" w14:textId="77777777" w:rsidR="00000000" w:rsidRDefault="00E614A4">
      <w:pPr>
        <w:jc w:val="both"/>
        <w:divId w:val="1875001349"/>
        <w:rPr>
          <w:rFonts w:eastAsia="Times New Roman"/>
        </w:rPr>
      </w:pPr>
      <w:r>
        <w:rPr>
          <w:rFonts w:eastAsia="Times New Roman"/>
          <w:color w:val="000000"/>
          <w:sz w:val="20"/>
          <w:szCs w:val="20"/>
        </w:rPr>
        <w:t>In May 2019, the Company implemen</w:t>
      </w:r>
      <w:r>
        <w:rPr>
          <w:rFonts w:eastAsia="Times New Roman"/>
          <w:color w:val="000000"/>
          <w:sz w:val="20"/>
          <w:szCs w:val="20"/>
        </w:rPr>
        <w:t>ted an additional reduction in force plan ("May 2019 Restructuring Plan") in order to reduce costs and more effectively align resources with business priorities. Together with attrition, the May 2019 Restructuring Plan resulted in the termination of approx</w:t>
      </w:r>
      <w:r>
        <w:rPr>
          <w:rFonts w:eastAsia="Times New Roman"/>
          <w:color w:val="000000"/>
          <w:sz w:val="20"/>
          <w:szCs w:val="20"/>
        </w:rPr>
        <w:t>imately 10% of the Company's workforce. In connection with the May 2019 Restructuring Plan, the Company incurred total exit-related costs of $3.1 million during the year ended December 31, 2019. The Company does not expect to incur any future expenses rela</w:t>
      </w:r>
      <w:r>
        <w:rPr>
          <w:rFonts w:eastAsia="Times New Roman"/>
          <w:color w:val="000000"/>
          <w:sz w:val="20"/>
          <w:szCs w:val="20"/>
        </w:rPr>
        <w:t>ted to this plan.</w:t>
      </w:r>
    </w:p>
    <w:p w14:paraId="4CE106DD" w14:textId="77777777" w:rsidR="00000000" w:rsidRDefault="00E614A4">
      <w:pPr>
        <w:jc w:val="both"/>
        <w:divId w:val="468329919"/>
        <w:rPr>
          <w:rFonts w:eastAsia="Times New Roman"/>
        </w:rPr>
      </w:pPr>
      <w:r>
        <w:rPr>
          <w:rFonts w:eastAsia="Times New Roman"/>
          <w:color w:val="000000"/>
          <w:sz w:val="20"/>
          <w:szCs w:val="20"/>
        </w:rPr>
        <w:t>In August 2019, the Company implemented a further reduction in force plan ("August 2019 Restructuring Plan") in order to reduce costs and more effectively align resources with business priorities. The August 2019 Restructuring Plan result</w:t>
      </w:r>
      <w:r>
        <w:rPr>
          <w:rFonts w:eastAsia="Times New Roman"/>
          <w:color w:val="000000"/>
          <w:sz w:val="20"/>
          <w:szCs w:val="20"/>
        </w:rPr>
        <w:t>ed in the termination of approximately 8% of the Company's workforce.</w:t>
      </w:r>
      <w:r>
        <w:rPr>
          <w:rFonts w:eastAsia="Times New Roman"/>
          <w:color w:val="FF0000"/>
          <w:sz w:val="20"/>
          <w:szCs w:val="20"/>
        </w:rPr>
        <w:t xml:space="preserve"> </w:t>
      </w:r>
      <w:r>
        <w:rPr>
          <w:rFonts w:eastAsia="Times New Roman"/>
          <w:color w:val="000000"/>
          <w:sz w:val="20"/>
          <w:szCs w:val="20"/>
        </w:rPr>
        <w:t>In connection with the August 2019 Restructuring Plan, the Company incurred total exit-related costs of $2.5 million.</w:t>
      </w:r>
    </w:p>
    <w:p w14:paraId="6FD13BED" w14:textId="77777777" w:rsidR="00000000" w:rsidRDefault="00E614A4">
      <w:pPr>
        <w:jc w:val="center"/>
        <w:divId w:val="809522655"/>
        <w:rPr>
          <w:rFonts w:eastAsia="Times New Roman"/>
        </w:rPr>
      </w:pPr>
      <w:r>
        <w:rPr>
          <w:rFonts w:eastAsia="Times New Roman"/>
          <w:color w:val="000000"/>
          <w:sz w:val="20"/>
          <w:szCs w:val="20"/>
        </w:rPr>
        <w:t>97</w:t>
      </w:r>
    </w:p>
    <w:p w14:paraId="48F4E5AA" w14:textId="77777777" w:rsidR="00000000" w:rsidRDefault="00E614A4">
      <w:pPr>
        <w:rPr>
          <w:rFonts w:eastAsia="Times New Roman"/>
        </w:rPr>
      </w:pPr>
      <w:r>
        <w:rPr>
          <w:rFonts w:eastAsia="Times New Roman"/>
        </w:rPr>
        <w:pict w14:anchorId="7009AFB6">
          <v:rect id="_x0000_i1125" style="width:0;height:1.5pt" o:hralign="center" o:hrstd="t" o:hr="t" fillcolor="#a0a0a0" stroked="f"/>
        </w:pict>
      </w:r>
    </w:p>
    <w:p w14:paraId="761B7A41" w14:textId="77777777" w:rsidR="00000000" w:rsidRDefault="00E614A4">
      <w:pPr>
        <w:divId w:val="158409988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72E051B" w14:textId="77777777" w:rsidR="00000000" w:rsidRDefault="00E614A4">
      <w:pPr>
        <w:divId w:val="1896963128"/>
        <w:rPr>
          <w:rFonts w:eastAsia="Times New Roman"/>
        </w:rPr>
      </w:pPr>
    </w:p>
    <w:p w14:paraId="5B868917" w14:textId="77777777" w:rsidR="00000000" w:rsidRDefault="00E614A4">
      <w:pPr>
        <w:jc w:val="both"/>
        <w:divId w:val="1034186058"/>
        <w:rPr>
          <w:rFonts w:eastAsia="Times New Roman"/>
        </w:rPr>
      </w:pPr>
      <w:r>
        <w:rPr>
          <w:rFonts w:eastAsia="Times New Roman"/>
          <w:color w:val="000000"/>
          <w:sz w:val="20"/>
          <w:szCs w:val="20"/>
        </w:rPr>
        <w:t>The tables below summarize the balance of accrued restructuring expenses and the changes in the accrued amounts for each period presented.</w:t>
      </w:r>
    </w:p>
    <w:p w14:paraId="53461E9B" w14:textId="77777777" w:rsidR="00000000" w:rsidRDefault="00E614A4">
      <w:pPr>
        <w:divId w:val="1776949008"/>
        <w:rPr>
          <w:rFonts w:eastAsia="Times New Roman"/>
        </w:rPr>
      </w:pPr>
      <w:r>
        <w:rPr>
          <w:rFonts w:eastAsia="Times New Roman"/>
          <w:b/>
          <w:bCs/>
          <w:color w:val="000000"/>
          <w:sz w:val="20"/>
          <w:szCs w:val="20"/>
        </w:rPr>
        <w:t>2018 Restructuring Plans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35"/>
        <w:gridCol w:w="36"/>
        <w:gridCol w:w="36"/>
        <w:gridCol w:w="36"/>
        <w:gridCol w:w="36"/>
        <w:gridCol w:w="111"/>
        <w:gridCol w:w="945"/>
        <w:gridCol w:w="36"/>
        <w:gridCol w:w="36"/>
        <w:gridCol w:w="36"/>
        <w:gridCol w:w="36"/>
        <w:gridCol w:w="110"/>
        <w:gridCol w:w="945"/>
        <w:gridCol w:w="36"/>
        <w:gridCol w:w="36"/>
        <w:gridCol w:w="36"/>
        <w:gridCol w:w="36"/>
        <w:gridCol w:w="110"/>
        <w:gridCol w:w="945"/>
        <w:gridCol w:w="36"/>
        <w:gridCol w:w="36"/>
        <w:gridCol w:w="36"/>
        <w:gridCol w:w="36"/>
        <w:gridCol w:w="110"/>
        <w:gridCol w:w="945"/>
        <w:gridCol w:w="36"/>
      </w:tblGrid>
      <w:tr w:rsidR="00000000" w14:paraId="53DA2DE9" w14:textId="77777777">
        <w:trPr>
          <w:divId w:val="727340617"/>
          <w:jc w:val="center"/>
        </w:trPr>
        <w:tc>
          <w:tcPr>
            <w:tcW w:w="50" w:type="pct"/>
            <w:vAlign w:val="center"/>
            <w:hideMark/>
          </w:tcPr>
          <w:p w14:paraId="441105B0" w14:textId="77777777" w:rsidR="00000000" w:rsidRDefault="00E614A4">
            <w:pPr>
              <w:rPr>
                <w:rFonts w:eastAsia="Times New Roman"/>
              </w:rPr>
            </w:pPr>
          </w:p>
        </w:tc>
        <w:tc>
          <w:tcPr>
            <w:tcW w:w="2139" w:type="pct"/>
            <w:vAlign w:val="center"/>
            <w:hideMark/>
          </w:tcPr>
          <w:p w14:paraId="5C14018F" w14:textId="77777777" w:rsidR="00000000" w:rsidRDefault="00E614A4">
            <w:pPr>
              <w:rPr>
                <w:rFonts w:eastAsia="Times New Roman"/>
                <w:sz w:val="20"/>
                <w:szCs w:val="20"/>
              </w:rPr>
            </w:pPr>
          </w:p>
        </w:tc>
        <w:tc>
          <w:tcPr>
            <w:tcW w:w="5" w:type="pct"/>
            <w:vAlign w:val="center"/>
            <w:hideMark/>
          </w:tcPr>
          <w:p w14:paraId="068CB5E0" w14:textId="77777777" w:rsidR="00000000" w:rsidRDefault="00E614A4">
            <w:pPr>
              <w:rPr>
                <w:rFonts w:eastAsia="Times New Roman"/>
                <w:sz w:val="20"/>
                <w:szCs w:val="20"/>
              </w:rPr>
            </w:pPr>
          </w:p>
        </w:tc>
        <w:tc>
          <w:tcPr>
            <w:tcW w:w="5" w:type="pct"/>
            <w:vAlign w:val="center"/>
            <w:hideMark/>
          </w:tcPr>
          <w:p w14:paraId="5F2A0D91" w14:textId="77777777" w:rsidR="00000000" w:rsidRDefault="00E614A4">
            <w:pPr>
              <w:rPr>
                <w:rFonts w:eastAsia="Times New Roman"/>
                <w:sz w:val="20"/>
                <w:szCs w:val="20"/>
              </w:rPr>
            </w:pPr>
          </w:p>
        </w:tc>
        <w:tc>
          <w:tcPr>
            <w:tcW w:w="17" w:type="pct"/>
            <w:vAlign w:val="center"/>
            <w:hideMark/>
          </w:tcPr>
          <w:p w14:paraId="6B57608B" w14:textId="77777777" w:rsidR="00000000" w:rsidRDefault="00E614A4">
            <w:pPr>
              <w:rPr>
                <w:rFonts w:eastAsia="Times New Roman"/>
                <w:sz w:val="20"/>
                <w:szCs w:val="20"/>
              </w:rPr>
            </w:pPr>
          </w:p>
        </w:tc>
        <w:tc>
          <w:tcPr>
            <w:tcW w:w="5" w:type="pct"/>
            <w:vAlign w:val="center"/>
            <w:hideMark/>
          </w:tcPr>
          <w:p w14:paraId="121FB1C8" w14:textId="77777777" w:rsidR="00000000" w:rsidRDefault="00E614A4">
            <w:pPr>
              <w:rPr>
                <w:rFonts w:eastAsia="Times New Roman"/>
                <w:sz w:val="20"/>
                <w:szCs w:val="20"/>
              </w:rPr>
            </w:pPr>
          </w:p>
        </w:tc>
        <w:tc>
          <w:tcPr>
            <w:tcW w:w="50" w:type="pct"/>
            <w:vAlign w:val="center"/>
            <w:hideMark/>
          </w:tcPr>
          <w:p w14:paraId="64F3EDBE" w14:textId="77777777" w:rsidR="00000000" w:rsidRDefault="00E614A4">
            <w:pPr>
              <w:rPr>
                <w:rFonts w:eastAsia="Times New Roman"/>
                <w:sz w:val="20"/>
                <w:szCs w:val="20"/>
              </w:rPr>
            </w:pPr>
          </w:p>
        </w:tc>
        <w:tc>
          <w:tcPr>
            <w:tcW w:w="618" w:type="pct"/>
            <w:vAlign w:val="center"/>
            <w:hideMark/>
          </w:tcPr>
          <w:p w14:paraId="7CF472AD" w14:textId="77777777" w:rsidR="00000000" w:rsidRDefault="00E614A4">
            <w:pPr>
              <w:rPr>
                <w:rFonts w:eastAsia="Times New Roman"/>
                <w:sz w:val="20"/>
                <w:szCs w:val="20"/>
              </w:rPr>
            </w:pPr>
          </w:p>
        </w:tc>
        <w:tc>
          <w:tcPr>
            <w:tcW w:w="5" w:type="pct"/>
            <w:vAlign w:val="center"/>
            <w:hideMark/>
          </w:tcPr>
          <w:p w14:paraId="48E06330" w14:textId="77777777" w:rsidR="00000000" w:rsidRDefault="00E614A4">
            <w:pPr>
              <w:rPr>
                <w:rFonts w:eastAsia="Times New Roman"/>
                <w:sz w:val="20"/>
                <w:szCs w:val="20"/>
              </w:rPr>
            </w:pPr>
          </w:p>
        </w:tc>
        <w:tc>
          <w:tcPr>
            <w:tcW w:w="5" w:type="pct"/>
            <w:vAlign w:val="center"/>
            <w:hideMark/>
          </w:tcPr>
          <w:p w14:paraId="634A0A84" w14:textId="77777777" w:rsidR="00000000" w:rsidRDefault="00E614A4">
            <w:pPr>
              <w:rPr>
                <w:rFonts w:eastAsia="Times New Roman"/>
                <w:sz w:val="20"/>
                <w:szCs w:val="20"/>
              </w:rPr>
            </w:pPr>
          </w:p>
        </w:tc>
        <w:tc>
          <w:tcPr>
            <w:tcW w:w="17" w:type="pct"/>
            <w:vAlign w:val="center"/>
            <w:hideMark/>
          </w:tcPr>
          <w:p w14:paraId="2A82613E" w14:textId="77777777" w:rsidR="00000000" w:rsidRDefault="00E614A4">
            <w:pPr>
              <w:rPr>
                <w:rFonts w:eastAsia="Times New Roman"/>
                <w:sz w:val="20"/>
                <w:szCs w:val="20"/>
              </w:rPr>
            </w:pPr>
          </w:p>
        </w:tc>
        <w:tc>
          <w:tcPr>
            <w:tcW w:w="5" w:type="pct"/>
            <w:vAlign w:val="center"/>
            <w:hideMark/>
          </w:tcPr>
          <w:p w14:paraId="66D94197" w14:textId="77777777" w:rsidR="00000000" w:rsidRDefault="00E614A4">
            <w:pPr>
              <w:rPr>
                <w:rFonts w:eastAsia="Times New Roman"/>
                <w:sz w:val="20"/>
                <w:szCs w:val="20"/>
              </w:rPr>
            </w:pPr>
          </w:p>
        </w:tc>
        <w:tc>
          <w:tcPr>
            <w:tcW w:w="50" w:type="pct"/>
            <w:vAlign w:val="center"/>
            <w:hideMark/>
          </w:tcPr>
          <w:p w14:paraId="37B6354B" w14:textId="77777777" w:rsidR="00000000" w:rsidRDefault="00E614A4">
            <w:pPr>
              <w:rPr>
                <w:rFonts w:eastAsia="Times New Roman"/>
                <w:sz w:val="20"/>
                <w:szCs w:val="20"/>
              </w:rPr>
            </w:pPr>
          </w:p>
        </w:tc>
        <w:tc>
          <w:tcPr>
            <w:tcW w:w="618" w:type="pct"/>
            <w:vAlign w:val="center"/>
            <w:hideMark/>
          </w:tcPr>
          <w:p w14:paraId="64274640" w14:textId="77777777" w:rsidR="00000000" w:rsidRDefault="00E614A4">
            <w:pPr>
              <w:rPr>
                <w:rFonts w:eastAsia="Times New Roman"/>
                <w:sz w:val="20"/>
                <w:szCs w:val="20"/>
              </w:rPr>
            </w:pPr>
          </w:p>
        </w:tc>
        <w:tc>
          <w:tcPr>
            <w:tcW w:w="5" w:type="pct"/>
            <w:vAlign w:val="center"/>
            <w:hideMark/>
          </w:tcPr>
          <w:p w14:paraId="51BEF471" w14:textId="77777777" w:rsidR="00000000" w:rsidRDefault="00E614A4">
            <w:pPr>
              <w:rPr>
                <w:rFonts w:eastAsia="Times New Roman"/>
                <w:sz w:val="20"/>
                <w:szCs w:val="20"/>
              </w:rPr>
            </w:pPr>
          </w:p>
        </w:tc>
        <w:tc>
          <w:tcPr>
            <w:tcW w:w="5" w:type="pct"/>
            <w:vAlign w:val="center"/>
            <w:hideMark/>
          </w:tcPr>
          <w:p w14:paraId="25B4822C" w14:textId="77777777" w:rsidR="00000000" w:rsidRDefault="00E614A4">
            <w:pPr>
              <w:rPr>
                <w:rFonts w:eastAsia="Times New Roman"/>
                <w:sz w:val="20"/>
                <w:szCs w:val="20"/>
              </w:rPr>
            </w:pPr>
          </w:p>
        </w:tc>
        <w:tc>
          <w:tcPr>
            <w:tcW w:w="17" w:type="pct"/>
            <w:vAlign w:val="center"/>
            <w:hideMark/>
          </w:tcPr>
          <w:p w14:paraId="18F293C6" w14:textId="77777777" w:rsidR="00000000" w:rsidRDefault="00E614A4">
            <w:pPr>
              <w:rPr>
                <w:rFonts w:eastAsia="Times New Roman"/>
                <w:sz w:val="20"/>
                <w:szCs w:val="20"/>
              </w:rPr>
            </w:pPr>
          </w:p>
        </w:tc>
        <w:tc>
          <w:tcPr>
            <w:tcW w:w="5" w:type="pct"/>
            <w:vAlign w:val="center"/>
            <w:hideMark/>
          </w:tcPr>
          <w:p w14:paraId="2D1BD8D7" w14:textId="77777777" w:rsidR="00000000" w:rsidRDefault="00E614A4">
            <w:pPr>
              <w:rPr>
                <w:rFonts w:eastAsia="Times New Roman"/>
                <w:sz w:val="20"/>
                <w:szCs w:val="20"/>
              </w:rPr>
            </w:pPr>
          </w:p>
        </w:tc>
        <w:tc>
          <w:tcPr>
            <w:tcW w:w="50" w:type="pct"/>
            <w:vAlign w:val="center"/>
            <w:hideMark/>
          </w:tcPr>
          <w:p w14:paraId="205A75A4" w14:textId="77777777" w:rsidR="00000000" w:rsidRDefault="00E614A4">
            <w:pPr>
              <w:rPr>
                <w:rFonts w:eastAsia="Times New Roman"/>
                <w:sz w:val="20"/>
                <w:szCs w:val="20"/>
              </w:rPr>
            </w:pPr>
          </w:p>
        </w:tc>
        <w:tc>
          <w:tcPr>
            <w:tcW w:w="618" w:type="pct"/>
            <w:vAlign w:val="center"/>
            <w:hideMark/>
          </w:tcPr>
          <w:p w14:paraId="495FDDA2" w14:textId="77777777" w:rsidR="00000000" w:rsidRDefault="00E614A4">
            <w:pPr>
              <w:rPr>
                <w:rFonts w:eastAsia="Times New Roman"/>
                <w:sz w:val="20"/>
                <w:szCs w:val="20"/>
              </w:rPr>
            </w:pPr>
          </w:p>
        </w:tc>
        <w:tc>
          <w:tcPr>
            <w:tcW w:w="5" w:type="pct"/>
            <w:vAlign w:val="center"/>
            <w:hideMark/>
          </w:tcPr>
          <w:p w14:paraId="7DC66D82" w14:textId="77777777" w:rsidR="00000000" w:rsidRDefault="00E614A4">
            <w:pPr>
              <w:rPr>
                <w:rFonts w:eastAsia="Times New Roman"/>
                <w:sz w:val="20"/>
                <w:szCs w:val="20"/>
              </w:rPr>
            </w:pPr>
          </w:p>
        </w:tc>
        <w:tc>
          <w:tcPr>
            <w:tcW w:w="5" w:type="pct"/>
            <w:vAlign w:val="center"/>
            <w:hideMark/>
          </w:tcPr>
          <w:p w14:paraId="40641661" w14:textId="77777777" w:rsidR="00000000" w:rsidRDefault="00E614A4">
            <w:pPr>
              <w:rPr>
                <w:rFonts w:eastAsia="Times New Roman"/>
                <w:sz w:val="20"/>
                <w:szCs w:val="20"/>
              </w:rPr>
            </w:pPr>
          </w:p>
        </w:tc>
        <w:tc>
          <w:tcPr>
            <w:tcW w:w="17" w:type="pct"/>
            <w:vAlign w:val="center"/>
            <w:hideMark/>
          </w:tcPr>
          <w:p w14:paraId="5ABB4E58" w14:textId="77777777" w:rsidR="00000000" w:rsidRDefault="00E614A4">
            <w:pPr>
              <w:rPr>
                <w:rFonts w:eastAsia="Times New Roman"/>
                <w:sz w:val="20"/>
                <w:szCs w:val="20"/>
              </w:rPr>
            </w:pPr>
          </w:p>
        </w:tc>
        <w:tc>
          <w:tcPr>
            <w:tcW w:w="5" w:type="pct"/>
            <w:vAlign w:val="center"/>
            <w:hideMark/>
          </w:tcPr>
          <w:p w14:paraId="5EB96E44" w14:textId="77777777" w:rsidR="00000000" w:rsidRDefault="00E614A4">
            <w:pPr>
              <w:rPr>
                <w:rFonts w:eastAsia="Times New Roman"/>
                <w:sz w:val="20"/>
                <w:szCs w:val="20"/>
              </w:rPr>
            </w:pPr>
          </w:p>
        </w:tc>
        <w:tc>
          <w:tcPr>
            <w:tcW w:w="50" w:type="pct"/>
            <w:vAlign w:val="center"/>
            <w:hideMark/>
          </w:tcPr>
          <w:p w14:paraId="0AC820EA" w14:textId="77777777" w:rsidR="00000000" w:rsidRDefault="00E614A4">
            <w:pPr>
              <w:rPr>
                <w:rFonts w:eastAsia="Times New Roman"/>
                <w:sz w:val="20"/>
                <w:szCs w:val="20"/>
              </w:rPr>
            </w:pPr>
          </w:p>
        </w:tc>
        <w:tc>
          <w:tcPr>
            <w:tcW w:w="618" w:type="pct"/>
            <w:vAlign w:val="center"/>
            <w:hideMark/>
          </w:tcPr>
          <w:p w14:paraId="3AA36E4D" w14:textId="77777777" w:rsidR="00000000" w:rsidRDefault="00E614A4">
            <w:pPr>
              <w:rPr>
                <w:rFonts w:eastAsia="Times New Roman"/>
                <w:sz w:val="20"/>
                <w:szCs w:val="20"/>
              </w:rPr>
            </w:pPr>
          </w:p>
        </w:tc>
        <w:tc>
          <w:tcPr>
            <w:tcW w:w="5" w:type="pct"/>
            <w:vAlign w:val="center"/>
            <w:hideMark/>
          </w:tcPr>
          <w:p w14:paraId="2ACB49C7" w14:textId="77777777" w:rsidR="00000000" w:rsidRDefault="00E614A4">
            <w:pPr>
              <w:rPr>
                <w:rFonts w:eastAsia="Times New Roman"/>
                <w:sz w:val="20"/>
                <w:szCs w:val="20"/>
              </w:rPr>
            </w:pPr>
          </w:p>
        </w:tc>
      </w:tr>
      <w:tr w:rsidR="00000000" w14:paraId="6FD944A8" w14:textId="77777777">
        <w:trPr>
          <w:divId w:val="727340617"/>
          <w:jc w:val="center"/>
        </w:trPr>
        <w:tc>
          <w:tcPr>
            <w:tcW w:w="0" w:type="auto"/>
            <w:gridSpan w:val="3"/>
            <w:tcMar>
              <w:top w:w="30" w:type="dxa"/>
              <w:left w:w="20" w:type="dxa"/>
              <w:bottom w:w="30" w:type="dxa"/>
              <w:right w:w="20" w:type="dxa"/>
            </w:tcMar>
            <w:vAlign w:val="bottom"/>
            <w:hideMark/>
          </w:tcPr>
          <w:p w14:paraId="74201C95"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0EF57146"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790748B1" w14:textId="77777777" w:rsidR="00000000" w:rsidRDefault="00E614A4">
            <w:pPr>
              <w:jc w:val="center"/>
              <w:rPr>
                <w:rFonts w:eastAsia="Times New Roman"/>
              </w:rPr>
            </w:pPr>
            <w:r>
              <w:rPr>
                <w:rFonts w:eastAsia="Times New Roman"/>
                <w:b/>
                <w:bCs/>
                <w:color w:val="000000"/>
                <w:sz w:val="16"/>
                <w:szCs w:val="16"/>
              </w:rPr>
              <w:t>Severance pay and benefits</w:t>
            </w:r>
          </w:p>
        </w:tc>
        <w:tc>
          <w:tcPr>
            <w:tcW w:w="0" w:type="auto"/>
            <w:gridSpan w:val="3"/>
            <w:tcMar>
              <w:top w:w="0" w:type="dxa"/>
              <w:left w:w="20" w:type="dxa"/>
              <w:bottom w:w="0" w:type="dxa"/>
              <w:right w:w="20" w:type="dxa"/>
            </w:tcMar>
            <w:vAlign w:val="center"/>
            <w:hideMark/>
          </w:tcPr>
          <w:p w14:paraId="277CAC55"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74EC006F" w14:textId="77777777" w:rsidR="00000000" w:rsidRDefault="00E614A4">
            <w:pPr>
              <w:jc w:val="center"/>
              <w:rPr>
                <w:rFonts w:eastAsia="Times New Roman"/>
              </w:rPr>
            </w:pPr>
            <w:r>
              <w:rPr>
                <w:rFonts w:eastAsia="Times New Roman"/>
                <w:b/>
                <w:bCs/>
                <w:color w:val="000000"/>
                <w:sz w:val="16"/>
                <w:szCs w:val="16"/>
              </w:rPr>
              <w:t>Short-term lease exit and other direct costs</w:t>
            </w:r>
          </w:p>
        </w:tc>
        <w:tc>
          <w:tcPr>
            <w:tcW w:w="0" w:type="auto"/>
            <w:gridSpan w:val="3"/>
            <w:tcMar>
              <w:top w:w="0" w:type="dxa"/>
              <w:left w:w="20" w:type="dxa"/>
              <w:bottom w:w="0" w:type="dxa"/>
              <w:right w:w="20" w:type="dxa"/>
            </w:tcMar>
            <w:vAlign w:val="center"/>
            <w:hideMark/>
          </w:tcPr>
          <w:p w14:paraId="1CD98E13"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612C2A2B" w14:textId="77777777" w:rsidR="00000000" w:rsidRDefault="00E614A4">
            <w:pPr>
              <w:jc w:val="center"/>
              <w:rPr>
                <w:rFonts w:eastAsia="Times New Roman"/>
              </w:rPr>
            </w:pPr>
            <w:r>
              <w:rPr>
                <w:rFonts w:eastAsia="Times New Roman"/>
                <w:b/>
                <w:bCs/>
                <w:color w:val="000000"/>
                <w:sz w:val="16"/>
                <w:szCs w:val="16"/>
              </w:rPr>
              <w:t>Long-term lease exit and other direct costs</w:t>
            </w:r>
          </w:p>
        </w:tc>
        <w:tc>
          <w:tcPr>
            <w:tcW w:w="0" w:type="auto"/>
            <w:gridSpan w:val="3"/>
            <w:tcMar>
              <w:top w:w="0" w:type="dxa"/>
              <w:left w:w="20" w:type="dxa"/>
              <w:bottom w:w="0" w:type="dxa"/>
              <w:right w:w="20" w:type="dxa"/>
            </w:tcMar>
            <w:vAlign w:val="center"/>
            <w:hideMark/>
          </w:tcPr>
          <w:p w14:paraId="765AA775"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0ED72CAB" w14:textId="77777777" w:rsidR="00000000" w:rsidRDefault="00E614A4">
            <w:pPr>
              <w:jc w:val="center"/>
              <w:rPr>
                <w:rFonts w:eastAsia="Times New Roman"/>
              </w:rPr>
            </w:pPr>
            <w:r>
              <w:rPr>
                <w:rFonts w:eastAsia="Times New Roman"/>
                <w:b/>
                <w:bCs/>
                <w:color w:val="000000"/>
                <w:sz w:val="16"/>
                <w:szCs w:val="16"/>
              </w:rPr>
              <w:t>Total</w:t>
            </w:r>
          </w:p>
        </w:tc>
      </w:tr>
      <w:tr w:rsidR="00000000" w14:paraId="117094DF" w14:textId="77777777">
        <w:trPr>
          <w:divId w:val="727340617"/>
          <w:jc w:val="center"/>
        </w:trPr>
        <w:tc>
          <w:tcPr>
            <w:tcW w:w="0" w:type="auto"/>
            <w:gridSpan w:val="3"/>
            <w:shd w:val="clear" w:color="auto" w:fill="CCEEFF"/>
            <w:tcMar>
              <w:top w:w="30" w:type="dxa"/>
              <w:left w:w="20" w:type="dxa"/>
              <w:bottom w:w="30" w:type="dxa"/>
              <w:right w:w="20" w:type="dxa"/>
            </w:tcMar>
            <w:hideMark/>
          </w:tcPr>
          <w:p w14:paraId="7D2BC522" w14:textId="77777777" w:rsidR="00000000" w:rsidRDefault="00E614A4">
            <w:pPr>
              <w:divId w:val="1199778998"/>
              <w:rPr>
                <w:rFonts w:eastAsia="Times New Roman"/>
              </w:rPr>
            </w:pPr>
            <w:r>
              <w:rPr>
                <w:rFonts w:eastAsia="Times New Roman"/>
                <w:color w:val="000000"/>
                <w:sz w:val="18"/>
                <w:szCs w:val="18"/>
              </w:rPr>
              <w:t>Restructuring expens</w:t>
            </w:r>
            <w:r>
              <w:rPr>
                <w:rFonts w:eastAsia="Times New Roman"/>
                <w:color w:val="000000"/>
                <w:sz w:val="18"/>
                <w:szCs w:val="18"/>
              </w:rPr>
              <w:t>e</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3369CF8"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30941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ACE59B" w14:textId="77777777" w:rsidR="00000000" w:rsidRDefault="00E614A4">
            <w:pPr>
              <w:jc w:val="right"/>
              <w:rPr>
                <w:rFonts w:eastAsia="Times New Roman"/>
              </w:rPr>
            </w:pPr>
            <w:r>
              <w:rPr>
                <w:rFonts w:eastAsia="Times New Roman"/>
                <w:color w:val="000000"/>
                <w:sz w:val="18"/>
                <w:szCs w:val="18"/>
              </w:rPr>
              <w:t>7,145 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F1433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BD7D7"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84248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7B2012" w14:textId="77777777" w:rsidR="00000000" w:rsidRDefault="00E614A4">
            <w:pPr>
              <w:jc w:val="right"/>
              <w:rPr>
                <w:rFonts w:eastAsia="Times New Roman"/>
              </w:rPr>
            </w:pPr>
            <w:r>
              <w:rPr>
                <w:rFonts w:eastAsia="Times New Roman"/>
                <w:color w:val="000000"/>
                <w:sz w:val="18"/>
                <w:szCs w:val="18"/>
              </w:rPr>
              <w:t>1,271 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8A2D2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2159F"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3424F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7A0386" w14:textId="77777777" w:rsidR="00000000" w:rsidRDefault="00E614A4">
            <w:pPr>
              <w:jc w:val="right"/>
              <w:rPr>
                <w:rFonts w:eastAsia="Times New Roman"/>
              </w:rPr>
            </w:pPr>
            <w:r>
              <w:rPr>
                <w:rFonts w:eastAsia="Times New Roman"/>
                <w:color w:val="000000"/>
                <w:sz w:val="18"/>
                <w:szCs w:val="18"/>
              </w:rPr>
              <w:t>1,847 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E5FA9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CAE3DF"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94AF4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148197" w14:textId="77777777" w:rsidR="00000000" w:rsidRDefault="00E614A4">
            <w:pPr>
              <w:jc w:val="right"/>
              <w:rPr>
                <w:rFonts w:eastAsia="Times New Roman"/>
              </w:rPr>
            </w:pPr>
            <w:r>
              <w:rPr>
                <w:rFonts w:eastAsia="Times New Roman"/>
                <w:color w:val="000000"/>
                <w:sz w:val="18"/>
                <w:szCs w:val="18"/>
              </w:rPr>
              <w:t>10,263 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BC7F69" w14:textId="77777777" w:rsidR="00000000" w:rsidRDefault="00E614A4">
            <w:pPr>
              <w:jc w:val="right"/>
              <w:rPr>
                <w:rFonts w:eastAsia="Times New Roman"/>
              </w:rPr>
            </w:pPr>
          </w:p>
        </w:tc>
      </w:tr>
      <w:tr w:rsidR="00000000" w14:paraId="136CF3D6" w14:textId="77777777">
        <w:trPr>
          <w:divId w:val="727340617"/>
          <w:jc w:val="center"/>
        </w:trPr>
        <w:tc>
          <w:tcPr>
            <w:tcW w:w="0" w:type="auto"/>
            <w:gridSpan w:val="3"/>
            <w:shd w:val="clear" w:color="auto" w:fill="FFFFFF"/>
            <w:tcMar>
              <w:top w:w="30" w:type="dxa"/>
              <w:left w:w="260" w:type="dxa"/>
              <w:bottom w:w="30" w:type="dxa"/>
              <w:right w:w="20" w:type="dxa"/>
            </w:tcMar>
            <w:hideMark/>
          </w:tcPr>
          <w:p w14:paraId="270BEB8E" w14:textId="77777777" w:rsidR="00000000" w:rsidRDefault="00E614A4">
            <w:pPr>
              <w:rPr>
                <w:rFonts w:eastAsia="Times New Roman"/>
              </w:rPr>
            </w:pPr>
            <w:r>
              <w:rPr>
                <w:rFonts w:eastAsia="Times New Roman"/>
                <w:color w:val="000000"/>
                <w:sz w:val="18"/>
                <w:szCs w:val="18"/>
              </w:rPr>
              <w:t>Payments</w:t>
            </w:r>
          </w:p>
        </w:tc>
        <w:tc>
          <w:tcPr>
            <w:tcW w:w="0" w:type="auto"/>
            <w:gridSpan w:val="3"/>
            <w:shd w:val="clear" w:color="auto" w:fill="FFFFFF"/>
            <w:tcMar>
              <w:top w:w="0" w:type="dxa"/>
              <w:left w:w="20" w:type="dxa"/>
              <w:bottom w:w="0" w:type="dxa"/>
              <w:right w:w="20" w:type="dxa"/>
            </w:tcMar>
            <w:vAlign w:val="center"/>
            <w:hideMark/>
          </w:tcPr>
          <w:p w14:paraId="0F58777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EAB6CA" w14:textId="77777777" w:rsidR="00000000" w:rsidRDefault="00E614A4">
            <w:pPr>
              <w:jc w:val="right"/>
              <w:rPr>
                <w:rFonts w:eastAsia="Times New Roman"/>
              </w:rPr>
            </w:pPr>
            <w:r>
              <w:rPr>
                <w:rFonts w:eastAsia="Times New Roman"/>
                <w:color w:val="000000"/>
                <w:sz w:val="18"/>
                <w:szCs w:val="18"/>
              </w:rPr>
              <w:t>(2,652)</w:t>
            </w:r>
          </w:p>
        </w:tc>
        <w:tc>
          <w:tcPr>
            <w:tcW w:w="0" w:type="auto"/>
            <w:shd w:val="clear" w:color="auto" w:fill="FFFFFF"/>
            <w:tcMar>
              <w:top w:w="30" w:type="dxa"/>
              <w:left w:w="0" w:type="dxa"/>
              <w:bottom w:w="30" w:type="dxa"/>
              <w:right w:w="20" w:type="dxa"/>
            </w:tcMar>
            <w:vAlign w:val="bottom"/>
            <w:hideMark/>
          </w:tcPr>
          <w:p w14:paraId="7A73389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E4D6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FC0E69" w14:textId="77777777" w:rsidR="00000000" w:rsidRDefault="00E614A4">
            <w:pPr>
              <w:jc w:val="right"/>
              <w:rPr>
                <w:rFonts w:eastAsia="Times New Roman"/>
              </w:rPr>
            </w:pPr>
            <w:r>
              <w:rPr>
                <w:rFonts w:eastAsia="Times New Roman"/>
                <w:color w:val="000000"/>
                <w:sz w:val="18"/>
                <w:szCs w:val="18"/>
              </w:rPr>
              <w:t>(561)</w:t>
            </w:r>
          </w:p>
        </w:tc>
        <w:tc>
          <w:tcPr>
            <w:tcW w:w="0" w:type="auto"/>
            <w:shd w:val="clear" w:color="auto" w:fill="FFFFFF"/>
            <w:tcMar>
              <w:top w:w="30" w:type="dxa"/>
              <w:left w:w="0" w:type="dxa"/>
              <w:bottom w:w="30" w:type="dxa"/>
              <w:right w:w="20" w:type="dxa"/>
            </w:tcMar>
            <w:vAlign w:val="bottom"/>
            <w:hideMark/>
          </w:tcPr>
          <w:p w14:paraId="17C1892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7105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FB4A93" w14:textId="77777777" w:rsidR="00000000" w:rsidRDefault="00E614A4">
            <w:pPr>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14:paraId="2E68C93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CE8D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7DB5CE" w14:textId="77777777" w:rsidR="00000000" w:rsidRDefault="00E614A4">
            <w:pPr>
              <w:jc w:val="right"/>
              <w:rPr>
                <w:rFonts w:eastAsia="Times New Roman"/>
              </w:rPr>
            </w:pPr>
            <w:r>
              <w:rPr>
                <w:rFonts w:eastAsia="Times New Roman"/>
                <w:color w:val="000000"/>
                <w:sz w:val="18"/>
                <w:szCs w:val="18"/>
              </w:rPr>
              <w:t>(3,250)</w:t>
            </w:r>
          </w:p>
        </w:tc>
        <w:tc>
          <w:tcPr>
            <w:tcW w:w="0" w:type="auto"/>
            <w:shd w:val="clear" w:color="auto" w:fill="FFFFFF"/>
            <w:tcMar>
              <w:top w:w="30" w:type="dxa"/>
              <w:left w:w="0" w:type="dxa"/>
              <w:bottom w:w="30" w:type="dxa"/>
              <w:right w:w="20" w:type="dxa"/>
            </w:tcMar>
            <w:vAlign w:val="bottom"/>
            <w:hideMark/>
          </w:tcPr>
          <w:p w14:paraId="72B48C08" w14:textId="77777777" w:rsidR="00000000" w:rsidRDefault="00E614A4">
            <w:pPr>
              <w:jc w:val="right"/>
              <w:rPr>
                <w:rFonts w:eastAsia="Times New Roman"/>
              </w:rPr>
            </w:pPr>
          </w:p>
        </w:tc>
      </w:tr>
      <w:tr w:rsidR="00000000" w14:paraId="4E862218" w14:textId="77777777">
        <w:trPr>
          <w:divId w:val="727340617"/>
          <w:jc w:val="center"/>
        </w:trPr>
        <w:tc>
          <w:tcPr>
            <w:tcW w:w="0" w:type="auto"/>
            <w:gridSpan w:val="3"/>
            <w:shd w:val="clear" w:color="auto" w:fill="CCEEFF"/>
            <w:tcMar>
              <w:top w:w="30" w:type="dxa"/>
              <w:left w:w="260" w:type="dxa"/>
              <w:bottom w:w="30" w:type="dxa"/>
              <w:right w:w="20" w:type="dxa"/>
            </w:tcMar>
            <w:hideMark/>
          </w:tcPr>
          <w:p w14:paraId="55D325FE" w14:textId="77777777" w:rsidR="00000000" w:rsidRDefault="00E614A4">
            <w:pPr>
              <w:rPr>
                <w:rFonts w:eastAsia="Times New Roman"/>
              </w:rPr>
            </w:pPr>
            <w:r>
              <w:rPr>
                <w:rFonts w:eastAsia="Times New Roman"/>
                <w:color w:val="000000"/>
                <w:sz w:val="18"/>
                <w:szCs w:val="18"/>
              </w:rPr>
              <w:t>Foreign exchange</w:t>
            </w:r>
          </w:p>
        </w:tc>
        <w:tc>
          <w:tcPr>
            <w:tcW w:w="0" w:type="auto"/>
            <w:gridSpan w:val="3"/>
            <w:shd w:val="clear" w:color="auto" w:fill="CCEEFF"/>
            <w:tcMar>
              <w:top w:w="0" w:type="dxa"/>
              <w:left w:w="20" w:type="dxa"/>
              <w:bottom w:w="0" w:type="dxa"/>
              <w:right w:w="20" w:type="dxa"/>
            </w:tcMar>
            <w:vAlign w:val="center"/>
            <w:hideMark/>
          </w:tcPr>
          <w:p w14:paraId="2065658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F4C73A"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8BFE7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D3759"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314CAB" w14:textId="77777777" w:rsidR="00000000" w:rsidRDefault="00E614A4">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6456EED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5D38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617E1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2F4FA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EEFC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11EE79" w14:textId="77777777" w:rsidR="00000000" w:rsidRDefault="00E614A4">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35F68CD9" w14:textId="77777777" w:rsidR="00000000" w:rsidRDefault="00E614A4">
            <w:pPr>
              <w:jc w:val="right"/>
              <w:rPr>
                <w:rFonts w:eastAsia="Times New Roman"/>
              </w:rPr>
            </w:pPr>
          </w:p>
        </w:tc>
      </w:tr>
      <w:tr w:rsidR="00000000" w14:paraId="392455D1" w14:textId="77777777">
        <w:trPr>
          <w:divId w:val="727340617"/>
          <w:jc w:val="center"/>
        </w:trPr>
        <w:tc>
          <w:tcPr>
            <w:tcW w:w="0" w:type="auto"/>
            <w:gridSpan w:val="3"/>
            <w:shd w:val="clear" w:color="auto" w:fill="FFFFFF"/>
            <w:tcMar>
              <w:top w:w="30" w:type="dxa"/>
              <w:left w:w="20" w:type="dxa"/>
              <w:bottom w:w="30" w:type="dxa"/>
              <w:right w:w="20" w:type="dxa"/>
            </w:tcMar>
            <w:hideMark/>
          </w:tcPr>
          <w:p w14:paraId="0AD6D494" w14:textId="77777777" w:rsidR="00000000" w:rsidRDefault="00E614A4">
            <w:pPr>
              <w:rPr>
                <w:rFonts w:eastAsia="Times New Roman"/>
              </w:rPr>
            </w:pPr>
            <w:r>
              <w:rPr>
                <w:rFonts w:eastAsia="Times New Roman"/>
                <w:color w:val="000000"/>
                <w:sz w:val="18"/>
                <w:szCs w:val="18"/>
              </w:rPr>
              <w:t>Accrued Balance as of December 31, 2018</w:t>
            </w:r>
          </w:p>
        </w:tc>
        <w:tc>
          <w:tcPr>
            <w:tcW w:w="0" w:type="auto"/>
            <w:gridSpan w:val="3"/>
            <w:shd w:val="clear" w:color="auto" w:fill="FFFFFF"/>
            <w:tcMar>
              <w:top w:w="0" w:type="dxa"/>
              <w:left w:w="20" w:type="dxa"/>
              <w:bottom w:w="0" w:type="dxa"/>
              <w:right w:w="20" w:type="dxa"/>
            </w:tcMar>
            <w:vAlign w:val="center"/>
            <w:hideMark/>
          </w:tcPr>
          <w:p w14:paraId="6EA5EDC8" w14:textId="77777777" w:rsidR="00000000" w:rsidRDefault="00E614A4">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9FFE7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F17818" w14:textId="77777777" w:rsidR="00000000" w:rsidRDefault="00E614A4">
            <w:pPr>
              <w:jc w:val="right"/>
              <w:rPr>
                <w:rFonts w:eastAsia="Times New Roman"/>
              </w:rPr>
            </w:pPr>
            <w:r>
              <w:rPr>
                <w:rFonts w:eastAsia="Times New Roman"/>
                <w:color w:val="000000"/>
                <w:sz w:val="18"/>
                <w:szCs w:val="18"/>
              </w:rPr>
              <w:t>4,493 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98DD0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33040"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3EECC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0E6CDB" w14:textId="77777777" w:rsidR="00000000" w:rsidRDefault="00E614A4">
            <w:pPr>
              <w:jc w:val="right"/>
              <w:rPr>
                <w:rFonts w:eastAsia="Times New Roman"/>
              </w:rPr>
            </w:pPr>
            <w:r>
              <w:rPr>
                <w:rFonts w:eastAsia="Times New Roman"/>
                <w:color w:val="000000"/>
                <w:sz w:val="18"/>
                <w:szCs w:val="18"/>
              </w:rPr>
              <w:t>708 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72C9D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778AE"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9D910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D200B3" w14:textId="77777777" w:rsidR="00000000" w:rsidRDefault="00E614A4">
            <w:pPr>
              <w:jc w:val="right"/>
              <w:rPr>
                <w:rFonts w:eastAsia="Times New Roman"/>
              </w:rPr>
            </w:pPr>
            <w:r>
              <w:rPr>
                <w:rFonts w:eastAsia="Times New Roman"/>
                <w:color w:val="000000"/>
                <w:sz w:val="18"/>
                <w:szCs w:val="18"/>
              </w:rPr>
              <w:t>1,810 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71CB9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9C1D5F"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1FA44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EEC8D4" w14:textId="77777777" w:rsidR="00000000" w:rsidRDefault="00E614A4">
            <w:pPr>
              <w:jc w:val="right"/>
              <w:rPr>
                <w:rFonts w:eastAsia="Times New Roman"/>
              </w:rPr>
            </w:pPr>
            <w:r>
              <w:rPr>
                <w:rFonts w:eastAsia="Times New Roman"/>
                <w:color w:val="000000"/>
                <w:sz w:val="18"/>
                <w:szCs w:val="18"/>
              </w:rPr>
              <w:t>7,011 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9B6952" w14:textId="77777777" w:rsidR="00000000" w:rsidRDefault="00E614A4">
            <w:pPr>
              <w:jc w:val="right"/>
              <w:rPr>
                <w:rFonts w:eastAsia="Times New Roman"/>
              </w:rPr>
            </w:pPr>
          </w:p>
        </w:tc>
      </w:tr>
      <w:tr w:rsidR="00000000" w14:paraId="39AF18DB" w14:textId="77777777">
        <w:trPr>
          <w:divId w:val="727340617"/>
          <w:jc w:val="center"/>
        </w:trPr>
        <w:tc>
          <w:tcPr>
            <w:tcW w:w="0" w:type="auto"/>
            <w:gridSpan w:val="3"/>
            <w:shd w:val="clear" w:color="auto" w:fill="CCEEFF"/>
            <w:tcMar>
              <w:top w:w="30" w:type="dxa"/>
              <w:left w:w="20" w:type="dxa"/>
              <w:bottom w:w="30" w:type="dxa"/>
              <w:right w:w="20" w:type="dxa"/>
            </w:tcMar>
            <w:hideMark/>
          </w:tcPr>
          <w:p w14:paraId="41FD0366" w14:textId="77777777" w:rsidR="00000000" w:rsidRDefault="00E614A4">
            <w:pPr>
              <w:divId w:val="1566649569"/>
              <w:rPr>
                <w:rFonts w:eastAsia="Times New Roman"/>
              </w:rPr>
            </w:pPr>
            <w:r>
              <w:rPr>
                <w:rFonts w:eastAsia="Times New Roman"/>
                <w:color w:val="000000"/>
                <w:sz w:val="18"/>
                <w:szCs w:val="18"/>
              </w:rPr>
              <w:t>Adoption of ASC 84</w:t>
            </w:r>
            <w:r>
              <w:rPr>
                <w:rFonts w:eastAsia="Times New Roman"/>
                <w:color w:val="000000"/>
                <w:sz w:val="18"/>
                <w:szCs w:val="18"/>
              </w:rPr>
              <w:t>2</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2783D0B"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CA926E"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607215" w14:textId="77777777" w:rsidR="00000000" w:rsidRDefault="00E614A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056DA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4CEB19" w14:textId="77777777" w:rsidR="00000000" w:rsidRDefault="00E614A4">
            <w:pPr>
              <w:jc w:val="right"/>
              <w:rPr>
                <w:rFonts w:eastAsia="Times New Roman"/>
              </w:rPr>
            </w:pPr>
            <w:r>
              <w:rPr>
                <w:rFonts w:eastAsia="Times New Roman"/>
                <w:color w:val="000000"/>
                <w:sz w:val="18"/>
                <w:szCs w:val="18"/>
              </w:rPr>
              <w:t>(708)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E3FDEA" w14:textId="77777777" w:rsidR="00000000" w:rsidRDefault="00E614A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90E00F"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F0886D" w14:textId="77777777" w:rsidR="00000000" w:rsidRDefault="00E614A4">
            <w:pPr>
              <w:jc w:val="right"/>
              <w:rPr>
                <w:rFonts w:eastAsia="Times New Roman"/>
              </w:rPr>
            </w:pPr>
            <w:r>
              <w:rPr>
                <w:rFonts w:eastAsia="Times New Roman"/>
                <w:color w:val="000000"/>
                <w:sz w:val="18"/>
                <w:szCs w:val="18"/>
              </w:rPr>
              <w:t>(1,810)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AE838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7D7C2"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1D1CE6" w14:textId="77777777" w:rsidR="00000000" w:rsidRDefault="00E614A4">
            <w:pPr>
              <w:jc w:val="right"/>
              <w:rPr>
                <w:rFonts w:eastAsia="Times New Roman"/>
              </w:rPr>
            </w:pPr>
            <w:r>
              <w:rPr>
                <w:rFonts w:eastAsia="Times New Roman"/>
                <w:color w:val="000000"/>
                <w:sz w:val="18"/>
                <w:szCs w:val="18"/>
              </w:rPr>
              <w:t>(2,518)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EA5AEE" w14:textId="77777777" w:rsidR="00000000" w:rsidRDefault="00E614A4">
            <w:pPr>
              <w:jc w:val="right"/>
              <w:rPr>
                <w:rFonts w:eastAsia="Times New Roman"/>
              </w:rPr>
            </w:pPr>
          </w:p>
        </w:tc>
      </w:tr>
      <w:tr w:rsidR="00000000" w14:paraId="375C174D" w14:textId="77777777">
        <w:trPr>
          <w:divId w:val="727340617"/>
          <w:jc w:val="center"/>
        </w:trPr>
        <w:tc>
          <w:tcPr>
            <w:tcW w:w="0" w:type="auto"/>
            <w:gridSpan w:val="3"/>
            <w:shd w:val="clear" w:color="auto" w:fill="FFFFFF"/>
            <w:tcMar>
              <w:top w:w="30" w:type="dxa"/>
              <w:left w:w="20" w:type="dxa"/>
              <w:bottom w:w="30" w:type="dxa"/>
              <w:right w:w="20" w:type="dxa"/>
            </w:tcMar>
            <w:hideMark/>
          </w:tcPr>
          <w:p w14:paraId="0D594C79" w14:textId="77777777" w:rsidR="00000000" w:rsidRDefault="00E614A4">
            <w:pPr>
              <w:divId w:val="1272393628"/>
              <w:rPr>
                <w:rFonts w:eastAsia="Times New Roman"/>
              </w:rPr>
            </w:pPr>
            <w:r>
              <w:rPr>
                <w:rFonts w:eastAsia="Times New Roman"/>
                <w:color w:val="000000"/>
                <w:sz w:val="18"/>
                <w:szCs w:val="18"/>
              </w:rPr>
              <w:t>Restructuring expens</w:t>
            </w:r>
            <w:r>
              <w:rPr>
                <w:rFonts w:eastAsia="Times New Roman"/>
                <w:color w:val="000000"/>
                <w:sz w:val="18"/>
                <w:szCs w:val="18"/>
              </w:rPr>
              <w:t>e</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5D784C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0D1FA2" w14:textId="77777777" w:rsidR="00000000" w:rsidRDefault="00E614A4">
            <w:pPr>
              <w:jc w:val="right"/>
              <w:rPr>
                <w:rFonts w:eastAsia="Times New Roman"/>
              </w:rPr>
            </w:pPr>
            <w:r>
              <w:rPr>
                <w:rFonts w:eastAsia="Times New Roman"/>
                <w:color w:val="000000"/>
                <w:sz w:val="18"/>
                <w:szCs w:val="18"/>
              </w:rPr>
              <w:t>(2,195)</w:t>
            </w:r>
          </w:p>
        </w:tc>
        <w:tc>
          <w:tcPr>
            <w:tcW w:w="0" w:type="auto"/>
            <w:shd w:val="clear" w:color="auto" w:fill="FFFFFF"/>
            <w:tcMar>
              <w:top w:w="30" w:type="dxa"/>
              <w:left w:w="0" w:type="dxa"/>
              <w:bottom w:w="30" w:type="dxa"/>
              <w:right w:w="20" w:type="dxa"/>
            </w:tcMar>
            <w:vAlign w:val="bottom"/>
            <w:hideMark/>
          </w:tcPr>
          <w:p w14:paraId="1A8347D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6FF1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54A08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9EEAA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BF3E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EA02AC"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755B1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3B28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54E1F4" w14:textId="77777777" w:rsidR="00000000" w:rsidRDefault="00E614A4">
            <w:pPr>
              <w:jc w:val="right"/>
              <w:rPr>
                <w:rFonts w:eastAsia="Times New Roman"/>
              </w:rPr>
            </w:pPr>
            <w:r>
              <w:rPr>
                <w:rFonts w:eastAsia="Times New Roman"/>
                <w:color w:val="000000"/>
                <w:sz w:val="18"/>
                <w:szCs w:val="18"/>
              </w:rPr>
              <w:t>(2,195)</w:t>
            </w:r>
          </w:p>
        </w:tc>
        <w:tc>
          <w:tcPr>
            <w:tcW w:w="0" w:type="auto"/>
            <w:shd w:val="clear" w:color="auto" w:fill="FFFFFF"/>
            <w:tcMar>
              <w:top w:w="30" w:type="dxa"/>
              <w:left w:w="0" w:type="dxa"/>
              <w:bottom w:w="30" w:type="dxa"/>
              <w:right w:w="20" w:type="dxa"/>
            </w:tcMar>
            <w:vAlign w:val="bottom"/>
            <w:hideMark/>
          </w:tcPr>
          <w:p w14:paraId="7E6D04BF" w14:textId="77777777" w:rsidR="00000000" w:rsidRDefault="00E614A4">
            <w:pPr>
              <w:jc w:val="right"/>
              <w:rPr>
                <w:rFonts w:eastAsia="Times New Roman"/>
              </w:rPr>
            </w:pPr>
          </w:p>
        </w:tc>
      </w:tr>
      <w:tr w:rsidR="00000000" w14:paraId="1BF1F92C" w14:textId="77777777">
        <w:trPr>
          <w:divId w:val="727340617"/>
          <w:jc w:val="center"/>
        </w:trPr>
        <w:tc>
          <w:tcPr>
            <w:tcW w:w="0" w:type="auto"/>
            <w:gridSpan w:val="3"/>
            <w:shd w:val="clear" w:color="auto" w:fill="CCEEFF"/>
            <w:tcMar>
              <w:top w:w="30" w:type="dxa"/>
              <w:left w:w="260" w:type="dxa"/>
              <w:bottom w:w="30" w:type="dxa"/>
              <w:right w:w="20" w:type="dxa"/>
            </w:tcMar>
            <w:hideMark/>
          </w:tcPr>
          <w:p w14:paraId="62F6A33C" w14:textId="77777777" w:rsidR="00000000" w:rsidRDefault="00E614A4">
            <w:pPr>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14:paraId="2AE132D4"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67B66D" w14:textId="77777777" w:rsidR="00000000" w:rsidRDefault="00E614A4">
            <w:pPr>
              <w:jc w:val="right"/>
              <w:rPr>
                <w:rFonts w:eastAsia="Times New Roman"/>
              </w:rPr>
            </w:pPr>
            <w:r>
              <w:rPr>
                <w:rFonts w:eastAsia="Times New Roman"/>
                <w:color w:val="000000"/>
                <w:sz w:val="18"/>
                <w:szCs w:val="18"/>
              </w:rPr>
              <w:t>(2,298)</w:t>
            </w:r>
          </w:p>
        </w:tc>
        <w:tc>
          <w:tcPr>
            <w:tcW w:w="0" w:type="auto"/>
            <w:shd w:val="clear" w:color="auto" w:fill="CCEEFF"/>
            <w:tcMar>
              <w:top w:w="30" w:type="dxa"/>
              <w:left w:w="0" w:type="dxa"/>
              <w:bottom w:w="30" w:type="dxa"/>
              <w:right w:w="20" w:type="dxa"/>
            </w:tcMar>
            <w:vAlign w:val="bottom"/>
            <w:hideMark/>
          </w:tcPr>
          <w:p w14:paraId="51CE2B0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62EB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4B2E00"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3071D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D3081"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8AC36B"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77B1C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B9A7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2E25D" w14:textId="77777777" w:rsidR="00000000" w:rsidRDefault="00E614A4">
            <w:pPr>
              <w:jc w:val="right"/>
              <w:rPr>
                <w:rFonts w:eastAsia="Times New Roman"/>
              </w:rPr>
            </w:pPr>
            <w:r>
              <w:rPr>
                <w:rFonts w:eastAsia="Times New Roman"/>
                <w:color w:val="000000"/>
                <w:sz w:val="18"/>
                <w:szCs w:val="18"/>
              </w:rPr>
              <w:t>(2,298)</w:t>
            </w:r>
          </w:p>
        </w:tc>
        <w:tc>
          <w:tcPr>
            <w:tcW w:w="0" w:type="auto"/>
            <w:shd w:val="clear" w:color="auto" w:fill="CCEEFF"/>
            <w:tcMar>
              <w:top w:w="30" w:type="dxa"/>
              <w:left w:w="0" w:type="dxa"/>
              <w:bottom w:w="30" w:type="dxa"/>
              <w:right w:w="20" w:type="dxa"/>
            </w:tcMar>
            <w:vAlign w:val="bottom"/>
            <w:hideMark/>
          </w:tcPr>
          <w:p w14:paraId="2402D6AA" w14:textId="77777777" w:rsidR="00000000" w:rsidRDefault="00E614A4">
            <w:pPr>
              <w:jc w:val="right"/>
              <w:rPr>
                <w:rFonts w:eastAsia="Times New Roman"/>
              </w:rPr>
            </w:pPr>
          </w:p>
        </w:tc>
      </w:tr>
      <w:tr w:rsidR="00000000" w14:paraId="4881683C" w14:textId="77777777">
        <w:trPr>
          <w:divId w:val="727340617"/>
          <w:jc w:val="center"/>
        </w:trPr>
        <w:tc>
          <w:tcPr>
            <w:tcW w:w="0" w:type="auto"/>
            <w:gridSpan w:val="3"/>
            <w:vAlign w:val="center"/>
            <w:hideMark/>
          </w:tcPr>
          <w:p w14:paraId="2CF0D66A" w14:textId="77777777" w:rsidR="00000000" w:rsidRDefault="00E614A4">
            <w:pPr>
              <w:jc w:val="right"/>
              <w:rPr>
                <w:rFonts w:eastAsia="Times New Roman"/>
                <w:sz w:val="20"/>
                <w:szCs w:val="20"/>
              </w:rPr>
            </w:pPr>
          </w:p>
        </w:tc>
        <w:tc>
          <w:tcPr>
            <w:tcW w:w="0" w:type="auto"/>
            <w:gridSpan w:val="3"/>
            <w:vAlign w:val="center"/>
            <w:hideMark/>
          </w:tcPr>
          <w:p w14:paraId="2E5E7AA6" w14:textId="77777777" w:rsidR="00000000" w:rsidRDefault="00E614A4">
            <w:pPr>
              <w:rPr>
                <w:rFonts w:eastAsia="Times New Roman"/>
                <w:sz w:val="20"/>
                <w:szCs w:val="20"/>
              </w:rPr>
            </w:pPr>
          </w:p>
        </w:tc>
        <w:tc>
          <w:tcPr>
            <w:tcW w:w="0" w:type="auto"/>
            <w:gridSpan w:val="3"/>
            <w:vAlign w:val="center"/>
            <w:hideMark/>
          </w:tcPr>
          <w:p w14:paraId="7993F97C" w14:textId="77777777" w:rsidR="00000000" w:rsidRDefault="00E614A4">
            <w:pPr>
              <w:rPr>
                <w:rFonts w:eastAsia="Times New Roman"/>
                <w:sz w:val="20"/>
                <w:szCs w:val="20"/>
              </w:rPr>
            </w:pPr>
          </w:p>
        </w:tc>
        <w:tc>
          <w:tcPr>
            <w:tcW w:w="0" w:type="auto"/>
            <w:gridSpan w:val="3"/>
            <w:vAlign w:val="center"/>
            <w:hideMark/>
          </w:tcPr>
          <w:p w14:paraId="3CD6F951" w14:textId="77777777" w:rsidR="00000000" w:rsidRDefault="00E614A4">
            <w:pPr>
              <w:rPr>
                <w:rFonts w:eastAsia="Times New Roman"/>
                <w:sz w:val="20"/>
                <w:szCs w:val="20"/>
              </w:rPr>
            </w:pPr>
          </w:p>
        </w:tc>
        <w:tc>
          <w:tcPr>
            <w:tcW w:w="0" w:type="auto"/>
            <w:gridSpan w:val="3"/>
            <w:vAlign w:val="center"/>
            <w:hideMark/>
          </w:tcPr>
          <w:p w14:paraId="1E27683A" w14:textId="77777777" w:rsidR="00000000" w:rsidRDefault="00E614A4">
            <w:pPr>
              <w:rPr>
                <w:rFonts w:eastAsia="Times New Roman"/>
                <w:sz w:val="20"/>
                <w:szCs w:val="20"/>
              </w:rPr>
            </w:pPr>
          </w:p>
        </w:tc>
        <w:tc>
          <w:tcPr>
            <w:tcW w:w="0" w:type="auto"/>
            <w:gridSpan w:val="3"/>
            <w:vAlign w:val="center"/>
            <w:hideMark/>
          </w:tcPr>
          <w:p w14:paraId="68D63DB4" w14:textId="77777777" w:rsidR="00000000" w:rsidRDefault="00E614A4">
            <w:pPr>
              <w:rPr>
                <w:rFonts w:eastAsia="Times New Roman"/>
                <w:sz w:val="20"/>
                <w:szCs w:val="20"/>
              </w:rPr>
            </w:pPr>
          </w:p>
        </w:tc>
        <w:tc>
          <w:tcPr>
            <w:tcW w:w="0" w:type="auto"/>
            <w:gridSpan w:val="3"/>
            <w:vAlign w:val="center"/>
            <w:hideMark/>
          </w:tcPr>
          <w:p w14:paraId="7E0A0AEA" w14:textId="77777777" w:rsidR="00000000" w:rsidRDefault="00E614A4">
            <w:pPr>
              <w:rPr>
                <w:rFonts w:eastAsia="Times New Roman"/>
                <w:sz w:val="20"/>
                <w:szCs w:val="20"/>
              </w:rPr>
            </w:pPr>
          </w:p>
        </w:tc>
        <w:tc>
          <w:tcPr>
            <w:tcW w:w="0" w:type="auto"/>
            <w:gridSpan w:val="3"/>
            <w:vAlign w:val="center"/>
            <w:hideMark/>
          </w:tcPr>
          <w:p w14:paraId="62519BC1" w14:textId="77777777" w:rsidR="00000000" w:rsidRDefault="00E614A4">
            <w:pPr>
              <w:rPr>
                <w:rFonts w:eastAsia="Times New Roman"/>
                <w:sz w:val="20"/>
                <w:szCs w:val="20"/>
              </w:rPr>
            </w:pPr>
          </w:p>
        </w:tc>
        <w:tc>
          <w:tcPr>
            <w:tcW w:w="0" w:type="auto"/>
            <w:gridSpan w:val="3"/>
            <w:vAlign w:val="center"/>
            <w:hideMark/>
          </w:tcPr>
          <w:p w14:paraId="6FD138EA" w14:textId="77777777" w:rsidR="00000000" w:rsidRDefault="00E614A4">
            <w:pPr>
              <w:rPr>
                <w:rFonts w:eastAsia="Times New Roman"/>
                <w:sz w:val="20"/>
                <w:szCs w:val="20"/>
              </w:rPr>
            </w:pPr>
          </w:p>
        </w:tc>
      </w:tr>
      <w:tr w:rsidR="00000000" w14:paraId="5825BF01" w14:textId="77777777">
        <w:trPr>
          <w:divId w:val="727340617"/>
          <w:jc w:val="center"/>
        </w:trPr>
        <w:tc>
          <w:tcPr>
            <w:tcW w:w="0" w:type="auto"/>
            <w:gridSpan w:val="3"/>
            <w:shd w:val="clear" w:color="auto" w:fill="FFFFFF"/>
            <w:tcMar>
              <w:top w:w="30" w:type="dxa"/>
              <w:left w:w="20" w:type="dxa"/>
              <w:bottom w:w="30" w:type="dxa"/>
              <w:right w:w="20" w:type="dxa"/>
            </w:tcMar>
            <w:hideMark/>
          </w:tcPr>
          <w:p w14:paraId="2788B01F" w14:textId="77777777" w:rsidR="00000000" w:rsidRDefault="00E614A4">
            <w:pPr>
              <w:rPr>
                <w:rFonts w:eastAsia="Times New Roman"/>
              </w:rPr>
            </w:pPr>
            <w:r>
              <w:rPr>
                <w:rFonts w:eastAsia="Times New Roman"/>
                <w:color w:val="000000"/>
                <w:sz w:val="18"/>
                <w:szCs w:val="18"/>
              </w:rPr>
              <w:t>Accrued Balance as of December 31, 2019</w:t>
            </w:r>
          </w:p>
        </w:tc>
        <w:tc>
          <w:tcPr>
            <w:tcW w:w="0" w:type="auto"/>
            <w:gridSpan w:val="3"/>
            <w:shd w:val="clear" w:color="auto" w:fill="FFFFFF"/>
            <w:tcMar>
              <w:top w:w="0" w:type="dxa"/>
              <w:left w:w="20" w:type="dxa"/>
              <w:bottom w:w="0" w:type="dxa"/>
              <w:right w:w="20" w:type="dxa"/>
            </w:tcMar>
            <w:vAlign w:val="center"/>
            <w:hideMark/>
          </w:tcPr>
          <w:p w14:paraId="41D9656F" w14:textId="77777777" w:rsidR="00000000" w:rsidRDefault="00E614A4">
            <w:pPr>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4C153AC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657D9E64"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1F324CF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EF252" w14:textId="77777777" w:rsidR="00000000" w:rsidRDefault="00E614A4">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2363312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2F612DDC"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3E292D7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1C7DB" w14:textId="77777777" w:rsidR="00000000" w:rsidRDefault="00E614A4">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411CFB0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0FD7B0B6"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60A2F62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B2829" w14:textId="77777777" w:rsidR="00000000" w:rsidRDefault="00E614A4">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1AD0AAD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52372DA2"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29DE81C9" w14:textId="77777777" w:rsidR="00000000" w:rsidRDefault="00E614A4">
            <w:pPr>
              <w:jc w:val="right"/>
              <w:rPr>
                <w:rFonts w:eastAsia="Times New Roman"/>
              </w:rPr>
            </w:pPr>
          </w:p>
        </w:tc>
      </w:tr>
    </w:tbl>
    <w:p w14:paraId="3B1D720A" w14:textId="77777777" w:rsidR="00000000" w:rsidRDefault="00E614A4">
      <w:pPr>
        <w:jc w:val="both"/>
        <w:divId w:val="1570994314"/>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During the year en</w:t>
      </w:r>
      <w:r>
        <w:rPr>
          <w:rFonts w:eastAsia="Times New Roman"/>
          <w:i/>
          <w:iCs/>
          <w:color w:val="000000"/>
          <w:sz w:val="16"/>
          <w:szCs w:val="16"/>
        </w:rPr>
        <w:t>ded December 31, 2018, the Company recognized a reduction of $0.7 million of liability related to the write-off of certain lease-related liabilities, offset by $0.5 million in stock-based compensation related to the termination of certain employees, $0.5 m</w:t>
      </w:r>
      <w:r>
        <w:rPr>
          <w:rFonts w:eastAsia="Times New Roman"/>
          <w:i/>
          <w:iCs/>
          <w:color w:val="000000"/>
          <w:sz w:val="16"/>
          <w:szCs w:val="16"/>
        </w:rPr>
        <w:t>illion in accelerated depreciation on assets located within subleased properties, and $0.1 million in other expenses.</w:t>
      </w:r>
    </w:p>
    <w:p w14:paraId="73ACB9F4" w14:textId="77777777" w:rsidR="00000000" w:rsidRDefault="00E614A4">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The Company adopted ASC 842, Leases, as of January 1, 2019. For additional details regarding the adoption, please refer to </w:t>
      </w:r>
      <w:hyperlink w:anchor="ided6989bcc374020961c421c465250ee_106" w:history="1">
        <w:r>
          <w:rPr>
            <w:rStyle w:val="a3"/>
            <w:rFonts w:eastAsia="Times New Roman"/>
            <w:i/>
            <w:iCs/>
            <w:sz w:val="16"/>
            <w:szCs w:val="16"/>
          </w:rPr>
          <w:t>Footnote 2</w:t>
        </w:r>
      </w:hyperlink>
      <w:r>
        <w:rPr>
          <w:rFonts w:eastAsia="Times New Roman"/>
          <w:i/>
          <w:iCs/>
          <w:color w:val="000000"/>
          <w:sz w:val="16"/>
          <w:szCs w:val="16"/>
        </w:rPr>
        <w:t>, Summary of Significant Accounting Policies.</w:t>
      </w:r>
    </w:p>
    <w:p w14:paraId="4466BB0E" w14:textId="77777777" w:rsidR="00000000" w:rsidRDefault="00E614A4">
      <w:pPr>
        <w:jc w:val="both"/>
        <w:rPr>
          <w:rFonts w:eastAsia="Times New Roman"/>
        </w:rPr>
      </w:pPr>
      <w:r>
        <w:rPr>
          <w:rFonts w:eastAsia="Times New Roman"/>
          <w:i/>
          <w:iCs/>
          <w:color w:val="000000"/>
          <w:sz w:val="10"/>
          <w:szCs w:val="10"/>
        </w:rPr>
        <w:t>(3</w:t>
      </w:r>
      <w:r>
        <w:rPr>
          <w:rFonts w:eastAsia="Times New Roman"/>
          <w:i/>
          <w:iCs/>
          <w:color w:val="000000"/>
          <w:sz w:val="10"/>
          <w:szCs w:val="10"/>
        </w:rPr>
        <w:t>)</w:t>
      </w:r>
      <w:r>
        <w:rPr>
          <w:rFonts w:eastAsia="Times New Roman"/>
          <w:i/>
          <w:iCs/>
          <w:color w:val="000000"/>
          <w:sz w:val="16"/>
          <w:szCs w:val="16"/>
        </w:rPr>
        <w:t xml:space="preserve"> Restructuring expense decreased due to a reversal of planned executive compensation.</w:t>
      </w:r>
    </w:p>
    <w:p w14:paraId="3422D3D7" w14:textId="77777777" w:rsidR="00000000" w:rsidRDefault="00E614A4">
      <w:pPr>
        <w:jc w:val="both"/>
        <w:divId w:val="1651668619"/>
        <w:rPr>
          <w:rFonts w:eastAsia="Times New Roman"/>
        </w:rPr>
      </w:pPr>
      <w:r>
        <w:rPr>
          <w:rFonts w:eastAsia="Times New Roman"/>
          <w:b/>
          <w:bCs/>
          <w:color w:val="000000"/>
          <w:sz w:val="20"/>
          <w:szCs w:val="20"/>
        </w:rPr>
        <w:t>2019 Restructuring Plans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41"/>
        <w:gridCol w:w="36"/>
        <w:gridCol w:w="36"/>
        <w:gridCol w:w="36"/>
        <w:gridCol w:w="36"/>
        <w:gridCol w:w="111"/>
        <w:gridCol w:w="932"/>
        <w:gridCol w:w="36"/>
        <w:gridCol w:w="36"/>
        <w:gridCol w:w="36"/>
        <w:gridCol w:w="36"/>
        <w:gridCol w:w="111"/>
        <w:gridCol w:w="933"/>
        <w:gridCol w:w="36"/>
        <w:gridCol w:w="36"/>
        <w:gridCol w:w="36"/>
        <w:gridCol w:w="36"/>
        <w:gridCol w:w="36"/>
        <w:gridCol w:w="36"/>
        <w:gridCol w:w="36"/>
      </w:tblGrid>
      <w:tr w:rsidR="00000000" w14:paraId="0E3ED251" w14:textId="77777777">
        <w:trPr>
          <w:divId w:val="1474373622"/>
          <w:jc w:val="center"/>
        </w:trPr>
        <w:tc>
          <w:tcPr>
            <w:tcW w:w="50" w:type="pct"/>
            <w:vAlign w:val="center"/>
            <w:hideMark/>
          </w:tcPr>
          <w:p w14:paraId="3725AB15" w14:textId="77777777" w:rsidR="00000000" w:rsidRDefault="00E614A4">
            <w:pPr>
              <w:jc w:val="both"/>
              <w:rPr>
                <w:rFonts w:eastAsia="Times New Roman"/>
              </w:rPr>
            </w:pPr>
          </w:p>
        </w:tc>
        <w:tc>
          <w:tcPr>
            <w:tcW w:w="3542" w:type="pct"/>
            <w:vAlign w:val="center"/>
            <w:hideMark/>
          </w:tcPr>
          <w:p w14:paraId="3B212583" w14:textId="77777777" w:rsidR="00000000" w:rsidRDefault="00E614A4">
            <w:pPr>
              <w:rPr>
                <w:rFonts w:eastAsia="Times New Roman"/>
                <w:sz w:val="20"/>
                <w:szCs w:val="20"/>
              </w:rPr>
            </w:pPr>
          </w:p>
        </w:tc>
        <w:tc>
          <w:tcPr>
            <w:tcW w:w="5" w:type="pct"/>
            <w:vAlign w:val="center"/>
            <w:hideMark/>
          </w:tcPr>
          <w:p w14:paraId="01A8E71D" w14:textId="77777777" w:rsidR="00000000" w:rsidRDefault="00E614A4">
            <w:pPr>
              <w:rPr>
                <w:rFonts w:eastAsia="Times New Roman"/>
                <w:sz w:val="20"/>
                <w:szCs w:val="20"/>
              </w:rPr>
            </w:pPr>
          </w:p>
        </w:tc>
        <w:tc>
          <w:tcPr>
            <w:tcW w:w="5" w:type="pct"/>
            <w:vAlign w:val="center"/>
            <w:hideMark/>
          </w:tcPr>
          <w:p w14:paraId="47B6F2D1" w14:textId="77777777" w:rsidR="00000000" w:rsidRDefault="00E614A4">
            <w:pPr>
              <w:rPr>
                <w:rFonts w:eastAsia="Times New Roman"/>
                <w:sz w:val="20"/>
                <w:szCs w:val="20"/>
              </w:rPr>
            </w:pPr>
          </w:p>
        </w:tc>
        <w:tc>
          <w:tcPr>
            <w:tcW w:w="17" w:type="pct"/>
            <w:vAlign w:val="center"/>
            <w:hideMark/>
          </w:tcPr>
          <w:p w14:paraId="508E0701" w14:textId="77777777" w:rsidR="00000000" w:rsidRDefault="00E614A4">
            <w:pPr>
              <w:rPr>
                <w:rFonts w:eastAsia="Times New Roman"/>
                <w:sz w:val="20"/>
                <w:szCs w:val="20"/>
              </w:rPr>
            </w:pPr>
          </w:p>
        </w:tc>
        <w:tc>
          <w:tcPr>
            <w:tcW w:w="5" w:type="pct"/>
            <w:vAlign w:val="center"/>
            <w:hideMark/>
          </w:tcPr>
          <w:p w14:paraId="73AF96D0" w14:textId="77777777" w:rsidR="00000000" w:rsidRDefault="00E614A4">
            <w:pPr>
              <w:rPr>
                <w:rFonts w:eastAsia="Times New Roman"/>
                <w:sz w:val="20"/>
                <w:szCs w:val="20"/>
              </w:rPr>
            </w:pPr>
          </w:p>
        </w:tc>
        <w:tc>
          <w:tcPr>
            <w:tcW w:w="50" w:type="pct"/>
            <w:vAlign w:val="center"/>
            <w:hideMark/>
          </w:tcPr>
          <w:p w14:paraId="3239A785" w14:textId="77777777" w:rsidR="00000000" w:rsidRDefault="00E614A4">
            <w:pPr>
              <w:rPr>
                <w:rFonts w:eastAsia="Times New Roman"/>
                <w:sz w:val="20"/>
                <w:szCs w:val="20"/>
              </w:rPr>
            </w:pPr>
          </w:p>
        </w:tc>
        <w:tc>
          <w:tcPr>
            <w:tcW w:w="618" w:type="pct"/>
            <w:vAlign w:val="center"/>
            <w:hideMark/>
          </w:tcPr>
          <w:p w14:paraId="68DC59D4" w14:textId="77777777" w:rsidR="00000000" w:rsidRDefault="00E614A4">
            <w:pPr>
              <w:rPr>
                <w:rFonts w:eastAsia="Times New Roman"/>
                <w:sz w:val="20"/>
                <w:szCs w:val="20"/>
              </w:rPr>
            </w:pPr>
          </w:p>
        </w:tc>
        <w:tc>
          <w:tcPr>
            <w:tcW w:w="5" w:type="pct"/>
            <w:vAlign w:val="center"/>
            <w:hideMark/>
          </w:tcPr>
          <w:p w14:paraId="686F02EA" w14:textId="77777777" w:rsidR="00000000" w:rsidRDefault="00E614A4">
            <w:pPr>
              <w:rPr>
                <w:rFonts w:eastAsia="Times New Roman"/>
                <w:sz w:val="20"/>
                <w:szCs w:val="20"/>
              </w:rPr>
            </w:pPr>
          </w:p>
        </w:tc>
        <w:tc>
          <w:tcPr>
            <w:tcW w:w="5" w:type="pct"/>
            <w:vAlign w:val="center"/>
            <w:hideMark/>
          </w:tcPr>
          <w:p w14:paraId="05CFB03D" w14:textId="77777777" w:rsidR="00000000" w:rsidRDefault="00E614A4">
            <w:pPr>
              <w:rPr>
                <w:rFonts w:eastAsia="Times New Roman"/>
                <w:sz w:val="20"/>
                <w:szCs w:val="20"/>
              </w:rPr>
            </w:pPr>
          </w:p>
        </w:tc>
        <w:tc>
          <w:tcPr>
            <w:tcW w:w="17" w:type="pct"/>
            <w:vAlign w:val="center"/>
            <w:hideMark/>
          </w:tcPr>
          <w:p w14:paraId="0BA8D6DA" w14:textId="77777777" w:rsidR="00000000" w:rsidRDefault="00E614A4">
            <w:pPr>
              <w:rPr>
                <w:rFonts w:eastAsia="Times New Roman"/>
                <w:sz w:val="20"/>
                <w:szCs w:val="20"/>
              </w:rPr>
            </w:pPr>
          </w:p>
        </w:tc>
        <w:tc>
          <w:tcPr>
            <w:tcW w:w="5" w:type="pct"/>
            <w:vAlign w:val="center"/>
            <w:hideMark/>
          </w:tcPr>
          <w:p w14:paraId="67470FA2" w14:textId="77777777" w:rsidR="00000000" w:rsidRDefault="00E614A4">
            <w:pPr>
              <w:rPr>
                <w:rFonts w:eastAsia="Times New Roman"/>
                <w:sz w:val="20"/>
                <w:szCs w:val="20"/>
              </w:rPr>
            </w:pPr>
          </w:p>
        </w:tc>
        <w:tc>
          <w:tcPr>
            <w:tcW w:w="50" w:type="pct"/>
            <w:vAlign w:val="center"/>
            <w:hideMark/>
          </w:tcPr>
          <w:p w14:paraId="2C2F9AA9" w14:textId="77777777" w:rsidR="00000000" w:rsidRDefault="00E614A4">
            <w:pPr>
              <w:rPr>
                <w:rFonts w:eastAsia="Times New Roman"/>
                <w:sz w:val="20"/>
                <w:szCs w:val="20"/>
              </w:rPr>
            </w:pPr>
          </w:p>
        </w:tc>
        <w:tc>
          <w:tcPr>
            <w:tcW w:w="618" w:type="pct"/>
            <w:vAlign w:val="center"/>
            <w:hideMark/>
          </w:tcPr>
          <w:p w14:paraId="394D12F2" w14:textId="77777777" w:rsidR="00000000" w:rsidRDefault="00E614A4">
            <w:pPr>
              <w:rPr>
                <w:rFonts w:eastAsia="Times New Roman"/>
                <w:sz w:val="20"/>
                <w:szCs w:val="20"/>
              </w:rPr>
            </w:pPr>
          </w:p>
        </w:tc>
        <w:tc>
          <w:tcPr>
            <w:tcW w:w="5" w:type="pct"/>
            <w:vAlign w:val="center"/>
            <w:hideMark/>
          </w:tcPr>
          <w:p w14:paraId="5CDCA7AD" w14:textId="77777777" w:rsidR="00000000" w:rsidRDefault="00E614A4">
            <w:pPr>
              <w:rPr>
                <w:rFonts w:eastAsia="Times New Roman"/>
                <w:sz w:val="20"/>
                <w:szCs w:val="20"/>
              </w:rPr>
            </w:pPr>
          </w:p>
        </w:tc>
        <w:tc>
          <w:tcPr>
            <w:tcW w:w="0" w:type="auto"/>
            <w:vAlign w:val="center"/>
            <w:hideMark/>
          </w:tcPr>
          <w:p w14:paraId="181988EB" w14:textId="77777777" w:rsidR="00000000" w:rsidRDefault="00E614A4">
            <w:pPr>
              <w:rPr>
                <w:rFonts w:eastAsia="Times New Roman"/>
                <w:sz w:val="20"/>
                <w:szCs w:val="20"/>
              </w:rPr>
            </w:pPr>
          </w:p>
        </w:tc>
        <w:tc>
          <w:tcPr>
            <w:tcW w:w="0" w:type="auto"/>
            <w:vAlign w:val="center"/>
            <w:hideMark/>
          </w:tcPr>
          <w:p w14:paraId="26A65685" w14:textId="77777777" w:rsidR="00000000" w:rsidRDefault="00E614A4">
            <w:pPr>
              <w:rPr>
                <w:rFonts w:eastAsia="Times New Roman"/>
                <w:sz w:val="20"/>
                <w:szCs w:val="20"/>
              </w:rPr>
            </w:pPr>
          </w:p>
        </w:tc>
        <w:tc>
          <w:tcPr>
            <w:tcW w:w="0" w:type="auto"/>
            <w:vAlign w:val="center"/>
            <w:hideMark/>
          </w:tcPr>
          <w:p w14:paraId="5651FA2A" w14:textId="77777777" w:rsidR="00000000" w:rsidRDefault="00E614A4">
            <w:pPr>
              <w:rPr>
                <w:rFonts w:eastAsia="Times New Roman"/>
                <w:sz w:val="20"/>
                <w:szCs w:val="20"/>
              </w:rPr>
            </w:pPr>
          </w:p>
        </w:tc>
        <w:tc>
          <w:tcPr>
            <w:tcW w:w="0" w:type="auto"/>
            <w:vAlign w:val="center"/>
            <w:hideMark/>
          </w:tcPr>
          <w:p w14:paraId="21F712E6" w14:textId="77777777" w:rsidR="00000000" w:rsidRDefault="00E614A4">
            <w:pPr>
              <w:rPr>
                <w:rFonts w:eastAsia="Times New Roman"/>
                <w:sz w:val="20"/>
                <w:szCs w:val="20"/>
              </w:rPr>
            </w:pPr>
          </w:p>
        </w:tc>
        <w:tc>
          <w:tcPr>
            <w:tcW w:w="0" w:type="auto"/>
            <w:vAlign w:val="center"/>
            <w:hideMark/>
          </w:tcPr>
          <w:p w14:paraId="1E9CBBC7" w14:textId="77777777" w:rsidR="00000000" w:rsidRDefault="00E614A4">
            <w:pPr>
              <w:rPr>
                <w:rFonts w:eastAsia="Times New Roman"/>
                <w:sz w:val="20"/>
                <w:szCs w:val="20"/>
              </w:rPr>
            </w:pPr>
          </w:p>
        </w:tc>
        <w:tc>
          <w:tcPr>
            <w:tcW w:w="0" w:type="auto"/>
            <w:vAlign w:val="center"/>
            <w:hideMark/>
          </w:tcPr>
          <w:p w14:paraId="7DDC79EF" w14:textId="77777777" w:rsidR="00000000" w:rsidRDefault="00E614A4">
            <w:pPr>
              <w:rPr>
                <w:rFonts w:eastAsia="Times New Roman"/>
                <w:sz w:val="20"/>
                <w:szCs w:val="20"/>
              </w:rPr>
            </w:pPr>
          </w:p>
        </w:tc>
      </w:tr>
      <w:tr w:rsidR="00000000" w14:paraId="79191F38" w14:textId="77777777">
        <w:trPr>
          <w:divId w:val="1474373622"/>
          <w:jc w:val="center"/>
        </w:trPr>
        <w:tc>
          <w:tcPr>
            <w:tcW w:w="0" w:type="auto"/>
            <w:gridSpan w:val="3"/>
            <w:tcMar>
              <w:top w:w="30" w:type="dxa"/>
              <w:left w:w="20" w:type="dxa"/>
              <w:bottom w:w="30" w:type="dxa"/>
              <w:right w:w="20" w:type="dxa"/>
            </w:tcMar>
            <w:vAlign w:val="bottom"/>
            <w:hideMark/>
          </w:tcPr>
          <w:p w14:paraId="1B173715" w14:textId="77777777" w:rsidR="00000000" w:rsidRDefault="00E614A4">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4A8E94F" w14:textId="77777777" w:rsidR="00000000" w:rsidRDefault="00E614A4">
            <w:pPr>
              <w:rPr>
                <w:rFonts w:eastAsia="Times New Roman"/>
              </w:rPr>
            </w:pPr>
          </w:p>
        </w:tc>
        <w:tc>
          <w:tcPr>
            <w:tcW w:w="0" w:type="auto"/>
            <w:gridSpan w:val="3"/>
            <w:tcMar>
              <w:top w:w="30" w:type="dxa"/>
              <w:left w:w="20" w:type="dxa"/>
              <w:bottom w:w="30" w:type="dxa"/>
              <w:right w:w="20" w:type="dxa"/>
            </w:tcMar>
            <w:vAlign w:val="bottom"/>
            <w:hideMark/>
          </w:tcPr>
          <w:p w14:paraId="3F0B5CE2" w14:textId="77777777" w:rsidR="00000000" w:rsidRDefault="00E614A4">
            <w:pPr>
              <w:jc w:val="center"/>
              <w:rPr>
                <w:rFonts w:eastAsia="Times New Roman"/>
              </w:rPr>
            </w:pPr>
            <w:r>
              <w:rPr>
                <w:rFonts w:eastAsia="Times New Roman"/>
                <w:b/>
                <w:bCs/>
                <w:color w:val="000000"/>
                <w:sz w:val="16"/>
                <w:szCs w:val="16"/>
              </w:rPr>
              <w:t>May 2019 Restructuring Plan</w:t>
            </w:r>
          </w:p>
        </w:tc>
        <w:tc>
          <w:tcPr>
            <w:tcW w:w="0" w:type="auto"/>
            <w:gridSpan w:val="3"/>
            <w:tcMar>
              <w:top w:w="0" w:type="dxa"/>
              <w:left w:w="20" w:type="dxa"/>
              <w:bottom w:w="0" w:type="dxa"/>
              <w:right w:w="20" w:type="dxa"/>
            </w:tcMar>
            <w:vAlign w:val="center"/>
            <w:hideMark/>
          </w:tcPr>
          <w:p w14:paraId="31F71422"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6ECC2182" w14:textId="77777777" w:rsidR="00000000" w:rsidRDefault="00E614A4">
            <w:pPr>
              <w:jc w:val="center"/>
              <w:rPr>
                <w:rFonts w:eastAsia="Times New Roman"/>
              </w:rPr>
            </w:pPr>
            <w:r>
              <w:rPr>
                <w:rFonts w:eastAsia="Times New Roman"/>
                <w:b/>
                <w:bCs/>
                <w:color w:val="000000"/>
                <w:sz w:val="16"/>
                <w:szCs w:val="16"/>
              </w:rPr>
              <w:t>August 2019 Restructuring Plan</w:t>
            </w:r>
          </w:p>
        </w:tc>
        <w:tc>
          <w:tcPr>
            <w:tcW w:w="0" w:type="auto"/>
            <w:vAlign w:val="center"/>
            <w:hideMark/>
          </w:tcPr>
          <w:p w14:paraId="282E6B2B" w14:textId="77777777" w:rsidR="00000000" w:rsidRDefault="00E614A4">
            <w:pPr>
              <w:jc w:val="center"/>
              <w:rPr>
                <w:rFonts w:eastAsia="Times New Roman"/>
              </w:rPr>
            </w:pPr>
          </w:p>
        </w:tc>
        <w:tc>
          <w:tcPr>
            <w:tcW w:w="0" w:type="auto"/>
            <w:vAlign w:val="center"/>
            <w:hideMark/>
          </w:tcPr>
          <w:p w14:paraId="17D21CAD" w14:textId="77777777" w:rsidR="00000000" w:rsidRDefault="00E614A4">
            <w:pPr>
              <w:rPr>
                <w:rFonts w:eastAsia="Times New Roman"/>
                <w:sz w:val="20"/>
                <w:szCs w:val="20"/>
              </w:rPr>
            </w:pPr>
          </w:p>
        </w:tc>
        <w:tc>
          <w:tcPr>
            <w:tcW w:w="0" w:type="auto"/>
            <w:vAlign w:val="center"/>
            <w:hideMark/>
          </w:tcPr>
          <w:p w14:paraId="72A2DA55" w14:textId="77777777" w:rsidR="00000000" w:rsidRDefault="00E614A4">
            <w:pPr>
              <w:rPr>
                <w:rFonts w:eastAsia="Times New Roman"/>
                <w:sz w:val="20"/>
                <w:szCs w:val="20"/>
              </w:rPr>
            </w:pPr>
          </w:p>
        </w:tc>
        <w:tc>
          <w:tcPr>
            <w:tcW w:w="0" w:type="auto"/>
            <w:vAlign w:val="center"/>
            <w:hideMark/>
          </w:tcPr>
          <w:p w14:paraId="6C9EE5A3" w14:textId="77777777" w:rsidR="00000000" w:rsidRDefault="00E614A4">
            <w:pPr>
              <w:rPr>
                <w:rFonts w:eastAsia="Times New Roman"/>
                <w:sz w:val="20"/>
                <w:szCs w:val="20"/>
              </w:rPr>
            </w:pPr>
          </w:p>
        </w:tc>
        <w:tc>
          <w:tcPr>
            <w:tcW w:w="0" w:type="auto"/>
            <w:vAlign w:val="center"/>
            <w:hideMark/>
          </w:tcPr>
          <w:p w14:paraId="26DC9AAC" w14:textId="77777777" w:rsidR="00000000" w:rsidRDefault="00E614A4">
            <w:pPr>
              <w:rPr>
                <w:rFonts w:eastAsia="Times New Roman"/>
                <w:sz w:val="20"/>
                <w:szCs w:val="20"/>
              </w:rPr>
            </w:pPr>
          </w:p>
        </w:tc>
        <w:tc>
          <w:tcPr>
            <w:tcW w:w="0" w:type="auto"/>
            <w:vAlign w:val="center"/>
            <w:hideMark/>
          </w:tcPr>
          <w:p w14:paraId="78268715" w14:textId="77777777" w:rsidR="00000000" w:rsidRDefault="00E614A4">
            <w:pPr>
              <w:rPr>
                <w:rFonts w:eastAsia="Times New Roman"/>
                <w:sz w:val="20"/>
                <w:szCs w:val="20"/>
              </w:rPr>
            </w:pPr>
          </w:p>
        </w:tc>
      </w:tr>
      <w:tr w:rsidR="00000000" w14:paraId="5A4DDC4A" w14:textId="77777777">
        <w:trPr>
          <w:divId w:val="1474373622"/>
          <w:jc w:val="center"/>
        </w:trPr>
        <w:tc>
          <w:tcPr>
            <w:tcW w:w="0" w:type="auto"/>
            <w:gridSpan w:val="3"/>
            <w:vAlign w:val="center"/>
            <w:hideMark/>
          </w:tcPr>
          <w:p w14:paraId="53CFAB71" w14:textId="77777777" w:rsidR="00000000" w:rsidRDefault="00E614A4">
            <w:pPr>
              <w:rPr>
                <w:rFonts w:eastAsia="Times New Roman"/>
                <w:sz w:val="20"/>
                <w:szCs w:val="20"/>
              </w:rPr>
            </w:pPr>
          </w:p>
        </w:tc>
        <w:tc>
          <w:tcPr>
            <w:tcW w:w="0" w:type="auto"/>
            <w:gridSpan w:val="3"/>
            <w:vAlign w:val="center"/>
            <w:hideMark/>
          </w:tcPr>
          <w:p w14:paraId="60F0F0E1" w14:textId="77777777" w:rsidR="00000000" w:rsidRDefault="00E614A4">
            <w:pPr>
              <w:rPr>
                <w:rFonts w:eastAsia="Times New Roman"/>
                <w:sz w:val="20"/>
                <w:szCs w:val="20"/>
              </w:rPr>
            </w:pPr>
          </w:p>
        </w:tc>
        <w:tc>
          <w:tcPr>
            <w:tcW w:w="0" w:type="auto"/>
            <w:gridSpan w:val="3"/>
            <w:vAlign w:val="center"/>
            <w:hideMark/>
          </w:tcPr>
          <w:p w14:paraId="1655D7FC" w14:textId="77777777" w:rsidR="00000000" w:rsidRDefault="00E614A4">
            <w:pPr>
              <w:rPr>
                <w:rFonts w:eastAsia="Times New Roman"/>
                <w:sz w:val="20"/>
                <w:szCs w:val="20"/>
              </w:rPr>
            </w:pPr>
          </w:p>
        </w:tc>
        <w:tc>
          <w:tcPr>
            <w:tcW w:w="0" w:type="auto"/>
            <w:gridSpan w:val="3"/>
            <w:vAlign w:val="center"/>
            <w:hideMark/>
          </w:tcPr>
          <w:p w14:paraId="764B95C4" w14:textId="77777777" w:rsidR="00000000" w:rsidRDefault="00E614A4">
            <w:pPr>
              <w:rPr>
                <w:rFonts w:eastAsia="Times New Roman"/>
                <w:sz w:val="20"/>
                <w:szCs w:val="20"/>
              </w:rPr>
            </w:pPr>
          </w:p>
        </w:tc>
        <w:tc>
          <w:tcPr>
            <w:tcW w:w="0" w:type="auto"/>
            <w:gridSpan w:val="3"/>
            <w:vAlign w:val="center"/>
            <w:hideMark/>
          </w:tcPr>
          <w:p w14:paraId="4CBD7B63" w14:textId="77777777" w:rsidR="00000000" w:rsidRDefault="00E614A4">
            <w:pPr>
              <w:rPr>
                <w:rFonts w:eastAsia="Times New Roman"/>
                <w:sz w:val="20"/>
                <w:szCs w:val="20"/>
              </w:rPr>
            </w:pPr>
          </w:p>
        </w:tc>
        <w:tc>
          <w:tcPr>
            <w:tcW w:w="0" w:type="auto"/>
            <w:vAlign w:val="center"/>
            <w:hideMark/>
          </w:tcPr>
          <w:p w14:paraId="1C33501F" w14:textId="77777777" w:rsidR="00000000" w:rsidRDefault="00E614A4">
            <w:pPr>
              <w:rPr>
                <w:rFonts w:eastAsia="Times New Roman"/>
                <w:sz w:val="20"/>
                <w:szCs w:val="20"/>
              </w:rPr>
            </w:pPr>
          </w:p>
        </w:tc>
        <w:tc>
          <w:tcPr>
            <w:tcW w:w="0" w:type="auto"/>
            <w:vAlign w:val="center"/>
            <w:hideMark/>
          </w:tcPr>
          <w:p w14:paraId="77956FDA" w14:textId="77777777" w:rsidR="00000000" w:rsidRDefault="00E614A4">
            <w:pPr>
              <w:rPr>
                <w:rFonts w:eastAsia="Times New Roman"/>
                <w:sz w:val="20"/>
                <w:szCs w:val="20"/>
              </w:rPr>
            </w:pPr>
          </w:p>
        </w:tc>
        <w:tc>
          <w:tcPr>
            <w:tcW w:w="0" w:type="auto"/>
            <w:vAlign w:val="center"/>
            <w:hideMark/>
          </w:tcPr>
          <w:p w14:paraId="3AF1000C" w14:textId="77777777" w:rsidR="00000000" w:rsidRDefault="00E614A4">
            <w:pPr>
              <w:rPr>
                <w:rFonts w:eastAsia="Times New Roman"/>
                <w:sz w:val="20"/>
                <w:szCs w:val="20"/>
              </w:rPr>
            </w:pPr>
          </w:p>
        </w:tc>
        <w:tc>
          <w:tcPr>
            <w:tcW w:w="0" w:type="auto"/>
            <w:vAlign w:val="center"/>
            <w:hideMark/>
          </w:tcPr>
          <w:p w14:paraId="4A9B9DF5" w14:textId="77777777" w:rsidR="00000000" w:rsidRDefault="00E614A4">
            <w:pPr>
              <w:rPr>
                <w:rFonts w:eastAsia="Times New Roman"/>
                <w:sz w:val="20"/>
                <w:szCs w:val="20"/>
              </w:rPr>
            </w:pPr>
          </w:p>
        </w:tc>
        <w:tc>
          <w:tcPr>
            <w:tcW w:w="0" w:type="auto"/>
            <w:vAlign w:val="center"/>
            <w:hideMark/>
          </w:tcPr>
          <w:p w14:paraId="4F07926D" w14:textId="77777777" w:rsidR="00000000" w:rsidRDefault="00E614A4">
            <w:pPr>
              <w:rPr>
                <w:rFonts w:eastAsia="Times New Roman"/>
                <w:sz w:val="20"/>
                <w:szCs w:val="20"/>
              </w:rPr>
            </w:pPr>
          </w:p>
        </w:tc>
        <w:tc>
          <w:tcPr>
            <w:tcW w:w="0" w:type="auto"/>
            <w:vAlign w:val="center"/>
            <w:hideMark/>
          </w:tcPr>
          <w:p w14:paraId="708931F1" w14:textId="77777777" w:rsidR="00000000" w:rsidRDefault="00E614A4">
            <w:pPr>
              <w:rPr>
                <w:rFonts w:eastAsia="Times New Roman"/>
                <w:sz w:val="20"/>
                <w:szCs w:val="20"/>
              </w:rPr>
            </w:pPr>
          </w:p>
        </w:tc>
      </w:tr>
      <w:tr w:rsidR="00000000" w14:paraId="4F1FED55" w14:textId="77777777">
        <w:trPr>
          <w:divId w:val="1474373622"/>
          <w:jc w:val="center"/>
        </w:trPr>
        <w:tc>
          <w:tcPr>
            <w:tcW w:w="0" w:type="auto"/>
            <w:gridSpan w:val="3"/>
            <w:vAlign w:val="center"/>
            <w:hideMark/>
          </w:tcPr>
          <w:p w14:paraId="7808F8E4" w14:textId="77777777" w:rsidR="00000000" w:rsidRDefault="00E614A4">
            <w:pPr>
              <w:rPr>
                <w:rFonts w:eastAsia="Times New Roman"/>
                <w:sz w:val="20"/>
                <w:szCs w:val="20"/>
              </w:rPr>
            </w:pPr>
          </w:p>
        </w:tc>
        <w:tc>
          <w:tcPr>
            <w:tcW w:w="0" w:type="auto"/>
            <w:gridSpan w:val="3"/>
            <w:vAlign w:val="center"/>
            <w:hideMark/>
          </w:tcPr>
          <w:p w14:paraId="0B414642" w14:textId="77777777" w:rsidR="00000000" w:rsidRDefault="00E614A4">
            <w:pPr>
              <w:rPr>
                <w:rFonts w:eastAsia="Times New Roman"/>
                <w:sz w:val="20"/>
                <w:szCs w:val="20"/>
              </w:rPr>
            </w:pPr>
          </w:p>
        </w:tc>
        <w:tc>
          <w:tcPr>
            <w:tcW w:w="0" w:type="auto"/>
            <w:gridSpan w:val="3"/>
            <w:vAlign w:val="center"/>
            <w:hideMark/>
          </w:tcPr>
          <w:p w14:paraId="6230F62A" w14:textId="77777777" w:rsidR="00000000" w:rsidRDefault="00E614A4">
            <w:pPr>
              <w:rPr>
                <w:rFonts w:eastAsia="Times New Roman"/>
                <w:sz w:val="20"/>
                <w:szCs w:val="20"/>
              </w:rPr>
            </w:pPr>
          </w:p>
        </w:tc>
        <w:tc>
          <w:tcPr>
            <w:tcW w:w="0" w:type="auto"/>
            <w:gridSpan w:val="3"/>
            <w:vAlign w:val="center"/>
            <w:hideMark/>
          </w:tcPr>
          <w:p w14:paraId="0B609F33" w14:textId="77777777" w:rsidR="00000000" w:rsidRDefault="00E614A4">
            <w:pPr>
              <w:rPr>
                <w:rFonts w:eastAsia="Times New Roman"/>
                <w:sz w:val="20"/>
                <w:szCs w:val="20"/>
              </w:rPr>
            </w:pPr>
          </w:p>
        </w:tc>
        <w:tc>
          <w:tcPr>
            <w:tcW w:w="0" w:type="auto"/>
            <w:gridSpan w:val="3"/>
            <w:vAlign w:val="center"/>
            <w:hideMark/>
          </w:tcPr>
          <w:p w14:paraId="14C81742" w14:textId="77777777" w:rsidR="00000000" w:rsidRDefault="00E614A4">
            <w:pPr>
              <w:rPr>
                <w:rFonts w:eastAsia="Times New Roman"/>
                <w:sz w:val="20"/>
                <w:szCs w:val="20"/>
              </w:rPr>
            </w:pPr>
          </w:p>
        </w:tc>
        <w:tc>
          <w:tcPr>
            <w:tcW w:w="0" w:type="auto"/>
            <w:vAlign w:val="center"/>
            <w:hideMark/>
          </w:tcPr>
          <w:p w14:paraId="5B310D80" w14:textId="77777777" w:rsidR="00000000" w:rsidRDefault="00E614A4">
            <w:pPr>
              <w:rPr>
                <w:rFonts w:eastAsia="Times New Roman"/>
                <w:sz w:val="20"/>
                <w:szCs w:val="20"/>
              </w:rPr>
            </w:pPr>
          </w:p>
        </w:tc>
        <w:tc>
          <w:tcPr>
            <w:tcW w:w="0" w:type="auto"/>
            <w:vAlign w:val="center"/>
            <w:hideMark/>
          </w:tcPr>
          <w:p w14:paraId="03DFCF21" w14:textId="77777777" w:rsidR="00000000" w:rsidRDefault="00E614A4">
            <w:pPr>
              <w:rPr>
                <w:rFonts w:eastAsia="Times New Roman"/>
                <w:sz w:val="20"/>
                <w:szCs w:val="20"/>
              </w:rPr>
            </w:pPr>
          </w:p>
        </w:tc>
        <w:tc>
          <w:tcPr>
            <w:tcW w:w="0" w:type="auto"/>
            <w:vAlign w:val="center"/>
            <w:hideMark/>
          </w:tcPr>
          <w:p w14:paraId="3C19E07B" w14:textId="77777777" w:rsidR="00000000" w:rsidRDefault="00E614A4">
            <w:pPr>
              <w:rPr>
                <w:rFonts w:eastAsia="Times New Roman"/>
                <w:sz w:val="20"/>
                <w:szCs w:val="20"/>
              </w:rPr>
            </w:pPr>
          </w:p>
        </w:tc>
        <w:tc>
          <w:tcPr>
            <w:tcW w:w="0" w:type="auto"/>
            <w:vAlign w:val="center"/>
            <w:hideMark/>
          </w:tcPr>
          <w:p w14:paraId="47C5B110" w14:textId="77777777" w:rsidR="00000000" w:rsidRDefault="00E614A4">
            <w:pPr>
              <w:rPr>
                <w:rFonts w:eastAsia="Times New Roman"/>
                <w:sz w:val="20"/>
                <w:szCs w:val="20"/>
              </w:rPr>
            </w:pPr>
          </w:p>
        </w:tc>
        <w:tc>
          <w:tcPr>
            <w:tcW w:w="0" w:type="auto"/>
            <w:vAlign w:val="center"/>
            <w:hideMark/>
          </w:tcPr>
          <w:p w14:paraId="06269F9D" w14:textId="77777777" w:rsidR="00000000" w:rsidRDefault="00E614A4">
            <w:pPr>
              <w:rPr>
                <w:rFonts w:eastAsia="Times New Roman"/>
                <w:sz w:val="20"/>
                <w:szCs w:val="20"/>
              </w:rPr>
            </w:pPr>
          </w:p>
        </w:tc>
        <w:tc>
          <w:tcPr>
            <w:tcW w:w="0" w:type="auto"/>
            <w:vAlign w:val="center"/>
            <w:hideMark/>
          </w:tcPr>
          <w:p w14:paraId="12C5F3A0" w14:textId="77777777" w:rsidR="00000000" w:rsidRDefault="00E614A4">
            <w:pPr>
              <w:rPr>
                <w:rFonts w:eastAsia="Times New Roman"/>
                <w:sz w:val="20"/>
                <w:szCs w:val="20"/>
              </w:rPr>
            </w:pPr>
          </w:p>
        </w:tc>
      </w:tr>
      <w:tr w:rsidR="00000000" w14:paraId="1D37661C" w14:textId="77777777">
        <w:trPr>
          <w:divId w:val="1474373622"/>
          <w:jc w:val="center"/>
        </w:trPr>
        <w:tc>
          <w:tcPr>
            <w:tcW w:w="0" w:type="auto"/>
            <w:gridSpan w:val="3"/>
            <w:shd w:val="clear" w:color="auto" w:fill="CCEEFF"/>
            <w:tcMar>
              <w:top w:w="30" w:type="dxa"/>
              <w:left w:w="260" w:type="dxa"/>
              <w:bottom w:w="30" w:type="dxa"/>
              <w:right w:w="20" w:type="dxa"/>
            </w:tcMar>
            <w:hideMark/>
          </w:tcPr>
          <w:p w14:paraId="16E0B62A" w14:textId="77777777" w:rsidR="00000000" w:rsidRDefault="00E614A4">
            <w:pPr>
              <w:rPr>
                <w:rFonts w:eastAsia="Times New Roman"/>
              </w:rPr>
            </w:pPr>
            <w:r>
              <w:rPr>
                <w:rFonts w:eastAsia="Times New Roman"/>
                <w:color w:val="000000"/>
                <w:sz w:val="18"/>
                <w:szCs w:val="18"/>
              </w:rPr>
              <w:t>Severance pay and benefits related restructuring expense</w:t>
            </w:r>
          </w:p>
        </w:tc>
        <w:tc>
          <w:tcPr>
            <w:tcW w:w="0" w:type="auto"/>
            <w:gridSpan w:val="3"/>
            <w:shd w:val="clear" w:color="auto" w:fill="CCEEFF"/>
            <w:tcMar>
              <w:top w:w="0" w:type="dxa"/>
              <w:left w:w="20" w:type="dxa"/>
              <w:bottom w:w="0" w:type="dxa"/>
              <w:right w:w="20" w:type="dxa"/>
            </w:tcMar>
            <w:vAlign w:val="center"/>
            <w:hideMark/>
          </w:tcPr>
          <w:p w14:paraId="45B92C65"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E8EEF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235BA1" w14:textId="77777777" w:rsidR="00000000" w:rsidRDefault="00E614A4">
            <w:pPr>
              <w:jc w:val="right"/>
              <w:rPr>
                <w:rFonts w:eastAsia="Times New Roman"/>
              </w:rPr>
            </w:pPr>
            <w:r>
              <w:rPr>
                <w:rFonts w:eastAsia="Times New Roman"/>
                <w:color w:val="000000"/>
                <w:sz w:val="18"/>
                <w:szCs w:val="18"/>
              </w:rPr>
              <w:t>3,141 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7F25C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9FC0C"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A7124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7522CA" w14:textId="77777777" w:rsidR="00000000" w:rsidRDefault="00E614A4">
            <w:pPr>
              <w:jc w:val="right"/>
              <w:rPr>
                <w:rFonts w:eastAsia="Times New Roman"/>
              </w:rPr>
            </w:pPr>
            <w:r>
              <w:rPr>
                <w:rFonts w:eastAsia="Times New Roman"/>
                <w:color w:val="000000"/>
                <w:sz w:val="18"/>
                <w:szCs w:val="18"/>
              </w:rPr>
              <w:t>2,454 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C476A9" w14:textId="77777777" w:rsidR="00000000" w:rsidRDefault="00E614A4">
            <w:pPr>
              <w:jc w:val="right"/>
              <w:rPr>
                <w:rFonts w:eastAsia="Times New Roman"/>
              </w:rPr>
            </w:pPr>
          </w:p>
        </w:tc>
        <w:tc>
          <w:tcPr>
            <w:tcW w:w="0" w:type="auto"/>
            <w:vAlign w:val="center"/>
            <w:hideMark/>
          </w:tcPr>
          <w:p w14:paraId="4608DDD4" w14:textId="77777777" w:rsidR="00000000" w:rsidRDefault="00E614A4">
            <w:pPr>
              <w:jc w:val="right"/>
              <w:rPr>
                <w:rFonts w:eastAsia="Times New Roman"/>
                <w:sz w:val="20"/>
                <w:szCs w:val="20"/>
              </w:rPr>
            </w:pPr>
          </w:p>
        </w:tc>
        <w:tc>
          <w:tcPr>
            <w:tcW w:w="0" w:type="auto"/>
            <w:vAlign w:val="center"/>
            <w:hideMark/>
          </w:tcPr>
          <w:p w14:paraId="5D32DCD7" w14:textId="77777777" w:rsidR="00000000" w:rsidRDefault="00E614A4">
            <w:pPr>
              <w:rPr>
                <w:rFonts w:eastAsia="Times New Roman"/>
                <w:sz w:val="20"/>
                <w:szCs w:val="20"/>
              </w:rPr>
            </w:pPr>
          </w:p>
        </w:tc>
        <w:tc>
          <w:tcPr>
            <w:tcW w:w="0" w:type="auto"/>
            <w:vAlign w:val="center"/>
            <w:hideMark/>
          </w:tcPr>
          <w:p w14:paraId="034F1840" w14:textId="77777777" w:rsidR="00000000" w:rsidRDefault="00E614A4">
            <w:pPr>
              <w:rPr>
                <w:rFonts w:eastAsia="Times New Roman"/>
                <w:sz w:val="20"/>
                <w:szCs w:val="20"/>
              </w:rPr>
            </w:pPr>
          </w:p>
        </w:tc>
        <w:tc>
          <w:tcPr>
            <w:tcW w:w="0" w:type="auto"/>
            <w:vAlign w:val="center"/>
            <w:hideMark/>
          </w:tcPr>
          <w:p w14:paraId="0C61F132" w14:textId="77777777" w:rsidR="00000000" w:rsidRDefault="00E614A4">
            <w:pPr>
              <w:rPr>
                <w:rFonts w:eastAsia="Times New Roman"/>
                <w:sz w:val="20"/>
                <w:szCs w:val="20"/>
              </w:rPr>
            </w:pPr>
          </w:p>
        </w:tc>
        <w:tc>
          <w:tcPr>
            <w:tcW w:w="0" w:type="auto"/>
            <w:vAlign w:val="center"/>
            <w:hideMark/>
          </w:tcPr>
          <w:p w14:paraId="246EC982" w14:textId="77777777" w:rsidR="00000000" w:rsidRDefault="00E614A4">
            <w:pPr>
              <w:rPr>
                <w:rFonts w:eastAsia="Times New Roman"/>
                <w:sz w:val="20"/>
                <w:szCs w:val="20"/>
              </w:rPr>
            </w:pPr>
          </w:p>
        </w:tc>
        <w:tc>
          <w:tcPr>
            <w:tcW w:w="0" w:type="auto"/>
            <w:vAlign w:val="center"/>
            <w:hideMark/>
          </w:tcPr>
          <w:p w14:paraId="49354F7E" w14:textId="77777777" w:rsidR="00000000" w:rsidRDefault="00E614A4">
            <w:pPr>
              <w:rPr>
                <w:rFonts w:eastAsia="Times New Roman"/>
                <w:sz w:val="20"/>
                <w:szCs w:val="20"/>
              </w:rPr>
            </w:pPr>
          </w:p>
        </w:tc>
      </w:tr>
      <w:tr w:rsidR="00000000" w14:paraId="3CAC9685" w14:textId="77777777">
        <w:trPr>
          <w:divId w:val="1474373622"/>
          <w:jc w:val="center"/>
        </w:trPr>
        <w:tc>
          <w:tcPr>
            <w:tcW w:w="0" w:type="auto"/>
            <w:gridSpan w:val="3"/>
            <w:shd w:val="clear" w:color="auto" w:fill="FFFFFF"/>
            <w:tcMar>
              <w:top w:w="30" w:type="dxa"/>
              <w:left w:w="260" w:type="dxa"/>
              <w:bottom w:w="30" w:type="dxa"/>
              <w:right w:w="20" w:type="dxa"/>
            </w:tcMar>
            <w:hideMark/>
          </w:tcPr>
          <w:p w14:paraId="71550D58" w14:textId="77777777" w:rsidR="00000000" w:rsidRDefault="00E614A4">
            <w:pPr>
              <w:rPr>
                <w:rFonts w:eastAsia="Times New Roman"/>
              </w:rPr>
            </w:pPr>
            <w:r>
              <w:rPr>
                <w:rFonts w:eastAsia="Times New Roman"/>
                <w:color w:val="000000"/>
                <w:sz w:val="18"/>
                <w:szCs w:val="18"/>
              </w:rPr>
              <w:t>Payments</w:t>
            </w:r>
          </w:p>
        </w:tc>
        <w:tc>
          <w:tcPr>
            <w:tcW w:w="0" w:type="auto"/>
            <w:gridSpan w:val="3"/>
            <w:shd w:val="clear" w:color="auto" w:fill="FFFFFF"/>
            <w:tcMar>
              <w:top w:w="0" w:type="dxa"/>
              <w:left w:w="20" w:type="dxa"/>
              <w:bottom w:w="0" w:type="dxa"/>
              <w:right w:w="20" w:type="dxa"/>
            </w:tcMar>
            <w:vAlign w:val="center"/>
            <w:hideMark/>
          </w:tcPr>
          <w:p w14:paraId="66EDEC9E"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9B48C8" w14:textId="77777777" w:rsidR="00000000" w:rsidRDefault="00E614A4">
            <w:pPr>
              <w:jc w:val="right"/>
              <w:rPr>
                <w:rFonts w:eastAsia="Times New Roman"/>
              </w:rPr>
            </w:pPr>
            <w:r>
              <w:rPr>
                <w:rFonts w:eastAsia="Times New Roman"/>
                <w:color w:val="000000"/>
                <w:sz w:val="18"/>
                <w:szCs w:val="18"/>
              </w:rPr>
              <w:t>(2,847)</w:t>
            </w:r>
          </w:p>
        </w:tc>
        <w:tc>
          <w:tcPr>
            <w:tcW w:w="0" w:type="auto"/>
            <w:shd w:val="clear" w:color="auto" w:fill="FFFFFF"/>
            <w:tcMar>
              <w:top w:w="30" w:type="dxa"/>
              <w:left w:w="0" w:type="dxa"/>
              <w:bottom w:w="30" w:type="dxa"/>
              <w:right w:w="20" w:type="dxa"/>
            </w:tcMar>
            <w:vAlign w:val="bottom"/>
            <w:hideMark/>
          </w:tcPr>
          <w:p w14:paraId="7044034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DFCA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1362DE" w14:textId="77777777" w:rsidR="00000000" w:rsidRDefault="00E614A4">
            <w:pPr>
              <w:jc w:val="right"/>
              <w:rPr>
                <w:rFonts w:eastAsia="Times New Roman"/>
              </w:rPr>
            </w:pPr>
            <w:r>
              <w:rPr>
                <w:rFonts w:eastAsia="Times New Roman"/>
                <w:color w:val="000000"/>
                <w:sz w:val="18"/>
                <w:szCs w:val="18"/>
              </w:rPr>
              <w:t>(1,756)</w:t>
            </w:r>
          </w:p>
        </w:tc>
        <w:tc>
          <w:tcPr>
            <w:tcW w:w="0" w:type="auto"/>
            <w:shd w:val="clear" w:color="auto" w:fill="FFFFFF"/>
            <w:tcMar>
              <w:top w:w="30" w:type="dxa"/>
              <w:left w:w="0" w:type="dxa"/>
              <w:bottom w:w="30" w:type="dxa"/>
              <w:right w:w="20" w:type="dxa"/>
            </w:tcMar>
            <w:vAlign w:val="bottom"/>
            <w:hideMark/>
          </w:tcPr>
          <w:p w14:paraId="0FC4DFC1" w14:textId="77777777" w:rsidR="00000000" w:rsidRDefault="00E614A4">
            <w:pPr>
              <w:jc w:val="right"/>
              <w:rPr>
                <w:rFonts w:eastAsia="Times New Roman"/>
              </w:rPr>
            </w:pPr>
          </w:p>
        </w:tc>
        <w:tc>
          <w:tcPr>
            <w:tcW w:w="0" w:type="auto"/>
            <w:vAlign w:val="center"/>
            <w:hideMark/>
          </w:tcPr>
          <w:p w14:paraId="0EC8A165" w14:textId="77777777" w:rsidR="00000000" w:rsidRDefault="00E614A4">
            <w:pPr>
              <w:jc w:val="right"/>
              <w:rPr>
                <w:rFonts w:eastAsia="Times New Roman"/>
                <w:sz w:val="20"/>
                <w:szCs w:val="20"/>
              </w:rPr>
            </w:pPr>
          </w:p>
        </w:tc>
        <w:tc>
          <w:tcPr>
            <w:tcW w:w="0" w:type="auto"/>
            <w:vAlign w:val="center"/>
            <w:hideMark/>
          </w:tcPr>
          <w:p w14:paraId="41E44E99" w14:textId="77777777" w:rsidR="00000000" w:rsidRDefault="00E614A4">
            <w:pPr>
              <w:rPr>
                <w:rFonts w:eastAsia="Times New Roman"/>
                <w:sz w:val="20"/>
                <w:szCs w:val="20"/>
              </w:rPr>
            </w:pPr>
          </w:p>
        </w:tc>
        <w:tc>
          <w:tcPr>
            <w:tcW w:w="0" w:type="auto"/>
            <w:vAlign w:val="center"/>
            <w:hideMark/>
          </w:tcPr>
          <w:p w14:paraId="6EA8122E" w14:textId="77777777" w:rsidR="00000000" w:rsidRDefault="00E614A4">
            <w:pPr>
              <w:rPr>
                <w:rFonts w:eastAsia="Times New Roman"/>
                <w:sz w:val="20"/>
                <w:szCs w:val="20"/>
              </w:rPr>
            </w:pPr>
          </w:p>
        </w:tc>
        <w:tc>
          <w:tcPr>
            <w:tcW w:w="0" w:type="auto"/>
            <w:vAlign w:val="center"/>
            <w:hideMark/>
          </w:tcPr>
          <w:p w14:paraId="40CE5D4E" w14:textId="77777777" w:rsidR="00000000" w:rsidRDefault="00E614A4">
            <w:pPr>
              <w:rPr>
                <w:rFonts w:eastAsia="Times New Roman"/>
                <w:sz w:val="20"/>
                <w:szCs w:val="20"/>
              </w:rPr>
            </w:pPr>
          </w:p>
        </w:tc>
        <w:tc>
          <w:tcPr>
            <w:tcW w:w="0" w:type="auto"/>
            <w:vAlign w:val="center"/>
            <w:hideMark/>
          </w:tcPr>
          <w:p w14:paraId="47DE5712" w14:textId="77777777" w:rsidR="00000000" w:rsidRDefault="00E614A4">
            <w:pPr>
              <w:rPr>
                <w:rFonts w:eastAsia="Times New Roman"/>
                <w:sz w:val="20"/>
                <w:szCs w:val="20"/>
              </w:rPr>
            </w:pPr>
          </w:p>
        </w:tc>
        <w:tc>
          <w:tcPr>
            <w:tcW w:w="0" w:type="auto"/>
            <w:vAlign w:val="center"/>
            <w:hideMark/>
          </w:tcPr>
          <w:p w14:paraId="37BF304C" w14:textId="77777777" w:rsidR="00000000" w:rsidRDefault="00E614A4">
            <w:pPr>
              <w:rPr>
                <w:rFonts w:eastAsia="Times New Roman"/>
                <w:sz w:val="20"/>
                <w:szCs w:val="20"/>
              </w:rPr>
            </w:pPr>
          </w:p>
        </w:tc>
      </w:tr>
      <w:tr w:rsidR="00000000" w14:paraId="6B5B0998" w14:textId="77777777">
        <w:trPr>
          <w:divId w:val="1474373622"/>
          <w:jc w:val="center"/>
        </w:trPr>
        <w:tc>
          <w:tcPr>
            <w:tcW w:w="0" w:type="auto"/>
            <w:gridSpan w:val="3"/>
            <w:vAlign w:val="center"/>
            <w:hideMark/>
          </w:tcPr>
          <w:p w14:paraId="44174E06" w14:textId="77777777" w:rsidR="00000000" w:rsidRDefault="00E614A4">
            <w:pPr>
              <w:rPr>
                <w:rFonts w:eastAsia="Times New Roman"/>
                <w:sz w:val="20"/>
                <w:szCs w:val="20"/>
              </w:rPr>
            </w:pPr>
          </w:p>
        </w:tc>
        <w:tc>
          <w:tcPr>
            <w:tcW w:w="0" w:type="auto"/>
            <w:gridSpan w:val="3"/>
            <w:vAlign w:val="center"/>
            <w:hideMark/>
          </w:tcPr>
          <w:p w14:paraId="4D1910A0" w14:textId="77777777" w:rsidR="00000000" w:rsidRDefault="00E614A4">
            <w:pPr>
              <w:rPr>
                <w:rFonts w:eastAsia="Times New Roman"/>
                <w:sz w:val="20"/>
                <w:szCs w:val="20"/>
              </w:rPr>
            </w:pPr>
          </w:p>
        </w:tc>
        <w:tc>
          <w:tcPr>
            <w:tcW w:w="0" w:type="auto"/>
            <w:gridSpan w:val="3"/>
            <w:vAlign w:val="center"/>
            <w:hideMark/>
          </w:tcPr>
          <w:p w14:paraId="559F98CC" w14:textId="77777777" w:rsidR="00000000" w:rsidRDefault="00E614A4">
            <w:pPr>
              <w:rPr>
                <w:rFonts w:eastAsia="Times New Roman"/>
                <w:sz w:val="20"/>
                <w:szCs w:val="20"/>
              </w:rPr>
            </w:pPr>
          </w:p>
        </w:tc>
        <w:tc>
          <w:tcPr>
            <w:tcW w:w="0" w:type="auto"/>
            <w:gridSpan w:val="3"/>
            <w:vAlign w:val="center"/>
            <w:hideMark/>
          </w:tcPr>
          <w:p w14:paraId="66B5BFAB" w14:textId="77777777" w:rsidR="00000000" w:rsidRDefault="00E614A4">
            <w:pPr>
              <w:rPr>
                <w:rFonts w:eastAsia="Times New Roman"/>
                <w:sz w:val="20"/>
                <w:szCs w:val="20"/>
              </w:rPr>
            </w:pPr>
          </w:p>
        </w:tc>
        <w:tc>
          <w:tcPr>
            <w:tcW w:w="0" w:type="auto"/>
            <w:gridSpan w:val="3"/>
            <w:vAlign w:val="center"/>
            <w:hideMark/>
          </w:tcPr>
          <w:p w14:paraId="65870319" w14:textId="77777777" w:rsidR="00000000" w:rsidRDefault="00E614A4">
            <w:pPr>
              <w:rPr>
                <w:rFonts w:eastAsia="Times New Roman"/>
                <w:sz w:val="20"/>
                <w:szCs w:val="20"/>
              </w:rPr>
            </w:pPr>
          </w:p>
        </w:tc>
        <w:tc>
          <w:tcPr>
            <w:tcW w:w="0" w:type="auto"/>
            <w:vAlign w:val="center"/>
            <w:hideMark/>
          </w:tcPr>
          <w:p w14:paraId="078EB937" w14:textId="77777777" w:rsidR="00000000" w:rsidRDefault="00E614A4">
            <w:pPr>
              <w:rPr>
                <w:rFonts w:eastAsia="Times New Roman"/>
                <w:sz w:val="20"/>
                <w:szCs w:val="20"/>
              </w:rPr>
            </w:pPr>
          </w:p>
        </w:tc>
        <w:tc>
          <w:tcPr>
            <w:tcW w:w="0" w:type="auto"/>
            <w:vAlign w:val="center"/>
            <w:hideMark/>
          </w:tcPr>
          <w:p w14:paraId="09643260" w14:textId="77777777" w:rsidR="00000000" w:rsidRDefault="00E614A4">
            <w:pPr>
              <w:rPr>
                <w:rFonts w:eastAsia="Times New Roman"/>
                <w:sz w:val="20"/>
                <w:szCs w:val="20"/>
              </w:rPr>
            </w:pPr>
          </w:p>
        </w:tc>
        <w:tc>
          <w:tcPr>
            <w:tcW w:w="0" w:type="auto"/>
            <w:vAlign w:val="center"/>
            <w:hideMark/>
          </w:tcPr>
          <w:p w14:paraId="63ED339C" w14:textId="77777777" w:rsidR="00000000" w:rsidRDefault="00E614A4">
            <w:pPr>
              <w:rPr>
                <w:rFonts w:eastAsia="Times New Roman"/>
                <w:sz w:val="20"/>
                <w:szCs w:val="20"/>
              </w:rPr>
            </w:pPr>
          </w:p>
        </w:tc>
        <w:tc>
          <w:tcPr>
            <w:tcW w:w="0" w:type="auto"/>
            <w:vAlign w:val="center"/>
            <w:hideMark/>
          </w:tcPr>
          <w:p w14:paraId="1DE1E45B" w14:textId="77777777" w:rsidR="00000000" w:rsidRDefault="00E614A4">
            <w:pPr>
              <w:rPr>
                <w:rFonts w:eastAsia="Times New Roman"/>
                <w:sz w:val="20"/>
                <w:szCs w:val="20"/>
              </w:rPr>
            </w:pPr>
          </w:p>
        </w:tc>
        <w:tc>
          <w:tcPr>
            <w:tcW w:w="0" w:type="auto"/>
            <w:vAlign w:val="center"/>
            <w:hideMark/>
          </w:tcPr>
          <w:p w14:paraId="7E02341F" w14:textId="77777777" w:rsidR="00000000" w:rsidRDefault="00E614A4">
            <w:pPr>
              <w:rPr>
                <w:rFonts w:eastAsia="Times New Roman"/>
                <w:sz w:val="20"/>
                <w:szCs w:val="20"/>
              </w:rPr>
            </w:pPr>
          </w:p>
        </w:tc>
        <w:tc>
          <w:tcPr>
            <w:tcW w:w="0" w:type="auto"/>
            <w:vAlign w:val="center"/>
            <w:hideMark/>
          </w:tcPr>
          <w:p w14:paraId="35968AE3" w14:textId="77777777" w:rsidR="00000000" w:rsidRDefault="00E614A4">
            <w:pPr>
              <w:rPr>
                <w:rFonts w:eastAsia="Times New Roman"/>
                <w:sz w:val="20"/>
                <w:szCs w:val="20"/>
              </w:rPr>
            </w:pPr>
          </w:p>
        </w:tc>
      </w:tr>
      <w:tr w:rsidR="00000000" w14:paraId="0E854C14" w14:textId="77777777">
        <w:trPr>
          <w:divId w:val="1474373622"/>
          <w:jc w:val="center"/>
        </w:trPr>
        <w:tc>
          <w:tcPr>
            <w:tcW w:w="0" w:type="auto"/>
            <w:gridSpan w:val="3"/>
            <w:shd w:val="clear" w:color="auto" w:fill="CCEEFF"/>
            <w:tcMar>
              <w:top w:w="30" w:type="dxa"/>
              <w:left w:w="20" w:type="dxa"/>
              <w:bottom w:w="30" w:type="dxa"/>
              <w:right w:w="20" w:type="dxa"/>
            </w:tcMar>
            <w:hideMark/>
          </w:tcPr>
          <w:p w14:paraId="1E8BF1F9" w14:textId="77777777" w:rsidR="00000000" w:rsidRDefault="00E614A4">
            <w:pPr>
              <w:rPr>
                <w:rFonts w:eastAsia="Times New Roman"/>
              </w:rPr>
            </w:pPr>
            <w:r>
              <w:rPr>
                <w:rFonts w:eastAsia="Times New Roman"/>
                <w:color w:val="000000"/>
                <w:sz w:val="18"/>
                <w:szCs w:val="18"/>
              </w:rPr>
              <w:t>Accrued Balance as of December 31, 2019</w:t>
            </w:r>
          </w:p>
        </w:tc>
        <w:tc>
          <w:tcPr>
            <w:tcW w:w="0" w:type="auto"/>
            <w:gridSpan w:val="3"/>
            <w:shd w:val="clear" w:color="auto" w:fill="CCEEFF"/>
            <w:tcMar>
              <w:top w:w="0" w:type="dxa"/>
              <w:left w:w="20" w:type="dxa"/>
              <w:bottom w:w="0" w:type="dxa"/>
              <w:right w:w="20" w:type="dxa"/>
            </w:tcMar>
            <w:vAlign w:val="center"/>
            <w:hideMark/>
          </w:tcPr>
          <w:p w14:paraId="79CEAAB4"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77C603" w14:textId="77777777" w:rsidR="00000000" w:rsidRDefault="00E614A4">
            <w:pPr>
              <w:jc w:val="right"/>
              <w:rPr>
                <w:rFonts w:eastAsia="Times New Roman"/>
              </w:rPr>
            </w:pPr>
            <w:r>
              <w:rPr>
                <w:rFonts w:eastAsia="Times New Roman"/>
                <w:color w:val="000000"/>
                <w:sz w:val="18"/>
                <w:szCs w:val="18"/>
              </w:rPr>
              <w:t>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F41610" w14:textId="77777777" w:rsidR="00000000" w:rsidRDefault="00E614A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FF4DC3"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5705AF" w14:textId="77777777" w:rsidR="00000000" w:rsidRDefault="00E614A4">
            <w:pPr>
              <w:jc w:val="right"/>
              <w:rPr>
                <w:rFonts w:eastAsia="Times New Roman"/>
              </w:rPr>
            </w:pPr>
            <w:r>
              <w:rPr>
                <w:rFonts w:eastAsia="Times New Roman"/>
                <w:color w:val="000000"/>
                <w:sz w:val="18"/>
                <w:szCs w:val="18"/>
              </w:rPr>
              <w:t>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81EE3A" w14:textId="77777777" w:rsidR="00000000" w:rsidRDefault="00E614A4">
            <w:pPr>
              <w:jc w:val="right"/>
              <w:rPr>
                <w:rFonts w:eastAsia="Times New Roman"/>
              </w:rPr>
            </w:pPr>
          </w:p>
        </w:tc>
        <w:tc>
          <w:tcPr>
            <w:tcW w:w="0" w:type="auto"/>
            <w:vAlign w:val="center"/>
            <w:hideMark/>
          </w:tcPr>
          <w:p w14:paraId="749D1763" w14:textId="77777777" w:rsidR="00000000" w:rsidRDefault="00E614A4">
            <w:pPr>
              <w:jc w:val="right"/>
              <w:rPr>
                <w:rFonts w:eastAsia="Times New Roman"/>
                <w:sz w:val="20"/>
                <w:szCs w:val="20"/>
              </w:rPr>
            </w:pPr>
          </w:p>
        </w:tc>
        <w:tc>
          <w:tcPr>
            <w:tcW w:w="0" w:type="auto"/>
            <w:vAlign w:val="center"/>
            <w:hideMark/>
          </w:tcPr>
          <w:p w14:paraId="49971585" w14:textId="77777777" w:rsidR="00000000" w:rsidRDefault="00E614A4">
            <w:pPr>
              <w:rPr>
                <w:rFonts w:eastAsia="Times New Roman"/>
                <w:sz w:val="20"/>
                <w:szCs w:val="20"/>
              </w:rPr>
            </w:pPr>
          </w:p>
        </w:tc>
        <w:tc>
          <w:tcPr>
            <w:tcW w:w="0" w:type="auto"/>
            <w:vAlign w:val="center"/>
            <w:hideMark/>
          </w:tcPr>
          <w:p w14:paraId="4421602A" w14:textId="77777777" w:rsidR="00000000" w:rsidRDefault="00E614A4">
            <w:pPr>
              <w:rPr>
                <w:rFonts w:eastAsia="Times New Roman"/>
                <w:sz w:val="20"/>
                <w:szCs w:val="20"/>
              </w:rPr>
            </w:pPr>
          </w:p>
        </w:tc>
        <w:tc>
          <w:tcPr>
            <w:tcW w:w="0" w:type="auto"/>
            <w:vAlign w:val="center"/>
            <w:hideMark/>
          </w:tcPr>
          <w:p w14:paraId="4F7304B9" w14:textId="77777777" w:rsidR="00000000" w:rsidRDefault="00E614A4">
            <w:pPr>
              <w:rPr>
                <w:rFonts w:eastAsia="Times New Roman"/>
                <w:sz w:val="20"/>
                <w:szCs w:val="20"/>
              </w:rPr>
            </w:pPr>
          </w:p>
        </w:tc>
        <w:tc>
          <w:tcPr>
            <w:tcW w:w="0" w:type="auto"/>
            <w:vAlign w:val="center"/>
            <w:hideMark/>
          </w:tcPr>
          <w:p w14:paraId="0A890267" w14:textId="77777777" w:rsidR="00000000" w:rsidRDefault="00E614A4">
            <w:pPr>
              <w:rPr>
                <w:rFonts w:eastAsia="Times New Roman"/>
                <w:sz w:val="20"/>
                <w:szCs w:val="20"/>
              </w:rPr>
            </w:pPr>
          </w:p>
        </w:tc>
        <w:tc>
          <w:tcPr>
            <w:tcW w:w="0" w:type="auto"/>
            <w:vAlign w:val="center"/>
            <w:hideMark/>
          </w:tcPr>
          <w:p w14:paraId="452DF10D" w14:textId="77777777" w:rsidR="00000000" w:rsidRDefault="00E614A4">
            <w:pPr>
              <w:rPr>
                <w:rFonts w:eastAsia="Times New Roman"/>
                <w:sz w:val="20"/>
                <w:szCs w:val="20"/>
              </w:rPr>
            </w:pPr>
          </w:p>
        </w:tc>
      </w:tr>
      <w:tr w:rsidR="00000000" w14:paraId="71B99D2E" w14:textId="77777777">
        <w:trPr>
          <w:divId w:val="1474373622"/>
          <w:jc w:val="center"/>
        </w:trPr>
        <w:tc>
          <w:tcPr>
            <w:tcW w:w="0" w:type="auto"/>
            <w:gridSpan w:val="3"/>
            <w:vAlign w:val="center"/>
            <w:hideMark/>
          </w:tcPr>
          <w:p w14:paraId="2AC45244" w14:textId="77777777" w:rsidR="00000000" w:rsidRDefault="00E614A4">
            <w:pPr>
              <w:rPr>
                <w:rFonts w:eastAsia="Times New Roman"/>
                <w:sz w:val="20"/>
                <w:szCs w:val="20"/>
              </w:rPr>
            </w:pPr>
          </w:p>
        </w:tc>
        <w:tc>
          <w:tcPr>
            <w:tcW w:w="0" w:type="auto"/>
            <w:gridSpan w:val="3"/>
            <w:vAlign w:val="center"/>
            <w:hideMark/>
          </w:tcPr>
          <w:p w14:paraId="4894BA9E" w14:textId="77777777" w:rsidR="00000000" w:rsidRDefault="00E614A4">
            <w:pPr>
              <w:rPr>
                <w:rFonts w:eastAsia="Times New Roman"/>
                <w:sz w:val="20"/>
                <w:szCs w:val="20"/>
              </w:rPr>
            </w:pPr>
          </w:p>
        </w:tc>
        <w:tc>
          <w:tcPr>
            <w:tcW w:w="0" w:type="auto"/>
            <w:gridSpan w:val="3"/>
            <w:vAlign w:val="center"/>
            <w:hideMark/>
          </w:tcPr>
          <w:p w14:paraId="0CC816EB" w14:textId="77777777" w:rsidR="00000000" w:rsidRDefault="00E614A4">
            <w:pPr>
              <w:rPr>
                <w:rFonts w:eastAsia="Times New Roman"/>
                <w:sz w:val="20"/>
                <w:szCs w:val="20"/>
              </w:rPr>
            </w:pPr>
          </w:p>
        </w:tc>
        <w:tc>
          <w:tcPr>
            <w:tcW w:w="0" w:type="auto"/>
            <w:gridSpan w:val="3"/>
            <w:vAlign w:val="center"/>
            <w:hideMark/>
          </w:tcPr>
          <w:p w14:paraId="7323EED7" w14:textId="77777777" w:rsidR="00000000" w:rsidRDefault="00E614A4">
            <w:pPr>
              <w:rPr>
                <w:rFonts w:eastAsia="Times New Roman"/>
                <w:sz w:val="20"/>
                <w:szCs w:val="20"/>
              </w:rPr>
            </w:pPr>
          </w:p>
        </w:tc>
        <w:tc>
          <w:tcPr>
            <w:tcW w:w="0" w:type="auto"/>
            <w:gridSpan w:val="3"/>
            <w:vAlign w:val="center"/>
            <w:hideMark/>
          </w:tcPr>
          <w:p w14:paraId="448E9428" w14:textId="77777777" w:rsidR="00000000" w:rsidRDefault="00E614A4">
            <w:pPr>
              <w:rPr>
                <w:rFonts w:eastAsia="Times New Roman"/>
                <w:sz w:val="20"/>
                <w:szCs w:val="20"/>
              </w:rPr>
            </w:pPr>
          </w:p>
        </w:tc>
        <w:tc>
          <w:tcPr>
            <w:tcW w:w="0" w:type="auto"/>
            <w:vAlign w:val="center"/>
            <w:hideMark/>
          </w:tcPr>
          <w:p w14:paraId="2CD6ABA8" w14:textId="77777777" w:rsidR="00000000" w:rsidRDefault="00E614A4">
            <w:pPr>
              <w:rPr>
                <w:rFonts w:eastAsia="Times New Roman"/>
                <w:sz w:val="20"/>
                <w:szCs w:val="20"/>
              </w:rPr>
            </w:pPr>
          </w:p>
        </w:tc>
        <w:tc>
          <w:tcPr>
            <w:tcW w:w="0" w:type="auto"/>
            <w:vAlign w:val="center"/>
            <w:hideMark/>
          </w:tcPr>
          <w:p w14:paraId="42841FCD" w14:textId="77777777" w:rsidR="00000000" w:rsidRDefault="00E614A4">
            <w:pPr>
              <w:rPr>
                <w:rFonts w:eastAsia="Times New Roman"/>
                <w:sz w:val="20"/>
                <w:szCs w:val="20"/>
              </w:rPr>
            </w:pPr>
          </w:p>
        </w:tc>
        <w:tc>
          <w:tcPr>
            <w:tcW w:w="0" w:type="auto"/>
            <w:vAlign w:val="center"/>
            <w:hideMark/>
          </w:tcPr>
          <w:p w14:paraId="61C4D828" w14:textId="77777777" w:rsidR="00000000" w:rsidRDefault="00E614A4">
            <w:pPr>
              <w:rPr>
                <w:rFonts w:eastAsia="Times New Roman"/>
                <w:sz w:val="20"/>
                <w:szCs w:val="20"/>
              </w:rPr>
            </w:pPr>
          </w:p>
        </w:tc>
        <w:tc>
          <w:tcPr>
            <w:tcW w:w="0" w:type="auto"/>
            <w:vAlign w:val="center"/>
            <w:hideMark/>
          </w:tcPr>
          <w:p w14:paraId="57A56AD2" w14:textId="77777777" w:rsidR="00000000" w:rsidRDefault="00E614A4">
            <w:pPr>
              <w:rPr>
                <w:rFonts w:eastAsia="Times New Roman"/>
                <w:sz w:val="20"/>
                <w:szCs w:val="20"/>
              </w:rPr>
            </w:pPr>
          </w:p>
        </w:tc>
        <w:tc>
          <w:tcPr>
            <w:tcW w:w="0" w:type="auto"/>
            <w:vAlign w:val="center"/>
            <w:hideMark/>
          </w:tcPr>
          <w:p w14:paraId="7FFFD087" w14:textId="77777777" w:rsidR="00000000" w:rsidRDefault="00E614A4">
            <w:pPr>
              <w:rPr>
                <w:rFonts w:eastAsia="Times New Roman"/>
                <w:sz w:val="20"/>
                <w:szCs w:val="20"/>
              </w:rPr>
            </w:pPr>
          </w:p>
        </w:tc>
        <w:tc>
          <w:tcPr>
            <w:tcW w:w="0" w:type="auto"/>
            <w:vAlign w:val="center"/>
            <w:hideMark/>
          </w:tcPr>
          <w:p w14:paraId="13EFCDDF" w14:textId="77777777" w:rsidR="00000000" w:rsidRDefault="00E614A4">
            <w:pPr>
              <w:rPr>
                <w:rFonts w:eastAsia="Times New Roman"/>
                <w:sz w:val="20"/>
                <w:szCs w:val="20"/>
              </w:rPr>
            </w:pPr>
          </w:p>
        </w:tc>
      </w:tr>
      <w:tr w:rsidR="00000000" w14:paraId="689F3FF6" w14:textId="77777777">
        <w:trPr>
          <w:divId w:val="1474373622"/>
          <w:jc w:val="center"/>
        </w:trPr>
        <w:tc>
          <w:tcPr>
            <w:tcW w:w="0" w:type="auto"/>
            <w:gridSpan w:val="3"/>
            <w:shd w:val="clear" w:color="auto" w:fill="FFFFFF"/>
            <w:tcMar>
              <w:top w:w="30" w:type="dxa"/>
              <w:left w:w="260" w:type="dxa"/>
              <w:bottom w:w="30" w:type="dxa"/>
              <w:right w:w="20" w:type="dxa"/>
            </w:tcMar>
            <w:hideMark/>
          </w:tcPr>
          <w:p w14:paraId="78CFDE40" w14:textId="77777777" w:rsidR="00000000" w:rsidRDefault="00E614A4">
            <w:pPr>
              <w:rPr>
                <w:rFonts w:eastAsia="Times New Roman"/>
              </w:rPr>
            </w:pPr>
            <w:r>
              <w:rPr>
                <w:rFonts w:eastAsia="Times New Roman"/>
                <w:color w:val="000000"/>
                <w:sz w:val="18"/>
                <w:szCs w:val="18"/>
              </w:rPr>
              <w:t>Payments</w:t>
            </w:r>
          </w:p>
        </w:tc>
        <w:tc>
          <w:tcPr>
            <w:tcW w:w="0" w:type="auto"/>
            <w:gridSpan w:val="3"/>
            <w:shd w:val="clear" w:color="auto" w:fill="FFFFFF"/>
            <w:tcMar>
              <w:top w:w="0" w:type="dxa"/>
              <w:left w:w="20" w:type="dxa"/>
              <w:bottom w:w="0" w:type="dxa"/>
              <w:right w:w="20" w:type="dxa"/>
            </w:tcMar>
            <w:vAlign w:val="center"/>
            <w:hideMark/>
          </w:tcPr>
          <w:p w14:paraId="598E36DB"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DB6845" w14:textId="77777777" w:rsidR="00000000" w:rsidRDefault="00E614A4">
            <w:pPr>
              <w:jc w:val="right"/>
              <w:rPr>
                <w:rFonts w:eastAsia="Times New Roman"/>
              </w:rPr>
            </w:pPr>
            <w:r>
              <w:rPr>
                <w:rFonts w:eastAsia="Times New Roman"/>
                <w:color w:val="000000"/>
                <w:sz w:val="18"/>
                <w:szCs w:val="18"/>
              </w:rPr>
              <w:t>(294)</w:t>
            </w:r>
          </w:p>
        </w:tc>
        <w:tc>
          <w:tcPr>
            <w:tcW w:w="0" w:type="auto"/>
            <w:shd w:val="clear" w:color="auto" w:fill="FFFFFF"/>
            <w:tcMar>
              <w:top w:w="30" w:type="dxa"/>
              <w:left w:w="0" w:type="dxa"/>
              <w:bottom w:w="30" w:type="dxa"/>
              <w:right w:w="20" w:type="dxa"/>
            </w:tcMar>
            <w:vAlign w:val="bottom"/>
            <w:hideMark/>
          </w:tcPr>
          <w:p w14:paraId="5F3BEA7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DE6E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B06E21" w14:textId="77777777" w:rsidR="00000000" w:rsidRDefault="00E614A4">
            <w:pPr>
              <w:jc w:val="right"/>
              <w:rPr>
                <w:rFonts w:eastAsia="Times New Roman"/>
              </w:rPr>
            </w:pPr>
            <w:r>
              <w:rPr>
                <w:rFonts w:eastAsia="Times New Roman"/>
                <w:color w:val="000000"/>
                <w:sz w:val="18"/>
                <w:szCs w:val="18"/>
              </w:rPr>
              <w:t>(698)</w:t>
            </w:r>
          </w:p>
        </w:tc>
        <w:tc>
          <w:tcPr>
            <w:tcW w:w="0" w:type="auto"/>
            <w:shd w:val="clear" w:color="auto" w:fill="FFFFFF"/>
            <w:tcMar>
              <w:top w:w="30" w:type="dxa"/>
              <w:left w:w="0" w:type="dxa"/>
              <w:bottom w:w="30" w:type="dxa"/>
              <w:right w:w="20" w:type="dxa"/>
            </w:tcMar>
            <w:vAlign w:val="bottom"/>
            <w:hideMark/>
          </w:tcPr>
          <w:p w14:paraId="177DE100" w14:textId="77777777" w:rsidR="00000000" w:rsidRDefault="00E614A4">
            <w:pPr>
              <w:jc w:val="right"/>
              <w:rPr>
                <w:rFonts w:eastAsia="Times New Roman"/>
              </w:rPr>
            </w:pPr>
          </w:p>
        </w:tc>
        <w:tc>
          <w:tcPr>
            <w:tcW w:w="0" w:type="auto"/>
            <w:vAlign w:val="center"/>
            <w:hideMark/>
          </w:tcPr>
          <w:p w14:paraId="532D7DF6" w14:textId="77777777" w:rsidR="00000000" w:rsidRDefault="00E614A4">
            <w:pPr>
              <w:jc w:val="right"/>
              <w:rPr>
                <w:rFonts w:eastAsia="Times New Roman"/>
                <w:sz w:val="20"/>
                <w:szCs w:val="20"/>
              </w:rPr>
            </w:pPr>
          </w:p>
        </w:tc>
        <w:tc>
          <w:tcPr>
            <w:tcW w:w="0" w:type="auto"/>
            <w:vAlign w:val="center"/>
            <w:hideMark/>
          </w:tcPr>
          <w:p w14:paraId="134632B7" w14:textId="77777777" w:rsidR="00000000" w:rsidRDefault="00E614A4">
            <w:pPr>
              <w:rPr>
                <w:rFonts w:eastAsia="Times New Roman"/>
                <w:sz w:val="20"/>
                <w:szCs w:val="20"/>
              </w:rPr>
            </w:pPr>
          </w:p>
        </w:tc>
        <w:tc>
          <w:tcPr>
            <w:tcW w:w="0" w:type="auto"/>
            <w:vAlign w:val="center"/>
            <w:hideMark/>
          </w:tcPr>
          <w:p w14:paraId="071462FC" w14:textId="77777777" w:rsidR="00000000" w:rsidRDefault="00E614A4">
            <w:pPr>
              <w:rPr>
                <w:rFonts w:eastAsia="Times New Roman"/>
                <w:sz w:val="20"/>
                <w:szCs w:val="20"/>
              </w:rPr>
            </w:pPr>
          </w:p>
        </w:tc>
        <w:tc>
          <w:tcPr>
            <w:tcW w:w="0" w:type="auto"/>
            <w:vAlign w:val="center"/>
            <w:hideMark/>
          </w:tcPr>
          <w:p w14:paraId="3426227B" w14:textId="77777777" w:rsidR="00000000" w:rsidRDefault="00E614A4">
            <w:pPr>
              <w:rPr>
                <w:rFonts w:eastAsia="Times New Roman"/>
                <w:sz w:val="20"/>
                <w:szCs w:val="20"/>
              </w:rPr>
            </w:pPr>
          </w:p>
        </w:tc>
        <w:tc>
          <w:tcPr>
            <w:tcW w:w="0" w:type="auto"/>
            <w:vAlign w:val="center"/>
            <w:hideMark/>
          </w:tcPr>
          <w:p w14:paraId="3605A6B8" w14:textId="77777777" w:rsidR="00000000" w:rsidRDefault="00E614A4">
            <w:pPr>
              <w:rPr>
                <w:rFonts w:eastAsia="Times New Roman"/>
                <w:sz w:val="20"/>
                <w:szCs w:val="20"/>
              </w:rPr>
            </w:pPr>
          </w:p>
        </w:tc>
        <w:tc>
          <w:tcPr>
            <w:tcW w:w="0" w:type="auto"/>
            <w:vAlign w:val="center"/>
            <w:hideMark/>
          </w:tcPr>
          <w:p w14:paraId="11D9B91D" w14:textId="77777777" w:rsidR="00000000" w:rsidRDefault="00E614A4">
            <w:pPr>
              <w:rPr>
                <w:rFonts w:eastAsia="Times New Roman"/>
                <w:sz w:val="20"/>
                <w:szCs w:val="20"/>
              </w:rPr>
            </w:pPr>
          </w:p>
        </w:tc>
      </w:tr>
      <w:tr w:rsidR="00000000" w14:paraId="4D2F1FD7" w14:textId="77777777">
        <w:trPr>
          <w:divId w:val="1474373622"/>
          <w:jc w:val="center"/>
        </w:trPr>
        <w:tc>
          <w:tcPr>
            <w:tcW w:w="0" w:type="auto"/>
            <w:gridSpan w:val="3"/>
            <w:shd w:val="clear" w:color="auto" w:fill="CCEEFF"/>
            <w:tcMar>
              <w:top w:w="30" w:type="dxa"/>
              <w:left w:w="20" w:type="dxa"/>
              <w:bottom w:w="30" w:type="dxa"/>
              <w:right w:w="20" w:type="dxa"/>
            </w:tcMar>
            <w:hideMark/>
          </w:tcPr>
          <w:p w14:paraId="4065A393" w14:textId="77777777" w:rsidR="00000000" w:rsidRDefault="00E614A4">
            <w:pPr>
              <w:rPr>
                <w:rFonts w:eastAsia="Times New Roman"/>
              </w:rPr>
            </w:pPr>
            <w:r>
              <w:rPr>
                <w:rFonts w:eastAsia="Times New Roman"/>
                <w:color w:val="000000"/>
                <w:sz w:val="18"/>
                <w:szCs w:val="18"/>
              </w:rPr>
              <w:t>Accrued Balance as of December 31, 2020</w:t>
            </w:r>
          </w:p>
        </w:tc>
        <w:tc>
          <w:tcPr>
            <w:tcW w:w="0" w:type="auto"/>
            <w:gridSpan w:val="3"/>
            <w:shd w:val="clear" w:color="auto" w:fill="CCEEFF"/>
            <w:tcMar>
              <w:top w:w="0" w:type="dxa"/>
              <w:left w:w="20" w:type="dxa"/>
              <w:bottom w:w="0" w:type="dxa"/>
              <w:right w:w="20" w:type="dxa"/>
            </w:tcMar>
            <w:vAlign w:val="center"/>
            <w:hideMark/>
          </w:tcPr>
          <w:p w14:paraId="164104C3"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6075D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94CFFC"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FBB01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F4F61"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B4FAB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039E24" w14:textId="77777777" w:rsidR="00000000" w:rsidRDefault="00E614A4">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D6AC90" w14:textId="77777777" w:rsidR="00000000" w:rsidRDefault="00E614A4">
            <w:pPr>
              <w:jc w:val="right"/>
              <w:rPr>
                <w:rFonts w:eastAsia="Times New Roman"/>
              </w:rPr>
            </w:pPr>
          </w:p>
        </w:tc>
        <w:tc>
          <w:tcPr>
            <w:tcW w:w="0" w:type="auto"/>
            <w:vAlign w:val="center"/>
            <w:hideMark/>
          </w:tcPr>
          <w:p w14:paraId="0AA6CFDB" w14:textId="77777777" w:rsidR="00000000" w:rsidRDefault="00E614A4">
            <w:pPr>
              <w:jc w:val="right"/>
              <w:rPr>
                <w:rFonts w:eastAsia="Times New Roman"/>
                <w:sz w:val="20"/>
                <w:szCs w:val="20"/>
              </w:rPr>
            </w:pPr>
          </w:p>
        </w:tc>
        <w:tc>
          <w:tcPr>
            <w:tcW w:w="0" w:type="auto"/>
            <w:vAlign w:val="center"/>
            <w:hideMark/>
          </w:tcPr>
          <w:p w14:paraId="3C80B93C" w14:textId="77777777" w:rsidR="00000000" w:rsidRDefault="00E614A4">
            <w:pPr>
              <w:rPr>
                <w:rFonts w:eastAsia="Times New Roman"/>
                <w:sz w:val="20"/>
                <w:szCs w:val="20"/>
              </w:rPr>
            </w:pPr>
          </w:p>
        </w:tc>
        <w:tc>
          <w:tcPr>
            <w:tcW w:w="0" w:type="auto"/>
            <w:vAlign w:val="center"/>
            <w:hideMark/>
          </w:tcPr>
          <w:p w14:paraId="314F00E0" w14:textId="77777777" w:rsidR="00000000" w:rsidRDefault="00E614A4">
            <w:pPr>
              <w:rPr>
                <w:rFonts w:eastAsia="Times New Roman"/>
                <w:sz w:val="20"/>
                <w:szCs w:val="20"/>
              </w:rPr>
            </w:pPr>
          </w:p>
        </w:tc>
        <w:tc>
          <w:tcPr>
            <w:tcW w:w="0" w:type="auto"/>
            <w:vAlign w:val="center"/>
            <w:hideMark/>
          </w:tcPr>
          <w:p w14:paraId="3EE14F31" w14:textId="77777777" w:rsidR="00000000" w:rsidRDefault="00E614A4">
            <w:pPr>
              <w:rPr>
                <w:rFonts w:eastAsia="Times New Roman"/>
                <w:sz w:val="20"/>
                <w:szCs w:val="20"/>
              </w:rPr>
            </w:pPr>
          </w:p>
        </w:tc>
        <w:tc>
          <w:tcPr>
            <w:tcW w:w="0" w:type="auto"/>
            <w:vAlign w:val="center"/>
            <w:hideMark/>
          </w:tcPr>
          <w:p w14:paraId="64A7DF05" w14:textId="77777777" w:rsidR="00000000" w:rsidRDefault="00E614A4">
            <w:pPr>
              <w:rPr>
                <w:rFonts w:eastAsia="Times New Roman"/>
                <w:sz w:val="20"/>
                <w:szCs w:val="20"/>
              </w:rPr>
            </w:pPr>
          </w:p>
        </w:tc>
        <w:tc>
          <w:tcPr>
            <w:tcW w:w="0" w:type="auto"/>
            <w:vAlign w:val="center"/>
            <w:hideMark/>
          </w:tcPr>
          <w:p w14:paraId="1723A2F4" w14:textId="77777777" w:rsidR="00000000" w:rsidRDefault="00E614A4">
            <w:pPr>
              <w:rPr>
                <w:rFonts w:eastAsia="Times New Roman"/>
                <w:sz w:val="20"/>
                <w:szCs w:val="20"/>
              </w:rPr>
            </w:pPr>
          </w:p>
        </w:tc>
      </w:tr>
    </w:tbl>
    <w:p w14:paraId="23E55399" w14:textId="77777777" w:rsidR="00000000" w:rsidRDefault="00E614A4">
      <w:pPr>
        <w:jc w:val="center"/>
        <w:divId w:val="788469951"/>
        <w:rPr>
          <w:rFonts w:eastAsia="Times New Roman"/>
        </w:rPr>
      </w:pPr>
      <w:r>
        <w:rPr>
          <w:rFonts w:eastAsia="Times New Roman"/>
          <w:color w:val="000000"/>
          <w:sz w:val="20"/>
          <w:szCs w:val="20"/>
        </w:rPr>
        <w:t>98</w:t>
      </w:r>
    </w:p>
    <w:p w14:paraId="2FC4DBEA" w14:textId="77777777" w:rsidR="00000000" w:rsidRDefault="00E614A4">
      <w:pPr>
        <w:rPr>
          <w:rFonts w:eastAsia="Times New Roman"/>
        </w:rPr>
      </w:pPr>
      <w:r>
        <w:rPr>
          <w:rFonts w:eastAsia="Times New Roman"/>
        </w:rPr>
        <w:pict w14:anchorId="3EA6C96F">
          <v:rect id="_x0000_i1126" style="width:0;height:1.5pt" o:hralign="center" o:hrstd="t" o:hr="t" fillcolor="#a0a0a0" stroked="f"/>
        </w:pict>
      </w:r>
    </w:p>
    <w:p w14:paraId="2E3576DA" w14:textId="77777777" w:rsidR="00000000" w:rsidRDefault="00E614A4">
      <w:pPr>
        <w:divId w:val="195717671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41D50AD" w14:textId="77777777" w:rsidR="00000000" w:rsidRDefault="00E614A4">
      <w:pPr>
        <w:divId w:val="1210190236"/>
        <w:rPr>
          <w:rFonts w:eastAsia="Times New Roman"/>
        </w:rPr>
      </w:pPr>
    </w:p>
    <w:p w14:paraId="03ACE1A1" w14:textId="77777777" w:rsidR="00000000" w:rsidRDefault="00E614A4">
      <w:pPr>
        <w:ind w:hanging="360"/>
        <w:divId w:val="530655959"/>
        <w:rPr>
          <w:rFonts w:eastAsia="Times New Roman"/>
        </w:rPr>
      </w:pPr>
      <w:r>
        <w:rPr>
          <w:rFonts w:eastAsia="Times New Roman"/>
          <w:b/>
          <w:bCs/>
          <w:color w:val="000000"/>
          <w:sz w:val="20"/>
          <w:szCs w:val="20"/>
        </w:rPr>
        <w:t>15.</w:t>
      </w:r>
      <w:r>
        <w:rPr>
          <w:rFonts w:eastAsia="Times New Roman"/>
          <w:b/>
          <w:bCs/>
          <w:color w:val="000000"/>
          <w:sz w:val="20"/>
          <w:szCs w:val="20"/>
        </w:rPr>
        <w:t>Quarterly Financial Information (Unaudited)</w:t>
      </w:r>
    </w:p>
    <w:p w14:paraId="1A589CBB" w14:textId="77777777" w:rsidR="00000000" w:rsidRDefault="00E614A4">
      <w:pPr>
        <w:jc w:val="both"/>
        <w:divId w:val="395788722"/>
        <w:rPr>
          <w:rFonts w:eastAsia="Times New Roman"/>
        </w:rPr>
      </w:pPr>
      <w:r>
        <w:rPr>
          <w:rFonts w:eastAsia="Times New Roman"/>
          <w:color w:val="000000"/>
          <w:sz w:val="20"/>
          <w:szCs w:val="20"/>
        </w:rPr>
        <w:t>The following tables summarize quarterly financial data for 2020 and 2019. The Company's results of operations vary and may continue to fluctuate significantly from quarter to quarter. The results of operations i</w:t>
      </w:r>
      <w:r>
        <w:rPr>
          <w:rFonts w:eastAsia="Times New Roman"/>
          <w:color w:val="000000"/>
          <w:sz w:val="20"/>
          <w:szCs w:val="20"/>
        </w:rPr>
        <w:t>n any period should not necessarily be considered indicative of the results to be expected from any future period.</w:t>
      </w:r>
    </w:p>
    <w:p w14:paraId="54817119" w14:textId="77777777" w:rsidR="00000000" w:rsidRDefault="00E614A4">
      <w:pPr>
        <w:jc w:val="center"/>
        <w:rPr>
          <w:rFonts w:eastAsia="Times New Roman"/>
        </w:rPr>
      </w:pPr>
    </w:p>
    <w:p w14:paraId="04DCAAA5" w14:textId="77777777" w:rsidR="00000000" w:rsidRDefault="00E614A4">
      <w:pPr>
        <w:jc w:val="center"/>
        <w:rPr>
          <w:rFonts w:eastAsia="Times New Roman"/>
        </w:rPr>
      </w:pPr>
      <w:r>
        <w:rPr>
          <w:rFonts w:eastAsia="Times New Roman"/>
          <w:b/>
          <w:bCs/>
          <w:color w:val="000000"/>
          <w:sz w:val="20"/>
          <w:szCs w:val="20"/>
        </w:rPr>
        <w:t>CONSOLIDATED STATEMENTS OF OPERATIONS</w:t>
      </w:r>
    </w:p>
    <w:p w14:paraId="208B3843" w14:textId="77777777" w:rsidR="00000000" w:rsidRDefault="00E614A4">
      <w:pPr>
        <w:jc w:val="center"/>
        <w:rPr>
          <w:rFonts w:eastAsia="Times New Roman"/>
        </w:rPr>
      </w:pPr>
      <w:r>
        <w:rPr>
          <w:rFonts w:eastAsia="Times New Roman"/>
          <w:b/>
          <w:bCs/>
          <w:color w:val="000000"/>
          <w:sz w:val="16"/>
          <w:szCs w:val="16"/>
        </w:rPr>
        <w:t>(Unaudited)</w:t>
      </w:r>
    </w:p>
    <w:p w14:paraId="17FA1E49" w14:textId="77777777" w:rsidR="00000000" w:rsidRDefault="00E614A4">
      <w:pPr>
        <w:jc w:val="center"/>
        <w:rPr>
          <w:rFonts w:eastAsia="Times New Roman"/>
        </w:rPr>
      </w:pPr>
      <w:r>
        <w:rPr>
          <w:rFonts w:eastAsia="Times New Roman"/>
          <w:b/>
          <w:bCs/>
          <w:color w:val="000000"/>
          <w:sz w:val="16"/>
          <w:szCs w:val="16"/>
        </w:rPr>
        <w:t>(In thousands, except share and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33"/>
        <w:gridCol w:w="38"/>
        <w:gridCol w:w="36"/>
        <w:gridCol w:w="36"/>
        <w:gridCol w:w="36"/>
        <w:gridCol w:w="111"/>
        <w:gridCol w:w="944"/>
        <w:gridCol w:w="36"/>
        <w:gridCol w:w="36"/>
        <w:gridCol w:w="36"/>
        <w:gridCol w:w="36"/>
        <w:gridCol w:w="111"/>
        <w:gridCol w:w="944"/>
        <w:gridCol w:w="36"/>
        <w:gridCol w:w="36"/>
        <w:gridCol w:w="36"/>
        <w:gridCol w:w="36"/>
        <w:gridCol w:w="111"/>
        <w:gridCol w:w="944"/>
        <w:gridCol w:w="36"/>
        <w:gridCol w:w="36"/>
        <w:gridCol w:w="36"/>
        <w:gridCol w:w="36"/>
        <w:gridCol w:w="111"/>
        <w:gridCol w:w="944"/>
        <w:gridCol w:w="36"/>
      </w:tblGrid>
      <w:tr w:rsidR="00000000" w14:paraId="1B27F73E" w14:textId="77777777">
        <w:trPr>
          <w:divId w:val="1688405563"/>
          <w:jc w:val="center"/>
        </w:trPr>
        <w:tc>
          <w:tcPr>
            <w:tcW w:w="50" w:type="pct"/>
            <w:vAlign w:val="center"/>
            <w:hideMark/>
          </w:tcPr>
          <w:p w14:paraId="716895FB" w14:textId="77777777" w:rsidR="00000000" w:rsidRDefault="00E614A4">
            <w:pPr>
              <w:jc w:val="center"/>
              <w:rPr>
                <w:rFonts w:eastAsia="Times New Roman"/>
              </w:rPr>
            </w:pPr>
          </w:p>
        </w:tc>
        <w:tc>
          <w:tcPr>
            <w:tcW w:w="2139" w:type="pct"/>
            <w:vAlign w:val="center"/>
            <w:hideMark/>
          </w:tcPr>
          <w:p w14:paraId="544EB89E" w14:textId="77777777" w:rsidR="00000000" w:rsidRDefault="00E614A4">
            <w:pPr>
              <w:rPr>
                <w:rFonts w:eastAsia="Times New Roman"/>
                <w:sz w:val="20"/>
                <w:szCs w:val="20"/>
              </w:rPr>
            </w:pPr>
          </w:p>
        </w:tc>
        <w:tc>
          <w:tcPr>
            <w:tcW w:w="5" w:type="pct"/>
            <w:vAlign w:val="center"/>
            <w:hideMark/>
          </w:tcPr>
          <w:p w14:paraId="6B0D57BE" w14:textId="77777777" w:rsidR="00000000" w:rsidRDefault="00E614A4">
            <w:pPr>
              <w:rPr>
                <w:rFonts w:eastAsia="Times New Roman"/>
                <w:sz w:val="20"/>
                <w:szCs w:val="20"/>
              </w:rPr>
            </w:pPr>
          </w:p>
        </w:tc>
        <w:tc>
          <w:tcPr>
            <w:tcW w:w="5" w:type="pct"/>
            <w:vAlign w:val="center"/>
            <w:hideMark/>
          </w:tcPr>
          <w:p w14:paraId="79EC05C3" w14:textId="77777777" w:rsidR="00000000" w:rsidRDefault="00E614A4">
            <w:pPr>
              <w:rPr>
                <w:rFonts w:eastAsia="Times New Roman"/>
                <w:sz w:val="20"/>
                <w:szCs w:val="20"/>
              </w:rPr>
            </w:pPr>
          </w:p>
        </w:tc>
        <w:tc>
          <w:tcPr>
            <w:tcW w:w="17" w:type="pct"/>
            <w:vAlign w:val="center"/>
            <w:hideMark/>
          </w:tcPr>
          <w:p w14:paraId="6EA5FFD9" w14:textId="77777777" w:rsidR="00000000" w:rsidRDefault="00E614A4">
            <w:pPr>
              <w:rPr>
                <w:rFonts w:eastAsia="Times New Roman"/>
                <w:sz w:val="20"/>
                <w:szCs w:val="20"/>
              </w:rPr>
            </w:pPr>
          </w:p>
        </w:tc>
        <w:tc>
          <w:tcPr>
            <w:tcW w:w="5" w:type="pct"/>
            <w:vAlign w:val="center"/>
            <w:hideMark/>
          </w:tcPr>
          <w:p w14:paraId="71552B54" w14:textId="77777777" w:rsidR="00000000" w:rsidRDefault="00E614A4">
            <w:pPr>
              <w:rPr>
                <w:rFonts w:eastAsia="Times New Roman"/>
                <w:sz w:val="20"/>
                <w:szCs w:val="20"/>
              </w:rPr>
            </w:pPr>
          </w:p>
        </w:tc>
        <w:tc>
          <w:tcPr>
            <w:tcW w:w="50" w:type="pct"/>
            <w:vAlign w:val="center"/>
            <w:hideMark/>
          </w:tcPr>
          <w:p w14:paraId="6B6C2D53" w14:textId="77777777" w:rsidR="00000000" w:rsidRDefault="00E614A4">
            <w:pPr>
              <w:rPr>
                <w:rFonts w:eastAsia="Times New Roman"/>
                <w:sz w:val="20"/>
                <w:szCs w:val="20"/>
              </w:rPr>
            </w:pPr>
          </w:p>
        </w:tc>
        <w:tc>
          <w:tcPr>
            <w:tcW w:w="618" w:type="pct"/>
            <w:vAlign w:val="center"/>
            <w:hideMark/>
          </w:tcPr>
          <w:p w14:paraId="3013B414" w14:textId="77777777" w:rsidR="00000000" w:rsidRDefault="00E614A4">
            <w:pPr>
              <w:rPr>
                <w:rFonts w:eastAsia="Times New Roman"/>
                <w:sz w:val="20"/>
                <w:szCs w:val="20"/>
              </w:rPr>
            </w:pPr>
          </w:p>
        </w:tc>
        <w:tc>
          <w:tcPr>
            <w:tcW w:w="5" w:type="pct"/>
            <w:vAlign w:val="center"/>
            <w:hideMark/>
          </w:tcPr>
          <w:p w14:paraId="7EF01E88" w14:textId="77777777" w:rsidR="00000000" w:rsidRDefault="00E614A4">
            <w:pPr>
              <w:rPr>
                <w:rFonts w:eastAsia="Times New Roman"/>
                <w:sz w:val="20"/>
                <w:szCs w:val="20"/>
              </w:rPr>
            </w:pPr>
          </w:p>
        </w:tc>
        <w:tc>
          <w:tcPr>
            <w:tcW w:w="5" w:type="pct"/>
            <w:vAlign w:val="center"/>
            <w:hideMark/>
          </w:tcPr>
          <w:p w14:paraId="5CD03B3E" w14:textId="77777777" w:rsidR="00000000" w:rsidRDefault="00E614A4">
            <w:pPr>
              <w:rPr>
                <w:rFonts w:eastAsia="Times New Roman"/>
                <w:sz w:val="20"/>
                <w:szCs w:val="20"/>
              </w:rPr>
            </w:pPr>
          </w:p>
        </w:tc>
        <w:tc>
          <w:tcPr>
            <w:tcW w:w="17" w:type="pct"/>
            <w:vAlign w:val="center"/>
            <w:hideMark/>
          </w:tcPr>
          <w:p w14:paraId="3B7DB2D5" w14:textId="77777777" w:rsidR="00000000" w:rsidRDefault="00E614A4">
            <w:pPr>
              <w:rPr>
                <w:rFonts w:eastAsia="Times New Roman"/>
                <w:sz w:val="20"/>
                <w:szCs w:val="20"/>
              </w:rPr>
            </w:pPr>
          </w:p>
        </w:tc>
        <w:tc>
          <w:tcPr>
            <w:tcW w:w="5" w:type="pct"/>
            <w:vAlign w:val="center"/>
            <w:hideMark/>
          </w:tcPr>
          <w:p w14:paraId="60427223" w14:textId="77777777" w:rsidR="00000000" w:rsidRDefault="00E614A4">
            <w:pPr>
              <w:rPr>
                <w:rFonts w:eastAsia="Times New Roman"/>
                <w:sz w:val="20"/>
                <w:szCs w:val="20"/>
              </w:rPr>
            </w:pPr>
          </w:p>
        </w:tc>
        <w:tc>
          <w:tcPr>
            <w:tcW w:w="50" w:type="pct"/>
            <w:vAlign w:val="center"/>
            <w:hideMark/>
          </w:tcPr>
          <w:p w14:paraId="7021A3F8" w14:textId="77777777" w:rsidR="00000000" w:rsidRDefault="00E614A4">
            <w:pPr>
              <w:rPr>
                <w:rFonts w:eastAsia="Times New Roman"/>
                <w:sz w:val="20"/>
                <w:szCs w:val="20"/>
              </w:rPr>
            </w:pPr>
          </w:p>
        </w:tc>
        <w:tc>
          <w:tcPr>
            <w:tcW w:w="618" w:type="pct"/>
            <w:vAlign w:val="center"/>
            <w:hideMark/>
          </w:tcPr>
          <w:p w14:paraId="559C5994" w14:textId="77777777" w:rsidR="00000000" w:rsidRDefault="00E614A4">
            <w:pPr>
              <w:rPr>
                <w:rFonts w:eastAsia="Times New Roman"/>
                <w:sz w:val="20"/>
                <w:szCs w:val="20"/>
              </w:rPr>
            </w:pPr>
          </w:p>
        </w:tc>
        <w:tc>
          <w:tcPr>
            <w:tcW w:w="5" w:type="pct"/>
            <w:vAlign w:val="center"/>
            <w:hideMark/>
          </w:tcPr>
          <w:p w14:paraId="6A255F99" w14:textId="77777777" w:rsidR="00000000" w:rsidRDefault="00E614A4">
            <w:pPr>
              <w:rPr>
                <w:rFonts w:eastAsia="Times New Roman"/>
                <w:sz w:val="20"/>
                <w:szCs w:val="20"/>
              </w:rPr>
            </w:pPr>
          </w:p>
        </w:tc>
        <w:tc>
          <w:tcPr>
            <w:tcW w:w="5" w:type="pct"/>
            <w:vAlign w:val="center"/>
            <w:hideMark/>
          </w:tcPr>
          <w:p w14:paraId="36D172CF" w14:textId="77777777" w:rsidR="00000000" w:rsidRDefault="00E614A4">
            <w:pPr>
              <w:rPr>
                <w:rFonts w:eastAsia="Times New Roman"/>
                <w:sz w:val="20"/>
                <w:szCs w:val="20"/>
              </w:rPr>
            </w:pPr>
          </w:p>
        </w:tc>
        <w:tc>
          <w:tcPr>
            <w:tcW w:w="17" w:type="pct"/>
            <w:vAlign w:val="center"/>
            <w:hideMark/>
          </w:tcPr>
          <w:p w14:paraId="1C2E3D34" w14:textId="77777777" w:rsidR="00000000" w:rsidRDefault="00E614A4">
            <w:pPr>
              <w:rPr>
                <w:rFonts w:eastAsia="Times New Roman"/>
                <w:sz w:val="20"/>
                <w:szCs w:val="20"/>
              </w:rPr>
            </w:pPr>
          </w:p>
        </w:tc>
        <w:tc>
          <w:tcPr>
            <w:tcW w:w="5" w:type="pct"/>
            <w:vAlign w:val="center"/>
            <w:hideMark/>
          </w:tcPr>
          <w:p w14:paraId="34EEAABD" w14:textId="77777777" w:rsidR="00000000" w:rsidRDefault="00E614A4">
            <w:pPr>
              <w:rPr>
                <w:rFonts w:eastAsia="Times New Roman"/>
                <w:sz w:val="20"/>
                <w:szCs w:val="20"/>
              </w:rPr>
            </w:pPr>
          </w:p>
        </w:tc>
        <w:tc>
          <w:tcPr>
            <w:tcW w:w="50" w:type="pct"/>
            <w:vAlign w:val="center"/>
            <w:hideMark/>
          </w:tcPr>
          <w:p w14:paraId="4318ED00" w14:textId="77777777" w:rsidR="00000000" w:rsidRDefault="00E614A4">
            <w:pPr>
              <w:rPr>
                <w:rFonts w:eastAsia="Times New Roman"/>
                <w:sz w:val="20"/>
                <w:szCs w:val="20"/>
              </w:rPr>
            </w:pPr>
          </w:p>
        </w:tc>
        <w:tc>
          <w:tcPr>
            <w:tcW w:w="618" w:type="pct"/>
            <w:vAlign w:val="center"/>
            <w:hideMark/>
          </w:tcPr>
          <w:p w14:paraId="2E48F8C2" w14:textId="77777777" w:rsidR="00000000" w:rsidRDefault="00E614A4">
            <w:pPr>
              <w:rPr>
                <w:rFonts w:eastAsia="Times New Roman"/>
                <w:sz w:val="20"/>
                <w:szCs w:val="20"/>
              </w:rPr>
            </w:pPr>
          </w:p>
        </w:tc>
        <w:tc>
          <w:tcPr>
            <w:tcW w:w="5" w:type="pct"/>
            <w:vAlign w:val="center"/>
            <w:hideMark/>
          </w:tcPr>
          <w:p w14:paraId="407C0990" w14:textId="77777777" w:rsidR="00000000" w:rsidRDefault="00E614A4">
            <w:pPr>
              <w:rPr>
                <w:rFonts w:eastAsia="Times New Roman"/>
                <w:sz w:val="20"/>
                <w:szCs w:val="20"/>
              </w:rPr>
            </w:pPr>
          </w:p>
        </w:tc>
        <w:tc>
          <w:tcPr>
            <w:tcW w:w="5" w:type="pct"/>
            <w:vAlign w:val="center"/>
            <w:hideMark/>
          </w:tcPr>
          <w:p w14:paraId="7187A00B" w14:textId="77777777" w:rsidR="00000000" w:rsidRDefault="00E614A4">
            <w:pPr>
              <w:rPr>
                <w:rFonts w:eastAsia="Times New Roman"/>
                <w:sz w:val="20"/>
                <w:szCs w:val="20"/>
              </w:rPr>
            </w:pPr>
          </w:p>
        </w:tc>
        <w:tc>
          <w:tcPr>
            <w:tcW w:w="17" w:type="pct"/>
            <w:vAlign w:val="center"/>
            <w:hideMark/>
          </w:tcPr>
          <w:p w14:paraId="7B13B1D1" w14:textId="77777777" w:rsidR="00000000" w:rsidRDefault="00E614A4">
            <w:pPr>
              <w:rPr>
                <w:rFonts w:eastAsia="Times New Roman"/>
                <w:sz w:val="20"/>
                <w:szCs w:val="20"/>
              </w:rPr>
            </w:pPr>
          </w:p>
        </w:tc>
        <w:tc>
          <w:tcPr>
            <w:tcW w:w="5" w:type="pct"/>
            <w:vAlign w:val="center"/>
            <w:hideMark/>
          </w:tcPr>
          <w:p w14:paraId="3D998774" w14:textId="77777777" w:rsidR="00000000" w:rsidRDefault="00E614A4">
            <w:pPr>
              <w:rPr>
                <w:rFonts w:eastAsia="Times New Roman"/>
                <w:sz w:val="20"/>
                <w:szCs w:val="20"/>
              </w:rPr>
            </w:pPr>
          </w:p>
        </w:tc>
        <w:tc>
          <w:tcPr>
            <w:tcW w:w="50" w:type="pct"/>
            <w:vAlign w:val="center"/>
            <w:hideMark/>
          </w:tcPr>
          <w:p w14:paraId="45EE2F9A" w14:textId="77777777" w:rsidR="00000000" w:rsidRDefault="00E614A4">
            <w:pPr>
              <w:rPr>
                <w:rFonts w:eastAsia="Times New Roman"/>
                <w:sz w:val="20"/>
                <w:szCs w:val="20"/>
              </w:rPr>
            </w:pPr>
          </w:p>
        </w:tc>
        <w:tc>
          <w:tcPr>
            <w:tcW w:w="618" w:type="pct"/>
            <w:vAlign w:val="center"/>
            <w:hideMark/>
          </w:tcPr>
          <w:p w14:paraId="5DA50534" w14:textId="77777777" w:rsidR="00000000" w:rsidRDefault="00E614A4">
            <w:pPr>
              <w:rPr>
                <w:rFonts w:eastAsia="Times New Roman"/>
                <w:sz w:val="20"/>
                <w:szCs w:val="20"/>
              </w:rPr>
            </w:pPr>
          </w:p>
        </w:tc>
        <w:tc>
          <w:tcPr>
            <w:tcW w:w="5" w:type="pct"/>
            <w:vAlign w:val="center"/>
            <w:hideMark/>
          </w:tcPr>
          <w:p w14:paraId="1EC58910" w14:textId="77777777" w:rsidR="00000000" w:rsidRDefault="00E614A4">
            <w:pPr>
              <w:rPr>
                <w:rFonts w:eastAsia="Times New Roman"/>
                <w:sz w:val="20"/>
                <w:szCs w:val="20"/>
              </w:rPr>
            </w:pPr>
          </w:p>
        </w:tc>
      </w:tr>
      <w:tr w:rsidR="00000000" w14:paraId="53C8B4FD" w14:textId="77777777">
        <w:trPr>
          <w:divId w:val="1688405563"/>
          <w:jc w:val="center"/>
        </w:trPr>
        <w:tc>
          <w:tcPr>
            <w:tcW w:w="0" w:type="auto"/>
            <w:gridSpan w:val="3"/>
            <w:tcMar>
              <w:top w:w="30" w:type="dxa"/>
              <w:left w:w="20" w:type="dxa"/>
              <w:bottom w:w="30" w:type="dxa"/>
              <w:right w:w="20" w:type="dxa"/>
            </w:tcMar>
            <w:vAlign w:val="bottom"/>
            <w:hideMark/>
          </w:tcPr>
          <w:p w14:paraId="6744C37D"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40C7491" w14:textId="77777777" w:rsidR="00000000" w:rsidRDefault="00E614A4">
            <w:pPr>
              <w:rPr>
                <w:rFonts w:eastAsia="Times New Roman"/>
              </w:rPr>
            </w:pPr>
          </w:p>
        </w:tc>
        <w:tc>
          <w:tcPr>
            <w:tcW w:w="0" w:type="auto"/>
            <w:gridSpan w:val="21"/>
            <w:tcMar>
              <w:top w:w="30" w:type="dxa"/>
              <w:left w:w="20" w:type="dxa"/>
              <w:bottom w:w="30" w:type="dxa"/>
              <w:right w:w="20" w:type="dxa"/>
            </w:tcMar>
            <w:vAlign w:val="bottom"/>
            <w:hideMark/>
          </w:tcPr>
          <w:p w14:paraId="7CE0B690" w14:textId="77777777" w:rsidR="00000000" w:rsidRDefault="00E614A4">
            <w:pPr>
              <w:jc w:val="center"/>
              <w:rPr>
                <w:rFonts w:eastAsia="Times New Roman"/>
              </w:rPr>
            </w:pPr>
            <w:r>
              <w:rPr>
                <w:rFonts w:eastAsia="Times New Roman"/>
                <w:b/>
                <w:bCs/>
                <w:color w:val="000000"/>
                <w:sz w:val="16"/>
                <w:szCs w:val="16"/>
              </w:rPr>
              <w:t>2020</w:t>
            </w:r>
          </w:p>
        </w:tc>
      </w:tr>
      <w:tr w:rsidR="00000000" w14:paraId="5835B330" w14:textId="77777777">
        <w:trPr>
          <w:divId w:val="1688405563"/>
          <w:jc w:val="center"/>
        </w:trPr>
        <w:tc>
          <w:tcPr>
            <w:tcW w:w="0" w:type="auto"/>
            <w:gridSpan w:val="3"/>
            <w:tcMar>
              <w:top w:w="0" w:type="dxa"/>
              <w:left w:w="20" w:type="dxa"/>
              <w:bottom w:w="0" w:type="dxa"/>
              <w:right w:w="20" w:type="dxa"/>
            </w:tcMar>
            <w:vAlign w:val="center"/>
            <w:hideMark/>
          </w:tcPr>
          <w:p w14:paraId="55D41F5B"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45C3D0E8" w14:textId="77777777" w:rsidR="00000000" w:rsidRDefault="00E614A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4322EE0" w14:textId="77777777" w:rsidR="00000000" w:rsidRDefault="00E614A4">
            <w:pPr>
              <w:jc w:val="center"/>
              <w:rPr>
                <w:rFonts w:eastAsia="Times New Roman"/>
              </w:rPr>
            </w:pPr>
            <w:r>
              <w:rPr>
                <w:rFonts w:eastAsia="Times New Roman"/>
                <w:b/>
                <w:bCs/>
                <w:color w:val="000000"/>
                <w:sz w:val="16"/>
                <w:szCs w:val="16"/>
              </w:rPr>
              <w:t>First</w:t>
            </w:r>
          </w:p>
        </w:tc>
        <w:tc>
          <w:tcPr>
            <w:tcW w:w="0" w:type="auto"/>
            <w:gridSpan w:val="3"/>
            <w:tcBorders>
              <w:top w:val="single" w:sz="8" w:space="0" w:color="000000"/>
            </w:tcBorders>
            <w:tcMar>
              <w:top w:w="0" w:type="dxa"/>
              <w:left w:w="20" w:type="dxa"/>
              <w:bottom w:w="0" w:type="dxa"/>
              <w:right w:w="20" w:type="dxa"/>
            </w:tcMar>
            <w:vAlign w:val="center"/>
            <w:hideMark/>
          </w:tcPr>
          <w:p w14:paraId="143CEBA5"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28C920" w14:textId="77777777" w:rsidR="00000000" w:rsidRDefault="00E614A4">
            <w:pPr>
              <w:jc w:val="center"/>
              <w:rPr>
                <w:rFonts w:eastAsia="Times New Roman"/>
              </w:rPr>
            </w:pPr>
            <w:r>
              <w:rPr>
                <w:rFonts w:eastAsia="Times New Roman"/>
                <w:b/>
                <w:bCs/>
                <w:color w:val="000000"/>
                <w:sz w:val="16"/>
                <w:szCs w:val="16"/>
              </w:rPr>
              <w:t>Second</w:t>
            </w:r>
          </w:p>
        </w:tc>
        <w:tc>
          <w:tcPr>
            <w:tcW w:w="0" w:type="auto"/>
            <w:gridSpan w:val="3"/>
            <w:tcBorders>
              <w:top w:val="single" w:sz="8" w:space="0" w:color="000000"/>
            </w:tcBorders>
            <w:tcMar>
              <w:top w:w="0" w:type="dxa"/>
              <w:left w:w="20" w:type="dxa"/>
              <w:bottom w:w="0" w:type="dxa"/>
              <w:right w:w="20" w:type="dxa"/>
            </w:tcMar>
            <w:vAlign w:val="center"/>
            <w:hideMark/>
          </w:tcPr>
          <w:p w14:paraId="37B87C3C"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82D8B3" w14:textId="77777777" w:rsidR="00000000" w:rsidRDefault="00E614A4">
            <w:pPr>
              <w:jc w:val="center"/>
              <w:rPr>
                <w:rFonts w:eastAsia="Times New Roman"/>
              </w:rPr>
            </w:pPr>
            <w:r>
              <w:rPr>
                <w:rFonts w:eastAsia="Times New Roman"/>
                <w:b/>
                <w:bCs/>
                <w:color w:val="000000"/>
                <w:sz w:val="16"/>
                <w:szCs w:val="16"/>
              </w:rPr>
              <w:t>Third</w:t>
            </w:r>
          </w:p>
        </w:tc>
        <w:tc>
          <w:tcPr>
            <w:tcW w:w="0" w:type="auto"/>
            <w:gridSpan w:val="3"/>
            <w:tcBorders>
              <w:top w:val="single" w:sz="8" w:space="0" w:color="000000"/>
            </w:tcBorders>
            <w:tcMar>
              <w:top w:w="0" w:type="dxa"/>
              <w:left w:w="20" w:type="dxa"/>
              <w:bottom w:w="0" w:type="dxa"/>
              <w:right w:w="20" w:type="dxa"/>
            </w:tcMar>
            <w:vAlign w:val="center"/>
            <w:hideMark/>
          </w:tcPr>
          <w:p w14:paraId="25C01728"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4521FC" w14:textId="77777777" w:rsidR="00000000" w:rsidRDefault="00E614A4">
            <w:pPr>
              <w:jc w:val="center"/>
              <w:rPr>
                <w:rFonts w:eastAsia="Times New Roman"/>
              </w:rPr>
            </w:pPr>
            <w:r>
              <w:rPr>
                <w:rFonts w:eastAsia="Times New Roman"/>
                <w:b/>
                <w:bCs/>
                <w:color w:val="000000"/>
                <w:sz w:val="16"/>
                <w:szCs w:val="16"/>
              </w:rPr>
              <w:t>Fourth</w:t>
            </w:r>
          </w:p>
        </w:tc>
      </w:tr>
      <w:tr w:rsidR="00000000" w14:paraId="607A91C2" w14:textId="77777777">
        <w:trPr>
          <w:divId w:val="1688405563"/>
          <w:jc w:val="center"/>
        </w:trPr>
        <w:tc>
          <w:tcPr>
            <w:tcW w:w="0" w:type="auto"/>
            <w:gridSpan w:val="3"/>
            <w:shd w:val="clear" w:color="auto" w:fill="CCEEFF"/>
            <w:tcMar>
              <w:top w:w="30" w:type="dxa"/>
              <w:left w:w="20" w:type="dxa"/>
              <w:bottom w:w="30" w:type="dxa"/>
              <w:right w:w="20" w:type="dxa"/>
            </w:tcMar>
            <w:hideMark/>
          </w:tcPr>
          <w:p w14:paraId="1F280ED5" w14:textId="77777777" w:rsidR="00000000" w:rsidRDefault="00E614A4">
            <w:pPr>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14:paraId="5ECDC56A"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1B4AA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0BA5AA" w14:textId="77777777" w:rsidR="00000000" w:rsidRDefault="00E614A4">
            <w:pPr>
              <w:jc w:val="right"/>
              <w:rPr>
                <w:rFonts w:eastAsia="Times New Roman"/>
              </w:rPr>
            </w:pPr>
            <w:r>
              <w:rPr>
                <w:rFonts w:eastAsia="Times New Roman"/>
                <w:color w:val="000000"/>
                <w:sz w:val="18"/>
                <w:szCs w:val="18"/>
              </w:rPr>
              <w:t>89,528 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DF18B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2FF0B"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BEFA1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8C83C4" w14:textId="77777777" w:rsidR="00000000" w:rsidRDefault="00E614A4">
            <w:pPr>
              <w:jc w:val="right"/>
              <w:rPr>
                <w:rFonts w:eastAsia="Times New Roman"/>
              </w:rPr>
            </w:pPr>
            <w:r>
              <w:rPr>
                <w:rFonts w:eastAsia="Times New Roman"/>
                <w:color w:val="000000"/>
                <w:sz w:val="18"/>
                <w:szCs w:val="18"/>
              </w:rPr>
              <w:t>88,566 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A7E06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57AB7A"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5A30A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0A3005" w14:textId="77777777" w:rsidR="00000000" w:rsidRDefault="00E614A4">
            <w:pPr>
              <w:jc w:val="right"/>
              <w:rPr>
                <w:rFonts w:eastAsia="Times New Roman"/>
              </w:rPr>
            </w:pPr>
            <w:r>
              <w:rPr>
                <w:rFonts w:eastAsia="Times New Roman"/>
                <w:color w:val="000000"/>
                <w:sz w:val="18"/>
                <w:szCs w:val="18"/>
              </w:rPr>
              <w:t>87,952 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E0FB1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E9CCB"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A1EAF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C0E48B" w14:textId="77777777" w:rsidR="00000000" w:rsidRDefault="00E614A4">
            <w:pPr>
              <w:jc w:val="right"/>
              <w:rPr>
                <w:rFonts w:eastAsia="Times New Roman"/>
              </w:rPr>
            </w:pPr>
            <w:r>
              <w:rPr>
                <w:rFonts w:eastAsia="Times New Roman"/>
                <w:color w:val="000000"/>
                <w:sz w:val="18"/>
                <w:szCs w:val="18"/>
              </w:rPr>
              <w:t>89,990 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0C9345" w14:textId="77777777" w:rsidR="00000000" w:rsidRDefault="00E614A4">
            <w:pPr>
              <w:jc w:val="right"/>
              <w:rPr>
                <w:rFonts w:eastAsia="Times New Roman"/>
              </w:rPr>
            </w:pPr>
          </w:p>
        </w:tc>
      </w:tr>
      <w:tr w:rsidR="00000000" w14:paraId="2D98DB2B" w14:textId="77777777">
        <w:trPr>
          <w:divId w:val="1688405563"/>
          <w:jc w:val="center"/>
        </w:trPr>
        <w:tc>
          <w:tcPr>
            <w:tcW w:w="0" w:type="auto"/>
            <w:gridSpan w:val="3"/>
            <w:shd w:val="clear" w:color="auto" w:fill="FFFFFF"/>
            <w:tcMar>
              <w:top w:w="30" w:type="dxa"/>
              <w:left w:w="20" w:type="dxa"/>
              <w:bottom w:w="30" w:type="dxa"/>
              <w:right w:w="20" w:type="dxa"/>
            </w:tcMar>
            <w:hideMark/>
          </w:tcPr>
          <w:p w14:paraId="5936BB8E" w14:textId="77777777" w:rsidR="00000000" w:rsidRDefault="00E614A4">
            <w:pPr>
              <w:divId w:val="1459689458"/>
              <w:rPr>
                <w:rFonts w:eastAsia="Times New Roman"/>
              </w:rPr>
            </w:pPr>
            <w:r>
              <w:rPr>
                <w:rFonts w:eastAsia="Times New Roman"/>
                <w:color w:val="000000"/>
                <w:sz w:val="18"/>
                <w:szCs w:val="18"/>
              </w:rPr>
              <w:t>Cost of revenues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3C62EFF"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05C282" w14:textId="77777777" w:rsidR="00000000" w:rsidRDefault="00E614A4">
            <w:pPr>
              <w:jc w:val="right"/>
              <w:rPr>
                <w:rFonts w:eastAsia="Times New Roman"/>
              </w:rPr>
            </w:pPr>
            <w:r>
              <w:rPr>
                <w:rFonts w:eastAsia="Times New Roman"/>
                <w:color w:val="000000"/>
                <w:sz w:val="18"/>
                <w:szCs w:val="18"/>
              </w:rPr>
              <w:t>45,798 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03AED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78876"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1AD13D" w14:textId="77777777" w:rsidR="00000000" w:rsidRDefault="00E614A4">
            <w:pPr>
              <w:jc w:val="right"/>
              <w:rPr>
                <w:rFonts w:eastAsia="Times New Roman"/>
              </w:rPr>
            </w:pPr>
            <w:r>
              <w:rPr>
                <w:rFonts w:eastAsia="Times New Roman"/>
                <w:color w:val="000000"/>
                <w:sz w:val="18"/>
                <w:szCs w:val="18"/>
              </w:rPr>
              <w:t>44,949 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D9D7B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671E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BCC1F9" w14:textId="77777777" w:rsidR="00000000" w:rsidRDefault="00E614A4">
            <w:pPr>
              <w:jc w:val="right"/>
              <w:rPr>
                <w:rFonts w:eastAsia="Times New Roman"/>
              </w:rPr>
            </w:pPr>
            <w:r>
              <w:rPr>
                <w:rFonts w:eastAsia="Times New Roman"/>
                <w:color w:val="000000"/>
                <w:sz w:val="18"/>
                <w:szCs w:val="18"/>
              </w:rPr>
              <w:t>46,466 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6A4E7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1F3DE"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05590D" w14:textId="77777777" w:rsidR="00000000" w:rsidRDefault="00E614A4">
            <w:pPr>
              <w:jc w:val="right"/>
              <w:rPr>
                <w:rFonts w:eastAsia="Times New Roman"/>
              </w:rPr>
            </w:pPr>
            <w:r>
              <w:rPr>
                <w:rFonts w:eastAsia="Times New Roman"/>
                <w:color w:val="000000"/>
                <w:sz w:val="18"/>
                <w:szCs w:val="18"/>
              </w:rPr>
              <w:t>43,499 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36138D" w14:textId="77777777" w:rsidR="00000000" w:rsidRDefault="00E614A4">
            <w:pPr>
              <w:jc w:val="right"/>
              <w:rPr>
                <w:rFonts w:eastAsia="Times New Roman"/>
              </w:rPr>
            </w:pPr>
          </w:p>
        </w:tc>
      </w:tr>
      <w:tr w:rsidR="00000000" w14:paraId="36146FCE" w14:textId="77777777">
        <w:trPr>
          <w:divId w:val="1688405563"/>
          <w:jc w:val="center"/>
        </w:trPr>
        <w:tc>
          <w:tcPr>
            <w:tcW w:w="0" w:type="auto"/>
            <w:gridSpan w:val="3"/>
            <w:shd w:val="clear" w:color="auto" w:fill="CCEEFF"/>
            <w:tcMar>
              <w:top w:w="30" w:type="dxa"/>
              <w:left w:w="20" w:type="dxa"/>
              <w:bottom w:w="30" w:type="dxa"/>
              <w:right w:w="20" w:type="dxa"/>
            </w:tcMar>
            <w:hideMark/>
          </w:tcPr>
          <w:p w14:paraId="5C1CDD62" w14:textId="77777777" w:rsidR="00000000" w:rsidRDefault="00E614A4">
            <w:pPr>
              <w:rPr>
                <w:rFonts w:eastAsia="Times New Roman"/>
              </w:rPr>
            </w:pPr>
            <w:r>
              <w:rPr>
                <w:rFonts w:eastAsia="Times New Roman"/>
                <w:color w:val="000000"/>
                <w:sz w:val="18"/>
                <w:szCs w:val="18"/>
              </w:rPr>
              <w:t>Gross profit</w:t>
            </w:r>
          </w:p>
        </w:tc>
        <w:tc>
          <w:tcPr>
            <w:tcW w:w="0" w:type="auto"/>
            <w:gridSpan w:val="3"/>
            <w:shd w:val="clear" w:color="auto" w:fill="CCEEFF"/>
            <w:tcMar>
              <w:top w:w="0" w:type="dxa"/>
              <w:left w:w="20" w:type="dxa"/>
              <w:bottom w:w="0" w:type="dxa"/>
              <w:right w:w="20" w:type="dxa"/>
            </w:tcMar>
            <w:vAlign w:val="center"/>
            <w:hideMark/>
          </w:tcPr>
          <w:p w14:paraId="5A65CD7E"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895343" w14:textId="77777777" w:rsidR="00000000" w:rsidRDefault="00E614A4">
            <w:pPr>
              <w:jc w:val="right"/>
              <w:rPr>
                <w:rFonts w:eastAsia="Times New Roman"/>
              </w:rPr>
            </w:pPr>
            <w:r>
              <w:rPr>
                <w:rFonts w:eastAsia="Times New Roman"/>
                <w:color w:val="000000"/>
                <w:sz w:val="18"/>
                <w:szCs w:val="18"/>
              </w:rPr>
              <w:t>43,730 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4BE7D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8F26E"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490D99" w14:textId="77777777" w:rsidR="00000000" w:rsidRDefault="00E614A4">
            <w:pPr>
              <w:jc w:val="right"/>
              <w:rPr>
                <w:rFonts w:eastAsia="Times New Roman"/>
              </w:rPr>
            </w:pPr>
            <w:r>
              <w:rPr>
                <w:rFonts w:eastAsia="Times New Roman"/>
                <w:color w:val="000000"/>
                <w:sz w:val="18"/>
                <w:szCs w:val="18"/>
              </w:rPr>
              <w:t>43,617 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9B83C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BDB16"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B0BAC1" w14:textId="77777777" w:rsidR="00000000" w:rsidRDefault="00E614A4">
            <w:pPr>
              <w:jc w:val="right"/>
              <w:rPr>
                <w:rFonts w:eastAsia="Times New Roman"/>
              </w:rPr>
            </w:pPr>
            <w:r>
              <w:rPr>
                <w:rFonts w:eastAsia="Times New Roman"/>
                <w:color w:val="000000"/>
                <w:sz w:val="18"/>
                <w:szCs w:val="18"/>
              </w:rPr>
              <w:t>41,486 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F936D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9767A"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02EBC8" w14:textId="77777777" w:rsidR="00000000" w:rsidRDefault="00E614A4">
            <w:pPr>
              <w:jc w:val="right"/>
              <w:rPr>
                <w:rFonts w:eastAsia="Times New Roman"/>
              </w:rPr>
            </w:pPr>
            <w:r>
              <w:rPr>
                <w:rFonts w:eastAsia="Times New Roman"/>
                <w:color w:val="000000"/>
                <w:sz w:val="18"/>
                <w:szCs w:val="18"/>
              </w:rPr>
              <w:t>46,491 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1C19BF" w14:textId="77777777" w:rsidR="00000000" w:rsidRDefault="00E614A4">
            <w:pPr>
              <w:jc w:val="right"/>
              <w:rPr>
                <w:rFonts w:eastAsia="Times New Roman"/>
              </w:rPr>
            </w:pPr>
          </w:p>
        </w:tc>
      </w:tr>
      <w:tr w:rsidR="00000000" w14:paraId="3B7683DF" w14:textId="77777777">
        <w:trPr>
          <w:divId w:val="1688405563"/>
          <w:jc w:val="center"/>
        </w:trPr>
        <w:tc>
          <w:tcPr>
            <w:tcW w:w="0" w:type="auto"/>
            <w:gridSpan w:val="3"/>
            <w:shd w:val="clear" w:color="auto" w:fill="FFFFFF"/>
            <w:tcMar>
              <w:top w:w="30" w:type="dxa"/>
              <w:left w:w="20" w:type="dxa"/>
              <w:bottom w:w="30" w:type="dxa"/>
              <w:right w:w="20" w:type="dxa"/>
            </w:tcMar>
            <w:hideMark/>
          </w:tcPr>
          <w:p w14:paraId="49120D40" w14:textId="77777777" w:rsidR="00000000" w:rsidRDefault="00E614A4">
            <w:pPr>
              <w:divId w:val="1087071239"/>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4931ACD"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782069" w14:textId="77777777" w:rsidR="00000000" w:rsidRDefault="00E614A4">
            <w:pPr>
              <w:jc w:val="right"/>
              <w:rPr>
                <w:rFonts w:eastAsia="Times New Roman"/>
              </w:rPr>
            </w:pPr>
            <w:r>
              <w:rPr>
                <w:rFonts w:eastAsia="Times New Roman"/>
                <w:color w:val="000000"/>
                <w:sz w:val="18"/>
                <w:szCs w:val="18"/>
              </w:rPr>
              <w:t>19,213 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80323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41CB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9D4D34" w14:textId="77777777" w:rsidR="00000000" w:rsidRDefault="00E614A4">
            <w:pPr>
              <w:jc w:val="right"/>
              <w:rPr>
                <w:rFonts w:eastAsia="Times New Roman"/>
              </w:rPr>
            </w:pPr>
            <w:r>
              <w:rPr>
                <w:rFonts w:eastAsia="Times New Roman"/>
                <w:color w:val="000000"/>
                <w:sz w:val="18"/>
                <w:szCs w:val="18"/>
              </w:rPr>
              <w:t>16,007 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A77F6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EB4FC"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01EE0F" w14:textId="77777777" w:rsidR="00000000" w:rsidRDefault="00E614A4">
            <w:pPr>
              <w:jc w:val="right"/>
              <w:rPr>
                <w:rFonts w:eastAsia="Times New Roman"/>
              </w:rPr>
            </w:pPr>
            <w:r>
              <w:rPr>
                <w:rFonts w:eastAsia="Times New Roman"/>
                <w:color w:val="000000"/>
                <w:sz w:val="18"/>
                <w:szCs w:val="18"/>
              </w:rPr>
              <w:t>17,131 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16660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402D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FCC638" w14:textId="77777777" w:rsidR="00000000" w:rsidRDefault="00E614A4">
            <w:pPr>
              <w:jc w:val="right"/>
              <w:rPr>
                <w:rFonts w:eastAsia="Times New Roman"/>
              </w:rPr>
            </w:pPr>
            <w:r>
              <w:rPr>
                <w:rFonts w:eastAsia="Times New Roman"/>
                <w:color w:val="000000"/>
                <w:sz w:val="18"/>
                <w:szCs w:val="18"/>
              </w:rPr>
              <w:t>17,869 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4D3852" w14:textId="77777777" w:rsidR="00000000" w:rsidRDefault="00E614A4">
            <w:pPr>
              <w:jc w:val="right"/>
              <w:rPr>
                <w:rFonts w:eastAsia="Times New Roman"/>
              </w:rPr>
            </w:pPr>
          </w:p>
        </w:tc>
      </w:tr>
      <w:tr w:rsidR="00000000" w14:paraId="0523A2BC" w14:textId="77777777">
        <w:trPr>
          <w:divId w:val="1688405563"/>
          <w:jc w:val="center"/>
        </w:trPr>
        <w:tc>
          <w:tcPr>
            <w:tcW w:w="0" w:type="auto"/>
            <w:gridSpan w:val="3"/>
            <w:shd w:val="clear" w:color="auto" w:fill="CCEEFF"/>
            <w:tcMar>
              <w:top w:w="30" w:type="dxa"/>
              <w:left w:w="20" w:type="dxa"/>
              <w:bottom w:w="30" w:type="dxa"/>
              <w:right w:w="20" w:type="dxa"/>
            </w:tcMar>
            <w:hideMark/>
          </w:tcPr>
          <w:p w14:paraId="4CADD2EF" w14:textId="77777777" w:rsidR="00000000" w:rsidRDefault="00E614A4">
            <w:pPr>
              <w:divId w:val="2078625556"/>
              <w:rPr>
                <w:rFonts w:eastAsia="Times New Roman"/>
              </w:rPr>
            </w:pPr>
            <w:r>
              <w:rPr>
                <w:rFonts w:eastAsia="Times New Roman"/>
                <w:color w:val="000000"/>
                <w:sz w:val="18"/>
                <w:szCs w:val="18"/>
              </w:rPr>
              <w:t>Research and development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381FB4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90E40C" w14:textId="77777777" w:rsidR="00000000" w:rsidRDefault="00E614A4">
            <w:pPr>
              <w:jc w:val="right"/>
              <w:rPr>
                <w:rFonts w:eastAsia="Times New Roman"/>
              </w:rPr>
            </w:pPr>
            <w:r>
              <w:rPr>
                <w:rFonts w:eastAsia="Times New Roman"/>
                <w:color w:val="000000"/>
                <w:sz w:val="18"/>
                <w:szCs w:val="18"/>
              </w:rPr>
              <w:t>10,136 </w:t>
            </w:r>
          </w:p>
        </w:tc>
        <w:tc>
          <w:tcPr>
            <w:tcW w:w="0" w:type="auto"/>
            <w:shd w:val="clear" w:color="auto" w:fill="CCEEFF"/>
            <w:tcMar>
              <w:top w:w="30" w:type="dxa"/>
              <w:left w:w="0" w:type="dxa"/>
              <w:bottom w:w="30" w:type="dxa"/>
              <w:right w:w="20" w:type="dxa"/>
            </w:tcMar>
            <w:vAlign w:val="bottom"/>
            <w:hideMark/>
          </w:tcPr>
          <w:p w14:paraId="0D898EB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564D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6A5BD5" w14:textId="77777777" w:rsidR="00000000" w:rsidRDefault="00E614A4">
            <w:pPr>
              <w:jc w:val="right"/>
              <w:rPr>
                <w:rFonts w:eastAsia="Times New Roman"/>
              </w:rPr>
            </w:pPr>
            <w:r>
              <w:rPr>
                <w:rFonts w:eastAsia="Times New Roman"/>
                <w:color w:val="000000"/>
                <w:sz w:val="18"/>
                <w:szCs w:val="18"/>
              </w:rPr>
              <w:t>9,765 </w:t>
            </w:r>
          </w:p>
        </w:tc>
        <w:tc>
          <w:tcPr>
            <w:tcW w:w="0" w:type="auto"/>
            <w:shd w:val="clear" w:color="auto" w:fill="CCEEFF"/>
            <w:tcMar>
              <w:top w:w="30" w:type="dxa"/>
              <w:left w:w="0" w:type="dxa"/>
              <w:bottom w:w="30" w:type="dxa"/>
              <w:right w:w="20" w:type="dxa"/>
            </w:tcMar>
            <w:vAlign w:val="bottom"/>
            <w:hideMark/>
          </w:tcPr>
          <w:p w14:paraId="1351B80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E6AA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1DFDF4" w14:textId="77777777" w:rsidR="00000000" w:rsidRDefault="00E614A4">
            <w:pPr>
              <w:jc w:val="right"/>
              <w:rPr>
                <w:rFonts w:eastAsia="Times New Roman"/>
              </w:rPr>
            </w:pPr>
            <w:r>
              <w:rPr>
                <w:rFonts w:eastAsia="Times New Roman"/>
                <w:color w:val="000000"/>
                <w:sz w:val="18"/>
                <w:szCs w:val="18"/>
              </w:rPr>
              <w:t>9,501 </w:t>
            </w:r>
          </w:p>
        </w:tc>
        <w:tc>
          <w:tcPr>
            <w:tcW w:w="0" w:type="auto"/>
            <w:shd w:val="clear" w:color="auto" w:fill="CCEEFF"/>
            <w:tcMar>
              <w:top w:w="30" w:type="dxa"/>
              <w:left w:w="0" w:type="dxa"/>
              <w:bottom w:w="30" w:type="dxa"/>
              <w:right w:w="20" w:type="dxa"/>
            </w:tcMar>
            <w:vAlign w:val="bottom"/>
            <w:hideMark/>
          </w:tcPr>
          <w:p w14:paraId="56A4547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48C5A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D44806" w14:textId="77777777" w:rsidR="00000000" w:rsidRDefault="00E614A4">
            <w:pPr>
              <w:jc w:val="right"/>
              <w:rPr>
                <w:rFonts w:eastAsia="Times New Roman"/>
              </w:rPr>
            </w:pPr>
            <w:r>
              <w:rPr>
                <w:rFonts w:eastAsia="Times New Roman"/>
                <w:color w:val="000000"/>
                <w:sz w:val="18"/>
                <w:szCs w:val="18"/>
              </w:rPr>
              <w:t>9,304 </w:t>
            </w:r>
          </w:p>
        </w:tc>
        <w:tc>
          <w:tcPr>
            <w:tcW w:w="0" w:type="auto"/>
            <w:shd w:val="clear" w:color="auto" w:fill="CCEEFF"/>
            <w:tcMar>
              <w:top w:w="30" w:type="dxa"/>
              <w:left w:w="0" w:type="dxa"/>
              <w:bottom w:w="30" w:type="dxa"/>
              <w:right w:w="20" w:type="dxa"/>
            </w:tcMar>
            <w:vAlign w:val="bottom"/>
            <w:hideMark/>
          </w:tcPr>
          <w:p w14:paraId="25DC07CA" w14:textId="77777777" w:rsidR="00000000" w:rsidRDefault="00E614A4">
            <w:pPr>
              <w:jc w:val="right"/>
              <w:rPr>
                <w:rFonts w:eastAsia="Times New Roman"/>
              </w:rPr>
            </w:pPr>
          </w:p>
        </w:tc>
      </w:tr>
      <w:tr w:rsidR="00000000" w14:paraId="72502F1E" w14:textId="77777777">
        <w:trPr>
          <w:divId w:val="1688405563"/>
          <w:jc w:val="center"/>
        </w:trPr>
        <w:tc>
          <w:tcPr>
            <w:tcW w:w="0" w:type="auto"/>
            <w:gridSpan w:val="3"/>
            <w:shd w:val="clear" w:color="auto" w:fill="FFFFFF"/>
            <w:tcMar>
              <w:top w:w="30" w:type="dxa"/>
              <w:left w:w="20" w:type="dxa"/>
              <w:bottom w:w="30" w:type="dxa"/>
              <w:right w:w="20" w:type="dxa"/>
            </w:tcMar>
            <w:hideMark/>
          </w:tcPr>
          <w:p w14:paraId="4326AB50" w14:textId="77777777" w:rsidR="00000000" w:rsidRDefault="00E614A4">
            <w:pPr>
              <w:divId w:val="1219319257"/>
              <w:rPr>
                <w:rFonts w:eastAsia="Times New Roman"/>
              </w:rPr>
            </w:pPr>
            <w:r>
              <w:rPr>
                <w:rFonts w:eastAsia="Times New Roman"/>
                <w:color w:val="000000"/>
                <w:sz w:val="18"/>
                <w:szCs w:val="18"/>
              </w:rPr>
              <w:t>General and administrative</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D86EB9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07C26F" w14:textId="77777777" w:rsidR="00000000" w:rsidRDefault="00E614A4">
            <w:pPr>
              <w:jc w:val="right"/>
              <w:rPr>
                <w:rFonts w:eastAsia="Times New Roman"/>
              </w:rPr>
            </w:pPr>
            <w:r>
              <w:rPr>
                <w:rFonts w:eastAsia="Times New Roman"/>
                <w:color w:val="000000"/>
                <w:sz w:val="18"/>
                <w:szCs w:val="18"/>
              </w:rPr>
              <w:t>15,543 </w:t>
            </w:r>
          </w:p>
        </w:tc>
        <w:tc>
          <w:tcPr>
            <w:tcW w:w="0" w:type="auto"/>
            <w:shd w:val="clear" w:color="auto" w:fill="FFFFFF"/>
            <w:tcMar>
              <w:top w:w="30" w:type="dxa"/>
              <w:left w:w="0" w:type="dxa"/>
              <w:bottom w:w="30" w:type="dxa"/>
              <w:right w:w="20" w:type="dxa"/>
            </w:tcMar>
            <w:vAlign w:val="bottom"/>
            <w:hideMark/>
          </w:tcPr>
          <w:p w14:paraId="50BB155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E4535"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1C83C" w14:textId="77777777" w:rsidR="00000000" w:rsidRDefault="00E614A4">
            <w:pPr>
              <w:jc w:val="right"/>
              <w:rPr>
                <w:rFonts w:eastAsia="Times New Roman"/>
              </w:rPr>
            </w:pPr>
            <w:r>
              <w:rPr>
                <w:rFonts w:eastAsia="Times New Roman"/>
                <w:color w:val="000000"/>
                <w:sz w:val="18"/>
                <w:szCs w:val="18"/>
              </w:rPr>
              <w:t>13,741 </w:t>
            </w:r>
          </w:p>
        </w:tc>
        <w:tc>
          <w:tcPr>
            <w:tcW w:w="0" w:type="auto"/>
            <w:shd w:val="clear" w:color="auto" w:fill="FFFFFF"/>
            <w:tcMar>
              <w:top w:w="30" w:type="dxa"/>
              <w:left w:w="0" w:type="dxa"/>
              <w:bottom w:w="30" w:type="dxa"/>
              <w:right w:w="20" w:type="dxa"/>
            </w:tcMar>
            <w:vAlign w:val="bottom"/>
            <w:hideMark/>
          </w:tcPr>
          <w:p w14:paraId="210B98A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C76C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952236" w14:textId="77777777" w:rsidR="00000000" w:rsidRDefault="00E614A4">
            <w:pPr>
              <w:jc w:val="right"/>
              <w:rPr>
                <w:rFonts w:eastAsia="Times New Roman"/>
              </w:rPr>
            </w:pPr>
            <w:r>
              <w:rPr>
                <w:rFonts w:eastAsia="Times New Roman"/>
                <w:color w:val="000000"/>
                <w:sz w:val="18"/>
                <w:szCs w:val="18"/>
              </w:rPr>
              <w:t>12,136 </w:t>
            </w:r>
          </w:p>
        </w:tc>
        <w:tc>
          <w:tcPr>
            <w:tcW w:w="0" w:type="auto"/>
            <w:shd w:val="clear" w:color="auto" w:fill="FFFFFF"/>
            <w:tcMar>
              <w:top w:w="30" w:type="dxa"/>
              <w:left w:w="0" w:type="dxa"/>
              <w:bottom w:w="30" w:type="dxa"/>
              <w:right w:w="20" w:type="dxa"/>
            </w:tcMar>
            <w:vAlign w:val="bottom"/>
            <w:hideMark/>
          </w:tcPr>
          <w:p w14:paraId="0A4E1F6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7653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92F508" w14:textId="77777777" w:rsidR="00000000" w:rsidRDefault="00E614A4">
            <w:pPr>
              <w:jc w:val="right"/>
              <w:rPr>
                <w:rFonts w:eastAsia="Times New Roman"/>
              </w:rPr>
            </w:pPr>
            <w:r>
              <w:rPr>
                <w:rFonts w:eastAsia="Times New Roman"/>
                <w:color w:val="000000"/>
                <w:sz w:val="18"/>
                <w:szCs w:val="18"/>
              </w:rPr>
              <w:t>14,363 </w:t>
            </w:r>
          </w:p>
        </w:tc>
        <w:tc>
          <w:tcPr>
            <w:tcW w:w="0" w:type="auto"/>
            <w:shd w:val="clear" w:color="auto" w:fill="FFFFFF"/>
            <w:tcMar>
              <w:top w:w="30" w:type="dxa"/>
              <w:left w:w="0" w:type="dxa"/>
              <w:bottom w:w="30" w:type="dxa"/>
              <w:right w:w="20" w:type="dxa"/>
            </w:tcMar>
            <w:vAlign w:val="bottom"/>
            <w:hideMark/>
          </w:tcPr>
          <w:p w14:paraId="4ECEE5BC" w14:textId="77777777" w:rsidR="00000000" w:rsidRDefault="00E614A4">
            <w:pPr>
              <w:jc w:val="right"/>
              <w:rPr>
                <w:rFonts w:eastAsia="Times New Roman"/>
              </w:rPr>
            </w:pPr>
          </w:p>
        </w:tc>
      </w:tr>
      <w:tr w:rsidR="00000000" w14:paraId="189323B8" w14:textId="77777777">
        <w:trPr>
          <w:divId w:val="1688405563"/>
          <w:jc w:val="center"/>
        </w:trPr>
        <w:tc>
          <w:tcPr>
            <w:tcW w:w="0" w:type="auto"/>
            <w:gridSpan w:val="3"/>
            <w:shd w:val="clear" w:color="auto" w:fill="CCEEFF"/>
            <w:tcMar>
              <w:top w:w="30" w:type="dxa"/>
              <w:left w:w="20" w:type="dxa"/>
              <w:bottom w:w="30" w:type="dxa"/>
              <w:right w:w="20" w:type="dxa"/>
            </w:tcMar>
            <w:hideMark/>
          </w:tcPr>
          <w:p w14:paraId="092C793A" w14:textId="77777777" w:rsidR="00000000" w:rsidRDefault="00E614A4">
            <w:pPr>
              <w:rPr>
                <w:rFonts w:eastAsia="Times New Roman"/>
              </w:rPr>
            </w:pPr>
            <w:r>
              <w:rPr>
                <w:rFonts w:eastAsia="Times New Roman"/>
                <w:color w:val="000000"/>
                <w:sz w:val="18"/>
                <w:szCs w:val="18"/>
              </w:rPr>
              <w:t>Amortization of intangible assets</w:t>
            </w:r>
          </w:p>
        </w:tc>
        <w:tc>
          <w:tcPr>
            <w:tcW w:w="0" w:type="auto"/>
            <w:gridSpan w:val="3"/>
            <w:shd w:val="clear" w:color="auto" w:fill="CCEEFF"/>
            <w:tcMar>
              <w:top w:w="0" w:type="dxa"/>
              <w:left w:w="20" w:type="dxa"/>
              <w:bottom w:w="0" w:type="dxa"/>
              <w:right w:w="20" w:type="dxa"/>
            </w:tcMar>
            <w:vAlign w:val="center"/>
            <w:hideMark/>
          </w:tcPr>
          <w:p w14:paraId="0A336C2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C80175" w14:textId="77777777" w:rsidR="00000000" w:rsidRDefault="00E614A4">
            <w:pPr>
              <w:jc w:val="right"/>
              <w:rPr>
                <w:rFonts w:eastAsia="Times New Roman"/>
              </w:rPr>
            </w:pPr>
            <w:r>
              <w:rPr>
                <w:rFonts w:eastAsia="Times New Roman"/>
                <w:color w:val="000000"/>
                <w:sz w:val="18"/>
                <w:szCs w:val="18"/>
              </w:rPr>
              <w:t>6,918 </w:t>
            </w:r>
          </w:p>
        </w:tc>
        <w:tc>
          <w:tcPr>
            <w:tcW w:w="0" w:type="auto"/>
            <w:shd w:val="clear" w:color="auto" w:fill="CCEEFF"/>
            <w:tcMar>
              <w:top w:w="30" w:type="dxa"/>
              <w:left w:w="0" w:type="dxa"/>
              <w:bottom w:w="30" w:type="dxa"/>
              <w:right w:w="20" w:type="dxa"/>
            </w:tcMar>
            <w:vAlign w:val="bottom"/>
            <w:hideMark/>
          </w:tcPr>
          <w:p w14:paraId="20ECCCA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50DB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9B4161" w14:textId="77777777" w:rsidR="00000000" w:rsidRDefault="00E614A4">
            <w:pPr>
              <w:jc w:val="right"/>
              <w:rPr>
                <w:rFonts w:eastAsia="Times New Roman"/>
              </w:rPr>
            </w:pPr>
            <w:r>
              <w:rPr>
                <w:rFonts w:eastAsia="Times New Roman"/>
                <w:color w:val="000000"/>
                <w:sz w:val="18"/>
                <w:szCs w:val="18"/>
              </w:rPr>
              <w:t>6,846 </w:t>
            </w:r>
          </w:p>
        </w:tc>
        <w:tc>
          <w:tcPr>
            <w:tcW w:w="0" w:type="auto"/>
            <w:shd w:val="clear" w:color="auto" w:fill="CCEEFF"/>
            <w:tcMar>
              <w:top w:w="30" w:type="dxa"/>
              <w:left w:w="0" w:type="dxa"/>
              <w:bottom w:w="30" w:type="dxa"/>
              <w:right w:w="20" w:type="dxa"/>
            </w:tcMar>
            <w:vAlign w:val="bottom"/>
            <w:hideMark/>
          </w:tcPr>
          <w:p w14:paraId="7F27E64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AFD6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991656" w14:textId="77777777" w:rsidR="00000000" w:rsidRDefault="00E614A4">
            <w:pPr>
              <w:jc w:val="right"/>
              <w:rPr>
                <w:rFonts w:eastAsia="Times New Roman"/>
              </w:rPr>
            </w:pPr>
            <w:r>
              <w:rPr>
                <w:rFonts w:eastAsia="Times New Roman"/>
                <w:color w:val="000000"/>
                <w:sz w:val="18"/>
                <w:szCs w:val="18"/>
              </w:rPr>
              <w:t>6,750 </w:t>
            </w:r>
          </w:p>
        </w:tc>
        <w:tc>
          <w:tcPr>
            <w:tcW w:w="0" w:type="auto"/>
            <w:shd w:val="clear" w:color="auto" w:fill="CCEEFF"/>
            <w:tcMar>
              <w:top w:w="30" w:type="dxa"/>
              <w:left w:w="0" w:type="dxa"/>
              <w:bottom w:w="30" w:type="dxa"/>
              <w:right w:w="20" w:type="dxa"/>
            </w:tcMar>
            <w:vAlign w:val="bottom"/>
            <w:hideMark/>
          </w:tcPr>
          <w:p w14:paraId="23FAD5F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FD805"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3F2FDA" w14:textId="77777777" w:rsidR="00000000" w:rsidRDefault="00E614A4">
            <w:pPr>
              <w:jc w:val="right"/>
              <w:rPr>
                <w:rFonts w:eastAsia="Times New Roman"/>
              </w:rPr>
            </w:pPr>
            <w:r>
              <w:rPr>
                <w:rFonts w:eastAsia="Times New Roman"/>
                <w:color w:val="000000"/>
                <w:sz w:val="18"/>
                <w:szCs w:val="18"/>
              </w:rPr>
              <w:t>6,705 </w:t>
            </w:r>
          </w:p>
        </w:tc>
        <w:tc>
          <w:tcPr>
            <w:tcW w:w="0" w:type="auto"/>
            <w:shd w:val="clear" w:color="auto" w:fill="CCEEFF"/>
            <w:tcMar>
              <w:top w:w="30" w:type="dxa"/>
              <w:left w:w="0" w:type="dxa"/>
              <w:bottom w:w="30" w:type="dxa"/>
              <w:right w:w="20" w:type="dxa"/>
            </w:tcMar>
            <w:vAlign w:val="bottom"/>
            <w:hideMark/>
          </w:tcPr>
          <w:p w14:paraId="171B9796" w14:textId="77777777" w:rsidR="00000000" w:rsidRDefault="00E614A4">
            <w:pPr>
              <w:jc w:val="right"/>
              <w:rPr>
                <w:rFonts w:eastAsia="Times New Roman"/>
              </w:rPr>
            </w:pPr>
          </w:p>
        </w:tc>
      </w:tr>
      <w:tr w:rsidR="00000000" w14:paraId="0811CB26" w14:textId="77777777">
        <w:trPr>
          <w:divId w:val="1688405563"/>
          <w:jc w:val="center"/>
        </w:trPr>
        <w:tc>
          <w:tcPr>
            <w:tcW w:w="0" w:type="auto"/>
            <w:gridSpan w:val="3"/>
            <w:shd w:val="clear" w:color="auto" w:fill="FFFFFF"/>
            <w:tcMar>
              <w:top w:w="30" w:type="dxa"/>
              <w:left w:w="20" w:type="dxa"/>
              <w:bottom w:w="30" w:type="dxa"/>
              <w:right w:w="20" w:type="dxa"/>
            </w:tcMar>
            <w:hideMark/>
          </w:tcPr>
          <w:p w14:paraId="5FCE1598" w14:textId="77777777" w:rsidR="00000000" w:rsidRDefault="00E614A4">
            <w:pPr>
              <w:rPr>
                <w:rFonts w:eastAsia="Times New Roman"/>
              </w:rPr>
            </w:pPr>
            <w:r>
              <w:rPr>
                <w:rFonts w:eastAsia="Times New Roman"/>
                <w:color w:val="000000"/>
                <w:sz w:val="18"/>
                <w:szCs w:val="18"/>
              </w:rPr>
              <w:t>Impairment of right-of-use and long-lived assets</w:t>
            </w:r>
          </w:p>
        </w:tc>
        <w:tc>
          <w:tcPr>
            <w:tcW w:w="0" w:type="auto"/>
            <w:gridSpan w:val="3"/>
            <w:shd w:val="clear" w:color="auto" w:fill="FFFFFF"/>
            <w:tcMar>
              <w:top w:w="0" w:type="dxa"/>
              <w:left w:w="20" w:type="dxa"/>
              <w:bottom w:w="0" w:type="dxa"/>
              <w:right w:w="20" w:type="dxa"/>
            </w:tcMar>
            <w:vAlign w:val="center"/>
            <w:hideMark/>
          </w:tcPr>
          <w:p w14:paraId="001F5A9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E200D5" w14:textId="77777777" w:rsidR="00000000" w:rsidRDefault="00E614A4">
            <w:pPr>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14:paraId="7246BFE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CBE9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6846D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72E22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BAF3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5CB24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30591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66E2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4D450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5F1769" w14:textId="77777777" w:rsidR="00000000" w:rsidRDefault="00E614A4">
            <w:pPr>
              <w:jc w:val="right"/>
              <w:rPr>
                <w:rFonts w:eastAsia="Times New Roman"/>
              </w:rPr>
            </w:pPr>
          </w:p>
        </w:tc>
      </w:tr>
      <w:tr w:rsidR="00000000" w14:paraId="3078E850" w14:textId="77777777">
        <w:trPr>
          <w:divId w:val="1688405563"/>
          <w:jc w:val="center"/>
        </w:trPr>
        <w:tc>
          <w:tcPr>
            <w:tcW w:w="0" w:type="auto"/>
            <w:gridSpan w:val="3"/>
            <w:vAlign w:val="center"/>
            <w:hideMark/>
          </w:tcPr>
          <w:p w14:paraId="2DAB2688" w14:textId="77777777" w:rsidR="00000000" w:rsidRDefault="00E614A4">
            <w:pPr>
              <w:jc w:val="right"/>
              <w:rPr>
                <w:rFonts w:eastAsia="Times New Roman"/>
                <w:sz w:val="20"/>
                <w:szCs w:val="20"/>
              </w:rPr>
            </w:pPr>
          </w:p>
        </w:tc>
        <w:tc>
          <w:tcPr>
            <w:tcW w:w="0" w:type="auto"/>
            <w:gridSpan w:val="3"/>
            <w:vAlign w:val="center"/>
            <w:hideMark/>
          </w:tcPr>
          <w:p w14:paraId="19F1EBF3" w14:textId="77777777" w:rsidR="00000000" w:rsidRDefault="00E614A4">
            <w:pPr>
              <w:rPr>
                <w:rFonts w:eastAsia="Times New Roman"/>
                <w:sz w:val="20"/>
                <w:szCs w:val="20"/>
              </w:rPr>
            </w:pPr>
          </w:p>
        </w:tc>
        <w:tc>
          <w:tcPr>
            <w:tcW w:w="0" w:type="auto"/>
            <w:gridSpan w:val="3"/>
            <w:vAlign w:val="center"/>
            <w:hideMark/>
          </w:tcPr>
          <w:p w14:paraId="70F59A1F" w14:textId="77777777" w:rsidR="00000000" w:rsidRDefault="00E614A4">
            <w:pPr>
              <w:rPr>
                <w:rFonts w:eastAsia="Times New Roman"/>
                <w:sz w:val="20"/>
                <w:szCs w:val="20"/>
              </w:rPr>
            </w:pPr>
          </w:p>
        </w:tc>
        <w:tc>
          <w:tcPr>
            <w:tcW w:w="0" w:type="auto"/>
            <w:gridSpan w:val="3"/>
            <w:vAlign w:val="center"/>
            <w:hideMark/>
          </w:tcPr>
          <w:p w14:paraId="19269718" w14:textId="77777777" w:rsidR="00000000" w:rsidRDefault="00E614A4">
            <w:pPr>
              <w:rPr>
                <w:rFonts w:eastAsia="Times New Roman"/>
                <w:sz w:val="20"/>
                <w:szCs w:val="20"/>
              </w:rPr>
            </w:pPr>
          </w:p>
        </w:tc>
        <w:tc>
          <w:tcPr>
            <w:tcW w:w="0" w:type="auto"/>
            <w:gridSpan w:val="3"/>
            <w:vAlign w:val="center"/>
            <w:hideMark/>
          </w:tcPr>
          <w:p w14:paraId="787F22B2" w14:textId="77777777" w:rsidR="00000000" w:rsidRDefault="00E614A4">
            <w:pPr>
              <w:rPr>
                <w:rFonts w:eastAsia="Times New Roman"/>
                <w:sz w:val="20"/>
                <w:szCs w:val="20"/>
              </w:rPr>
            </w:pPr>
          </w:p>
        </w:tc>
        <w:tc>
          <w:tcPr>
            <w:tcW w:w="0" w:type="auto"/>
            <w:gridSpan w:val="3"/>
            <w:vAlign w:val="center"/>
            <w:hideMark/>
          </w:tcPr>
          <w:p w14:paraId="40630299" w14:textId="77777777" w:rsidR="00000000" w:rsidRDefault="00E614A4">
            <w:pPr>
              <w:rPr>
                <w:rFonts w:eastAsia="Times New Roman"/>
                <w:sz w:val="20"/>
                <w:szCs w:val="20"/>
              </w:rPr>
            </w:pPr>
          </w:p>
        </w:tc>
        <w:tc>
          <w:tcPr>
            <w:tcW w:w="0" w:type="auto"/>
            <w:gridSpan w:val="3"/>
            <w:vAlign w:val="center"/>
            <w:hideMark/>
          </w:tcPr>
          <w:p w14:paraId="31676BD8" w14:textId="77777777" w:rsidR="00000000" w:rsidRDefault="00E614A4">
            <w:pPr>
              <w:rPr>
                <w:rFonts w:eastAsia="Times New Roman"/>
                <w:sz w:val="20"/>
                <w:szCs w:val="20"/>
              </w:rPr>
            </w:pPr>
          </w:p>
        </w:tc>
        <w:tc>
          <w:tcPr>
            <w:tcW w:w="0" w:type="auto"/>
            <w:gridSpan w:val="3"/>
            <w:vAlign w:val="center"/>
            <w:hideMark/>
          </w:tcPr>
          <w:p w14:paraId="67A10326" w14:textId="77777777" w:rsidR="00000000" w:rsidRDefault="00E614A4">
            <w:pPr>
              <w:rPr>
                <w:rFonts w:eastAsia="Times New Roman"/>
                <w:sz w:val="20"/>
                <w:szCs w:val="20"/>
              </w:rPr>
            </w:pPr>
          </w:p>
        </w:tc>
        <w:tc>
          <w:tcPr>
            <w:tcW w:w="0" w:type="auto"/>
            <w:gridSpan w:val="3"/>
            <w:vAlign w:val="center"/>
            <w:hideMark/>
          </w:tcPr>
          <w:p w14:paraId="2702C629" w14:textId="77777777" w:rsidR="00000000" w:rsidRDefault="00E614A4">
            <w:pPr>
              <w:rPr>
                <w:rFonts w:eastAsia="Times New Roman"/>
                <w:sz w:val="20"/>
                <w:szCs w:val="20"/>
              </w:rPr>
            </w:pPr>
          </w:p>
        </w:tc>
      </w:tr>
      <w:tr w:rsidR="00000000" w14:paraId="7855F4FC" w14:textId="77777777">
        <w:trPr>
          <w:divId w:val="1688405563"/>
          <w:jc w:val="center"/>
        </w:trPr>
        <w:tc>
          <w:tcPr>
            <w:tcW w:w="0" w:type="auto"/>
            <w:gridSpan w:val="3"/>
            <w:vAlign w:val="center"/>
            <w:hideMark/>
          </w:tcPr>
          <w:p w14:paraId="2975219A" w14:textId="77777777" w:rsidR="00000000" w:rsidRDefault="00E614A4">
            <w:pPr>
              <w:rPr>
                <w:rFonts w:eastAsia="Times New Roman"/>
                <w:sz w:val="20"/>
                <w:szCs w:val="20"/>
              </w:rPr>
            </w:pPr>
          </w:p>
        </w:tc>
        <w:tc>
          <w:tcPr>
            <w:tcW w:w="0" w:type="auto"/>
            <w:gridSpan w:val="3"/>
            <w:vAlign w:val="center"/>
            <w:hideMark/>
          </w:tcPr>
          <w:p w14:paraId="0D96D0F0" w14:textId="77777777" w:rsidR="00000000" w:rsidRDefault="00E614A4">
            <w:pPr>
              <w:rPr>
                <w:rFonts w:eastAsia="Times New Roman"/>
                <w:sz w:val="20"/>
                <w:szCs w:val="20"/>
              </w:rPr>
            </w:pPr>
          </w:p>
        </w:tc>
        <w:tc>
          <w:tcPr>
            <w:tcW w:w="0" w:type="auto"/>
            <w:gridSpan w:val="3"/>
            <w:vAlign w:val="center"/>
            <w:hideMark/>
          </w:tcPr>
          <w:p w14:paraId="6DDA3F4E" w14:textId="77777777" w:rsidR="00000000" w:rsidRDefault="00E614A4">
            <w:pPr>
              <w:rPr>
                <w:rFonts w:eastAsia="Times New Roman"/>
                <w:sz w:val="20"/>
                <w:szCs w:val="20"/>
              </w:rPr>
            </w:pPr>
          </w:p>
        </w:tc>
        <w:tc>
          <w:tcPr>
            <w:tcW w:w="0" w:type="auto"/>
            <w:gridSpan w:val="3"/>
            <w:vAlign w:val="center"/>
            <w:hideMark/>
          </w:tcPr>
          <w:p w14:paraId="68BB9569" w14:textId="77777777" w:rsidR="00000000" w:rsidRDefault="00E614A4">
            <w:pPr>
              <w:rPr>
                <w:rFonts w:eastAsia="Times New Roman"/>
                <w:sz w:val="20"/>
                <w:szCs w:val="20"/>
              </w:rPr>
            </w:pPr>
          </w:p>
        </w:tc>
        <w:tc>
          <w:tcPr>
            <w:tcW w:w="0" w:type="auto"/>
            <w:gridSpan w:val="3"/>
            <w:vAlign w:val="center"/>
            <w:hideMark/>
          </w:tcPr>
          <w:p w14:paraId="7F5FC391" w14:textId="77777777" w:rsidR="00000000" w:rsidRDefault="00E614A4">
            <w:pPr>
              <w:rPr>
                <w:rFonts w:eastAsia="Times New Roman"/>
                <w:sz w:val="20"/>
                <w:szCs w:val="20"/>
              </w:rPr>
            </w:pPr>
          </w:p>
        </w:tc>
        <w:tc>
          <w:tcPr>
            <w:tcW w:w="0" w:type="auto"/>
            <w:gridSpan w:val="3"/>
            <w:vAlign w:val="center"/>
            <w:hideMark/>
          </w:tcPr>
          <w:p w14:paraId="17DE9D7F" w14:textId="77777777" w:rsidR="00000000" w:rsidRDefault="00E614A4">
            <w:pPr>
              <w:rPr>
                <w:rFonts w:eastAsia="Times New Roman"/>
                <w:sz w:val="20"/>
                <w:szCs w:val="20"/>
              </w:rPr>
            </w:pPr>
          </w:p>
        </w:tc>
        <w:tc>
          <w:tcPr>
            <w:tcW w:w="0" w:type="auto"/>
            <w:gridSpan w:val="3"/>
            <w:vAlign w:val="center"/>
            <w:hideMark/>
          </w:tcPr>
          <w:p w14:paraId="524CC284" w14:textId="77777777" w:rsidR="00000000" w:rsidRDefault="00E614A4">
            <w:pPr>
              <w:rPr>
                <w:rFonts w:eastAsia="Times New Roman"/>
                <w:sz w:val="20"/>
                <w:szCs w:val="20"/>
              </w:rPr>
            </w:pPr>
          </w:p>
        </w:tc>
        <w:tc>
          <w:tcPr>
            <w:tcW w:w="0" w:type="auto"/>
            <w:gridSpan w:val="3"/>
            <w:vAlign w:val="center"/>
            <w:hideMark/>
          </w:tcPr>
          <w:p w14:paraId="65CF1053" w14:textId="77777777" w:rsidR="00000000" w:rsidRDefault="00E614A4">
            <w:pPr>
              <w:rPr>
                <w:rFonts w:eastAsia="Times New Roman"/>
                <w:sz w:val="20"/>
                <w:szCs w:val="20"/>
              </w:rPr>
            </w:pPr>
          </w:p>
        </w:tc>
        <w:tc>
          <w:tcPr>
            <w:tcW w:w="0" w:type="auto"/>
            <w:gridSpan w:val="3"/>
            <w:vAlign w:val="center"/>
            <w:hideMark/>
          </w:tcPr>
          <w:p w14:paraId="53B24034" w14:textId="77777777" w:rsidR="00000000" w:rsidRDefault="00E614A4">
            <w:pPr>
              <w:rPr>
                <w:rFonts w:eastAsia="Times New Roman"/>
                <w:sz w:val="20"/>
                <w:szCs w:val="20"/>
              </w:rPr>
            </w:pPr>
          </w:p>
        </w:tc>
      </w:tr>
      <w:tr w:rsidR="00000000" w14:paraId="0EE9D48A" w14:textId="77777777">
        <w:trPr>
          <w:divId w:val="1688405563"/>
          <w:jc w:val="center"/>
        </w:trPr>
        <w:tc>
          <w:tcPr>
            <w:tcW w:w="0" w:type="auto"/>
            <w:gridSpan w:val="3"/>
            <w:vAlign w:val="center"/>
            <w:hideMark/>
          </w:tcPr>
          <w:p w14:paraId="14A46F8B" w14:textId="77777777" w:rsidR="00000000" w:rsidRDefault="00E614A4">
            <w:pPr>
              <w:rPr>
                <w:rFonts w:eastAsia="Times New Roman"/>
                <w:sz w:val="20"/>
                <w:szCs w:val="20"/>
              </w:rPr>
            </w:pPr>
          </w:p>
        </w:tc>
        <w:tc>
          <w:tcPr>
            <w:tcW w:w="0" w:type="auto"/>
            <w:gridSpan w:val="3"/>
            <w:vAlign w:val="center"/>
            <w:hideMark/>
          </w:tcPr>
          <w:p w14:paraId="0357F50D" w14:textId="77777777" w:rsidR="00000000" w:rsidRDefault="00E614A4">
            <w:pPr>
              <w:rPr>
                <w:rFonts w:eastAsia="Times New Roman"/>
                <w:sz w:val="20"/>
                <w:szCs w:val="20"/>
              </w:rPr>
            </w:pPr>
          </w:p>
        </w:tc>
        <w:tc>
          <w:tcPr>
            <w:tcW w:w="0" w:type="auto"/>
            <w:gridSpan w:val="3"/>
            <w:vAlign w:val="center"/>
            <w:hideMark/>
          </w:tcPr>
          <w:p w14:paraId="6060A71F" w14:textId="77777777" w:rsidR="00000000" w:rsidRDefault="00E614A4">
            <w:pPr>
              <w:rPr>
                <w:rFonts w:eastAsia="Times New Roman"/>
                <w:sz w:val="20"/>
                <w:szCs w:val="20"/>
              </w:rPr>
            </w:pPr>
          </w:p>
        </w:tc>
        <w:tc>
          <w:tcPr>
            <w:tcW w:w="0" w:type="auto"/>
            <w:gridSpan w:val="3"/>
            <w:vAlign w:val="center"/>
            <w:hideMark/>
          </w:tcPr>
          <w:p w14:paraId="76F84153" w14:textId="77777777" w:rsidR="00000000" w:rsidRDefault="00E614A4">
            <w:pPr>
              <w:rPr>
                <w:rFonts w:eastAsia="Times New Roman"/>
                <w:sz w:val="20"/>
                <w:szCs w:val="20"/>
              </w:rPr>
            </w:pPr>
          </w:p>
        </w:tc>
        <w:tc>
          <w:tcPr>
            <w:tcW w:w="0" w:type="auto"/>
            <w:gridSpan w:val="3"/>
            <w:vAlign w:val="center"/>
            <w:hideMark/>
          </w:tcPr>
          <w:p w14:paraId="2CEF1107" w14:textId="77777777" w:rsidR="00000000" w:rsidRDefault="00E614A4">
            <w:pPr>
              <w:rPr>
                <w:rFonts w:eastAsia="Times New Roman"/>
                <w:sz w:val="20"/>
                <w:szCs w:val="20"/>
              </w:rPr>
            </w:pPr>
          </w:p>
        </w:tc>
        <w:tc>
          <w:tcPr>
            <w:tcW w:w="0" w:type="auto"/>
            <w:gridSpan w:val="3"/>
            <w:vAlign w:val="center"/>
            <w:hideMark/>
          </w:tcPr>
          <w:p w14:paraId="6A6D0764" w14:textId="77777777" w:rsidR="00000000" w:rsidRDefault="00E614A4">
            <w:pPr>
              <w:rPr>
                <w:rFonts w:eastAsia="Times New Roman"/>
                <w:sz w:val="20"/>
                <w:szCs w:val="20"/>
              </w:rPr>
            </w:pPr>
          </w:p>
        </w:tc>
        <w:tc>
          <w:tcPr>
            <w:tcW w:w="0" w:type="auto"/>
            <w:gridSpan w:val="3"/>
            <w:vAlign w:val="center"/>
            <w:hideMark/>
          </w:tcPr>
          <w:p w14:paraId="73C17CF6" w14:textId="77777777" w:rsidR="00000000" w:rsidRDefault="00E614A4">
            <w:pPr>
              <w:rPr>
                <w:rFonts w:eastAsia="Times New Roman"/>
                <w:sz w:val="20"/>
                <w:szCs w:val="20"/>
              </w:rPr>
            </w:pPr>
          </w:p>
        </w:tc>
        <w:tc>
          <w:tcPr>
            <w:tcW w:w="0" w:type="auto"/>
            <w:gridSpan w:val="3"/>
            <w:vAlign w:val="center"/>
            <w:hideMark/>
          </w:tcPr>
          <w:p w14:paraId="60E3F050" w14:textId="77777777" w:rsidR="00000000" w:rsidRDefault="00E614A4">
            <w:pPr>
              <w:rPr>
                <w:rFonts w:eastAsia="Times New Roman"/>
                <w:sz w:val="20"/>
                <w:szCs w:val="20"/>
              </w:rPr>
            </w:pPr>
          </w:p>
        </w:tc>
        <w:tc>
          <w:tcPr>
            <w:tcW w:w="0" w:type="auto"/>
            <w:gridSpan w:val="3"/>
            <w:vAlign w:val="center"/>
            <w:hideMark/>
          </w:tcPr>
          <w:p w14:paraId="23870C26" w14:textId="77777777" w:rsidR="00000000" w:rsidRDefault="00E614A4">
            <w:pPr>
              <w:rPr>
                <w:rFonts w:eastAsia="Times New Roman"/>
                <w:sz w:val="20"/>
                <w:szCs w:val="20"/>
              </w:rPr>
            </w:pPr>
          </w:p>
        </w:tc>
      </w:tr>
      <w:tr w:rsidR="00000000" w14:paraId="6D5C0419" w14:textId="77777777">
        <w:trPr>
          <w:divId w:val="1688405563"/>
          <w:jc w:val="center"/>
        </w:trPr>
        <w:tc>
          <w:tcPr>
            <w:tcW w:w="0" w:type="auto"/>
            <w:gridSpan w:val="3"/>
            <w:vAlign w:val="center"/>
            <w:hideMark/>
          </w:tcPr>
          <w:p w14:paraId="3B8B7798" w14:textId="77777777" w:rsidR="00000000" w:rsidRDefault="00E614A4">
            <w:pPr>
              <w:rPr>
                <w:rFonts w:eastAsia="Times New Roman"/>
                <w:sz w:val="20"/>
                <w:szCs w:val="20"/>
              </w:rPr>
            </w:pPr>
          </w:p>
        </w:tc>
        <w:tc>
          <w:tcPr>
            <w:tcW w:w="0" w:type="auto"/>
            <w:gridSpan w:val="3"/>
            <w:vAlign w:val="center"/>
            <w:hideMark/>
          </w:tcPr>
          <w:p w14:paraId="7077C44E" w14:textId="77777777" w:rsidR="00000000" w:rsidRDefault="00E614A4">
            <w:pPr>
              <w:rPr>
                <w:rFonts w:eastAsia="Times New Roman"/>
                <w:sz w:val="20"/>
                <w:szCs w:val="20"/>
              </w:rPr>
            </w:pPr>
          </w:p>
        </w:tc>
        <w:tc>
          <w:tcPr>
            <w:tcW w:w="0" w:type="auto"/>
            <w:gridSpan w:val="3"/>
            <w:vAlign w:val="center"/>
            <w:hideMark/>
          </w:tcPr>
          <w:p w14:paraId="3DB2C61E" w14:textId="77777777" w:rsidR="00000000" w:rsidRDefault="00E614A4">
            <w:pPr>
              <w:rPr>
                <w:rFonts w:eastAsia="Times New Roman"/>
                <w:sz w:val="20"/>
                <w:szCs w:val="20"/>
              </w:rPr>
            </w:pPr>
          </w:p>
        </w:tc>
        <w:tc>
          <w:tcPr>
            <w:tcW w:w="0" w:type="auto"/>
            <w:gridSpan w:val="3"/>
            <w:vAlign w:val="center"/>
            <w:hideMark/>
          </w:tcPr>
          <w:p w14:paraId="0E674864" w14:textId="77777777" w:rsidR="00000000" w:rsidRDefault="00E614A4">
            <w:pPr>
              <w:rPr>
                <w:rFonts w:eastAsia="Times New Roman"/>
                <w:sz w:val="20"/>
                <w:szCs w:val="20"/>
              </w:rPr>
            </w:pPr>
          </w:p>
        </w:tc>
        <w:tc>
          <w:tcPr>
            <w:tcW w:w="0" w:type="auto"/>
            <w:gridSpan w:val="3"/>
            <w:vAlign w:val="center"/>
            <w:hideMark/>
          </w:tcPr>
          <w:p w14:paraId="2B50CF7D" w14:textId="77777777" w:rsidR="00000000" w:rsidRDefault="00E614A4">
            <w:pPr>
              <w:rPr>
                <w:rFonts w:eastAsia="Times New Roman"/>
                <w:sz w:val="20"/>
                <w:szCs w:val="20"/>
              </w:rPr>
            </w:pPr>
          </w:p>
        </w:tc>
        <w:tc>
          <w:tcPr>
            <w:tcW w:w="0" w:type="auto"/>
            <w:gridSpan w:val="3"/>
            <w:vAlign w:val="center"/>
            <w:hideMark/>
          </w:tcPr>
          <w:p w14:paraId="5634B9DD" w14:textId="77777777" w:rsidR="00000000" w:rsidRDefault="00E614A4">
            <w:pPr>
              <w:rPr>
                <w:rFonts w:eastAsia="Times New Roman"/>
                <w:sz w:val="20"/>
                <w:szCs w:val="20"/>
              </w:rPr>
            </w:pPr>
          </w:p>
        </w:tc>
        <w:tc>
          <w:tcPr>
            <w:tcW w:w="0" w:type="auto"/>
            <w:gridSpan w:val="3"/>
            <w:vAlign w:val="center"/>
            <w:hideMark/>
          </w:tcPr>
          <w:p w14:paraId="3FCB29C1" w14:textId="77777777" w:rsidR="00000000" w:rsidRDefault="00E614A4">
            <w:pPr>
              <w:rPr>
                <w:rFonts w:eastAsia="Times New Roman"/>
                <w:sz w:val="20"/>
                <w:szCs w:val="20"/>
              </w:rPr>
            </w:pPr>
          </w:p>
        </w:tc>
        <w:tc>
          <w:tcPr>
            <w:tcW w:w="0" w:type="auto"/>
            <w:gridSpan w:val="3"/>
            <w:vAlign w:val="center"/>
            <w:hideMark/>
          </w:tcPr>
          <w:p w14:paraId="700D9C1D" w14:textId="77777777" w:rsidR="00000000" w:rsidRDefault="00E614A4">
            <w:pPr>
              <w:rPr>
                <w:rFonts w:eastAsia="Times New Roman"/>
                <w:sz w:val="20"/>
                <w:szCs w:val="20"/>
              </w:rPr>
            </w:pPr>
          </w:p>
        </w:tc>
        <w:tc>
          <w:tcPr>
            <w:tcW w:w="0" w:type="auto"/>
            <w:gridSpan w:val="3"/>
            <w:vAlign w:val="center"/>
            <w:hideMark/>
          </w:tcPr>
          <w:p w14:paraId="552AFDEB" w14:textId="77777777" w:rsidR="00000000" w:rsidRDefault="00E614A4">
            <w:pPr>
              <w:rPr>
                <w:rFonts w:eastAsia="Times New Roman"/>
                <w:sz w:val="20"/>
                <w:szCs w:val="20"/>
              </w:rPr>
            </w:pPr>
          </w:p>
        </w:tc>
      </w:tr>
      <w:tr w:rsidR="00000000" w14:paraId="52098335" w14:textId="77777777">
        <w:trPr>
          <w:divId w:val="1688405563"/>
          <w:jc w:val="center"/>
        </w:trPr>
        <w:tc>
          <w:tcPr>
            <w:tcW w:w="0" w:type="auto"/>
            <w:gridSpan w:val="3"/>
            <w:shd w:val="clear" w:color="auto" w:fill="CCEEFF"/>
            <w:tcMar>
              <w:top w:w="30" w:type="dxa"/>
              <w:left w:w="20" w:type="dxa"/>
              <w:bottom w:w="30" w:type="dxa"/>
              <w:right w:w="20" w:type="dxa"/>
            </w:tcMar>
            <w:hideMark/>
          </w:tcPr>
          <w:p w14:paraId="7E162A37" w14:textId="77777777" w:rsidR="00000000" w:rsidRDefault="00E614A4">
            <w:pPr>
              <w:rPr>
                <w:rFonts w:eastAsia="Times New Roman"/>
              </w:rPr>
            </w:pPr>
            <w:r>
              <w:rPr>
                <w:rFonts w:eastAsia="Times New Roman"/>
                <w:color w:val="000000"/>
                <w:sz w:val="18"/>
                <w:szCs w:val="18"/>
              </w:rPr>
              <w:t>Total expenses from operations</w:t>
            </w:r>
          </w:p>
        </w:tc>
        <w:tc>
          <w:tcPr>
            <w:tcW w:w="0" w:type="auto"/>
            <w:gridSpan w:val="3"/>
            <w:shd w:val="clear" w:color="auto" w:fill="CCEEFF"/>
            <w:tcMar>
              <w:top w:w="0" w:type="dxa"/>
              <w:left w:w="20" w:type="dxa"/>
              <w:bottom w:w="0" w:type="dxa"/>
              <w:right w:w="20" w:type="dxa"/>
            </w:tcMar>
            <w:vAlign w:val="center"/>
            <w:hideMark/>
          </w:tcPr>
          <w:p w14:paraId="335E78FE"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54693C" w14:textId="77777777" w:rsidR="00000000" w:rsidRDefault="00E614A4">
            <w:pPr>
              <w:jc w:val="right"/>
              <w:rPr>
                <w:rFonts w:eastAsia="Times New Roman"/>
              </w:rPr>
            </w:pPr>
            <w:r>
              <w:rPr>
                <w:rFonts w:eastAsia="Times New Roman"/>
                <w:color w:val="000000"/>
                <w:sz w:val="18"/>
                <w:szCs w:val="18"/>
              </w:rPr>
              <w:t>56,481 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560F2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FCAF2"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696ADA" w14:textId="77777777" w:rsidR="00000000" w:rsidRDefault="00E614A4">
            <w:pPr>
              <w:jc w:val="right"/>
              <w:rPr>
                <w:rFonts w:eastAsia="Times New Roman"/>
              </w:rPr>
            </w:pPr>
            <w:r>
              <w:rPr>
                <w:rFonts w:eastAsia="Times New Roman"/>
                <w:color w:val="000000"/>
                <w:sz w:val="18"/>
                <w:szCs w:val="18"/>
              </w:rPr>
              <w:t>46,359 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34E4D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CF0EA"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F319CD" w14:textId="77777777" w:rsidR="00000000" w:rsidRDefault="00E614A4">
            <w:pPr>
              <w:jc w:val="right"/>
              <w:rPr>
                <w:rFonts w:eastAsia="Times New Roman"/>
              </w:rPr>
            </w:pPr>
            <w:r>
              <w:rPr>
                <w:rFonts w:eastAsia="Times New Roman"/>
                <w:color w:val="000000"/>
                <w:sz w:val="18"/>
                <w:szCs w:val="18"/>
              </w:rPr>
              <w:t>45,518 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318A5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40BC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94E700" w14:textId="77777777" w:rsidR="00000000" w:rsidRDefault="00E614A4">
            <w:pPr>
              <w:jc w:val="right"/>
              <w:rPr>
                <w:rFonts w:eastAsia="Times New Roman"/>
              </w:rPr>
            </w:pPr>
            <w:r>
              <w:rPr>
                <w:rFonts w:eastAsia="Times New Roman"/>
                <w:color w:val="000000"/>
                <w:sz w:val="18"/>
                <w:szCs w:val="18"/>
              </w:rPr>
              <w:t>48,241 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6EC1B1" w14:textId="77777777" w:rsidR="00000000" w:rsidRDefault="00E614A4">
            <w:pPr>
              <w:jc w:val="right"/>
              <w:rPr>
                <w:rFonts w:eastAsia="Times New Roman"/>
              </w:rPr>
            </w:pPr>
          </w:p>
        </w:tc>
      </w:tr>
      <w:tr w:rsidR="00000000" w14:paraId="3A56AAF8" w14:textId="77777777">
        <w:trPr>
          <w:divId w:val="1688405563"/>
          <w:jc w:val="center"/>
        </w:trPr>
        <w:tc>
          <w:tcPr>
            <w:tcW w:w="0" w:type="auto"/>
            <w:gridSpan w:val="3"/>
            <w:shd w:val="clear" w:color="auto" w:fill="FFFFFF"/>
            <w:tcMar>
              <w:top w:w="30" w:type="dxa"/>
              <w:left w:w="20" w:type="dxa"/>
              <w:bottom w:w="30" w:type="dxa"/>
              <w:right w:w="20" w:type="dxa"/>
            </w:tcMar>
            <w:hideMark/>
          </w:tcPr>
          <w:p w14:paraId="51FB7546" w14:textId="77777777" w:rsidR="00000000" w:rsidRDefault="00E614A4">
            <w:pPr>
              <w:rPr>
                <w:rFonts w:eastAsia="Times New Roman"/>
              </w:rPr>
            </w:pPr>
            <w:r>
              <w:rPr>
                <w:rFonts w:eastAsia="Times New Roman"/>
                <w:color w:val="000000"/>
                <w:sz w:val="18"/>
                <w:szCs w:val="18"/>
              </w:rPr>
              <w:t>Loss from operations</w:t>
            </w:r>
          </w:p>
        </w:tc>
        <w:tc>
          <w:tcPr>
            <w:tcW w:w="0" w:type="auto"/>
            <w:gridSpan w:val="3"/>
            <w:shd w:val="clear" w:color="auto" w:fill="FFFFFF"/>
            <w:tcMar>
              <w:top w:w="0" w:type="dxa"/>
              <w:left w:w="20" w:type="dxa"/>
              <w:bottom w:w="0" w:type="dxa"/>
              <w:right w:w="20" w:type="dxa"/>
            </w:tcMar>
            <w:vAlign w:val="center"/>
            <w:hideMark/>
          </w:tcPr>
          <w:p w14:paraId="36CEE349"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F22DBA" w14:textId="77777777" w:rsidR="00000000" w:rsidRDefault="00E614A4">
            <w:pPr>
              <w:jc w:val="right"/>
              <w:rPr>
                <w:rFonts w:eastAsia="Times New Roman"/>
              </w:rPr>
            </w:pPr>
            <w:r>
              <w:rPr>
                <w:rFonts w:eastAsia="Times New Roman"/>
                <w:color w:val="000000"/>
                <w:sz w:val="18"/>
                <w:szCs w:val="18"/>
              </w:rPr>
              <w:t>(12,751)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D119F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E6AC1"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B24D47" w14:textId="77777777" w:rsidR="00000000" w:rsidRDefault="00E614A4">
            <w:pPr>
              <w:jc w:val="right"/>
              <w:rPr>
                <w:rFonts w:eastAsia="Times New Roman"/>
              </w:rPr>
            </w:pPr>
            <w:r>
              <w:rPr>
                <w:rFonts w:eastAsia="Times New Roman"/>
                <w:color w:val="000000"/>
                <w:sz w:val="18"/>
                <w:szCs w:val="18"/>
              </w:rPr>
              <w:t>(2,742)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4B442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18DB1"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2581C2" w14:textId="77777777" w:rsidR="00000000" w:rsidRDefault="00E614A4">
            <w:pPr>
              <w:jc w:val="right"/>
              <w:rPr>
                <w:rFonts w:eastAsia="Times New Roman"/>
              </w:rPr>
            </w:pPr>
            <w:r>
              <w:rPr>
                <w:rFonts w:eastAsia="Times New Roman"/>
                <w:color w:val="000000"/>
                <w:sz w:val="18"/>
                <w:szCs w:val="18"/>
              </w:rPr>
              <w:t>(4,032)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EFF41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45067"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3D59DB" w14:textId="77777777" w:rsidR="00000000" w:rsidRDefault="00E614A4">
            <w:pPr>
              <w:jc w:val="right"/>
              <w:rPr>
                <w:rFonts w:eastAsia="Times New Roman"/>
              </w:rPr>
            </w:pPr>
            <w:r>
              <w:rPr>
                <w:rFonts w:eastAsia="Times New Roman"/>
                <w:color w:val="000000"/>
                <w:sz w:val="18"/>
                <w:szCs w:val="18"/>
              </w:rPr>
              <w:t>(1,750)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AD099D" w14:textId="77777777" w:rsidR="00000000" w:rsidRDefault="00E614A4">
            <w:pPr>
              <w:jc w:val="right"/>
              <w:rPr>
                <w:rFonts w:eastAsia="Times New Roman"/>
              </w:rPr>
            </w:pPr>
          </w:p>
        </w:tc>
      </w:tr>
      <w:tr w:rsidR="00000000" w14:paraId="0FBFF42C" w14:textId="77777777">
        <w:trPr>
          <w:divId w:val="1688405563"/>
          <w:jc w:val="center"/>
        </w:trPr>
        <w:tc>
          <w:tcPr>
            <w:tcW w:w="0" w:type="auto"/>
            <w:gridSpan w:val="3"/>
            <w:shd w:val="clear" w:color="auto" w:fill="CCEEFF"/>
            <w:tcMar>
              <w:top w:w="30" w:type="dxa"/>
              <w:left w:w="20" w:type="dxa"/>
              <w:bottom w:w="30" w:type="dxa"/>
              <w:right w:w="20" w:type="dxa"/>
            </w:tcMar>
            <w:hideMark/>
          </w:tcPr>
          <w:p w14:paraId="29E9CB41" w14:textId="77777777" w:rsidR="00000000" w:rsidRDefault="00E614A4">
            <w:pPr>
              <w:rPr>
                <w:rFonts w:eastAsia="Times New Roman"/>
              </w:rPr>
            </w:pPr>
            <w:r>
              <w:rPr>
                <w:rFonts w:eastAsia="Times New Roman"/>
                <w:color w:val="000000"/>
                <w:sz w:val="18"/>
                <w:szCs w:val="18"/>
              </w:rPr>
              <w:t>Interest expense, net</w:t>
            </w:r>
          </w:p>
        </w:tc>
        <w:tc>
          <w:tcPr>
            <w:tcW w:w="0" w:type="auto"/>
            <w:gridSpan w:val="3"/>
            <w:shd w:val="clear" w:color="auto" w:fill="CCEEFF"/>
            <w:tcMar>
              <w:top w:w="0" w:type="dxa"/>
              <w:left w:w="20" w:type="dxa"/>
              <w:bottom w:w="0" w:type="dxa"/>
              <w:right w:w="20" w:type="dxa"/>
            </w:tcMar>
            <w:vAlign w:val="center"/>
            <w:hideMark/>
          </w:tcPr>
          <w:p w14:paraId="09274A51"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5AC6C3" w14:textId="77777777" w:rsidR="00000000" w:rsidRDefault="00E614A4">
            <w:pPr>
              <w:jc w:val="right"/>
              <w:rPr>
                <w:rFonts w:eastAsia="Times New Roman"/>
              </w:rPr>
            </w:pPr>
            <w:r>
              <w:rPr>
                <w:rFonts w:eastAsia="Times New Roman"/>
                <w:color w:val="000000"/>
                <w:sz w:val="18"/>
                <w:szCs w:val="18"/>
              </w:rPr>
              <w:t>(8,846)</w:t>
            </w:r>
          </w:p>
        </w:tc>
        <w:tc>
          <w:tcPr>
            <w:tcW w:w="0" w:type="auto"/>
            <w:shd w:val="clear" w:color="auto" w:fill="CCEEFF"/>
            <w:tcMar>
              <w:top w:w="30" w:type="dxa"/>
              <w:left w:w="0" w:type="dxa"/>
              <w:bottom w:w="30" w:type="dxa"/>
              <w:right w:w="20" w:type="dxa"/>
            </w:tcMar>
            <w:vAlign w:val="bottom"/>
            <w:hideMark/>
          </w:tcPr>
          <w:p w14:paraId="0C880FA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DCB0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F245A0" w14:textId="77777777" w:rsidR="00000000" w:rsidRDefault="00E614A4">
            <w:pPr>
              <w:jc w:val="right"/>
              <w:rPr>
                <w:rFonts w:eastAsia="Times New Roman"/>
              </w:rPr>
            </w:pPr>
            <w:r>
              <w:rPr>
                <w:rFonts w:eastAsia="Times New Roman"/>
                <w:color w:val="000000"/>
                <w:sz w:val="18"/>
                <w:szCs w:val="18"/>
              </w:rPr>
              <w:t>(8,856)</w:t>
            </w:r>
          </w:p>
        </w:tc>
        <w:tc>
          <w:tcPr>
            <w:tcW w:w="0" w:type="auto"/>
            <w:shd w:val="clear" w:color="auto" w:fill="CCEEFF"/>
            <w:tcMar>
              <w:top w:w="30" w:type="dxa"/>
              <w:left w:w="0" w:type="dxa"/>
              <w:bottom w:w="30" w:type="dxa"/>
              <w:right w:w="20" w:type="dxa"/>
            </w:tcMar>
            <w:vAlign w:val="bottom"/>
            <w:hideMark/>
          </w:tcPr>
          <w:p w14:paraId="2065D78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B208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CA362" w14:textId="77777777" w:rsidR="00000000" w:rsidRDefault="00E614A4">
            <w:pPr>
              <w:jc w:val="right"/>
              <w:rPr>
                <w:rFonts w:eastAsia="Times New Roman"/>
              </w:rPr>
            </w:pPr>
            <w:r>
              <w:rPr>
                <w:rFonts w:eastAsia="Times New Roman"/>
                <w:color w:val="000000"/>
                <w:sz w:val="18"/>
                <w:szCs w:val="18"/>
              </w:rPr>
              <w:t>(9,027)</w:t>
            </w:r>
          </w:p>
        </w:tc>
        <w:tc>
          <w:tcPr>
            <w:tcW w:w="0" w:type="auto"/>
            <w:shd w:val="clear" w:color="auto" w:fill="CCEEFF"/>
            <w:tcMar>
              <w:top w:w="30" w:type="dxa"/>
              <w:left w:w="0" w:type="dxa"/>
              <w:bottom w:w="30" w:type="dxa"/>
              <w:right w:w="20" w:type="dxa"/>
            </w:tcMar>
            <w:vAlign w:val="bottom"/>
            <w:hideMark/>
          </w:tcPr>
          <w:p w14:paraId="1044984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2C60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C45D33" w14:textId="77777777" w:rsidR="00000000" w:rsidRDefault="00E614A4">
            <w:pPr>
              <w:jc w:val="right"/>
              <w:rPr>
                <w:rFonts w:eastAsia="Times New Roman"/>
              </w:rPr>
            </w:pPr>
            <w:r>
              <w:rPr>
                <w:rFonts w:eastAsia="Times New Roman"/>
                <w:color w:val="000000"/>
                <w:sz w:val="18"/>
                <w:szCs w:val="18"/>
              </w:rPr>
              <w:t>(9,076)</w:t>
            </w:r>
          </w:p>
        </w:tc>
        <w:tc>
          <w:tcPr>
            <w:tcW w:w="0" w:type="auto"/>
            <w:shd w:val="clear" w:color="auto" w:fill="CCEEFF"/>
            <w:tcMar>
              <w:top w:w="30" w:type="dxa"/>
              <w:left w:w="0" w:type="dxa"/>
              <w:bottom w:w="30" w:type="dxa"/>
              <w:right w:w="20" w:type="dxa"/>
            </w:tcMar>
            <w:vAlign w:val="bottom"/>
            <w:hideMark/>
          </w:tcPr>
          <w:p w14:paraId="5F38591F" w14:textId="77777777" w:rsidR="00000000" w:rsidRDefault="00E614A4">
            <w:pPr>
              <w:jc w:val="right"/>
              <w:rPr>
                <w:rFonts w:eastAsia="Times New Roman"/>
              </w:rPr>
            </w:pPr>
          </w:p>
        </w:tc>
      </w:tr>
      <w:tr w:rsidR="00000000" w14:paraId="7752550D" w14:textId="77777777">
        <w:trPr>
          <w:divId w:val="1688405563"/>
          <w:jc w:val="center"/>
        </w:trPr>
        <w:tc>
          <w:tcPr>
            <w:tcW w:w="0" w:type="auto"/>
            <w:gridSpan w:val="3"/>
            <w:shd w:val="clear" w:color="auto" w:fill="FFFFFF"/>
            <w:tcMar>
              <w:top w:w="30" w:type="dxa"/>
              <w:left w:w="20" w:type="dxa"/>
              <w:bottom w:w="30" w:type="dxa"/>
              <w:right w:w="20" w:type="dxa"/>
            </w:tcMar>
            <w:hideMark/>
          </w:tcPr>
          <w:p w14:paraId="520703C4" w14:textId="77777777" w:rsidR="00000000" w:rsidRDefault="00E614A4">
            <w:pPr>
              <w:rPr>
                <w:rFonts w:eastAsia="Times New Roman"/>
              </w:rPr>
            </w:pPr>
            <w:r>
              <w:rPr>
                <w:rFonts w:eastAsia="Times New Roman"/>
                <w:color w:val="000000"/>
                <w:sz w:val="18"/>
                <w:szCs w:val="18"/>
              </w:rPr>
              <w:t>Other income, net</w:t>
            </w:r>
          </w:p>
        </w:tc>
        <w:tc>
          <w:tcPr>
            <w:tcW w:w="0" w:type="auto"/>
            <w:gridSpan w:val="3"/>
            <w:shd w:val="clear" w:color="auto" w:fill="FFFFFF"/>
            <w:tcMar>
              <w:top w:w="0" w:type="dxa"/>
              <w:left w:w="20" w:type="dxa"/>
              <w:bottom w:w="0" w:type="dxa"/>
              <w:right w:w="20" w:type="dxa"/>
            </w:tcMar>
            <w:vAlign w:val="center"/>
            <w:hideMark/>
          </w:tcPr>
          <w:p w14:paraId="7228507D"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A4C6E5" w14:textId="77777777" w:rsidR="00000000" w:rsidRDefault="00E614A4">
            <w:pPr>
              <w:jc w:val="right"/>
              <w:rPr>
                <w:rFonts w:eastAsia="Times New Roman"/>
              </w:rPr>
            </w:pPr>
            <w:r>
              <w:rPr>
                <w:rFonts w:eastAsia="Times New Roman"/>
                <w:color w:val="000000"/>
                <w:sz w:val="18"/>
                <w:szCs w:val="18"/>
              </w:rPr>
              <w:t>7,194 </w:t>
            </w:r>
          </w:p>
        </w:tc>
        <w:tc>
          <w:tcPr>
            <w:tcW w:w="0" w:type="auto"/>
            <w:shd w:val="clear" w:color="auto" w:fill="FFFFFF"/>
            <w:tcMar>
              <w:top w:w="30" w:type="dxa"/>
              <w:left w:w="0" w:type="dxa"/>
              <w:bottom w:w="30" w:type="dxa"/>
              <w:right w:w="20" w:type="dxa"/>
            </w:tcMar>
            <w:vAlign w:val="bottom"/>
            <w:hideMark/>
          </w:tcPr>
          <w:p w14:paraId="3F6EFFD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A450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1720E4" w14:textId="77777777" w:rsidR="00000000" w:rsidRDefault="00E614A4">
            <w:pPr>
              <w:jc w:val="right"/>
              <w:rPr>
                <w:rFonts w:eastAsia="Times New Roman"/>
              </w:rPr>
            </w:pPr>
            <w:r>
              <w:rPr>
                <w:rFonts w:eastAsia="Times New Roman"/>
                <w:color w:val="000000"/>
                <w:sz w:val="18"/>
                <w:szCs w:val="18"/>
              </w:rPr>
              <w:t>1,477 </w:t>
            </w:r>
          </w:p>
        </w:tc>
        <w:tc>
          <w:tcPr>
            <w:tcW w:w="0" w:type="auto"/>
            <w:shd w:val="clear" w:color="auto" w:fill="FFFFFF"/>
            <w:tcMar>
              <w:top w:w="30" w:type="dxa"/>
              <w:left w:w="0" w:type="dxa"/>
              <w:bottom w:w="30" w:type="dxa"/>
              <w:right w:w="20" w:type="dxa"/>
            </w:tcMar>
            <w:vAlign w:val="bottom"/>
            <w:hideMark/>
          </w:tcPr>
          <w:p w14:paraId="0C55B4A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F4A3F"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D030D9" w14:textId="77777777" w:rsidR="00000000" w:rsidRDefault="00E614A4">
            <w:pPr>
              <w:jc w:val="right"/>
              <w:rPr>
                <w:rFonts w:eastAsia="Times New Roman"/>
              </w:rPr>
            </w:pPr>
            <w:r>
              <w:rPr>
                <w:rFonts w:eastAsia="Times New Roman"/>
                <w:color w:val="000000"/>
                <w:sz w:val="18"/>
                <w:szCs w:val="18"/>
              </w:rPr>
              <w:t>4,191 </w:t>
            </w:r>
          </w:p>
        </w:tc>
        <w:tc>
          <w:tcPr>
            <w:tcW w:w="0" w:type="auto"/>
            <w:shd w:val="clear" w:color="auto" w:fill="FFFFFF"/>
            <w:tcMar>
              <w:top w:w="30" w:type="dxa"/>
              <w:left w:w="0" w:type="dxa"/>
              <w:bottom w:w="30" w:type="dxa"/>
              <w:right w:w="20" w:type="dxa"/>
            </w:tcMar>
            <w:vAlign w:val="bottom"/>
            <w:hideMark/>
          </w:tcPr>
          <w:p w14:paraId="77EEC62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3BCE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2A663" w14:textId="77777777" w:rsidR="00000000" w:rsidRDefault="00E614A4">
            <w:pPr>
              <w:jc w:val="right"/>
              <w:rPr>
                <w:rFonts w:eastAsia="Times New Roman"/>
              </w:rPr>
            </w:pPr>
            <w:r>
              <w:rPr>
                <w:rFonts w:eastAsia="Times New Roman"/>
                <w:color w:val="000000"/>
                <w:sz w:val="18"/>
                <w:szCs w:val="18"/>
              </w:rPr>
              <w:t>1,692 </w:t>
            </w:r>
          </w:p>
        </w:tc>
        <w:tc>
          <w:tcPr>
            <w:tcW w:w="0" w:type="auto"/>
            <w:shd w:val="clear" w:color="auto" w:fill="FFFFFF"/>
            <w:tcMar>
              <w:top w:w="30" w:type="dxa"/>
              <w:left w:w="0" w:type="dxa"/>
              <w:bottom w:w="30" w:type="dxa"/>
              <w:right w:w="20" w:type="dxa"/>
            </w:tcMar>
            <w:vAlign w:val="bottom"/>
            <w:hideMark/>
          </w:tcPr>
          <w:p w14:paraId="2F15EDD8" w14:textId="77777777" w:rsidR="00000000" w:rsidRDefault="00E614A4">
            <w:pPr>
              <w:jc w:val="right"/>
              <w:rPr>
                <w:rFonts w:eastAsia="Times New Roman"/>
              </w:rPr>
            </w:pPr>
          </w:p>
        </w:tc>
      </w:tr>
      <w:tr w:rsidR="00000000" w14:paraId="486FD33B" w14:textId="77777777">
        <w:trPr>
          <w:divId w:val="1688405563"/>
          <w:jc w:val="center"/>
        </w:trPr>
        <w:tc>
          <w:tcPr>
            <w:tcW w:w="0" w:type="auto"/>
            <w:gridSpan w:val="3"/>
            <w:shd w:val="clear" w:color="auto" w:fill="CCEEFF"/>
            <w:tcMar>
              <w:top w:w="30" w:type="dxa"/>
              <w:left w:w="20" w:type="dxa"/>
              <w:bottom w:w="30" w:type="dxa"/>
              <w:right w:w="20" w:type="dxa"/>
            </w:tcMar>
            <w:hideMark/>
          </w:tcPr>
          <w:p w14:paraId="2C95CEE8" w14:textId="77777777" w:rsidR="00000000" w:rsidRDefault="00E614A4">
            <w:pPr>
              <w:rPr>
                <w:rFonts w:eastAsia="Times New Roman"/>
              </w:rPr>
            </w:pPr>
            <w:r>
              <w:rPr>
                <w:rFonts w:eastAsia="Times New Roman"/>
                <w:color w:val="000000"/>
                <w:sz w:val="18"/>
                <w:szCs w:val="18"/>
              </w:rPr>
              <w:t>Gain (loss) from foreign currency transactions</w:t>
            </w:r>
          </w:p>
        </w:tc>
        <w:tc>
          <w:tcPr>
            <w:tcW w:w="0" w:type="auto"/>
            <w:gridSpan w:val="3"/>
            <w:shd w:val="clear" w:color="auto" w:fill="CCEEFF"/>
            <w:tcMar>
              <w:top w:w="0" w:type="dxa"/>
              <w:left w:w="20" w:type="dxa"/>
              <w:bottom w:w="0" w:type="dxa"/>
              <w:right w:w="20" w:type="dxa"/>
            </w:tcMar>
            <w:vAlign w:val="center"/>
            <w:hideMark/>
          </w:tcPr>
          <w:p w14:paraId="0A2F6570"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533448" w14:textId="77777777" w:rsidR="00000000" w:rsidRDefault="00E614A4">
            <w:pPr>
              <w:jc w:val="right"/>
              <w:rPr>
                <w:rFonts w:eastAsia="Times New Roman"/>
              </w:rPr>
            </w:pPr>
            <w:r>
              <w:rPr>
                <w:rFonts w:eastAsia="Times New Roman"/>
                <w:color w:val="000000"/>
                <w:sz w:val="18"/>
                <w:szCs w:val="18"/>
              </w:rPr>
              <w:t>804 </w:t>
            </w:r>
          </w:p>
        </w:tc>
        <w:tc>
          <w:tcPr>
            <w:tcW w:w="0" w:type="auto"/>
            <w:shd w:val="clear" w:color="auto" w:fill="CCEEFF"/>
            <w:tcMar>
              <w:top w:w="30" w:type="dxa"/>
              <w:left w:w="0" w:type="dxa"/>
              <w:bottom w:w="30" w:type="dxa"/>
              <w:right w:w="20" w:type="dxa"/>
            </w:tcMar>
            <w:vAlign w:val="bottom"/>
            <w:hideMark/>
          </w:tcPr>
          <w:p w14:paraId="2E0989A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2507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05B0AE" w14:textId="77777777" w:rsidR="00000000" w:rsidRDefault="00E614A4">
            <w:pPr>
              <w:jc w:val="right"/>
              <w:rPr>
                <w:rFonts w:eastAsia="Times New Roman"/>
              </w:rPr>
            </w:pPr>
            <w:r>
              <w:rPr>
                <w:rFonts w:eastAsia="Times New Roman"/>
                <w:color w:val="000000"/>
                <w:sz w:val="18"/>
                <w:szCs w:val="18"/>
              </w:rPr>
              <w:t>(944)</w:t>
            </w:r>
          </w:p>
        </w:tc>
        <w:tc>
          <w:tcPr>
            <w:tcW w:w="0" w:type="auto"/>
            <w:shd w:val="clear" w:color="auto" w:fill="CCEEFF"/>
            <w:tcMar>
              <w:top w:w="30" w:type="dxa"/>
              <w:left w:w="0" w:type="dxa"/>
              <w:bottom w:w="30" w:type="dxa"/>
              <w:right w:w="20" w:type="dxa"/>
            </w:tcMar>
            <w:vAlign w:val="bottom"/>
            <w:hideMark/>
          </w:tcPr>
          <w:p w14:paraId="0258000C"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6712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2F9FC3" w14:textId="77777777" w:rsidR="00000000" w:rsidRDefault="00E614A4">
            <w:pPr>
              <w:jc w:val="right"/>
              <w:rPr>
                <w:rFonts w:eastAsia="Times New Roman"/>
              </w:rPr>
            </w:pPr>
            <w:r>
              <w:rPr>
                <w:rFonts w:eastAsia="Times New Roman"/>
                <w:color w:val="000000"/>
                <w:sz w:val="18"/>
                <w:szCs w:val="18"/>
              </w:rPr>
              <w:t>(2,012)</w:t>
            </w:r>
          </w:p>
        </w:tc>
        <w:tc>
          <w:tcPr>
            <w:tcW w:w="0" w:type="auto"/>
            <w:shd w:val="clear" w:color="auto" w:fill="CCEEFF"/>
            <w:tcMar>
              <w:top w:w="30" w:type="dxa"/>
              <w:left w:w="0" w:type="dxa"/>
              <w:bottom w:w="30" w:type="dxa"/>
              <w:right w:w="20" w:type="dxa"/>
            </w:tcMar>
            <w:vAlign w:val="bottom"/>
            <w:hideMark/>
          </w:tcPr>
          <w:p w14:paraId="3510EE5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939F5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53FD54" w14:textId="77777777" w:rsidR="00000000" w:rsidRDefault="00E614A4">
            <w:pPr>
              <w:jc w:val="right"/>
              <w:rPr>
                <w:rFonts w:eastAsia="Times New Roman"/>
              </w:rPr>
            </w:pPr>
            <w:r>
              <w:rPr>
                <w:rFonts w:eastAsia="Times New Roman"/>
                <w:color w:val="000000"/>
                <w:sz w:val="18"/>
                <w:szCs w:val="18"/>
              </w:rPr>
              <w:t>(2,338)</w:t>
            </w:r>
          </w:p>
        </w:tc>
        <w:tc>
          <w:tcPr>
            <w:tcW w:w="0" w:type="auto"/>
            <w:shd w:val="clear" w:color="auto" w:fill="CCEEFF"/>
            <w:tcMar>
              <w:top w:w="30" w:type="dxa"/>
              <w:left w:w="0" w:type="dxa"/>
              <w:bottom w:w="30" w:type="dxa"/>
              <w:right w:w="20" w:type="dxa"/>
            </w:tcMar>
            <w:vAlign w:val="bottom"/>
            <w:hideMark/>
          </w:tcPr>
          <w:p w14:paraId="102A78FA" w14:textId="77777777" w:rsidR="00000000" w:rsidRDefault="00E614A4">
            <w:pPr>
              <w:jc w:val="right"/>
              <w:rPr>
                <w:rFonts w:eastAsia="Times New Roman"/>
              </w:rPr>
            </w:pPr>
          </w:p>
        </w:tc>
      </w:tr>
      <w:tr w:rsidR="00000000" w14:paraId="75FCC345" w14:textId="77777777">
        <w:trPr>
          <w:divId w:val="1688405563"/>
          <w:jc w:val="center"/>
        </w:trPr>
        <w:tc>
          <w:tcPr>
            <w:tcW w:w="0" w:type="auto"/>
            <w:gridSpan w:val="3"/>
            <w:shd w:val="clear" w:color="auto" w:fill="FFFFFF"/>
            <w:tcMar>
              <w:top w:w="30" w:type="dxa"/>
              <w:left w:w="20" w:type="dxa"/>
              <w:bottom w:w="30" w:type="dxa"/>
              <w:right w:w="20" w:type="dxa"/>
            </w:tcMar>
            <w:hideMark/>
          </w:tcPr>
          <w:p w14:paraId="0507520F" w14:textId="77777777" w:rsidR="00000000" w:rsidRDefault="00E614A4">
            <w:pPr>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04E3B1D7"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2A34E9" w14:textId="77777777" w:rsidR="00000000" w:rsidRDefault="00E614A4">
            <w:pPr>
              <w:jc w:val="right"/>
              <w:rPr>
                <w:rFonts w:eastAsia="Times New Roman"/>
              </w:rPr>
            </w:pPr>
            <w:r>
              <w:rPr>
                <w:rFonts w:eastAsia="Times New Roman"/>
                <w:color w:val="000000"/>
                <w:sz w:val="18"/>
                <w:szCs w:val="18"/>
              </w:rPr>
              <w:t>(13,599)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3CA42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1B63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686493" w14:textId="77777777" w:rsidR="00000000" w:rsidRDefault="00E614A4">
            <w:pPr>
              <w:jc w:val="right"/>
              <w:rPr>
                <w:rFonts w:eastAsia="Times New Roman"/>
              </w:rPr>
            </w:pPr>
            <w:r>
              <w:rPr>
                <w:rFonts w:eastAsia="Times New Roman"/>
                <w:color w:val="000000"/>
                <w:sz w:val="18"/>
                <w:szCs w:val="18"/>
              </w:rPr>
              <w:t>(11,065)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E73A4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2F48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5BD73B" w14:textId="77777777" w:rsidR="00000000" w:rsidRDefault="00E614A4">
            <w:pPr>
              <w:jc w:val="right"/>
              <w:rPr>
                <w:rFonts w:eastAsia="Times New Roman"/>
              </w:rPr>
            </w:pPr>
            <w:r>
              <w:rPr>
                <w:rFonts w:eastAsia="Times New Roman"/>
                <w:color w:val="000000"/>
                <w:sz w:val="18"/>
                <w:szCs w:val="18"/>
              </w:rPr>
              <w:t>(10,880)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5CB36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B160A"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694A48" w14:textId="77777777" w:rsidR="00000000" w:rsidRDefault="00E614A4">
            <w:pPr>
              <w:jc w:val="right"/>
              <w:rPr>
                <w:rFonts w:eastAsia="Times New Roman"/>
              </w:rPr>
            </w:pPr>
            <w:r>
              <w:rPr>
                <w:rFonts w:eastAsia="Times New Roman"/>
                <w:color w:val="000000"/>
                <w:sz w:val="18"/>
                <w:szCs w:val="18"/>
              </w:rPr>
              <w:t>(11,472)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53A563" w14:textId="77777777" w:rsidR="00000000" w:rsidRDefault="00E614A4">
            <w:pPr>
              <w:jc w:val="right"/>
              <w:rPr>
                <w:rFonts w:eastAsia="Times New Roman"/>
              </w:rPr>
            </w:pPr>
          </w:p>
        </w:tc>
      </w:tr>
      <w:tr w:rsidR="00000000" w14:paraId="3491BF29" w14:textId="77777777">
        <w:trPr>
          <w:divId w:val="1688405563"/>
          <w:jc w:val="center"/>
        </w:trPr>
        <w:tc>
          <w:tcPr>
            <w:tcW w:w="0" w:type="auto"/>
            <w:gridSpan w:val="3"/>
            <w:shd w:val="clear" w:color="auto" w:fill="CCEEFF"/>
            <w:tcMar>
              <w:top w:w="30" w:type="dxa"/>
              <w:left w:w="20" w:type="dxa"/>
              <w:bottom w:w="30" w:type="dxa"/>
              <w:right w:w="20" w:type="dxa"/>
            </w:tcMar>
            <w:hideMark/>
          </w:tcPr>
          <w:p w14:paraId="7CDC1517" w14:textId="77777777" w:rsidR="00000000" w:rsidRDefault="00E614A4">
            <w:pPr>
              <w:rPr>
                <w:rFonts w:eastAsia="Times New Roman"/>
              </w:rPr>
            </w:pPr>
            <w:r>
              <w:rPr>
                <w:rFonts w:eastAsia="Times New Roman"/>
                <w:color w:val="000000"/>
                <w:sz w:val="18"/>
                <w:szCs w:val="18"/>
              </w:rPr>
              <w:t xml:space="preserve">Income tax benefit (provision) </w:t>
            </w:r>
          </w:p>
        </w:tc>
        <w:tc>
          <w:tcPr>
            <w:tcW w:w="0" w:type="auto"/>
            <w:gridSpan w:val="3"/>
            <w:shd w:val="clear" w:color="auto" w:fill="CCEEFF"/>
            <w:tcMar>
              <w:top w:w="0" w:type="dxa"/>
              <w:left w:w="20" w:type="dxa"/>
              <w:bottom w:w="0" w:type="dxa"/>
              <w:right w:w="20" w:type="dxa"/>
            </w:tcMar>
            <w:vAlign w:val="center"/>
            <w:hideMark/>
          </w:tcPr>
          <w:p w14:paraId="22220A45"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F0B6BC" w14:textId="77777777" w:rsidR="00000000" w:rsidRDefault="00E614A4">
            <w:pPr>
              <w:jc w:val="right"/>
              <w:rPr>
                <w:rFonts w:eastAsia="Times New Roman"/>
              </w:rPr>
            </w:pPr>
            <w:r>
              <w:rPr>
                <w:rFonts w:eastAsia="Times New Roman"/>
                <w:color w:val="000000"/>
                <w:sz w:val="18"/>
                <w:szCs w:val="18"/>
              </w:rPr>
              <w:t>415 </w:t>
            </w:r>
          </w:p>
        </w:tc>
        <w:tc>
          <w:tcPr>
            <w:tcW w:w="0" w:type="auto"/>
            <w:shd w:val="clear" w:color="auto" w:fill="CCEEFF"/>
            <w:tcMar>
              <w:top w:w="30" w:type="dxa"/>
              <w:left w:w="0" w:type="dxa"/>
              <w:bottom w:w="30" w:type="dxa"/>
              <w:right w:w="20" w:type="dxa"/>
            </w:tcMar>
            <w:vAlign w:val="bottom"/>
            <w:hideMark/>
          </w:tcPr>
          <w:p w14:paraId="439F109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BE62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C8CDE5" w14:textId="77777777" w:rsidR="00000000" w:rsidRDefault="00E614A4">
            <w:pPr>
              <w:jc w:val="right"/>
              <w:rPr>
                <w:rFonts w:eastAsia="Times New Roman"/>
              </w:rPr>
            </w:pPr>
            <w:r>
              <w:rPr>
                <w:rFonts w:eastAsia="Times New Roman"/>
                <w:color w:val="000000"/>
                <w:sz w:val="18"/>
                <w:szCs w:val="18"/>
              </w:rPr>
              <w:t>664 </w:t>
            </w:r>
          </w:p>
        </w:tc>
        <w:tc>
          <w:tcPr>
            <w:tcW w:w="0" w:type="auto"/>
            <w:shd w:val="clear" w:color="auto" w:fill="CCEEFF"/>
            <w:tcMar>
              <w:top w:w="30" w:type="dxa"/>
              <w:left w:w="0" w:type="dxa"/>
              <w:bottom w:w="30" w:type="dxa"/>
              <w:right w:w="20" w:type="dxa"/>
            </w:tcMar>
            <w:vAlign w:val="bottom"/>
            <w:hideMark/>
          </w:tcPr>
          <w:p w14:paraId="0C8F835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F50F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1E6D3" w14:textId="77777777" w:rsidR="00000000" w:rsidRDefault="00E614A4">
            <w:pPr>
              <w:jc w:val="right"/>
              <w:rPr>
                <w:rFonts w:eastAsia="Times New Roman"/>
              </w:rPr>
            </w:pPr>
            <w:r>
              <w:rPr>
                <w:rFonts w:eastAsia="Times New Roman"/>
                <w:color w:val="000000"/>
                <w:sz w:val="18"/>
                <w:szCs w:val="18"/>
              </w:rPr>
              <w:t>(241)</w:t>
            </w:r>
          </w:p>
        </w:tc>
        <w:tc>
          <w:tcPr>
            <w:tcW w:w="0" w:type="auto"/>
            <w:shd w:val="clear" w:color="auto" w:fill="CCEEFF"/>
            <w:tcMar>
              <w:top w:w="30" w:type="dxa"/>
              <w:left w:w="0" w:type="dxa"/>
              <w:bottom w:w="30" w:type="dxa"/>
              <w:right w:w="20" w:type="dxa"/>
            </w:tcMar>
            <w:vAlign w:val="bottom"/>
            <w:hideMark/>
          </w:tcPr>
          <w:p w14:paraId="41C1176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C844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5C06F7" w14:textId="77777777" w:rsidR="00000000" w:rsidRDefault="00E614A4">
            <w:pPr>
              <w:jc w:val="right"/>
              <w:rPr>
                <w:rFonts w:eastAsia="Times New Roman"/>
              </w:rPr>
            </w:pPr>
            <w:r>
              <w:rPr>
                <w:rFonts w:eastAsia="Times New Roman"/>
                <w:color w:val="000000"/>
                <w:sz w:val="18"/>
                <w:szCs w:val="18"/>
              </w:rPr>
              <w:t>(1,740)</w:t>
            </w:r>
          </w:p>
        </w:tc>
        <w:tc>
          <w:tcPr>
            <w:tcW w:w="0" w:type="auto"/>
            <w:shd w:val="clear" w:color="auto" w:fill="CCEEFF"/>
            <w:tcMar>
              <w:top w:w="30" w:type="dxa"/>
              <w:left w:w="0" w:type="dxa"/>
              <w:bottom w:w="30" w:type="dxa"/>
              <w:right w:w="20" w:type="dxa"/>
            </w:tcMar>
            <w:vAlign w:val="bottom"/>
            <w:hideMark/>
          </w:tcPr>
          <w:p w14:paraId="058403C8" w14:textId="77777777" w:rsidR="00000000" w:rsidRDefault="00E614A4">
            <w:pPr>
              <w:jc w:val="right"/>
              <w:rPr>
                <w:rFonts w:eastAsia="Times New Roman"/>
              </w:rPr>
            </w:pPr>
          </w:p>
        </w:tc>
      </w:tr>
      <w:tr w:rsidR="00000000" w14:paraId="1931F3CF" w14:textId="77777777">
        <w:trPr>
          <w:divId w:val="1688405563"/>
          <w:jc w:val="center"/>
        </w:trPr>
        <w:tc>
          <w:tcPr>
            <w:tcW w:w="0" w:type="auto"/>
            <w:gridSpan w:val="3"/>
            <w:shd w:val="clear" w:color="auto" w:fill="FFFFFF"/>
            <w:tcMar>
              <w:top w:w="30" w:type="dxa"/>
              <w:left w:w="20" w:type="dxa"/>
              <w:bottom w:w="30" w:type="dxa"/>
              <w:right w:w="20" w:type="dxa"/>
            </w:tcMar>
            <w:hideMark/>
          </w:tcPr>
          <w:p w14:paraId="565F67E0" w14:textId="77777777" w:rsidR="00000000" w:rsidRDefault="00E614A4">
            <w:pPr>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2520F05E" w14:textId="77777777" w:rsidR="00000000" w:rsidRDefault="00E614A4">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B2008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CAB4E5" w14:textId="77777777" w:rsidR="00000000" w:rsidRDefault="00E614A4">
            <w:pPr>
              <w:jc w:val="right"/>
              <w:rPr>
                <w:rFonts w:eastAsia="Times New Roman"/>
              </w:rPr>
            </w:pPr>
            <w:r>
              <w:rPr>
                <w:rFonts w:eastAsia="Times New Roman"/>
                <w:color w:val="000000"/>
                <w:sz w:val="18"/>
                <w:szCs w:val="18"/>
              </w:rPr>
              <w:t>(13,184)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8AB99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EAE32"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6D93EB"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D0A3D1" w14:textId="77777777" w:rsidR="00000000" w:rsidRDefault="00E614A4">
            <w:pPr>
              <w:jc w:val="right"/>
              <w:rPr>
                <w:rFonts w:eastAsia="Times New Roman"/>
              </w:rPr>
            </w:pPr>
            <w:r>
              <w:rPr>
                <w:rFonts w:eastAsia="Times New Roman"/>
                <w:color w:val="000000"/>
                <w:sz w:val="18"/>
                <w:szCs w:val="18"/>
              </w:rPr>
              <w:t>(10,401)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29761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46982"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70848D"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9A1DD1" w14:textId="77777777" w:rsidR="00000000" w:rsidRDefault="00E614A4">
            <w:pPr>
              <w:jc w:val="right"/>
              <w:rPr>
                <w:rFonts w:eastAsia="Times New Roman"/>
              </w:rPr>
            </w:pPr>
            <w:r>
              <w:rPr>
                <w:rFonts w:eastAsia="Times New Roman"/>
                <w:color w:val="000000"/>
                <w:sz w:val="18"/>
                <w:szCs w:val="18"/>
              </w:rPr>
              <w:t>(11,121)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76B9D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50C15"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6D4F54" w14:textId="77777777" w:rsidR="00000000" w:rsidRDefault="00E614A4">
            <w:pPr>
              <w:jc w:val="right"/>
              <w:rPr>
                <w:rFonts w:eastAsia="Times New Roman"/>
              </w:rPr>
            </w:pPr>
            <w:r>
              <w:rPr>
                <w:rFonts w:eastAsia="Times New Roman"/>
                <w:color w:val="000000"/>
                <w:sz w:val="18"/>
                <w:szCs w:val="18"/>
              </w:rPr>
              <w:t>(13,212)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893138" w14:textId="77777777" w:rsidR="00000000" w:rsidRDefault="00E614A4">
            <w:pPr>
              <w:jc w:val="right"/>
              <w:rPr>
                <w:rFonts w:eastAsia="Times New Roman"/>
              </w:rPr>
            </w:pPr>
          </w:p>
        </w:tc>
      </w:tr>
      <w:tr w:rsidR="00000000" w14:paraId="291DE412" w14:textId="77777777">
        <w:trPr>
          <w:divId w:val="1688405563"/>
          <w:jc w:val="center"/>
        </w:trPr>
        <w:tc>
          <w:tcPr>
            <w:tcW w:w="0" w:type="auto"/>
            <w:gridSpan w:val="3"/>
            <w:shd w:val="clear" w:color="auto" w:fill="CCEEFF"/>
            <w:tcMar>
              <w:top w:w="30" w:type="dxa"/>
              <w:left w:w="20" w:type="dxa"/>
              <w:bottom w:w="30" w:type="dxa"/>
              <w:right w:w="20" w:type="dxa"/>
            </w:tcMar>
            <w:hideMark/>
          </w:tcPr>
          <w:p w14:paraId="2C630419" w14:textId="77777777" w:rsidR="00000000" w:rsidRDefault="00E614A4">
            <w:pPr>
              <w:rPr>
                <w:rFonts w:eastAsia="Times New Roman"/>
              </w:rPr>
            </w:pPr>
            <w:r>
              <w:rPr>
                <w:rFonts w:eastAsia="Times New Roman"/>
                <w:color w:val="000000"/>
                <w:sz w:val="18"/>
                <w:szCs w:val="18"/>
              </w:rPr>
              <w:t>Net loss per common share:</w:t>
            </w:r>
          </w:p>
        </w:tc>
        <w:tc>
          <w:tcPr>
            <w:tcW w:w="0" w:type="auto"/>
            <w:gridSpan w:val="3"/>
            <w:shd w:val="clear" w:color="auto" w:fill="CCEEFF"/>
            <w:tcMar>
              <w:top w:w="0" w:type="dxa"/>
              <w:left w:w="20" w:type="dxa"/>
              <w:bottom w:w="0" w:type="dxa"/>
              <w:right w:w="20" w:type="dxa"/>
            </w:tcMar>
            <w:vAlign w:val="center"/>
            <w:hideMark/>
          </w:tcPr>
          <w:p w14:paraId="6DA0F9E3" w14:textId="77777777" w:rsidR="00000000" w:rsidRDefault="00E614A4">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9F6C41"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08DDF2"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3748B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ED1FA6"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E3D940"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12640F"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957E5F" w14:textId="77777777" w:rsidR="00000000" w:rsidRDefault="00E614A4">
            <w:pPr>
              <w:rPr>
                <w:rFonts w:eastAsia="Times New Roman"/>
                <w:sz w:val="20"/>
                <w:szCs w:val="20"/>
              </w:rPr>
            </w:pPr>
          </w:p>
        </w:tc>
      </w:tr>
      <w:tr w:rsidR="00000000" w14:paraId="697D8442" w14:textId="77777777">
        <w:trPr>
          <w:divId w:val="1688405563"/>
          <w:jc w:val="center"/>
        </w:trPr>
        <w:tc>
          <w:tcPr>
            <w:tcW w:w="0" w:type="auto"/>
            <w:gridSpan w:val="3"/>
            <w:shd w:val="clear" w:color="auto" w:fill="FFFFFF"/>
            <w:tcMar>
              <w:top w:w="30" w:type="dxa"/>
              <w:left w:w="260" w:type="dxa"/>
              <w:bottom w:w="30" w:type="dxa"/>
              <w:right w:w="20" w:type="dxa"/>
            </w:tcMar>
            <w:hideMark/>
          </w:tcPr>
          <w:p w14:paraId="7AC34D0B" w14:textId="77777777" w:rsidR="00000000" w:rsidRDefault="00E614A4">
            <w:pPr>
              <w:rPr>
                <w:rFonts w:eastAsia="Times New Roman"/>
              </w:rPr>
            </w:pPr>
            <w:r>
              <w:rPr>
                <w:rFonts w:eastAsia="Times New Roman"/>
                <w:color w:val="000000"/>
                <w:sz w:val="18"/>
                <w:szCs w:val="18"/>
              </w:rPr>
              <w:t>Basic and diluted</w:t>
            </w:r>
          </w:p>
        </w:tc>
        <w:tc>
          <w:tcPr>
            <w:tcW w:w="0" w:type="auto"/>
            <w:gridSpan w:val="3"/>
            <w:shd w:val="clear" w:color="auto" w:fill="FFFFFF"/>
            <w:tcMar>
              <w:top w:w="0" w:type="dxa"/>
              <w:left w:w="20" w:type="dxa"/>
              <w:bottom w:w="0" w:type="dxa"/>
              <w:right w:w="20" w:type="dxa"/>
            </w:tcMar>
            <w:vAlign w:val="center"/>
            <w:hideMark/>
          </w:tcPr>
          <w:p w14:paraId="316F9C47"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21CB1E3F"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854112F" w14:textId="77777777" w:rsidR="00000000" w:rsidRDefault="00E614A4">
            <w:pPr>
              <w:jc w:val="right"/>
              <w:rPr>
                <w:rFonts w:eastAsia="Times New Roman"/>
              </w:rPr>
            </w:pPr>
            <w:r>
              <w:rPr>
                <w:rFonts w:eastAsia="Times New Roman"/>
                <w:color w:val="000000"/>
                <w:sz w:val="18"/>
                <w:szCs w:val="18"/>
              </w:rPr>
              <w:t>(0.19)</w:t>
            </w:r>
          </w:p>
        </w:tc>
        <w:tc>
          <w:tcPr>
            <w:tcW w:w="0" w:type="auto"/>
            <w:shd w:val="clear" w:color="auto" w:fill="FFFFFF"/>
            <w:tcMar>
              <w:top w:w="30" w:type="dxa"/>
              <w:left w:w="0" w:type="dxa"/>
              <w:bottom w:w="30" w:type="dxa"/>
              <w:right w:w="20" w:type="dxa"/>
            </w:tcMar>
            <w:vAlign w:val="bottom"/>
            <w:hideMark/>
          </w:tcPr>
          <w:p w14:paraId="1C23F7B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1FCF2"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B199DE"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A68BE34" w14:textId="77777777" w:rsidR="00000000" w:rsidRDefault="00E614A4">
            <w:pPr>
              <w:jc w:val="right"/>
              <w:rPr>
                <w:rFonts w:eastAsia="Times New Roman"/>
              </w:rPr>
            </w:pPr>
            <w:r>
              <w:rPr>
                <w:rFonts w:eastAsia="Times New Roman"/>
                <w:color w:val="000000"/>
                <w:sz w:val="18"/>
                <w:szCs w:val="18"/>
              </w:rPr>
              <w:t>(0.15)</w:t>
            </w:r>
          </w:p>
        </w:tc>
        <w:tc>
          <w:tcPr>
            <w:tcW w:w="0" w:type="auto"/>
            <w:shd w:val="clear" w:color="auto" w:fill="FFFFFF"/>
            <w:tcMar>
              <w:top w:w="30" w:type="dxa"/>
              <w:left w:w="0" w:type="dxa"/>
              <w:bottom w:w="30" w:type="dxa"/>
              <w:right w:w="20" w:type="dxa"/>
            </w:tcMar>
            <w:vAlign w:val="bottom"/>
            <w:hideMark/>
          </w:tcPr>
          <w:p w14:paraId="2F55A19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4E963"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1A320A"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9FE7085" w14:textId="77777777" w:rsidR="00000000" w:rsidRDefault="00E614A4">
            <w:pPr>
              <w:jc w:val="right"/>
              <w:rPr>
                <w:rFonts w:eastAsia="Times New Roman"/>
              </w:rPr>
            </w:pPr>
            <w:r>
              <w:rPr>
                <w:rFonts w:eastAsia="Times New Roman"/>
                <w:color w:val="000000"/>
                <w:sz w:val="18"/>
                <w:szCs w:val="18"/>
              </w:rPr>
              <w:t>(0.16)</w:t>
            </w:r>
          </w:p>
        </w:tc>
        <w:tc>
          <w:tcPr>
            <w:tcW w:w="0" w:type="auto"/>
            <w:shd w:val="clear" w:color="auto" w:fill="FFFFFF"/>
            <w:tcMar>
              <w:top w:w="30" w:type="dxa"/>
              <w:left w:w="0" w:type="dxa"/>
              <w:bottom w:w="30" w:type="dxa"/>
              <w:right w:w="20" w:type="dxa"/>
            </w:tcMar>
            <w:vAlign w:val="bottom"/>
            <w:hideMark/>
          </w:tcPr>
          <w:p w14:paraId="512F625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DCEDD7"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9D0E19"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B32A961" w14:textId="77777777" w:rsidR="00000000" w:rsidRDefault="00E614A4">
            <w:pPr>
              <w:jc w:val="right"/>
              <w:rPr>
                <w:rFonts w:eastAsia="Times New Roman"/>
              </w:rPr>
            </w:pPr>
            <w:r>
              <w:rPr>
                <w:rFonts w:eastAsia="Times New Roman"/>
                <w:color w:val="000000"/>
                <w:sz w:val="18"/>
                <w:szCs w:val="18"/>
              </w:rPr>
              <w:t>(0.18)</w:t>
            </w:r>
          </w:p>
        </w:tc>
        <w:tc>
          <w:tcPr>
            <w:tcW w:w="0" w:type="auto"/>
            <w:shd w:val="clear" w:color="auto" w:fill="FFFFFF"/>
            <w:tcMar>
              <w:top w:w="30" w:type="dxa"/>
              <w:left w:w="0" w:type="dxa"/>
              <w:bottom w:w="30" w:type="dxa"/>
              <w:right w:w="20" w:type="dxa"/>
            </w:tcMar>
            <w:vAlign w:val="bottom"/>
            <w:hideMark/>
          </w:tcPr>
          <w:p w14:paraId="5198AEFA" w14:textId="77777777" w:rsidR="00000000" w:rsidRDefault="00E614A4">
            <w:pPr>
              <w:jc w:val="right"/>
              <w:rPr>
                <w:rFonts w:eastAsia="Times New Roman"/>
              </w:rPr>
            </w:pPr>
          </w:p>
        </w:tc>
      </w:tr>
      <w:tr w:rsidR="00000000" w14:paraId="73E5EB3B" w14:textId="77777777">
        <w:trPr>
          <w:divId w:val="1688405563"/>
          <w:jc w:val="center"/>
        </w:trPr>
        <w:tc>
          <w:tcPr>
            <w:tcW w:w="0" w:type="auto"/>
            <w:gridSpan w:val="3"/>
            <w:shd w:val="clear" w:color="auto" w:fill="CCEEFF"/>
            <w:tcMar>
              <w:top w:w="30" w:type="dxa"/>
              <w:left w:w="20" w:type="dxa"/>
              <w:bottom w:w="30" w:type="dxa"/>
              <w:right w:w="20" w:type="dxa"/>
            </w:tcMar>
            <w:hideMark/>
          </w:tcPr>
          <w:p w14:paraId="0F47D735" w14:textId="77777777" w:rsidR="00000000" w:rsidRDefault="00E614A4">
            <w:pPr>
              <w:rPr>
                <w:rFonts w:eastAsia="Times New Roman"/>
              </w:rPr>
            </w:pPr>
            <w:r>
              <w:rPr>
                <w:rFonts w:eastAsia="Times New Roman"/>
                <w:color w:val="000000"/>
                <w:sz w:val="18"/>
                <w:szCs w:val="18"/>
              </w:rPr>
              <w:t>Weighted-average number of shares used in per share calculation - Common Stock:</w:t>
            </w:r>
          </w:p>
        </w:tc>
        <w:tc>
          <w:tcPr>
            <w:tcW w:w="0" w:type="auto"/>
            <w:gridSpan w:val="3"/>
            <w:shd w:val="clear" w:color="auto" w:fill="CCEEFF"/>
            <w:tcMar>
              <w:top w:w="0" w:type="dxa"/>
              <w:left w:w="20" w:type="dxa"/>
              <w:bottom w:w="0" w:type="dxa"/>
              <w:right w:w="20" w:type="dxa"/>
            </w:tcMar>
            <w:vAlign w:val="center"/>
            <w:hideMark/>
          </w:tcPr>
          <w:p w14:paraId="5217D010"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5DE69"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8251DC"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8B5E89"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B659C1"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9E0C7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520D4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D4058E" w14:textId="77777777" w:rsidR="00000000" w:rsidRDefault="00E614A4">
            <w:pPr>
              <w:rPr>
                <w:rFonts w:eastAsia="Times New Roman"/>
                <w:sz w:val="20"/>
                <w:szCs w:val="20"/>
              </w:rPr>
            </w:pPr>
          </w:p>
        </w:tc>
      </w:tr>
      <w:tr w:rsidR="00000000" w14:paraId="02580B5E" w14:textId="77777777">
        <w:trPr>
          <w:divId w:val="1688405563"/>
          <w:jc w:val="center"/>
        </w:trPr>
        <w:tc>
          <w:tcPr>
            <w:tcW w:w="0" w:type="auto"/>
            <w:gridSpan w:val="3"/>
            <w:shd w:val="clear" w:color="auto" w:fill="FFFFFF"/>
            <w:tcMar>
              <w:top w:w="30" w:type="dxa"/>
              <w:left w:w="260" w:type="dxa"/>
              <w:bottom w:w="30" w:type="dxa"/>
              <w:right w:w="20" w:type="dxa"/>
            </w:tcMar>
            <w:hideMark/>
          </w:tcPr>
          <w:p w14:paraId="567E1DAF" w14:textId="77777777" w:rsidR="00000000" w:rsidRDefault="00E614A4">
            <w:pPr>
              <w:rPr>
                <w:rFonts w:eastAsia="Times New Roman"/>
              </w:rPr>
            </w:pPr>
            <w:r>
              <w:rPr>
                <w:rFonts w:eastAsia="Times New Roman"/>
                <w:color w:val="000000"/>
                <w:sz w:val="18"/>
                <w:szCs w:val="18"/>
              </w:rPr>
              <w:t>Basic and diluted</w:t>
            </w:r>
          </w:p>
        </w:tc>
        <w:tc>
          <w:tcPr>
            <w:tcW w:w="0" w:type="auto"/>
            <w:gridSpan w:val="3"/>
            <w:shd w:val="clear" w:color="auto" w:fill="FFFFFF"/>
            <w:tcMar>
              <w:top w:w="0" w:type="dxa"/>
              <w:left w:w="20" w:type="dxa"/>
              <w:bottom w:w="0" w:type="dxa"/>
              <w:right w:w="20" w:type="dxa"/>
            </w:tcMar>
            <w:vAlign w:val="center"/>
            <w:hideMark/>
          </w:tcPr>
          <w:p w14:paraId="3F45A81A"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4ECC01" w14:textId="77777777" w:rsidR="00000000" w:rsidRDefault="00E614A4">
            <w:pPr>
              <w:jc w:val="right"/>
              <w:rPr>
                <w:rFonts w:eastAsia="Times New Roman"/>
              </w:rPr>
            </w:pPr>
            <w:r>
              <w:rPr>
                <w:rFonts w:eastAsia="Times New Roman"/>
                <w:color w:val="000000"/>
                <w:sz w:val="18"/>
                <w:szCs w:val="18"/>
              </w:rPr>
              <w:t>70,127,939 </w:t>
            </w:r>
          </w:p>
        </w:tc>
        <w:tc>
          <w:tcPr>
            <w:tcW w:w="0" w:type="auto"/>
            <w:shd w:val="clear" w:color="auto" w:fill="FFFFFF"/>
            <w:tcMar>
              <w:top w:w="30" w:type="dxa"/>
              <w:left w:w="0" w:type="dxa"/>
              <w:bottom w:w="30" w:type="dxa"/>
              <w:right w:w="20" w:type="dxa"/>
            </w:tcMar>
            <w:vAlign w:val="bottom"/>
            <w:hideMark/>
          </w:tcPr>
          <w:p w14:paraId="5FF5250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AF96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5DC4AD" w14:textId="77777777" w:rsidR="00000000" w:rsidRDefault="00E614A4">
            <w:pPr>
              <w:jc w:val="right"/>
              <w:rPr>
                <w:rFonts w:eastAsia="Times New Roman"/>
              </w:rPr>
            </w:pPr>
            <w:r>
              <w:rPr>
                <w:rFonts w:eastAsia="Times New Roman"/>
                <w:color w:val="000000"/>
                <w:sz w:val="18"/>
                <w:szCs w:val="18"/>
              </w:rPr>
              <w:t>70,554,326 </w:t>
            </w:r>
          </w:p>
        </w:tc>
        <w:tc>
          <w:tcPr>
            <w:tcW w:w="0" w:type="auto"/>
            <w:shd w:val="clear" w:color="auto" w:fill="FFFFFF"/>
            <w:tcMar>
              <w:top w:w="30" w:type="dxa"/>
              <w:left w:w="0" w:type="dxa"/>
              <w:bottom w:w="30" w:type="dxa"/>
              <w:right w:w="20" w:type="dxa"/>
            </w:tcMar>
            <w:vAlign w:val="bottom"/>
            <w:hideMark/>
          </w:tcPr>
          <w:p w14:paraId="564ECA6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8D6E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8EF79" w14:textId="77777777" w:rsidR="00000000" w:rsidRDefault="00E614A4">
            <w:pPr>
              <w:jc w:val="right"/>
              <w:rPr>
                <w:rFonts w:eastAsia="Times New Roman"/>
              </w:rPr>
            </w:pPr>
            <w:r>
              <w:rPr>
                <w:rFonts w:eastAsia="Times New Roman"/>
                <w:color w:val="000000"/>
                <w:sz w:val="18"/>
                <w:szCs w:val="18"/>
              </w:rPr>
              <w:t>71,222,122 </w:t>
            </w:r>
          </w:p>
        </w:tc>
        <w:tc>
          <w:tcPr>
            <w:tcW w:w="0" w:type="auto"/>
            <w:shd w:val="clear" w:color="auto" w:fill="FFFFFF"/>
            <w:tcMar>
              <w:top w:w="30" w:type="dxa"/>
              <w:left w:w="0" w:type="dxa"/>
              <w:bottom w:w="30" w:type="dxa"/>
              <w:right w:w="20" w:type="dxa"/>
            </w:tcMar>
            <w:vAlign w:val="bottom"/>
            <w:hideMark/>
          </w:tcPr>
          <w:p w14:paraId="4CA7DE7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DFEC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F2FA32" w14:textId="77777777" w:rsidR="00000000" w:rsidRDefault="00E614A4">
            <w:pPr>
              <w:jc w:val="right"/>
              <w:rPr>
                <w:rFonts w:eastAsia="Times New Roman"/>
              </w:rPr>
            </w:pPr>
            <w:r>
              <w:rPr>
                <w:rFonts w:eastAsia="Times New Roman"/>
                <w:color w:val="000000"/>
                <w:sz w:val="18"/>
                <w:szCs w:val="18"/>
              </w:rPr>
              <w:t>72,814,261 </w:t>
            </w:r>
          </w:p>
        </w:tc>
        <w:tc>
          <w:tcPr>
            <w:tcW w:w="0" w:type="auto"/>
            <w:shd w:val="clear" w:color="auto" w:fill="FFFFFF"/>
            <w:tcMar>
              <w:top w:w="30" w:type="dxa"/>
              <w:left w:w="0" w:type="dxa"/>
              <w:bottom w:w="30" w:type="dxa"/>
              <w:right w:w="20" w:type="dxa"/>
            </w:tcMar>
            <w:vAlign w:val="bottom"/>
            <w:hideMark/>
          </w:tcPr>
          <w:p w14:paraId="22751FF7" w14:textId="77777777" w:rsidR="00000000" w:rsidRDefault="00E614A4">
            <w:pPr>
              <w:jc w:val="right"/>
              <w:rPr>
                <w:rFonts w:eastAsia="Times New Roman"/>
              </w:rPr>
            </w:pPr>
          </w:p>
        </w:tc>
      </w:tr>
      <w:tr w:rsidR="00000000" w14:paraId="6B0BFA02" w14:textId="77777777">
        <w:trPr>
          <w:divId w:val="1688405563"/>
          <w:trHeight w:val="240"/>
          <w:jc w:val="center"/>
        </w:trPr>
        <w:tc>
          <w:tcPr>
            <w:tcW w:w="0" w:type="auto"/>
            <w:gridSpan w:val="3"/>
            <w:shd w:val="clear" w:color="auto" w:fill="CCEEFF"/>
            <w:tcMar>
              <w:top w:w="0" w:type="dxa"/>
              <w:left w:w="20" w:type="dxa"/>
              <w:bottom w:w="0" w:type="dxa"/>
              <w:right w:w="20" w:type="dxa"/>
            </w:tcMar>
            <w:vAlign w:val="center"/>
            <w:hideMark/>
          </w:tcPr>
          <w:p w14:paraId="06B8D750" w14:textId="77777777" w:rsidR="00000000" w:rsidRDefault="00E614A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28DA7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515C10"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45AAE7"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A38A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1B7B17"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4DEBD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5D3958"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6DE58C" w14:textId="77777777" w:rsidR="00000000" w:rsidRDefault="00E614A4">
            <w:pPr>
              <w:rPr>
                <w:rFonts w:eastAsia="Times New Roman"/>
                <w:sz w:val="20"/>
                <w:szCs w:val="20"/>
              </w:rPr>
            </w:pPr>
          </w:p>
        </w:tc>
      </w:tr>
      <w:tr w:rsidR="00000000" w14:paraId="4F1EA69F" w14:textId="77777777">
        <w:trPr>
          <w:divId w:val="1688405563"/>
          <w:jc w:val="center"/>
        </w:trPr>
        <w:tc>
          <w:tcPr>
            <w:tcW w:w="0" w:type="auto"/>
            <w:gridSpan w:val="27"/>
            <w:shd w:val="clear" w:color="auto" w:fill="FFFFFF"/>
            <w:tcMar>
              <w:top w:w="30" w:type="dxa"/>
              <w:left w:w="20" w:type="dxa"/>
              <w:bottom w:w="30" w:type="dxa"/>
              <w:right w:w="20" w:type="dxa"/>
            </w:tcMar>
            <w:hideMark/>
          </w:tcPr>
          <w:p w14:paraId="458309E0" w14:textId="77777777" w:rsidR="00000000" w:rsidRDefault="00E614A4">
            <w:pPr>
              <w:divId w:val="264461053"/>
              <w:rPr>
                <w:rFonts w:eastAsia="Times New Roman"/>
              </w:rPr>
            </w:pPr>
            <w:r>
              <w:rPr>
                <w:rFonts w:eastAsia="Times New Roman"/>
                <w:i/>
                <w:iCs/>
                <w:color w:val="000000"/>
                <w:sz w:val="12"/>
                <w:szCs w:val="12"/>
              </w:rPr>
              <w:t>(1)</w:t>
            </w:r>
            <w:r>
              <w:rPr>
                <w:rFonts w:eastAsia="Times New Roman"/>
                <w:i/>
                <w:iCs/>
                <w:color w:val="000000"/>
                <w:sz w:val="12"/>
                <w:szCs w:val="12"/>
              </w:rPr>
              <w:t> </w:t>
            </w:r>
            <w:r>
              <w:rPr>
                <w:rFonts w:eastAsia="Times New Roman"/>
                <w:i/>
                <w:iCs/>
                <w:color w:val="000000"/>
                <w:sz w:val="18"/>
                <w:szCs w:val="18"/>
              </w:rPr>
              <w:t>Amortization of stock-based compensation expense is included in the line items above as follows:</w:t>
            </w:r>
          </w:p>
        </w:tc>
      </w:tr>
      <w:tr w:rsidR="00000000" w14:paraId="4979459C" w14:textId="77777777">
        <w:trPr>
          <w:divId w:val="1688405563"/>
          <w:jc w:val="center"/>
        </w:trPr>
        <w:tc>
          <w:tcPr>
            <w:tcW w:w="0" w:type="auto"/>
            <w:gridSpan w:val="3"/>
            <w:shd w:val="clear" w:color="auto" w:fill="FFFFFF"/>
            <w:tcMar>
              <w:top w:w="0" w:type="dxa"/>
              <w:left w:w="20" w:type="dxa"/>
              <w:bottom w:w="0" w:type="dxa"/>
              <w:right w:w="20" w:type="dxa"/>
            </w:tcMar>
            <w:vAlign w:val="center"/>
            <w:hideMark/>
          </w:tcPr>
          <w:p w14:paraId="65EB1034"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9910E" w14:textId="77777777" w:rsidR="00000000" w:rsidRDefault="00E614A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69E8AB9" w14:textId="77777777" w:rsidR="00000000" w:rsidRDefault="00E614A4">
            <w:pPr>
              <w:jc w:val="center"/>
              <w:rPr>
                <w:rFonts w:eastAsia="Times New Roman"/>
              </w:rPr>
            </w:pPr>
            <w:r>
              <w:rPr>
                <w:rFonts w:eastAsia="Times New Roman"/>
                <w:b/>
                <w:bCs/>
                <w:color w:val="000000"/>
                <w:sz w:val="16"/>
                <w:szCs w:val="16"/>
              </w:rPr>
              <w:t>First</w:t>
            </w:r>
          </w:p>
        </w:tc>
        <w:tc>
          <w:tcPr>
            <w:tcW w:w="0" w:type="auto"/>
            <w:gridSpan w:val="3"/>
            <w:shd w:val="clear" w:color="auto" w:fill="FFFFFF"/>
            <w:tcMar>
              <w:top w:w="0" w:type="dxa"/>
              <w:left w:w="20" w:type="dxa"/>
              <w:bottom w:w="0" w:type="dxa"/>
              <w:right w:w="20" w:type="dxa"/>
            </w:tcMar>
            <w:vAlign w:val="center"/>
            <w:hideMark/>
          </w:tcPr>
          <w:p w14:paraId="0B3C9D5F"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F6E07E6" w14:textId="77777777" w:rsidR="00000000" w:rsidRDefault="00E614A4">
            <w:pPr>
              <w:jc w:val="center"/>
              <w:rPr>
                <w:rFonts w:eastAsia="Times New Roman"/>
              </w:rPr>
            </w:pPr>
            <w:r>
              <w:rPr>
                <w:rFonts w:eastAsia="Times New Roman"/>
                <w:b/>
                <w:bCs/>
                <w:color w:val="000000"/>
                <w:sz w:val="16"/>
                <w:szCs w:val="16"/>
              </w:rPr>
              <w:t>Second</w:t>
            </w:r>
          </w:p>
        </w:tc>
        <w:tc>
          <w:tcPr>
            <w:tcW w:w="0" w:type="auto"/>
            <w:gridSpan w:val="3"/>
            <w:shd w:val="clear" w:color="auto" w:fill="FFFFFF"/>
            <w:tcMar>
              <w:top w:w="0" w:type="dxa"/>
              <w:left w:w="20" w:type="dxa"/>
              <w:bottom w:w="0" w:type="dxa"/>
              <w:right w:w="20" w:type="dxa"/>
            </w:tcMar>
            <w:vAlign w:val="center"/>
            <w:hideMark/>
          </w:tcPr>
          <w:p w14:paraId="2B31D9D9"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7F24C3" w14:textId="77777777" w:rsidR="00000000" w:rsidRDefault="00E614A4">
            <w:pPr>
              <w:jc w:val="center"/>
              <w:rPr>
                <w:rFonts w:eastAsia="Times New Roman"/>
              </w:rPr>
            </w:pPr>
            <w:r>
              <w:rPr>
                <w:rFonts w:eastAsia="Times New Roman"/>
                <w:b/>
                <w:bCs/>
                <w:color w:val="000000"/>
                <w:sz w:val="16"/>
                <w:szCs w:val="16"/>
              </w:rPr>
              <w:t>Third</w:t>
            </w:r>
          </w:p>
        </w:tc>
        <w:tc>
          <w:tcPr>
            <w:tcW w:w="0" w:type="auto"/>
            <w:gridSpan w:val="3"/>
            <w:shd w:val="clear" w:color="auto" w:fill="FFFFFF"/>
            <w:tcMar>
              <w:top w:w="0" w:type="dxa"/>
              <w:left w:w="20" w:type="dxa"/>
              <w:bottom w:w="0" w:type="dxa"/>
              <w:right w:w="20" w:type="dxa"/>
            </w:tcMar>
            <w:vAlign w:val="center"/>
            <w:hideMark/>
          </w:tcPr>
          <w:p w14:paraId="52B218E4"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571CAAF" w14:textId="77777777" w:rsidR="00000000" w:rsidRDefault="00E614A4">
            <w:pPr>
              <w:jc w:val="center"/>
              <w:rPr>
                <w:rFonts w:eastAsia="Times New Roman"/>
              </w:rPr>
            </w:pPr>
            <w:r>
              <w:rPr>
                <w:rFonts w:eastAsia="Times New Roman"/>
                <w:b/>
                <w:bCs/>
                <w:color w:val="000000"/>
                <w:sz w:val="16"/>
                <w:szCs w:val="16"/>
              </w:rPr>
              <w:t>Fourth</w:t>
            </w:r>
          </w:p>
        </w:tc>
      </w:tr>
      <w:tr w:rsidR="00000000" w14:paraId="4FE446B3" w14:textId="77777777">
        <w:trPr>
          <w:divId w:val="1688405563"/>
          <w:jc w:val="center"/>
        </w:trPr>
        <w:tc>
          <w:tcPr>
            <w:tcW w:w="0" w:type="auto"/>
            <w:gridSpan w:val="3"/>
            <w:shd w:val="clear" w:color="auto" w:fill="CCEEFF"/>
            <w:tcMar>
              <w:top w:w="30" w:type="dxa"/>
              <w:left w:w="20" w:type="dxa"/>
              <w:bottom w:w="30" w:type="dxa"/>
              <w:right w:w="20" w:type="dxa"/>
            </w:tcMar>
            <w:hideMark/>
          </w:tcPr>
          <w:p w14:paraId="4C7047B0" w14:textId="77777777" w:rsidR="00000000" w:rsidRDefault="00E614A4">
            <w:pPr>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14:paraId="0A7B18DC"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75754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2212D1" w14:textId="77777777" w:rsidR="00000000" w:rsidRDefault="00E614A4">
            <w:pPr>
              <w:jc w:val="right"/>
              <w:rPr>
                <w:rFonts w:eastAsia="Times New Roman"/>
              </w:rPr>
            </w:pPr>
            <w:r>
              <w:rPr>
                <w:rFonts w:eastAsia="Times New Roman"/>
                <w:color w:val="000000"/>
                <w:sz w:val="18"/>
                <w:szCs w:val="18"/>
              </w:rPr>
              <w:t>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38C1D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0BD0E"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11902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D45914" w14:textId="77777777" w:rsidR="00000000" w:rsidRDefault="00E614A4">
            <w:pPr>
              <w:jc w:val="right"/>
              <w:rPr>
                <w:rFonts w:eastAsia="Times New Roman"/>
              </w:rPr>
            </w:pPr>
            <w:r>
              <w:rPr>
                <w:rFonts w:eastAsia="Times New Roman"/>
                <w:color w:val="000000"/>
                <w:sz w:val="18"/>
                <w:szCs w:val="18"/>
              </w:rPr>
              <w:t>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6A023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31F45"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334B24"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D6A34F" w14:textId="77777777" w:rsidR="00000000" w:rsidRDefault="00E614A4">
            <w:pPr>
              <w:jc w:val="right"/>
              <w:rPr>
                <w:rFonts w:eastAsia="Times New Roman"/>
              </w:rPr>
            </w:pPr>
            <w:r>
              <w:rPr>
                <w:rFonts w:eastAsia="Times New Roman"/>
                <w:color w:val="000000"/>
                <w:sz w:val="18"/>
                <w:szCs w:val="18"/>
              </w:rPr>
              <w:t>503 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43D18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950D3"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2E9E6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7E75C1" w14:textId="77777777" w:rsidR="00000000" w:rsidRDefault="00E614A4">
            <w:pPr>
              <w:jc w:val="right"/>
              <w:rPr>
                <w:rFonts w:eastAsia="Times New Roman"/>
              </w:rPr>
            </w:pPr>
            <w:r>
              <w:rPr>
                <w:rFonts w:eastAsia="Times New Roman"/>
                <w:color w:val="000000"/>
                <w:sz w:val="18"/>
                <w:szCs w:val="18"/>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7865C0" w14:textId="77777777" w:rsidR="00000000" w:rsidRDefault="00E614A4">
            <w:pPr>
              <w:jc w:val="right"/>
              <w:rPr>
                <w:rFonts w:eastAsia="Times New Roman"/>
              </w:rPr>
            </w:pPr>
          </w:p>
        </w:tc>
      </w:tr>
      <w:tr w:rsidR="00000000" w14:paraId="4AC42749" w14:textId="77777777">
        <w:trPr>
          <w:divId w:val="1688405563"/>
          <w:jc w:val="center"/>
        </w:trPr>
        <w:tc>
          <w:tcPr>
            <w:tcW w:w="0" w:type="auto"/>
            <w:gridSpan w:val="3"/>
            <w:shd w:val="clear" w:color="auto" w:fill="FFFFFF"/>
            <w:tcMar>
              <w:top w:w="30" w:type="dxa"/>
              <w:left w:w="20" w:type="dxa"/>
              <w:bottom w:w="30" w:type="dxa"/>
              <w:right w:w="20" w:type="dxa"/>
            </w:tcMar>
            <w:hideMark/>
          </w:tcPr>
          <w:p w14:paraId="0379139A" w14:textId="77777777" w:rsidR="00000000" w:rsidRDefault="00E614A4">
            <w:pPr>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14:paraId="56F1B4DD"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B46BCA" w14:textId="77777777" w:rsidR="00000000" w:rsidRDefault="00E614A4">
            <w:pPr>
              <w:jc w:val="right"/>
              <w:rPr>
                <w:rFonts w:eastAsia="Times New Roman"/>
              </w:rPr>
            </w:pPr>
            <w:r>
              <w:rPr>
                <w:rFonts w:eastAsia="Times New Roman"/>
                <w:color w:val="000000"/>
                <w:sz w:val="18"/>
                <w:szCs w:val="18"/>
              </w:rPr>
              <w:t>609 </w:t>
            </w:r>
          </w:p>
        </w:tc>
        <w:tc>
          <w:tcPr>
            <w:tcW w:w="0" w:type="auto"/>
            <w:shd w:val="clear" w:color="auto" w:fill="FFFFFF"/>
            <w:tcMar>
              <w:top w:w="30" w:type="dxa"/>
              <w:left w:w="0" w:type="dxa"/>
              <w:bottom w:w="30" w:type="dxa"/>
              <w:right w:w="20" w:type="dxa"/>
            </w:tcMar>
            <w:vAlign w:val="bottom"/>
            <w:hideMark/>
          </w:tcPr>
          <w:p w14:paraId="5197CE4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D0F52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59829B" w14:textId="77777777" w:rsidR="00000000" w:rsidRDefault="00E614A4">
            <w:pPr>
              <w:jc w:val="right"/>
              <w:rPr>
                <w:rFonts w:eastAsia="Times New Roman"/>
              </w:rPr>
            </w:pPr>
            <w:r>
              <w:rPr>
                <w:rFonts w:eastAsia="Times New Roman"/>
                <w:color w:val="000000"/>
                <w:sz w:val="18"/>
                <w:szCs w:val="18"/>
              </w:rPr>
              <w:t>720 </w:t>
            </w:r>
          </w:p>
        </w:tc>
        <w:tc>
          <w:tcPr>
            <w:tcW w:w="0" w:type="auto"/>
            <w:shd w:val="clear" w:color="auto" w:fill="FFFFFF"/>
            <w:tcMar>
              <w:top w:w="30" w:type="dxa"/>
              <w:left w:w="0" w:type="dxa"/>
              <w:bottom w:w="30" w:type="dxa"/>
              <w:right w:w="20" w:type="dxa"/>
            </w:tcMar>
            <w:vAlign w:val="bottom"/>
            <w:hideMark/>
          </w:tcPr>
          <w:p w14:paraId="22F438F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95E14"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DAE7A7" w14:textId="77777777" w:rsidR="00000000" w:rsidRDefault="00E614A4">
            <w:pPr>
              <w:jc w:val="right"/>
              <w:rPr>
                <w:rFonts w:eastAsia="Times New Roman"/>
              </w:rPr>
            </w:pPr>
            <w:r>
              <w:rPr>
                <w:rFonts w:eastAsia="Times New Roman"/>
                <w:color w:val="000000"/>
                <w:sz w:val="18"/>
                <w:szCs w:val="18"/>
              </w:rPr>
              <w:t>625 </w:t>
            </w:r>
          </w:p>
        </w:tc>
        <w:tc>
          <w:tcPr>
            <w:tcW w:w="0" w:type="auto"/>
            <w:shd w:val="clear" w:color="auto" w:fill="FFFFFF"/>
            <w:tcMar>
              <w:top w:w="30" w:type="dxa"/>
              <w:left w:w="0" w:type="dxa"/>
              <w:bottom w:w="30" w:type="dxa"/>
              <w:right w:w="20" w:type="dxa"/>
            </w:tcMar>
            <w:vAlign w:val="bottom"/>
            <w:hideMark/>
          </w:tcPr>
          <w:p w14:paraId="6DF5C8F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2B504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43FA9" w14:textId="77777777" w:rsidR="00000000" w:rsidRDefault="00E614A4">
            <w:pPr>
              <w:jc w:val="right"/>
              <w:rPr>
                <w:rFonts w:eastAsia="Times New Roman"/>
              </w:rPr>
            </w:pPr>
            <w:r>
              <w:rPr>
                <w:rFonts w:eastAsia="Times New Roman"/>
                <w:color w:val="000000"/>
                <w:sz w:val="18"/>
                <w:szCs w:val="18"/>
              </w:rPr>
              <w:t>272 </w:t>
            </w:r>
          </w:p>
        </w:tc>
        <w:tc>
          <w:tcPr>
            <w:tcW w:w="0" w:type="auto"/>
            <w:shd w:val="clear" w:color="auto" w:fill="FFFFFF"/>
            <w:tcMar>
              <w:top w:w="30" w:type="dxa"/>
              <w:left w:w="0" w:type="dxa"/>
              <w:bottom w:w="30" w:type="dxa"/>
              <w:right w:w="20" w:type="dxa"/>
            </w:tcMar>
            <w:vAlign w:val="bottom"/>
            <w:hideMark/>
          </w:tcPr>
          <w:p w14:paraId="66FB1E3E" w14:textId="77777777" w:rsidR="00000000" w:rsidRDefault="00E614A4">
            <w:pPr>
              <w:jc w:val="right"/>
              <w:rPr>
                <w:rFonts w:eastAsia="Times New Roman"/>
              </w:rPr>
            </w:pPr>
          </w:p>
        </w:tc>
      </w:tr>
      <w:tr w:rsidR="00000000" w14:paraId="0FE70EF1" w14:textId="77777777">
        <w:trPr>
          <w:divId w:val="1688405563"/>
          <w:jc w:val="center"/>
        </w:trPr>
        <w:tc>
          <w:tcPr>
            <w:tcW w:w="0" w:type="auto"/>
            <w:gridSpan w:val="3"/>
            <w:shd w:val="clear" w:color="auto" w:fill="CCEEFF"/>
            <w:tcMar>
              <w:top w:w="30" w:type="dxa"/>
              <w:left w:w="20" w:type="dxa"/>
              <w:bottom w:w="30" w:type="dxa"/>
              <w:right w:w="20" w:type="dxa"/>
            </w:tcMar>
            <w:hideMark/>
          </w:tcPr>
          <w:p w14:paraId="6223F189" w14:textId="77777777" w:rsidR="00000000" w:rsidRDefault="00E614A4">
            <w:pPr>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14:paraId="17F602B1"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D205AF" w14:textId="77777777" w:rsidR="00000000" w:rsidRDefault="00E614A4">
            <w:pPr>
              <w:jc w:val="right"/>
              <w:rPr>
                <w:rFonts w:eastAsia="Times New Roman"/>
              </w:rPr>
            </w:pPr>
            <w:r>
              <w:rPr>
                <w:rFonts w:eastAsia="Times New Roman"/>
                <w:color w:val="000000"/>
                <w:sz w:val="18"/>
                <w:szCs w:val="18"/>
              </w:rPr>
              <w:t>56 </w:t>
            </w:r>
          </w:p>
        </w:tc>
        <w:tc>
          <w:tcPr>
            <w:tcW w:w="0" w:type="auto"/>
            <w:shd w:val="clear" w:color="auto" w:fill="CCEEFF"/>
            <w:tcMar>
              <w:top w:w="30" w:type="dxa"/>
              <w:left w:w="0" w:type="dxa"/>
              <w:bottom w:w="30" w:type="dxa"/>
              <w:right w:w="20" w:type="dxa"/>
            </w:tcMar>
            <w:vAlign w:val="bottom"/>
            <w:hideMark/>
          </w:tcPr>
          <w:p w14:paraId="3B30EC0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DCBAF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FE56F2" w14:textId="77777777" w:rsidR="00000000" w:rsidRDefault="00E614A4">
            <w:pPr>
              <w:jc w:val="right"/>
              <w:rPr>
                <w:rFonts w:eastAsia="Times New Roman"/>
              </w:rPr>
            </w:pPr>
            <w:r>
              <w:rPr>
                <w:rFonts w:eastAsia="Times New Roman"/>
                <w:color w:val="000000"/>
                <w:sz w:val="18"/>
                <w:szCs w:val="18"/>
              </w:rPr>
              <w:t>375 </w:t>
            </w:r>
          </w:p>
        </w:tc>
        <w:tc>
          <w:tcPr>
            <w:tcW w:w="0" w:type="auto"/>
            <w:shd w:val="clear" w:color="auto" w:fill="CCEEFF"/>
            <w:tcMar>
              <w:top w:w="30" w:type="dxa"/>
              <w:left w:w="0" w:type="dxa"/>
              <w:bottom w:w="30" w:type="dxa"/>
              <w:right w:w="20" w:type="dxa"/>
            </w:tcMar>
            <w:vAlign w:val="bottom"/>
            <w:hideMark/>
          </w:tcPr>
          <w:p w14:paraId="3C5A765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B3ED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27EB99" w14:textId="77777777" w:rsidR="00000000" w:rsidRDefault="00E614A4">
            <w:pPr>
              <w:jc w:val="right"/>
              <w:rPr>
                <w:rFonts w:eastAsia="Times New Roman"/>
              </w:rPr>
            </w:pPr>
            <w:r>
              <w:rPr>
                <w:rFonts w:eastAsia="Times New Roman"/>
                <w:color w:val="000000"/>
                <w:sz w:val="18"/>
                <w:szCs w:val="18"/>
              </w:rPr>
              <w:t>386 </w:t>
            </w:r>
          </w:p>
        </w:tc>
        <w:tc>
          <w:tcPr>
            <w:tcW w:w="0" w:type="auto"/>
            <w:shd w:val="clear" w:color="auto" w:fill="CCEEFF"/>
            <w:tcMar>
              <w:top w:w="30" w:type="dxa"/>
              <w:left w:w="0" w:type="dxa"/>
              <w:bottom w:w="30" w:type="dxa"/>
              <w:right w:w="20" w:type="dxa"/>
            </w:tcMar>
            <w:vAlign w:val="bottom"/>
            <w:hideMark/>
          </w:tcPr>
          <w:p w14:paraId="5A86065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AE864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16A77" w14:textId="77777777" w:rsidR="00000000" w:rsidRDefault="00E614A4">
            <w:pPr>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14:paraId="203E44EE" w14:textId="77777777" w:rsidR="00000000" w:rsidRDefault="00E614A4">
            <w:pPr>
              <w:jc w:val="right"/>
              <w:rPr>
                <w:rFonts w:eastAsia="Times New Roman"/>
              </w:rPr>
            </w:pPr>
          </w:p>
        </w:tc>
      </w:tr>
      <w:tr w:rsidR="00000000" w14:paraId="777AE47B" w14:textId="77777777">
        <w:trPr>
          <w:divId w:val="1688405563"/>
          <w:jc w:val="center"/>
        </w:trPr>
        <w:tc>
          <w:tcPr>
            <w:tcW w:w="0" w:type="auto"/>
            <w:gridSpan w:val="3"/>
            <w:shd w:val="clear" w:color="auto" w:fill="FFFFFF"/>
            <w:tcMar>
              <w:top w:w="30" w:type="dxa"/>
              <w:left w:w="20" w:type="dxa"/>
              <w:bottom w:w="30" w:type="dxa"/>
              <w:right w:w="20" w:type="dxa"/>
            </w:tcMar>
            <w:hideMark/>
          </w:tcPr>
          <w:p w14:paraId="2E34FB09" w14:textId="77777777" w:rsidR="00000000" w:rsidRDefault="00E614A4">
            <w:pPr>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14:paraId="418F46AF"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978D2E" w14:textId="77777777" w:rsidR="00000000" w:rsidRDefault="00E614A4">
            <w:pPr>
              <w:jc w:val="right"/>
              <w:rPr>
                <w:rFonts w:eastAsia="Times New Roman"/>
              </w:rPr>
            </w:pPr>
            <w:r>
              <w:rPr>
                <w:rFonts w:eastAsia="Times New Roman"/>
                <w:color w:val="000000"/>
                <w:sz w:val="18"/>
                <w:szCs w:val="18"/>
              </w:rPr>
              <w:t>1,784 </w:t>
            </w:r>
          </w:p>
        </w:tc>
        <w:tc>
          <w:tcPr>
            <w:tcW w:w="0" w:type="auto"/>
            <w:shd w:val="clear" w:color="auto" w:fill="FFFFFF"/>
            <w:tcMar>
              <w:top w:w="30" w:type="dxa"/>
              <w:left w:w="0" w:type="dxa"/>
              <w:bottom w:w="30" w:type="dxa"/>
              <w:right w:w="20" w:type="dxa"/>
            </w:tcMar>
            <w:vAlign w:val="bottom"/>
            <w:hideMark/>
          </w:tcPr>
          <w:p w14:paraId="410FDCE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95BF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68C281" w14:textId="77777777" w:rsidR="00000000" w:rsidRDefault="00E614A4">
            <w:pPr>
              <w:jc w:val="right"/>
              <w:rPr>
                <w:rFonts w:eastAsia="Times New Roman"/>
              </w:rPr>
            </w:pPr>
            <w:r>
              <w:rPr>
                <w:rFonts w:eastAsia="Times New Roman"/>
                <w:color w:val="000000"/>
                <w:sz w:val="18"/>
                <w:szCs w:val="18"/>
              </w:rPr>
              <w:t>764 </w:t>
            </w:r>
          </w:p>
        </w:tc>
        <w:tc>
          <w:tcPr>
            <w:tcW w:w="0" w:type="auto"/>
            <w:shd w:val="clear" w:color="auto" w:fill="FFFFFF"/>
            <w:tcMar>
              <w:top w:w="30" w:type="dxa"/>
              <w:left w:w="0" w:type="dxa"/>
              <w:bottom w:w="30" w:type="dxa"/>
              <w:right w:w="20" w:type="dxa"/>
            </w:tcMar>
            <w:vAlign w:val="bottom"/>
            <w:hideMark/>
          </w:tcPr>
          <w:p w14:paraId="23FAB12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BA47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90A3D9" w14:textId="77777777" w:rsidR="00000000" w:rsidRDefault="00E614A4">
            <w:pPr>
              <w:jc w:val="right"/>
              <w:rPr>
                <w:rFonts w:eastAsia="Times New Roman"/>
              </w:rPr>
            </w:pPr>
            <w:r>
              <w:rPr>
                <w:rFonts w:eastAsia="Times New Roman"/>
                <w:color w:val="000000"/>
                <w:sz w:val="18"/>
                <w:szCs w:val="18"/>
              </w:rPr>
              <w:t>1,010 </w:t>
            </w:r>
          </w:p>
        </w:tc>
        <w:tc>
          <w:tcPr>
            <w:tcW w:w="0" w:type="auto"/>
            <w:shd w:val="clear" w:color="auto" w:fill="FFFFFF"/>
            <w:tcMar>
              <w:top w:w="30" w:type="dxa"/>
              <w:left w:w="0" w:type="dxa"/>
              <w:bottom w:w="30" w:type="dxa"/>
              <w:right w:w="20" w:type="dxa"/>
            </w:tcMar>
            <w:vAlign w:val="bottom"/>
            <w:hideMark/>
          </w:tcPr>
          <w:p w14:paraId="4EEA8E0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7865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C9DC13" w14:textId="77777777" w:rsidR="00000000" w:rsidRDefault="00E614A4">
            <w:pPr>
              <w:jc w:val="right"/>
              <w:rPr>
                <w:rFonts w:eastAsia="Times New Roman"/>
              </w:rPr>
            </w:pPr>
            <w:r>
              <w:rPr>
                <w:rFonts w:eastAsia="Times New Roman"/>
                <w:color w:val="000000"/>
                <w:sz w:val="18"/>
                <w:szCs w:val="18"/>
              </w:rPr>
              <w:t>2,115 </w:t>
            </w:r>
          </w:p>
        </w:tc>
        <w:tc>
          <w:tcPr>
            <w:tcW w:w="0" w:type="auto"/>
            <w:shd w:val="clear" w:color="auto" w:fill="FFFFFF"/>
            <w:tcMar>
              <w:top w:w="30" w:type="dxa"/>
              <w:left w:w="0" w:type="dxa"/>
              <w:bottom w:w="30" w:type="dxa"/>
              <w:right w:w="20" w:type="dxa"/>
            </w:tcMar>
            <w:vAlign w:val="bottom"/>
            <w:hideMark/>
          </w:tcPr>
          <w:p w14:paraId="420C9347" w14:textId="77777777" w:rsidR="00000000" w:rsidRDefault="00E614A4">
            <w:pPr>
              <w:jc w:val="right"/>
              <w:rPr>
                <w:rFonts w:eastAsia="Times New Roman"/>
              </w:rPr>
            </w:pPr>
          </w:p>
        </w:tc>
      </w:tr>
      <w:tr w:rsidR="00000000" w14:paraId="39F316DB" w14:textId="77777777">
        <w:trPr>
          <w:divId w:val="1688405563"/>
          <w:jc w:val="center"/>
        </w:trPr>
        <w:tc>
          <w:tcPr>
            <w:tcW w:w="0" w:type="auto"/>
            <w:gridSpan w:val="3"/>
            <w:shd w:val="clear" w:color="auto" w:fill="CCEEFF"/>
            <w:tcMar>
              <w:top w:w="30" w:type="dxa"/>
              <w:left w:w="20" w:type="dxa"/>
              <w:bottom w:w="30" w:type="dxa"/>
              <w:right w:w="20" w:type="dxa"/>
            </w:tcMar>
            <w:hideMark/>
          </w:tcPr>
          <w:p w14:paraId="409C2CC8" w14:textId="77777777" w:rsidR="00000000" w:rsidRDefault="00E614A4">
            <w:pPr>
              <w:rPr>
                <w:rFonts w:eastAsia="Times New Roman"/>
              </w:rPr>
            </w:pPr>
            <w:r>
              <w:rPr>
                <w:rFonts w:eastAsia="Times New Roman"/>
                <w:color w:val="000000"/>
                <w:sz w:val="18"/>
                <w:szCs w:val="18"/>
              </w:rPr>
              <w:t>Total stock-based compensation expense</w:t>
            </w:r>
          </w:p>
        </w:tc>
        <w:tc>
          <w:tcPr>
            <w:tcW w:w="0" w:type="auto"/>
            <w:gridSpan w:val="3"/>
            <w:shd w:val="clear" w:color="auto" w:fill="CCEEFF"/>
            <w:tcMar>
              <w:top w:w="0" w:type="dxa"/>
              <w:left w:w="20" w:type="dxa"/>
              <w:bottom w:w="0" w:type="dxa"/>
              <w:right w:w="20" w:type="dxa"/>
            </w:tcMar>
            <w:vAlign w:val="center"/>
            <w:hideMark/>
          </w:tcPr>
          <w:p w14:paraId="426ED64A"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1FA25C"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A47638" w14:textId="77777777" w:rsidR="00000000" w:rsidRDefault="00E614A4">
            <w:pPr>
              <w:jc w:val="right"/>
              <w:rPr>
                <w:rFonts w:eastAsia="Times New Roman"/>
              </w:rPr>
            </w:pPr>
            <w:r>
              <w:rPr>
                <w:rFonts w:eastAsia="Times New Roman"/>
                <w:color w:val="000000"/>
                <w:sz w:val="18"/>
                <w:szCs w:val="18"/>
              </w:rPr>
              <w:t>2,658 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58112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77BC2"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7392D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D572B7" w14:textId="77777777" w:rsidR="00000000" w:rsidRDefault="00E614A4">
            <w:pPr>
              <w:jc w:val="right"/>
              <w:rPr>
                <w:rFonts w:eastAsia="Times New Roman"/>
              </w:rPr>
            </w:pPr>
            <w:r>
              <w:rPr>
                <w:rFonts w:eastAsia="Times New Roman"/>
                <w:color w:val="000000"/>
                <w:sz w:val="18"/>
                <w:szCs w:val="18"/>
              </w:rPr>
              <w:t>2,346 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9E8ED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A2545"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D4A220"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5CB291" w14:textId="77777777" w:rsidR="00000000" w:rsidRDefault="00E614A4">
            <w:pPr>
              <w:jc w:val="right"/>
              <w:rPr>
                <w:rFonts w:eastAsia="Times New Roman"/>
              </w:rPr>
            </w:pPr>
            <w:r>
              <w:rPr>
                <w:rFonts w:eastAsia="Times New Roman"/>
                <w:color w:val="000000"/>
                <w:sz w:val="18"/>
                <w:szCs w:val="18"/>
              </w:rPr>
              <w:t>2,524 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3B31C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1759C"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39C51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4B51B6" w14:textId="77777777" w:rsidR="00000000" w:rsidRDefault="00E614A4">
            <w:pPr>
              <w:jc w:val="right"/>
              <w:rPr>
                <w:rFonts w:eastAsia="Times New Roman"/>
              </w:rPr>
            </w:pPr>
            <w:r>
              <w:rPr>
                <w:rFonts w:eastAsia="Times New Roman"/>
                <w:color w:val="000000"/>
                <w:sz w:val="18"/>
                <w:szCs w:val="18"/>
              </w:rPr>
              <w:t>2,545 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8A6FE2" w14:textId="77777777" w:rsidR="00000000" w:rsidRDefault="00E614A4">
            <w:pPr>
              <w:jc w:val="right"/>
              <w:rPr>
                <w:rFonts w:eastAsia="Times New Roman"/>
              </w:rPr>
            </w:pPr>
          </w:p>
        </w:tc>
      </w:tr>
    </w:tbl>
    <w:p w14:paraId="3DC09CA9" w14:textId="77777777" w:rsidR="00000000" w:rsidRDefault="00E614A4">
      <w:pPr>
        <w:jc w:val="center"/>
        <w:divId w:val="500896240"/>
        <w:rPr>
          <w:rFonts w:eastAsia="Times New Roman"/>
        </w:rPr>
      </w:pPr>
      <w:r>
        <w:rPr>
          <w:rFonts w:eastAsia="Times New Roman"/>
          <w:color w:val="000000"/>
          <w:sz w:val="20"/>
          <w:szCs w:val="20"/>
        </w:rPr>
        <w:t>99</w:t>
      </w:r>
    </w:p>
    <w:p w14:paraId="2146D5B7" w14:textId="77777777" w:rsidR="00000000" w:rsidRDefault="00E614A4">
      <w:pPr>
        <w:rPr>
          <w:rFonts w:eastAsia="Times New Roman"/>
        </w:rPr>
      </w:pPr>
      <w:r>
        <w:rPr>
          <w:rFonts w:eastAsia="Times New Roman"/>
        </w:rPr>
        <w:pict w14:anchorId="1F8A8BF5">
          <v:rect id="_x0000_i1127" style="width:0;height:1.5pt" o:hralign="center" o:hrstd="t" o:hr="t" fillcolor="#a0a0a0" stroked="f"/>
        </w:pict>
      </w:r>
    </w:p>
    <w:p w14:paraId="35818A8C" w14:textId="77777777" w:rsidR="00000000" w:rsidRDefault="00E614A4">
      <w:pPr>
        <w:divId w:val="16051374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5ACF81F" w14:textId="77777777" w:rsidR="00000000" w:rsidRDefault="00E614A4">
      <w:pPr>
        <w:divId w:val="11924583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433"/>
        <w:gridCol w:w="38"/>
        <w:gridCol w:w="36"/>
        <w:gridCol w:w="36"/>
        <w:gridCol w:w="36"/>
        <w:gridCol w:w="111"/>
        <w:gridCol w:w="944"/>
        <w:gridCol w:w="36"/>
        <w:gridCol w:w="36"/>
        <w:gridCol w:w="36"/>
        <w:gridCol w:w="36"/>
        <w:gridCol w:w="111"/>
        <w:gridCol w:w="944"/>
        <w:gridCol w:w="36"/>
        <w:gridCol w:w="36"/>
        <w:gridCol w:w="36"/>
        <w:gridCol w:w="36"/>
        <w:gridCol w:w="111"/>
        <w:gridCol w:w="944"/>
        <w:gridCol w:w="36"/>
        <w:gridCol w:w="36"/>
        <w:gridCol w:w="36"/>
        <w:gridCol w:w="36"/>
        <w:gridCol w:w="111"/>
        <w:gridCol w:w="944"/>
        <w:gridCol w:w="36"/>
      </w:tblGrid>
      <w:tr w:rsidR="00000000" w14:paraId="5ABE3469" w14:textId="77777777">
        <w:trPr>
          <w:divId w:val="1523863754"/>
        </w:trPr>
        <w:tc>
          <w:tcPr>
            <w:tcW w:w="50" w:type="pct"/>
            <w:vAlign w:val="center"/>
            <w:hideMark/>
          </w:tcPr>
          <w:p w14:paraId="17B7A03F" w14:textId="77777777" w:rsidR="00000000" w:rsidRDefault="00E614A4">
            <w:pPr>
              <w:rPr>
                <w:rFonts w:eastAsia="Times New Roman"/>
              </w:rPr>
            </w:pPr>
          </w:p>
        </w:tc>
        <w:tc>
          <w:tcPr>
            <w:tcW w:w="2139" w:type="pct"/>
            <w:vAlign w:val="center"/>
            <w:hideMark/>
          </w:tcPr>
          <w:p w14:paraId="7A8B4256" w14:textId="77777777" w:rsidR="00000000" w:rsidRDefault="00E614A4">
            <w:pPr>
              <w:rPr>
                <w:rFonts w:eastAsia="Times New Roman"/>
                <w:sz w:val="20"/>
                <w:szCs w:val="20"/>
              </w:rPr>
            </w:pPr>
          </w:p>
        </w:tc>
        <w:tc>
          <w:tcPr>
            <w:tcW w:w="5" w:type="pct"/>
            <w:vAlign w:val="center"/>
            <w:hideMark/>
          </w:tcPr>
          <w:p w14:paraId="4B7CD8F3" w14:textId="77777777" w:rsidR="00000000" w:rsidRDefault="00E614A4">
            <w:pPr>
              <w:rPr>
                <w:rFonts w:eastAsia="Times New Roman"/>
                <w:sz w:val="20"/>
                <w:szCs w:val="20"/>
              </w:rPr>
            </w:pPr>
          </w:p>
        </w:tc>
        <w:tc>
          <w:tcPr>
            <w:tcW w:w="5" w:type="pct"/>
            <w:vAlign w:val="center"/>
            <w:hideMark/>
          </w:tcPr>
          <w:p w14:paraId="0F9BB7EC" w14:textId="77777777" w:rsidR="00000000" w:rsidRDefault="00E614A4">
            <w:pPr>
              <w:rPr>
                <w:rFonts w:eastAsia="Times New Roman"/>
                <w:sz w:val="20"/>
                <w:szCs w:val="20"/>
              </w:rPr>
            </w:pPr>
          </w:p>
        </w:tc>
        <w:tc>
          <w:tcPr>
            <w:tcW w:w="17" w:type="pct"/>
            <w:vAlign w:val="center"/>
            <w:hideMark/>
          </w:tcPr>
          <w:p w14:paraId="63EBA3D0" w14:textId="77777777" w:rsidR="00000000" w:rsidRDefault="00E614A4">
            <w:pPr>
              <w:rPr>
                <w:rFonts w:eastAsia="Times New Roman"/>
                <w:sz w:val="20"/>
                <w:szCs w:val="20"/>
              </w:rPr>
            </w:pPr>
          </w:p>
        </w:tc>
        <w:tc>
          <w:tcPr>
            <w:tcW w:w="5" w:type="pct"/>
            <w:vAlign w:val="center"/>
            <w:hideMark/>
          </w:tcPr>
          <w:p w14:paraId="61F83C8D" w14:textId="77777777" w:rsidR="00000000" w:rsidRDefault="00E614A4">
            <w:pPr>
              <w:rPr>
                <w:rFonts w:eastAsia="Times New Roman"/>
                <w:sz w:val="20"/>
                <w:szCs w:val="20"/>
              </w:rPr>
            </w:pPr>
          </w:p>
        </w:tc>
        <w:tc>
          <w:tcPr>
            <w:tcW w:w="50" w:type="pct"/>
            <w:vAlign w:val="center"/>
            <w:hideMark/>
          </w:tcPr>
          <w:p w14:paraId="0B37CCD6" w14:textId="77777777" w:rsidR="00000000" w:rsidRDefault="00E614A4">
            <w:pPr>
              <w:rPr>
                <w:rFonts w:eastAsia="Times New Roman"/>
                <w:sz w:val="20"/>
                <w:szCs w:val="20"/>
              </w:rPr>
            </w:pPr>
          </w:p>
        </w:tc>
        <w:tc>
          <w:tcPr>
            <w:tcW w:w="618" w:type="pct"/>
            <w:vAlign w:val="center"/>
            <w:hideMark/>
          </w:tcPr>
          <w:p w14:paraId="76B9D886" w14:textId="77777777" w:rsidR="00000000" w:rsidRDefault="00E614A4">
            <w:pPr>
              <w:rPr>
                <w:rFonts w:eastAsia="Times New Roman"/>
                <w:sz w:val="20"/>
                <w:szCs w:val="20"/>
              </w:rPr>
            </w:pPr>
          </w:p>
        </w:tc>
        <w:tc>
          <w:tcPr>
            <w:tcW w:w="5" w:type="pct"/>
            <w:vAlign w:val="center"/>
            <w:hideMark/>
          </w:tcPr>
          <w:p w14:paraId="52B48204" w14:textId="77777777" w:rsidR="00000000" w:rsidRDefault="00E614A4">
            <w:pPr>
              <w:rPr>
                <w:rFonts w:eastAsia="Times New Roman"/>
                <w:sz w:val="20"/>
                <w:szCs w:val="20"/>
              </w:rPr>
            </w:pPr>
          </w:p>
        </w:tc>
        <w:tc>
          <w:tcPr>
            <w:tcW w:w="5" w:type="pct"/>
            <w:vAlign w:val="center"/>
            <w:hideMark/>
          </w:tcPr>
          <w:p w14:paraId="71ECBEAC" w14:textId="77777777" w:rsidR="00000000" w:rsidRDefault="00E614A4">
            <w:pPr>
              <w:rPr>
                <w:rFonts w:eastAsia="Times New Roman"/>
                <w:sz w:val="20"/>
                <w:szCs w:val="20"/>
              </w:rPr>
            </w:pPr>
          </w:p>
        </w:tc>
        <w:tc>
          <w:tcPr>
            <w:tcW w:w="17" w:type="pct"/>
            <w:vAlign w:val="center"/>
            <w:hideMark/>
          </w:tcPr>
          <w:p w14:paraId="225BC9EB" w14:textId="77777777" w:rsidR="00000000" w:rsidRDefault="00E614A4">
            <w:pPr>
              <w:rPr>
                <w:rFonts w:eastAsia="Times New Roman"/>
                <w:sz w:val="20"/>
                <w:szCs w:val="20"/>
              </w:rPr>
            </w:pPr>
          </w:p>
        </w:tc>
        <w:tc>
          <w:tcPr>
            <w:tcW w:w="5" w:type="pct"/>
            <w:vAlign w:val="center"/>
            <w:hideMark/>
          </w:tcPr>
          <w:p w14:paraId="365DF28C" w14:textId="77777777" w:rsidR="00000000" w:rsidRDefault="00E614A4">
            <w:pPr>
              <w:rPr>
                <w:rFonts w:eastAsia="Times New Roman"/>
                <w:sz w:val="20"/>
                <w:szCs w:val="20"/>
              </w:rPr>
            </w:pPr>
          </w:p>
        </w:tc>
        <w:tc>
          <w:tcPr>
            <w:tcW w:w="50" w:type="pct"/>
            <w:vAlign w:val="center"/>
            <w:hideMark/>
          </w:tcPr>
          <w:p w14:paraId="4D2EA4D9" w14:textId="77777777" w:rsidR="00000000" w:rsidRDefault="00E614A4">
            <w:pPr>
              <w:rPr>
                <w:rFonts w:eastAsia="Times New Roman"/>
                <w:sz w:val="20"/>
                <w:szCs w:val="20"/>
              </w:rPr>
            </w:pPr>
          </w:p>
        </w:tc>
        <w:tc>
          <w:tcPr>
            <w:tcW w:w="618" w:type="pct"/>
            <w:vAlign w:val="center"/>
            <w:hideMark/>
          </w:tcPr>
          <w:p w14:paraId="1176F752" w14:textId="77777777" w:rsidR="00000000" w:rsidRDefault="00E614A4">
            <w:pPr>
              <w:rPr>
                <w:rFonts w:eastAsia="Times New Roman"/>
                <w:sz w:val="20"/>
                <w:szCs w:val="20"/>
              </w:rPr>
            </w:pPr>
          </w:p>
        </w:tc>
        <w:tc>
          <w:tcPr>
            <w:tcW w:w="5" w:type="pct"/>
            <w:vAlign w:val="center"/>
            <w:hideMark/>
          </w:tcPr>
          <w:p w14:paraId="1BFABA24" w14:textId="77777777" w:rsidR="00000000" w:rsidRDefault="00E614A4">
            <w:pPr>
              <w:rPr>
                <w:rFonts w:eastAsia="Times New Roman"/>
                <w:sz w:val="20"/>
                <w:szCs w:val="20"/>
              </w:rPr>
            </w:pPr>
          </w:p>
        </w:tc>
        <w:tc>
          <w:tcPr>
            <w:tcW w:w="5" w:type="pct"/>
            <w:vAlign w:val="center"/>
            <w:hideMark/>
          </w:tcPr>
          <w:p w14:paraId="7CC3B723" w14:textId="77777777" w:rsidR="00000000" w:rsidRDefault="00E614A4">
            <w:pPr>
              <w:rPr>
                <w:rFonts w:eastAsia="Times New Roman"/>
                <w:sz w:val="20"/>
                <w:szCs w:val="20"/>
              </w:rPr>
            </w:pPr>
          </w:p>
        </w:tc>
        <w:tc>
          <w:tcPr>
            <w:tcW w:w="17" w:type="pct"/>
            <w:vAlign w:val="center"/>
            <w:hideMark/>
          </w:tcPr>
          <w:p w14:paraId="7B55C587" w14:textId="77777777" w:rsidR="00000000" w:rsidRDefault="00E614A4">
            <w:pPr>
              <w:rPr>
                <w:rFonts w:eastAsia="Times New Roman"/>
                <w:sz w:val="20"/>
                <w:szCs w:val="20"/>
              </w:rPr>
            </w:pPr>
          </w:p>
        </w:tc>
        <w:tc>
          <w:tcPr>
            <w:tcW w:w="5" w:type="pct"/>
            <w:vAlign w:val="center"/>
            <w:hideMark/>
          </w:tcPr>
          <w:p w14:paraId="2487CA26" w14:textId="77777777" w:rsidR="00000000" w:rsidRDefault="00E614A4">
            <w:pPr>
              <w:rPr>
                <w:rFonts w:eastAsia="Times New Roman"/>
                <w:sz w:val="20"/>
                <w:szCs w:val="20"/>
              </w:rPr>
            </w:pPr>
          </w:p>
        </w:tc>
        <w:tc>
          <w:tcPr>
            <w:tcW w:w="50" w:type="pct"/>
            <w:vAlign w:val="center"/>
            <w:hideMark/>
          </w:tcPr>
          <w:p w14:paraId="0862E242" w14:textId="77777777" w:rsidR="00000000" w:rsidRDefault="00E614A4">
            <w:pPr>
              <w:rPr>
                <w:rFonts w:eastAsia="Times New Roman"/>
                <w:sz w:val="20"/>
                <w:szCs w:val="20"/>
              </w:rPr>
            </w:pPr>
          </w:p>
        </w:tc>
        <w:tc>
          <w:tcPr>
            <w:tcW w:w="618" w:type="pct"/>
            <w:vAlign w:val="center"/>
            <w:hideMark/>
          </w:tcPr>
          <w:p w14:paraId="548EB845" w14:textId="77777777" w:rsidR="00000000" w:rsidRDefault="00E614A4">
            <w:pPr>
              <w:rPr>
                <w:rFonts w:eastAsia="Times New Roman"/>
                <w:sz w:val="20"/>
                <w:szCs w:val="20"/>
              </w:rPr>
            </w:pPr>
          </w:p>
        </w:tc>
        <w:tc>
          <w:tcPr>
            <w:tcW w:w="5" w:type="pct"/>
            <w:vAlign w:val="center"/>
            <w:hideMark/>
          </w:tcPr>
          <w:p w14:paraId="0240150C" w14:textId="77777777" w:rsidR="00000000" w:rsidRDefault="00E614A4">
            <w:pPr>
              <w:rPr>
                <w:rFonts w:eastAsia="Times New Roman"/>
                <w:sz w:val="20"/>
                <w:szCs w:val="20"/>
              </w:rPr>
            </w:pPr>
          </w:p>
        </w:tc>
        <w:tc>
          <w:tcPr>
            <w:tcW w:w="5" w:type="pct"/>
            <w:vAlign w:val="center"/>
            <w:hideMark/>
          </w:tcPr>
          <w:p w14:paraId="6F742900" w14:textId="77777777" w:rsidR="00000000" w:rsidRDefault="00E614A4">
            <w:pPr>
              <w:rPr>
                <w:rFonts w:eastAsia="Times New Roman"/>
                <w:sz w:val="20"/>
                <w:szCs w:val="20"/>
              </w:rPr>
            </w:pPr>
          </w:p>
        </w:tc>
        <w:tc>
          <w:tcPr>
            <w:tcW w:w="17" w:type="pct"/>
            <w:vAlign w:val="center"/>
            <w:hideMark/>
          </w:tcPr>
          <w:p w14:paraId="5655D552" w14:textId="77777777" w:rsidR="00000000" w:rsidRDefault="00E614A4">
            <w:pPr>
              <w:rPr>
                <w:rFonts w:eastAsia="Times New Roman"/>
                <w:sz w:val="20"/>
                <w:szCs w:val="20"/>
              </w:rPr>
            </w:pPr>
          </w:p>
        </w:tc>
        <w:tc>
          <w:tcPr>
            <w:tcW w:w="5" w:type="pct"/>
            <w:vAlign w:val="center"/>
            <w:hideMark/>
          </w:tcPr>
          <w:p w14:paraId="35E57FFC" w14:textId="77777777" w:rsidR="00000000" w:rsidRDefault="00E614A4">
            <w:pPr>
              <w:rPr>
                <w:rFonts w:eastAsia="Times New Roman"/>
                <w:sz w:val="20"/>
                <w:szCs w:val="20"/>
              </w:rPr>
            </w:pPr>
          </w:p>
        </w:tc>
        <w:tc>
          <w:tcPr>
            <w:tcW w:w="50" w:type="pct"/>
            <w:vAlign w:val="center"/>
            <w:hideMark/>
          </w:tcPr>
          <w:p w14:paraId="406BAE2E" w14:textId="77777777" w:rsidR="00000000" w:rsidRDefault="00E614A4">
            <w:pPr>
              <w:rPr>
                <w:rFonts w:eastAsia="Times New Roman"/>
                <w:sz w:val="20"/>
                <w:szCs w:val="20"/>
              </w:rPr>
            </w:pPr>
          </w:p>
        </w:tc>
        <w:tc>
          <w:tcPr>
            <w:tcW w:w="618" w:type="pct"/>
            <w:vAlign w:val="center"/>
            <w:hideMark/>
          </w:tcPr>
          <w:p w14:paraId="7E05E70F" w14:textId="77777777" w:rsidR="00000000" w:rsidRDefault="00E614A4">
            <w:pPr>
              <w:rPr>
                <w:rFonts w:eastAsia="Times New Roman"/>
                <w:sz w:val="20"/>
                <w:szCs w:val="20"/>
              </w:rPr>
            </w:pPr>
          </w:p>
        </w:tc>
        <w:tc>
          <w:tcPr>
            <w:tcW w:w="5" w:type="pct"/>
            <w:vAlign w:val="center"/>
            <w:hideMark/>
          </w:tcPr>
          <w:p w14:paraId="437E2E2C" w14:textId="77777777" w:rsidR="00000000" w:rsidRDefault="00E614A4">
            <w:pPr>
              <w:rPr>
                <w:rFonts w:eastAsia="Times New Roman"/>
                <w:sz w:val="20"/>
                <w:szCs w:val="20"/>
              </w:rPr>
            </w:pPr>
          </w:p>
        </w:tc>
      </w:tr>
      <w:tr w:rsidR="00000000" w14:paraId="3D060CF4" w14:textId="77777777">
        <w:trPr>
          <w:divId w:val="1523863754"/>
        </w:trPr>
        <w:tc>
          <w:tcPr>
            <w:tcW w:w="0" w:type="auto"/>
            <w:gridSpan w:val="3"/>
            <w:tcMar>
              <w:top w:w="30" w:type="dxa"/>
              <w:left w:w="20" w:type="dxa"/>
              <w:bottom w:w="30" w:type="dxa"/>
              <w:right w:w="20" w:type="dxa"/>
            </w:tcMar>
            <w:vAlign w:val="bottom"/>
            <w:hideMark/>
          </w:tcPr>
          <w:p w14:paraId="4DED8599" w14:textId="77777777" w:rsidR="00000000" w:rsidRDefault="00E614A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C2B162D" w14:textId="77777777" w:rsidR="00000000" w:rsidRDefault="00E614A4">
            <w:pPr>
              <w:rPr>
                <w:rFonts w:eastAsia="Times New Roman"/>
              </w:rPr>
            </w:pPr>
          </w:p>
        </w:tc>
        <w:tc>
          <w:tcPr>
            <w:tcW w:w="0" w:type="auto"/>
            <w:gridSpan w:val="21"/>
            <w:tcMar>
              <w:top w:w="30" w:type="dxa"/>
              <w:left w:w="20" w:type="dxa"/>
              <w:bottom w:w="30" w:type="dxa"/>
              <w:right w:w="20" w:type="dxa"/>
            </w:tcMar>
            <w:vAlign w:val="bottom"/>
            <w:hideMark/>
          </w:tcPr>
          <w:p w14:paraId="0BFE7CCA" w14:textId="77777777" w:rsidR="00000000" w:rsidRDefault="00E614A4">
            <w:pPr>
              <w:jc w:val="center"/>
              <w:rPr>
                <w:rFonts w:eastAsia="Times New Roman"/>
              </w:rPr>
            </w:pPr>
            <w:r>
              <w:rPr>
                <w:rFonts w:eastAsia="Times New Roman"/>
                <w:b/>
                <w:bCs/>
                <w:color w:val="000000"/>
                <w:sz w:val="16"/>
                <w:szCs w:val="16"/>
              </w:rPr>
              <w:t>2019</w:t>
            </w:r>
          </w:p>
        </w:tc>
      </w:tr>
      <w:tr w:rsidR="00000000" w14:paraId="1A064CCB" w14:textId="77777777">
        <w:trPr>
          <w:divId w:val="1523863754"/>
        </w:trPr>
        <w:tc>
          <w:tcPr>
            <w:tcW w:w="0" w:type="auto"/>
            <w:gridSpan w:val="3"/>
            <w:tcMar>
              <w:top w:w="0" w:type="dxa"/>
              <w:left w:w="20" w:type="dxa"/>
              <w:bottom w:w="0" w:type="dxa"/>
              <w:right w:w="20" w:type="dxa"/>
            </w:tcMar>
            <w:vAlign w:val="center"/>
            <w:hideMark/>
          </w:tcPr>
          <w:p w14:paraId="2C2BAFA1"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22FD75CD" w14:textId="77777777" w:rsidR="00000000" w:rsidRDefault="00E614A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09D09CB" w14:textId="77777777" w:rsidR="00000000" w:rsidRDefault="00E614A4">
            <w:pPr>
              <w:jc w:val="center"/>
              <w:rPr>
                <w:rFonts w:eastAsia="Times New Roman"/>
              </w:rPr>
            </w:pPr>
            <w:r>
              <w:rPr>
                <w:rFonts w:eastAsia="Times New Roman"/>
                <w:b/>
                <w:bCs/>
                <w:color w:val="000000"/>
                <w:sz w:val="16"/>
                <w:szCs w:val="16"/>
              </w:rPr>
              <w:t>First</w:t>
            </w:r>
          </w:p>
        </w:tc>
        <w:tc>
          <w:tcPr>
            <w:tcW w:w="0" w:type="auto"/>
            <w:gridSpan w:val="3"/>
            <w:tcBorders>
              <w:top w:val="single" w:sz="8" w:space="0" w:color="000000"/>
            </w:tcBorders>
            <w:tcMar>
              <w:top w:w="0" w:type="dxa"/>
              <w:left w:w="20" w:type="dxa"/>
              <w:bottom w:w="0" w:type="dxa"/>
              <w:right w:w="20" w:type="dxa"/>
            </w:tcMar>
            <w:vAlign w:val="center"/>
            <w:hideMark/>
          </w:tcPr>
          <w:p w14:paraId="538DA628"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2C3EA5" w14:textId="77777777" w:rsidR="00000000" w:rsidRDefault="00E614A4">
            <w:pPr>
              <w:jc w:val="center"/>
              <w:rPr>
                <w:rFonts w:eastAsia="Times New Roman"/>
              </w:rPr>
            </w:pPr>
            <w:r>
              <w:rPr>
                <w:rFonts w:eastAsia="Times New Roman"/>
                <w:b/>
                <w:bCs/>
                <w:color w:val="000000"/>
                <w:sz w:val="16"/>
                <w:szCs w:val="16"/>
              </w:rPr>
              <w:t>Second</w:t>
            </w:r>
          </w:p>
        </w:tc>
        <w:tc>
          <w:tcPr>
            <w:tcW w:w="0" w:type="auto"/>
            <w:gridSpan w:val="3"/>
            <w:tcBorders>
              <w:top w:val="single" w:sz="8" w:space="0" w:color="000000"/>
            </w:tcBorders>
            <w:tcMar>
              <w:top w:w="0" w:type="dxa"/>
              <w:left w:w="20" w:type="dxa"/>
              <w:bottom w:w="0" w:type="dxa"/>
              <w:right w:w="20" w:type="dxa"/>
            </w:tcMar>
            <w:vAlign w:val="center"/>
            <w:hideMark/>
          </w:tcPr>
          <w:p w14:paraId="486C3248"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D1D52F" w14:textId="77777777" w:rsidR="00000000" w:rsidRDefault="00E614A4">
            <w:pPr>
              <w:jc w:val="center"/>
              <w:rPr>
                <w:rFonts w:eastAsia="Times New Roman"/>
              </w:rPr>
            </w:pPr>
            <w:r>
              <w:rPr>
                <w:rFonts w:eastAsia="Times New Roman"/>
                <w:b/>
                <w:bCs/>
                <w:color w:val="000000"/>
                <w:sz w:val="16"/>
                <w:szCs w:val="16"/>
              </w:rPr>
              <w:t>Third</w:t>
            </w:r>
          </w:p>
        </w:tc>
        <w:tc>
          <w:tcPr>
            <w:tcW w:w="0" w:type="auto"/>
            <w:gridSpan w:val="3"/>
            <w:tcBorders>
              <w:top w:val="single" w:sz="8" w:space="0" w:color="000000"/>
            </w:tcBorders>
            <w:tcMar>
              <w:top w:w="0" w:type="dxa"/>
              <w:left w:w="20" w:type="dxa"/>
              <w:bottom w:w="0" w:type="dxa"/>
              <w:right w:w="20" w:type="dxa"/>
            </w:tcMar>
            <w:vAlign w:val="center"/>
            <w:hideMark/>
          </w:tcPr>
          <w:p w14:paraId="01EC74E6" w14:textId="77777777" w:rsidR="00000000" w:rsidRDefault="00E614A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4D42BD" w14:textId="77777777" w:rsidR="00000000" w:rsidRDefault="00E614A4">
            <w:pPr>
              <w:jc w:val="center"/>
              <w:rPr>
                <w:rFonts w:eastAsia="Times New Roman"/>
              </w:rPr>
            </w:pPr>
            <w:r>
              <w:rPr>
                <w:rFonts w:eastAsia="Times New Roman"/>
                <w:b/>
                <w:bCs/>
                <w:color w:val="000000"/>
                <w:sz w:val="16"/>
                <w:szCs w:val="16"/>
              </w:rPr>
              <w:t>Fourth</w:t>
            </w:r>
          </w:p>
        </w:tc>
      </w:tr>
      <w:tr w:rsidR="00000000" w14:paraId="2637AD2E" w14:textId="77777777">
        <w:trPr>
          <w:divId w:val="1523863754"/>
        </w:trPr>
        <w:tc>
          <w:tcPr>
            <w:tcW w:w="0" w:type="auto"/>
            <w:gridSpan w:val="3"/>
            <w:shd w:val="clear" w:color="auto" w:fill="CCEEFF"/>
            <w:tcMar>
              <w:top w:w="30" w:type="dxa"/>
              <w:left w:w="20" w:type="dxa"/>
              <w:bottom w:w="30" w:type="dxa"/>
              <w:right w:w="20" w:type="dxa"/>
            </w:tcMar>
            <w:hideMark/>
          </w:tcPr>
          <w:p w14:paraId="7EBCC316" w14:textId="77777777" w:rsidR="00000000" w:rsidRDefault="00E614A4">
            <w:pPr>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14:paraId="2A951DCD"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A5103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6C30E1" w14:textId="77777777" w:rsidR="00000000" w:rsidRDefault="00E614A4">
            <w:pPr>
              <w:jc w:val="right"/>
              <w:rPr>
                <w:rFonts w:eastAsia="Times New Roman"/>
              </w:rPr>
            </w:pPr>
            <w:r>
              <w:rPr>
                <w:rFonts w:eastAsia="Times New Roman"/>
                <w:color w:val="000000"/>
                <w:sz w:val="18"/>
                <w:szCs w:val="18"/>
              </w:rPr>
              <w:t>102,294 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9BD6DF"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EE627"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20486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864FEA" w14:textId="77777777" w:rsidR="00000000" w:rsidRDefault="00E614A4">
            <w:pPr>
              <w:jc w:val="right"/>
              <w:rPr>
                <w:rFonts w:eastAsia="Times New Roman"/>
              </w:rPr>
            </w:pPr>
            <w:r>
              <w:rPr>
                <w:rFonts w:eastAsia="Times New Roman"/>
                <w:color w:val="000000"/>
                <w:sz w:val="18"/>
                <w:szCs w:val="18"/>
              </w:rPr>
              <w:t>96,888 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B49C3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D92259"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0797A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51F461" w14:textId="77777777" w:rsidR="00000000" w:rsidRDefault="00E614A4">
            <w:pPr>
              <w:jc w:val="right"/>
              <w:rPr>
                <w:rFonts w:eastAsia="Times New Roman"/>
              </w:rPr>
            </w:pPr>
            <w:r>
              <w:rPr>
                <w:rFonts w:eastAsia="Times New Roman"/>
                <w:color w:val="000000"/>
                <w:sz w:val="18"/>
                <w:szCs w:val="18"/>
              </w:rPr>
              <w:t>94,300 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18F9B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31B2F5"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AB3F0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9E3AE7" w14:textId="77777777" w:rsidR="00000000" w:rsidRDefault="00E614A4">
            <w:pPr>
              <w:jc w:val="right"/>
              <w:rPr>
                <w:rFonts w:eastAsia="Times New Roman"/>
              </w:rPr>
            </w:pPr>
            <w:r>
              <w:rPr>
                <w:rFonts w:eastAsia="Times New Roman"/>
                <w:color w:val="000000"/>
                <w:sz w:val="18"/>
                <w:szCs w:val="18"/>
              </w:rPr>
              <w:t>95,163 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466259" w14:textId="77777777" w:rsidR="00000000" w:rsidRDefault="00E614A4">
            <w:pPr>
              <w:jc w:val="right"/>
              <w:rPr>
                <w:rFonts w:eastAsia="Times New Roman"/>
              </w:rPr>
            </w:pPr>
          </w:p>
        </w:tc>
      </w:tr>
      <w:tr w:rsidR="00000000" w14:paraId="2B8694B4" w14:textId="77777777">
        <w:trPr>
          <w:divId w:val="1523863754"/>
        </w:trPr>
        <w:tc>
          <w:tcPr>
            <w:tcW w:w="0" w:type="auto"/>
            <w:gridSpan w:val="3"/>
            <w:shd w:val="clear" w:color="auto" w:fill="FFFFFF"/>
            <w:tcMar>
              <w:top w:w="30" w:type="dxa"/>
              <w:left w:w="20" w:type="dxa"/>
              <w:bottom w:w="30" w:type="dxa"/>
              <w:right w:w="20" w:type="dxa"/>
            </w:tcMar>
            <w:hideMark/>
          </w:tcPr>
          <w:p w14:paraId="40FB74B3" w14:textId="77777777" w:rsidR="00000000" w:rsidRDefault="00E614A4">
            <w:pPr>
              <w:divId w:val="187526556"/>
              <w:rPr>
                <w:rFonts w:eastAsia="Times New Roman"/>
              </w:rPr>
            </w:pPr>
            <w:r>
              <w:rPr>
                <w:rFonts w:eastAsia="Times New Roman"/>
                <w:color w:val="000000"/>
                <w:sz w:val="18"/>
                <w:szCs w:val="18"/>
              </w:rPr>
              <w:t>Cost of revenues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9B8CE0F"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C5DB23" w14:textId="77777777" w:rsidR="00000000" w:rsidRDefault="00E614A4">
            <w:pPr>
              <w:jc w:val="right"/>
              <w:rPr>
                <w:rFonts w:eastAsia="Times New Roman"/>
              </w:rPr>
            </w:pPr>
            <w:r>
              <w:rPr>
                <w:rFonts w:eastAsia="Times New Roman"/>
                <w:color w:val="000000"/>
                <w:sz w:val="18"/>
                <w:szCs w:val="18"/>
              </w:rPr>
              <w:t>53,407 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747E57"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FCB64"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CA7181" w14:textId="77777777" w:rsidR="00000000" w:rsidRDefault="00E614A4">
            <w:pPr>
              <w:jc w:val="right"/>
              <w:rPr>
                <w:rFonts w:eastAsia="Times New Roman"/>
              </w:rPr>
            </w:pPr>
            <w:r>
              <w:rPr>
                <w:rFonts w:eastAsia="Times New Roman"/>
                <w:color w:val="000000"/>
                <w:sz w:val="18"/>
                <w:szCs w:val="18"/>
              </w:rPr>
              <w:t>51,994 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7121D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C86AF"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379CED" w14:textId="77777777" w:rsidR="00000000" w:rsidRDefault="00E614A4">
            <w:pPr>
              <w:jc w:val="right"/>
              <w:rPr>
                <w:rFonts w:eastAsia="Times New Roman"/>
              </w:rPr>
            </w:pPr>
            <w:r>
              <w:rPr>
                <w:rFonts w:eastAsia="Times New Roman"/>
                <w:color w:val="000000"/>
                <w:sz w:val="18"/>
                <w:szCs w:val="18"/>
              </w:rPr>
              <w:t>47,390 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8BF02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93A5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903FEC" w14:textId="77777777" w:rsidR="00000000" w:rsidRDefault="00E614A4">
            <w:pPr>
              <w:jc w:val="right"/>
              <w:rPr>
                <w:rFonts w:eastAsia="Times New Roman"/>
              </w:rPr>
            </w:pPr>
            <w:r>
              <w:rPr>
                <w:rFonts w:eastAsia="Times New Roman"/>
                <w:color w:val="000000"/>
                <w:sz w:val="18"/>
                <w:szCs w:val="18"/>
              </w:rPr>
              <w:t>46,831 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F12789" w14:textId="77777777" w:rsidR="00000000" w:rsidRDefault="00E614A4">
            <w:pPr>
              <w:jc w:val="right"/>
              <w:rPr>
                <w:rFonts w:eastAsia="Times New Roman"/>
              </w:rPr>
            </w:pPr>
          </w:p>
        </w:tc>
      </w:tr>
      <w:tr w:rsidR="00000000" w14:paraId="43BCB03E" w14:textId="77777777">
        <w:trPr>
          <w:divId w:val="1523863754"/>
        </w:trPr>
        <w:tc>
          <w:tcPr>
            <w:tcW w:w="0" w:type="auto"/>
            <w:gridSpan w:val="3"/>
            <w:shd w:val="clear" w:color="auto" w:fill="CCEEFF"/>
            <w:tcMar>
              <w:top w:w="30" w:type="dxa"/>
              <w:left w:w="20" w:type="dxa"/>
              <w:bottom w:w="30" w:type="dxa"/>
              <w:right w:w="20" w:type="dxa"/>
            </w:tcMar>
            <w:hideMark/>
          </w:tcPr>
          <w:p w14:paraId="65038060" w14:textId="77777777" w:rsidR="00000000" w:rsidRDefault="00E614A4">
            <w:pPr>
              <w:rPr>
                <w:rFonts w:eastAsia="Times New Roman"/>
              </w:rPr>
            </w:pPr>
            <w:r>
              <w:rPr>
                <w:rFonts w:eastAsia="Times New Roman"/>
                <w:color w:val="000000"/>
                <w:sz w:val="18"/>
                <w:szCs w:val="18"/>
              </w:rPr>
              <w:t>Gross profit</w:t>
            </w:r>
          </w:p>
        </w:tc>
        <w:tc>
          <w:tcPr>
            <w:tcW w:w="0" w:type="auto"/>
            <w:gridSpan w:val="3"/>
            <w:shd w:val="clear" w:color="auto" w:fill="CCEEFF"/>
            <w:tcMar>
              <w:top w:w="0" w:type="dxa"/>
              <w:left w:w="20" w:type="dxa"/>
              <w:bottom w:w="0" w:type="dxa"/>
              <w:right w:w="20" w:type="dxa"/>
            </w:tcMar>
            <w:vAlign w:val="center"/>
            <w:hideMark/>
          </w:tcPr>
          <w:p w14:paraId="5260CB8D"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6DB08B" w14:textId="77777777" w:rsidR="00000000" w:rsidRDefault="00E614A4">
            <w:pPr>
              <w:jc w:val="right"/>
              <w:rPr>
                <w:rFonts w:eastAsia="Times New Roman"/>
              </w:rPr>
            </w:pPr>
            <w:r>
              <w:rPr>
                <w:rFonts w:eastAsia="Times New Roman"/>
                <w:color w:val="000000"/>
                <w:sz w:val="18"/>
                <w:szCs w:val="18"/>
              </w:rPr>
              <w:t>48,887 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1AB9E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AEB53"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02942A" w14:textId="77777777" w:rsidR="00000000" w:rsidRDefault="00E614A4">
            <w:pPr>
              <w:jc w:val="right"/>
              <w:rPr>
                <w:rFonts w:eastAsia="Times New Roman"/>
              </w:rPr>
            </w:pPr>
            <w:r>
              <w:rPr>
                <w:rFonts w:eastAsia="Times New Roman"/>
                <w:color w:val="000000"/>
                <w:sz w:val="18"/>
                <w:szCs w:val="18"/>
              </w:rPr>
              <w:t>44,894 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ACDE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9C4B3"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BBE032" w14:textId="77777777" w:rsidR="00000000" w:rsidRDefault="00E614A4">
            <w:pPr>
              <w:jc w:val="right"/>
              <w:rPr>
                <w:rFonts w:eastAsia="Times New Roman"/>
              </w:rPr>
            </w:pPr>
            <w:r>
              <w:rPr>
                <w:rFonts w:eastAsia="Times New Roman"/>
                <w:color w:val="000000"/>
                <w:sz w:val="18"/>
                <w:szCs w:val="18"/>
              </w:rPr>
              <w:t>46,910 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94977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44829"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D13E1D" w14:textId="77777777" w:rsidR="00000000" w:rsidRDefault="00E614A4">
            <w:pPr>
              <w:jc w:val="right"/>
              <w:rPr>
                <w:rFonts w:eastAsia="Times New Roman"/>
              </w:rPr>
            </w:pPr>
            <w:r>
              <w:rPr>
                <w:rFonts w:eastAsia="Times New Roman"/>
                <w:color w:val="000000"/>
                <w:sz w:val="18"/>
                <w:szCs w:val="18"/>
              </w:rPr>
              <w:t>48,332 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48A3B1" w14:textId="77777777" w:rsidR="00000000" w:rsidRDefault="00E614A4">
            <w:pPr>
              <w:jc w:val="right"/>
              <w:rPr>
                <w:rFonts w:eastAsia="Times New Roman"/>
              </w:rPr>
            </w:pPr>
          </w:p>
        </w:tc>
      </w:tr>
      <w:tr w:rsidR="00000000" w14:paraId="31595A37" w14:textId="77777777">
        <w:trPr>
          <w:divId w:val="1523863754"/>
        </w:trPr>
        <w:tc>
          <w:tcPr>
            <w:tcW w:w="0" w:type="auto"/>
            <w:gridSpan w:val="3"/>
            <w:shd w:val="clear" w:color="auto" w:fill="FFFFFF"/>
            <w:tcMar>
              <w:top w:w="30" w:type="dxa"/>
              <w:left w:w="20" w:type="dxa"/>
              <w:bottom w:w="30" w:type="dxa"/>
              <w:right w:w="20" w:type="dxa"/>
            </w:tcMar>
            <w:hideMark/>
          </w:tcPr>
          <w:p w14:paraId="38C20694" w14:textId="77777777" w:rsidR="00000000" w:rsidRDefault="00E614A4">
            <w:pPr>
              <w:divId w:val="343283293"/>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6831D42"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061702" w14:textId="77777777" w:rsidR="00000000" w:rsidRDefault="00E614A4">
            <w:pPr>
              <w:jc w:val="right"/>
              <w:rPr>
                <w:rFonts w:eastAsia="Times New Roman"/>
              </w:rPr>
            </w:pPr>
            <w:r>
              <w:rPr>
                <w:rFonts w:eastAsia="Times New Roman"/>
                <w:color w:val="000000"/>
                <w:sz w:val="18"/>
                <w:szCs w:val="18"/>
              </w:rPr>
              <w:t>24,840 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ADA41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D8DBB"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B30451" w14:textId="77777777" w:rsidR="00000000" w:rsidRDefault="00E614A4">
            <w:pPr>
              <w:jc w:val="right"/>
              <w:rPr>
                <w:rFonts w:eastAsia="Times New Roman"/>
              </w:rPr>
            </w:pPr>
            <w:r>
              <w:rPr>
                <w:rFonts w:eastAsia="Times New Roman"/>
                <w:color w:val="000000"/>
                <w:sz w:val="18"/>
                <w:szCs w:val="18"/>
              </w:rPr>
              <w:t>23,329 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B978E9"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0423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D7E01D" w14:textId="77777777" w:rsidR="00000000" w:rsidRDefault="00E614A4">
            <w:pPr>
              <w:jc w:val="right"/>
              <w:rPr>
                <w:rFonts w:eastAsia="Times New Roman"/>
              </w:rPr>
            </w:pPr>
            <w:r>
              <w:rPr>
                <w:rFonts w:eastAsia="Times New Roman"/>
                <w:color w:val="000000"/>
                <w:sz w:val="18"/>
                <w:szCs w:val="18"/>
              </w:rPr>
              <w:t>20,421 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BD869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1F2DA"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2E6969" w14:textId="77777777" w:rsidR="00000000" w:rsidRDefault="00E614A4">
            <w:pPr>
              <w:jc w:val="right"/>
              <w:rPr>
                <w:rFonts w:eastAsia="Times New Roman"/>
              </w:rPr>
            </w:pPr>
            <w:r>
              <w:rPr>
                <w:rFonts w:eastAsia="Times New Roman"/>
                <w:color w:val="000000"/>
                <w:sz w:val="18"/>
                <w:szCs w:val="18"/>
              </w:rPr>
              <w:t>20,555 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8EE7A5" w14:textId="77777777" w:rsidR="00000000" w:rsidRDefault="00E614A4">
            <w:pPr>
              <w:jc w:val="right"/>
              <w:rPr>
                <w:rFonts w:eastAsia="Times New Roman"/>
              </w:rPr>
            </w:pPr>
          </w:p>
        </w:tc>
      </w:tr>
      <w:tr w:rsidR="00000000" w14:paraId="11296EC5" w14:textId="77777777">
        <w:trPr>
          <w:divId w:val="1523863754"/>
        </w:trPr>
        <w:tc>
          <w:tcPr>
            <w:tcW w:w="0" w:type="auto"/>
            <w:gridSpan w:val="3"/>
            <w:shd w:val="clear" w:color="auto" w:fill="CCEEFF"/>
            <w:tcMar>
              <w:top w:w="30" w:type="dxa"/>
              <w:left w:w="20" w:type="dxa"/>
              <w:bottom w:w="30" w:type="dxa"/>
              <w:right w:w="20" w:type="dxa"/>
            </w:tcMar>
            <w:hideMark/>
          </w:tcPr>
          <w:p w14:paraId="4BE6CF70" w14:textId="77777777" w:rsidR="00000000" w:rsidRDefault="00E614A4">
            <w:pPr>
              <w:divId w:val="1812752561"/>
              <w:rPr>
                <w:rFonts w:eastAsia="Times New Roman"/>
              </w:rPr>
            </w:pPr>
            <w:r>
              <w:rPr>
                <w:rFonts w:eastAsia="Times New Roman"/>
                <w:color w:val="000000"/>
                <w:sz w:val="18"/>
                <w:szCs w:val="18"/>
              </w:rPr>
              <w:t>Research and development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0B0E54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58128E" w14:textId="77777777" w:rsidR="00000000" w:rsidRDefault="00E614A4">
            <w:pPr>
              <w:jc w:val="right"/>
              <w:rPr>
                <w:rFonts w:eastAsia="Times New Roman"/>
              </w:rPr>
            </w:pPr>
            <w:r>
              <w:rPr>
                <w:rFonts w:eastAsia="Times New Roman"/>
                <w:color w:val="000000"/>
                <w:sz w:val="18"/>
                <w:szCs w:val="18"/>
              </w:rPr>
              <w:t>18,216 </w:t>
            </w:r>
          </w:p>
        </w:tc>
        <w:tc>
          <w:tcPr>
            <w:tcW w:w="0" w:type="auto"/>
            <w:shd w:val="clear" w:color="auto" w:fill="CCEEFF"/>
            <w:tcMar>
              <w:top w:w="30" w:type="dxa"/>
              <w:left w:w="0" w:type="dxa"/>
              <w:bottom w:w="30" w:type="dxa"/>
              <w:right w:w="20" w:type="dxa"/>
            </w:tcMar>
            <w:vAlign w:val="bottom"/>
            <w:hideMark/>
          </w:tcPr>
          <w:p w14:paraId="46CCBBE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1A9D2"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C9E67" w14:textId="77777777" w:rsidR="00000000" w:rsidRDefault="00E614A4">
            <w:pPr>
              <w:jc w:val="right"/>
              <w:rPr>
                <w:rFonts w:eastAsia="Times New Roman"/>
              </w:rPr>
            </w:pPr>
            <w:r>
              <w:rPr>
                <w:rFonts w:eastAsia="Times New Roman"/>
                <w:color w:val="000000"/>
                <w:sz w:val="18"/>
                <w:szCs w:val="18"/>
              </w:rPr>
              <w:t>16,883 </w:t>
            </w:r>
          </w:p>
        </w:tc>
        <w:tc>
          <w:tcPr>
            <w:tcW w:w="0" w:type="auto"/>
            <w:shd w:val="clear" w:color="auto" w:fill="CCEEFF"/>
            <w:tcMar>
              <w:top w:w="30" w:type="dxa"/>
              <w:left w:w="0" w:type="dxa"/>
              <w:bottom w:w="30" w:type="dxa"/>
              <w:right w:w="20" w:type="dxa"/>
            </w:tcMar>
            <w:vAlign w:val="bottom"/>
            <w:hideMark/>
          </w:tcPr>
          <w:p w14:paraId="5A85A956"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E32D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B23456" w14:textId="77777777" w:rsidR="00000000" w:rsidRDefault="00E614A4">
            <w:pPr>
              <w:jc w:val="right"/>
              <w:rPr>
                <w:rFonts w:eastAsia="Times New Roman"/>
              </w:rPr>
            </w:pPr>
            <w:r>
              <w:rPr>
                <w:rFonts w:eastAsia="Times New Roman"/>
                <w:color w:val="000000"/>
                <w:sz w:val="18"/>
                <w:szCs w:val="18"/>
              </w:rPr>
              <w:t>14,064 </w:t>
            </w:r>
          </w:p>
        </w:tc>
        <w:tc>
          <w:tcPr>
            <w:tcW w:w="0" w:type="auto"/>
            <w:shd w:val="clear" w:color="auto" w:fill="CCEEFF"/>
            <w:tcMar>
              <w:top w:w="30" w:type="dxa"/>
              <w:left w:w="0" w:type="dxa"/>
              <w:bottom w:w="30" w:type="dxa"/>
              <w:right w:w="20" w:type="dxa"/>
            </w:tcMar>
            <w:vAlign w:val="bottom"/>
            <w:hideMark/>
          </w:tcPr>
          <w:p w14:paraId="128E77E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97B6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21077F" w14:textId="77777777" w:rsidR="00000000" w:rsidRDefault="00E614A4">
            <w:pPr>
              <w:jc w:val="right"/>
              <w:rPr>
                <w:rFonts w:eastAsia="Times New Roman"/>
              </w:rPr>
            </w:pPr>
            <w:r>
              <w:rPr>
                <w:rFonts w:eastAsia="Times New Roman"/>
                <w:color w:val="000000"/>
                <w:sz w:val="18"/>
                <w:szCs w:val="18"/>
              </w:rPr>
              <w:t>12,639 </w:t>
            </w:r>
          </w:p>
        </w:tc>
        <w:tc>
          <w:tcPr>
            <w:tcW w:w="0" w:type="auto"/>
            <w:shd w:val="clear" w:color="auto" w:fill="CCEEFF"/>
            <w:tcMar>
              <w:top w:w="30" w:type="dxa"/>
              <w:left w:w="0" w:type="dxa"/>
              <w:bottom w:w="30" w:type="dxa"/>
              <w:right w:w="20" w:type="dxa"/>
            </w:tcMar>
            <w:vAlign w:val="bottom"/>
            <w:hideMark/>
          </w:tcPr>
          <w:p w14:paraId="4B297990" w14:textId="77777777" w:rsidR="00000000" w:rsidRDefault="00E614A4">
            <w:pPr>
              <w:jc w:val="right"/>
              <w:rPr>
                <w:rFonts w:eastAsia="Times New Roman"/>
              </w:rPr>
            </w:pPr>
          </w:p>
        </w:tc>
      </w:tr>
      <w:tr w:rsidR="00000000" w14:paraId="2ACC2C3B" w14:textId="77777777">
        <w:trPr>
          <w:divId w:val="1523863754"/>
        </w:trPr>
        <w:tc>
          <w:tcPr>
            <w:tcW w:w="0" w:type="auto"/>
            <w:gridSpan w:val="3"/>
            <w:shd w:val="clear" w:color="auto" w:fill="FFFFFF"/>
            <w:tcMar>
              <w:top w:w="30" w:type="dxa"/>
              <w:left w:w="20" w:type="dxa"/>
              <w:bottom w:w="30" w:type="dxa"/>
              <w:right w:w="20" w:type="dxa"/>
            </w:tcMar>
            <w:hideMark/>
          </w:tcPr>
          <w:p w14:paraId="7D8B2CCA" w14:textId="77777777" w:rsidR="00000000" w:rsidRDefault="00E614A4">
            <w:pPr>
              <w:divId w:val="1900241537"/>
              <w:rPr>
                <w:rFonts w:eastAsia="Times New Roman"/>
              </w:rPr>
            </w:pPr>
            <w:r>
              <w:rPr>
                <w:rFonts w:eastAsia="Times New Roman"/>
                <w:color w:val="000000"/>
                <w:sz w:val="18"/>
                <w:szCs w:val="18"/>
              </w:rPr>
              <w:t>General and administrative</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F424E8C"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CC32CB" w14:textId="77777777" w:rsidR="00000000" w:rsidRDefault="00E614A4">
            <w:pPr>
              <w:jc w:val="right"/>
              <w:rPr>
                <w:rFonts w:eastAsia="Times New Roman"/>
              </w:rPr>
            </w:pPr>
            <w:r>
              <w:rPr>
                <w:rFonts w:eastAsia="Times New Roman"/>
                <w:color w:val="000000"/>
                <w:sz w:val="18"/>
                <w:szCs w:val="18"/>
              </w:rPr>
              <w:t>19,545 </w:t>
            </w:r>
          </w:p>
        </w:tc>
        <w:tc>
          <w:tcPr>
            <w:tcW w:w="0" w:type="auto"/>
            <w:shd w:val="clear" w:color="auto" w:fill="FFFFFF"/>
            <w:tcMar>
              <w:top w:w="30" w:type="dxa"/>
              <w:left w:w="0" w:type="dxa"/>
              <w:bottom w:w="30" w:type="dxa"/>
              <w:right w:w="20" w:type="dxa"/>
            </w:tcMar>
            <w:vAlign w:val="bottom"/>
            <w:hideMark/>
          </w:tcPr>
          <w:p w14:paraId="6DC558B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9E69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40BF13" w14:textId="77777777" w:rsidR="00000000" w:rsidRDefault="00E614A4">
            <w:pPr>
              <w:jc w:val="right"/>
              <w:rPr>
                <w:rFonts w:eastAsia="Times New Roman"/>
              </w:rPr>
            </w:pPr>
            <w:r>
              <w:rPr>
                <w:rFonts w:eastAsia="Times New Roman"/>
                <w:color w:val="000000"/>
                <w:sz w:val="18"/>
                <w:szCs w:val="18"/>
              </w:rPr>
              <w:t>16,932 </w:t>
            </w:r>
          </w:p>
        </w:tc>
        <w:tc>
          <w:tcPr>
            <w:tcW w:w="0" w:type="auto"/>
            <w:shd w:val="clear" w:color="auto" w:fill="FFFFFF"/>
            <w:tcMar>
              <w:top w:w="30" w:type="dxa"/>
              <w:left w:w="0" w:type="dxa"/>
              <w:bottom w:w="30" w:type="dxa"/>
              <w:right w:w="20" w:type="dxa"/>
            </w:tcMar>
            <w:vAlign w:val="bottom"/>
            <w:hideMark/>
          </w:tcPr>
          <w:p w14:paraId="4CEEEB8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F948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81049D" w14:textId="77777777" w:rsidR="00000000" w:rsidRDefault="00E614A4">
            <w:pPr>
              <w:jc w:val="right"/>
              <w:rPr>
                <w:rFonts w:eastAsia="Times New Roman"/>
              </w:rPr>
            </w:pPr>
            <w:r>
              <w:rPr>
                <w:rFonts w:eastAsia="Times New Roman"/>
                <w:color w:val="000000"/>
                <w:sz w:val="18"/>
                <w:szCs w:val="18"/>
              </w:rPr>
              <w:t>14,064 </w:t>
            </w:r>
          </w:p>
        </w:tc>
        <w:tc>
          <w:tcPr>
            <w:tcW w:w="0" w:type="auto"/>
            <w:shd w:val="clear" w:color="auto" w:fill="FFFFFF"/>
            <w:tcMar>
              <w:top w:w="30" w:type="dxa"/>
              <w:left w:w="0" w:type="dxa"/>
              <w:bottom w:w="30" w:type="dxa"/>
              <w:right w:w="20" w:type="dxa"/>
            </w:tcMar>
            <w:vAlign w:val="bottom"/>
            <w:hideMark/>
          </w:tcPr>
          <w:p w14:paraId="329AB62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ADC1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E97993" w14:textId="77777777" w:rsidR="00000000" w:rsidRDefault="00E614A4">
            <w:pPr>
              <w:jc w:val="right"/>
              <w:rPr>
                <w:rFonts w:eastAsia="Times New Roman"/>
              </w:rPr>
            </w:pPr>
            <w:r>
              <w:rPr>
                <w:rFonts w:eastAsia="Times New Roman"/>
                <w:color w:val="000000"/>
                <w:sz w:val="18"/>
                <w:szCs w:val="18"/>
              </w:rPr>
              <w:t>15,878 </w:t>
            </w:r>
          </w:p>
        </w:tc>
        <w:tc>
          <w:tcPr>
            <w:tcW w:w="0" w:type="auto"/>
            <w:shd w:val="clear" w:color="auto" w:fill="FFFFFF"/>
            <w:tcMar>
              <w:top w:w="30" w:type="dxa"/>
              <w:left w:w="0" w:type="dxa"/>
              <w:bottom w:w="30" w:type="dxa"/>
              <w:right w:w="20" w:type="dxa"/>
            </w:tcMar>
            <w:vAlign w:val="bottom"/>
            <w:hideMark/>
          </w:tcPr>
          <w:p w14:paraId="75E9F0EA" w14:textId="77777777" w:rsidR="00000000" w:rsidRDefault="00E614A4">
            <w:pPr>
              <w:jc w:val="right"/>
              <w:rPr>
                <w:rFonts w:eastAsia="Times New Roman"/>
              </w:rPr>
            </w:pPr>
          </w:p>
        </w:tc>
      </w:tr>
      <w:tr w:rsidR="00000000" w14:paraId="52CB6541" w14:textId="77777777">
        <w:trPr>
          <w:divId w:val="1523863754"/>
        </w:trPr>
        <w:tc>
          <w:tcPr>
            <w:tcW w:w="0" w:type="auto"/>
            <w:gridSpan w:val="3"/>
            <w:shd w:val="clear" w:color="auto" w:fill="CCEEFF"/>
            <w:tcMar>
              <w:top w:w="30" w:type="dxa"/>
              <w:left w:w="20" w:type="dxa"/>
              <w:bottom w:w="30" w:type="dxa"/>
              <w:right w:w="20" w:type="dxa"/>
            </w:tcMar>
            <w:hideMark/>
          </w:tcPr>
          <w:p w14:paraId="75C9AA92" w14:textId="77777777" w:rsidR="00000000" w:rsidRDefault="00E614A4">
            <w:pPr>
              <w:rPr>
                <w:rFonts w:eastAsia="Times New Roman"/>
              </w:rPr>
            </w:pPr>
            <w:r>
              <w:rPr>
                <w:rFonts w:eastAsia="Times New Roman"/>
                <w:color w:val="000000"/>
                <w:sz w:val="18"/>
                <w:szCs w:val="18"/>
              </w:rPr>
              <w:t>Amortization of intangible assets</w:t>
            </w:r>
          </w:p>
        </w:tc>
        <w:tc>
          <w:tcPr>
            <w:tcW w:w="0" w:type="auto"/>
            <w:gridSpan w:val="3"/>
            <w:shd w:val="clear" w:color="auto" w:fill="CCEEFF"/>
            <w:tcMar>
              <w:top w:w="0" w:type="dxa"/>
              <w:left w:w="20" w:type="dxa"/>
              <w:bottom w:w="0" w:type="dxa"/>
              <w:right w:w="20" w:type="dxa"/>
            </w:tcMar>
            <w:vAlign w:val="center"/>
            <w:hideMark/>
          </w:tcPr>
          <w:p w14:paraId="54A1ACC2"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6D62EB" w14:textId="77777777" w:rsidR="00000000" w:rsidRDefault="00E614A4">
            <w:pPr>
              <w:jc w:val="right"/>
              <w:rPr>
                <w:rFonts w:eastAsia="Times New Roman"/>
              </w:rPr>
            </w:pPr>
            <w:r>
              <w:rPr>
                <w:rFonts w:eastAsia="Times New Roman"/>
                <w:color w:val="000000"/>
                <w:sz w:val="18"/>
                <w:szCs w:val="18"/>
              </w:rPr>
              <w:t>8,105 </w:t>
            </w:r>
          </w:p>
        </w:tc>
        <w:tc>
          <w:tcPr>
            <w:tcW w:w="0" w:type="auto"/>
            <w:shd w:val="clear" w:color="auto" w:fill="CCEEFF"/>
            <w:tcMar>
              <w:top w:w="30" w:type="dxa"/>
              <w:left w:w="0" w:type="dxa"/>
              <w:bottom w:w="30" w:type="dxa"/>
              <w:right w:w="20" w:type="dxa"/>
            </w:tcMar>
            <w:vAlign w:val="bottom"/>
            <w:hideMark/>
          </w:tcPr>
          <w:p w14:paraId="5478C668"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60795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1BFE95" w14:textId="77777777" w:rsidR="00000000" w:rsidRDefault="00E614A4">
            <w:pPr>
              <w:jc w:val="right"/>
              <w:rPr>
                <w:rFonts w:eastAsia="Times New Roman"/>
              </w:rPr>
            </w:pPr>
            <w:r>
              <w:rPr>
                <w:rFonts w:eastAsia="Times New Roman"/>
                <w:color w:val="000000"/>
                <w:sz w:val="18"/>
                <w:szCs w:val="18"/>
              </w:rPr>
              <w:t>8,076 </w:t>
            </w:r>
          </w:p>
        </w:tc>
        <w:tc>
          <w:tcPr>
            <w:tcW w:w="0" w:type="auto"/>
            <w:shd w:val="clear" w:color="auto" w:fill="CCEEFF"/>
            <w:tcMar>
              <w:top w:w="30" w:type="dxa"/>
              <w:left w:w="0" w:type="dxa"/>
              <w:bottom w:w="30" w:type="dxa"/>
              <w:right w:w="20" w:type="dxa"/>
            </w:tcMar>
            <w:vAlign w:val="bottom"/>
            <w:hideMark/>
          </w:tcPr>
          <w:p w14:paraId="15027D4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C32BB"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82FD08" w14:textId="77777777" w:rsidR="00000000" w:rsidRDefault="00E614A4">
            <w:pPr>
              <w:jc w:val="right"/>
              <w:rPr>
                <w:rFonts w:eastAsia="Times New Roman"/>
              </w:rPr>
            </w:pPr>
            <w:r>
              <w:rPr>
                <w:rFonts w:eastAsia="Times New Roman"/>
                <w:color w:val="000000"/>
                <w:sz w:val="18"/>
                <w:szCs w:val="18"/>
              </w:rPr>
              <w:t>6,970 </w:t>
            </w:r>
          </w:p>
        </w:tc>
        <w:tc>
          <w:tcPr>
            <w:tcW w:w="0" w:type="auto"/>
            <w:shd w:val="clear" w:color="auto" w:fill="CCEEFF"/>
            <w:tcMar>
              <w:top w:w="30" w:type="dxa"/>
              <w:left w:w="0" w:type="dxa"/>
              <w:bottom w:w="30" w:type="dxa"/>
              <w:right w:w="20" w:type="dxa"/>
            </w:tcMar>
            <w:vAlign w:val="bottom"/>
            <w:hideMark/>
          </w:tcPr>
          <w:p w14:paraId="7832189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615E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E3DA12" w14:textId="77777777" w:rsidR="00000000" w:rsidRDefault="00E614A4">
            <w:pPr>
              <w:jc w:val="right"/>
              <w:rPr>
                <w:rFonts w:eastAsia="Times New Roman"/>
              </w:rPr>
            </w:pPr>
            <w:r>
              <w:rPr>
                <w:rFonts w:eastAsia="Times New Roman"/>
                <w:color w:val="000000"/>
                <w:sz w:val="18"/>
                <w:szCs w:val="18"/>
              </w:rPr>
              <w:t>6,925 </w:t>
            </w:r>
          </w:p>
        </w:tc>
        <w:tc>
          <w:tcPr>
            <w:tcW w:w="0" w:type="auto"/>
            <w:shd w:val="clear" w:color="auto" w:fill="CCEEFF"/>
            <w:tcMar>
              <w:top w:w="30" w:type="dxa"/>
              <w:left w:w="0" w:type="dxa"/>
              <w:bottom w:w="30" w:type="dxa"/>
              <w:right w:w="20" w:type="dxa"/>
            </w:tcMar>
            <w:vAlign w:val="bottom"/>
            <w:hideMark/>
          </w:tcPr>
          <w:p w14:paraId="3531CE7D" w14:textId="77777777" w:rsidR="00000000" w:rsidRDefault="00E614A4">
            <w:pPr>
              <w:jc w:val="right"/>
              <w:rPr>
                <w:rFonts w:eastAsia="Times New Roman"/>
              </w:rPr>
            </w:pPr>
          </w:p>
        </w:tc>
      </w:tr>
      <w:tr w:rsidR="00000000" w14:paraId="46D8E324" w14:textId="77777777">
        <w:trPr>
          <w:divId w:val="1523863754"/>
        </w:trPr>
        <w:tc>
          <w:tcPr>
            <w:tcW w:w="0" w:type="auto"/>
            <w:gridSpan w:val="3"/>
            <w:shd w:val="clear" w:color="auto" w:fill="FFFFFF"/>
            <w:tcMar>
              <w:top w:w="30" w:type="dxa"/>
              <w:left w:w="20" w:type="dxa"/>
              <w:bottom w:w="30" w:type="dxa"/>
              <w:right w:w="20" w:type="dxa"/>
            </w:tcMar>
            <w:hideMark/>
          </w:tcPr>
          <w:p w14:paraId="5FF85244" w14:textId="77777777" w:rsidR="00000000" w:rsidRDefault="00E614A4">
            <w:pPr>
              <w:rPr>
                <w:rFonts w:eastAsia="Times New Roman"/>
              </w:rPr>
            </w:pPr>
            <w:r>
              <w:rPr>
                <w:rFonts w:eastAsia="Times New Roman"/>
                <w:color w:val="000000"/>
                <w:sz w:val="18"/>
                <w:szCs w:val="18"/>
              </w:rPr>
              <w:t>Investigation and audit related</w:t>
            </w:r>
          </w:p>
        </w:tc>
        <w:tc>
          <w:tcPr>
            <w:tcW w:w="0" w:type="auto"/>
            <w:gridSpan w:val="3"/>
            <w:shd w:val="clear" w:color="auto" w:fill="FFFFFF"/>
            <w:tcMar>
              <w:top w:w="0" w:type="dxa"/>
              <w:left w:w="20" w:type="dxa"/>
              <w:bottom w:w="0" w:type="dxa"/>
              <w:right w:w="20" w:type="dxa"/>
            </w:tcMar>
            <w:vAlign w:val="center"/>
            <w:hideMark/>
          </w:tcPr>
          <w:p w14:paraId="5478EADF"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D743A1" w14:textId="77777777" w:rsidR="00000000" w:rsidRDefault="00E614A4">
            <w:pPr>
              <w:jc w:val="right"/>
              <w:rPr>
                <w:rFonts w:eastAsia="Times New Roman"/>
              </w:rPr>
            </w:pPr>
            <w:r>
              <w:rPr>
                <w:rFonts w:eastAsia="Times New Roman"/>
                <w:color w:val="000000"/>
                <w:sz w:val="18"/>
                <w:szCs w:val="18"/>
              </w:rPr>
              <w:t>842 </w:t>
            </w:r>
          </w:p>
        </w:tc>
        <w:tc>
          <w:tcPr>
            <w:tcW w:w="0" w:type="auto"/>
            <w:shd w:val="clear" w:color="auto" w:fill="FFFFFF"/>
            <w:tcMar>
              <w:top w:w="30" w:type="dxa"/>
              <w:left w:w="0" w:type="dxa"/>
              <w:bottom w:w="30" w:type="dxa"/>
              <w:right w:w="20" w:type="dxa"/>
            </w:tcMar>
            <w:vAlign w:val="bottom"/>
            <w:hideMark/>
          </w:tcPr>
          <w:p w14:paraId="064A506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C56B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87524" w14:textId="77777777" w:rsidR="00000000" w:rsidRDefault="00E614A4">
            <w:pPr>
              <w:jc w:val="right"/>
              <w:rPr>
                <w:rFonts w:eastAsia="Times New Roman"/>
              </w:rPr>
            </w:pPr>
            <w:r>
              <w:rPr>
                <w:rFonts w:eastAsia="Times New Roman"/>
                <w:color w:val="000000"/>
                <w:sz w:val="18"/>
                <w:szCs w:val="18"/>
              </w:rPr>
              <w:t>2,354 </w:t>
            </w:r>
          </w:p>
        </w:tc>
        <w:tc>
          <w:tcPr>
            <w:tcW w:w="0" w:type="auto"/>
            <w:shd w:val="clear" w:color="auto" w:fill="FFFFFF"/>
            <w:tcMar>
              <w:top w:w="30" w:type="dxa"/>
              <w:left w:w="0" w:type="dxa"/>
              <w:bottom w:w="30" w:type="dxa"/>
              <w:right w:w="20" w:type="dxa"/>
            </w:tcMar>
            <w:vAlign w:val="bottom"/>
            <w:hideMark/>
          </w:tcPr>
          <w:p w14:paraId="55D2AFE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B247B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7636C8" w14:textId="77777777" w:rsidR="00000000" w:rsidRDefault="00E614A4">
            <w:pPr>
              <w:jc w:val="right"/>
              <w:rPr>
                <w:rFonts w:eastAsia="Times New Roman"/>
              </w:rPr>
            </w:pPr>
            <w:r>
              <w:rPr>
                <w:rFonts w:eastAsia="Times New Roman"/>
                <w:color w:val="000000"/>
                <w:sz w:val="18"/>
                <w:szCs w:val="18"/>
              </w:rPr>
              <w:t>980 </w:t>
            </w:r>
          </w:p>
        </w:tc>
        <w:tc>
          <w:tcPr>
            <w:tcW w:w="0" w:type="auto"/>
            <w:shd w:val="clear" w:color="auto" w:fill="FFFFFF"/>
            <w:tcMar>
              <w:top w:w="30" w:type="dxa"/>
              <w:left w:w="0" w:type="dxa"/>
              <w:bottom w:w="30" w:type="dxa"/>
              <w:right w:w="20" w:type="dxa"/>
            </w:tcMar>
            <w:vAlign w:val="bottom"/>
            <w:hideMark/>
          </w:tcPr>
          <w:p w14:paraId="1A2087CD"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68196"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A64796" w14:textId="77777777" w:rsidR="00000000" w:rsidRDefault="00E614A4">
            <w:pPr>
              <w:jc w:val="right"/>
              <w:rPr>
                <w:rFonts w:eastAsia="Times New Roman"/>
              </w:rPr>
            </w:pPr>
            <w:r>
              <w:rPr>
                <w:rFonts w:eastAsia="Times New Roman"/>
                <w:color w:val="000000"/>
                <w:sz w:val="18"/>
                <w:szCs w:val="18"/>
              </w:rPr>
              <w:t>129 </w:t>
            </w:r>
          </w:p>
        </w:tc>
        <w:tc>
          <w:tcPr>
            <w:tcW w:w="0" w:type="auto"/>
            <w:shd w:val="clear" w:color="auto" w:fill="FFFFFF"/>
            <w:tcMar>
              <w:top w:w="30" w:type="dxa"/>
              <w:left w:w="0" w:type="dxa"/>
              <w:bottom w:w="30" w:type="dxa"/>
              <w:right w:w="20" w:type="dxa"/>
            </w:tcMar>
            <w:vAlign w:val="bottom"/>
            <w:hideMark/>
          </w:tcPr>
          <w:p w14:paraId="5F151524" w14:textId="77777777" w:rsidR="00000000" w:rsidRDefault="00E614A4">
            <w:pPr>
              <w:jc w:val="right"/>
              <w:rPr>
                <w:rFonts w:eastAsia="Times New Roman"/>
              </w:rPr>
            </w:pPr>
          </w:p>
        </w:tc>
      </w:tr>
      <w:tr w:rsidR="00000000" w14:paraId="5CD252C8" w14:textId="77777777">
        <w:trPr>
          <w:divId w:val="1523863754"/>
        </w:trPr>
        <w:tc>
          <w:tcPr>
            <w:tcW w:w="0" w:type="auto"/>
            <w:gridSpan w:val="3"/>
            <w:shd w:val="clear" w:color="auto" w:fill="CCEEFF"/>
            <w:tcMar>
              <w:top w:w="30" w:type="dxa"/>
              <w:left w:w="20" w:type="dxa"/>
              <w:bottom w:w="30" w:type="dxa"/>
              <w:right w:w="20" w:type="dxa"/>
            </w:tcMar>
            <w:hideMark/>
          </w:tcPr>
          <w:p w14:paraId="098EA67C" w14:textId="77777777" w:rsidR="00000000" w:rsidRDefault="00E614A4">
            <w:pPr>
              <w:rPr>
                <w:rFonts w:eastAsia="Times New Roman"/>
              </w:rPr>
            </w:pPr>
            <w:r>
              <w:rPr>
                <w:rFonts w:eastAsia="Times New Roman"/>
                <w:color w:val="000000"/>
                <w:sz w:val="18"/>
                <w:szCs w:val="18"/>
              </w:rPr>
              <w:t>Impairment of goodwill</w:t>
            </w:r>
          </w:p>
        </w:tc>
        <w:tc>
          <w:tcPr>
            <w:tcW w:w="0" w:type="auto"/>
            <w:gridSpan w:val="3"/>
            <w:shd w:val="clear" w:color="auto" w:fill="CCEEFF"/>
            <w:tcMar>
              <w:top w:w="0" w:type="dxa"/>
              <w:left w:w="20" w:type="dxa"/>
              <w:bottom w:w="0" w:type="dxa"/>
              <w:right w:w="20" w:type="dxa"/>
            </w:tcMar>
            <w:vAlign w:val="center"/>
            <w:hideMark/>
          </w:tcPr>
          <w:p w14:paraId="4095A4AF"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DBABE9"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5ED76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B128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831CD7" w14:textId="77777777" w:rsidR="00000000" w:rsidRDefault="00E614A4">
            <w:pPr>
              <w:jc w:val="right"/>
              <w:rPr>
                <w:rFonts w:eastAsia="Times New Roman"/>
              </w:rPr>
            </w:pPr>
            <w:r>
              <w:rPr>
                <w:rFonts w:eastAsia="Times New Roman"/>
                <w:color w:val="000000"/>
                <w:sz w:val="18"/>
                <w:szCs w:val="18"/>
              </w:rPr>
              <w:t>224,272 </w:t>
            </w:r>
          </w:p>
        </w:tc>
        <w:tc>
          <w:tcPr>
            <w:tcW w:w="0" w:type="auto"/>
            <w:shd w:val="clear" w:color="auto" w:fill="CCEEFF"/>
            <w:tcMar>
              <w:top w:w="30" w:type="dxa"/>
              <w:left w:w="0" w:type="dxa"/>
              <w:bottom w:w="30" w:type="dxa"/>
              <w:right w:w="20" w:type="dxa"/>
            </w:tcMar>
            <w:vAlign w:val="bottom"/>
            <w:hideMark/>
          </w:tcPr>
          <w:p w14:paraId="4AF61C6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B788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3B8AD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4B267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059F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57EFF5"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9D6FAF" w14:textId="77777777" w:rsidR="00000000" w:rsidRDefault="00E614A4">
            <w:pPr>
              <w:jc w:val="right"/>
              <w:rPr>
                <w:rFonts w:eastAsia="Times New Roman"/>
              </w:rPr>
            </w:pPr>
          </w:p>
        </w:tc>
      </w:tr>
      <w:tr w:rsidR="00000000" w14:paraId="5EE3AC42" w14:textId="77777777">
        <w:trPr>
          <w:divId w:val="1523863754"/>
        </w:trPr>
        <w:tc>
          <w:tcPr>
            <w:tcW w:w="0" w:type="auto"/>
            <w:gridSpan w:val="3"/>
            <w:shd w:val="clear" w:color="auto" w:fill="FFFFFF"/>
            <w:tcMar>
              <w:top w:w="30" w:type="dxa"/>
              <w:left w:w="20" w:type="dxa"/>
              <w:bottom w:w="30" w:type="dxa"/>
              <w:right w:w="20" w:type="dxa"/>
            </w:tcMar>
            <w:hideMark/>
          </w:tcPr>
          <w:p w14:paraId="0BBEA411" w14:textId="77777777" w:rsidR="00000000" w:rsidRDefault="00E614A4">
            <w:pPr>
              <w:rPr>
                <w:rFonts w:eastAsia="Times New Roman"/>
              </w:rPr>
            </w:pPr>
            <w:r>
              <w:rPr>
                <w:rFonts w:eastAsia="Times New Roman"/>
                <w:color w:val="000000"/>
                <w:sz w:val="18"/>
                <w:szCs w:val="18"/>
              </w:rPr>
              <w:t>Impairment of intangible assets</w:t>
            </w:r>
          </w:p>
        </w:tc>
        <w:tc>
          <w:tcPr>
            <w:tcW w:w="0" w:type="auto"/>
            <w:gridSpan w:val="3"/>
            <w:shd w:val="clear" w:color="auto" w:fill="FFFFFF"/>
            <w:tcMar>
              <w:top w:w="0" w:type="dxa"/>
              <w:left w:w="20" w:type="dxa"/>
              <w:bottom w:w="0" w:type="dxa"/>
              <w:right w:w="20" w:type="dxa"/>
            </w:tcMar>
            <w:vAlign w:val="center"/>
            <w:hideMark/>
          </w:tcPr>
          <w:p w14:paraId="2BA8D8C0"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8FF68D"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F2269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E23A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6A8021" w14:textId="77777777" w:rsidR="00000000" w:rsidRDefault="00E614A4">
            <w:pPr>
              <w:jc w:val="right"/>
              <w:rPr>
                <w:rFonts w:eastAsia="Times New Roman"/>
              </w:rPr>
            </w:pPr>
            <w:r>
              <w:rPr>
                <w:rFonts w:eastAsia="Times New Roman"/>
                <w:color w:val="000000"/>
                <w:sz w:val="18"/>
                <w:szCs w:val="18"/>
              </w:rPr>
              <w:t>17,308 </w:t>
            </w:r>
          </w:p>
        </w:tc>
        <w:tc>
          <w:tcPr>
            <w:tcW w:w="0" w:type="auto"/>
            <w:shd w:val="clear" w:color="auto" w:fill="FFFFFF"/>
            <w:tcMar>
              <w:top w:w="30" w:type="dxa"/>
              <w:left w:w="0" w:type="dxa"/>
              <w:bottom w:w="30" w:type="dxa"/>
              <w:right w:w="20" w:type="dxa"/>
            </w:tcMar>
            <w:vAlign w:val="bottom"/>
            <w:hideMark/>
          </w:tcPr>
          <w:p w14:paraId="41C2504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D6E0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C401E1"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88D2B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8258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9543BF"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854F910" w14:textId="77777777" w:rsidR="00000000" w:rsidRDefault="00E614A4">
            <w:pPr>
              <w:jc w:val="right"/>
              <w:rPr>
                <w:rFonts w:eastAsia="Times New Roman"/>
              </w:rPr>
            </w:pPr>
          </w:p>
        </w:tc>
      </w:tr>
      <w:tr w:rsidR="00000000" w14:paraId="6D8047D8" w14:textId="77777777">
        <w:trPr>
          <w:divId w:val="1523863754"/>
        </w:trPr>
        <w:tc>
          <w:tcPr>
            <w:tcW w:w="0" w:type="auto"/>
            <w:gridSpan w:val="3"/>
            <w:vAlign w:val="center"/>
            <w:hideMark/>
          </w:tcPr>
          <w:p w14:paraId="5F544AD3" w14:textId="77777777" w:rsidR="00000000" w:rsidRDefault="00E614A4">
            <w:pPr>
              <w:jc w:val="right"/>
              <w:rPr>
                <w:rFonts w:eastAsia="Times New Roman"/>
                <w:sz w:val="20"/>
                <w:szCs w:val="20"/>
              </w:rPr>
            </w:pPr>
          </w:p>
        </w:tc>
        <w:tc>
          <w:tcPr>
            <w:tcW w:w="0" w:type="auto"/>
            <w:gridSpan w:val="3"/>
            <w:vAlign w:val="center"/>
            <w:hideMark/>
          </w:tcPr>
          <w:p w14:paraId="3FC75B3E" w14:textId="77777777" w:rsidR="00000000" w:rsidRDefault="00E614A4">
            <w:pPr>
              <w:rPr>
                <w:rFonts w:eastAsia="Times New Roman"/>
                <w:sz w:val="20"/>
                <w:szCs w:val="20"/>
              </w:rPr>
            </w:pPr>
          </w:p>
        </w:tc>
        <w:tc>
          <w:tcPr>
            <w:tcW w:w="0" w:type="auto"/>
            <w:gridSpan w:val="3"/>
            <w:vAlign w:val="center"/>
            <w:hideMark/>
          </w:tcPr>
          <w:p w14:paraId="5E042427" w14:textId="77777777" w:rsidR="00000000" w:rsidRDefault="00E614A4">
            <w:pPr>
              <w:rPr>
                <w:rFonts w:eastAsia="Times New Roman"/>
                <w:sz w:val="20"/>
                <w:szCs w:val="20"/>
              </w:rPr>
            </w:pPr>
          </w:p>
        </w:tc>
        <w:tc>
          <w:tcPr>
            <w:tcW w:w="0" w:type="auto"/>
            <w:gridSpan w:val="3"/>
            <w:vAlign w:val="center"/>
            <w:hideMark/>
          </w:tcPr>
          <w:p w14:paraId="5FEBC2B5" w14:textId="77777777" w:rsidR="00000000" w:rsidRDefault="00E614A4">
            <w:pPr>
              <w:rPr>
                <w:rFonts w:eastAsia="Times New Roman"/>
                <w:sz w:val="20"/>
                <w:szCs w:val="20"/>
              </w:rPr>
            </w:pPr>
          </w:p>
        </w:tc>
        <w:tc>
          <w:tcPr>
            <w:tcW w:w="0" w:type="auto"/>
            <w:gridSpan w:val="3"/>
            <w:vAlign w:val="center"/>
            <w:hideMark/>
          </w:tcPr>
          <w:p w14:paraId="72999216" w14:textId="77777777" w:rsidR="00000000" w:rsidRDefault="00E614A4">
            <w:pPr>
              <w:rPr>
                <w:rFonts w:eastAsia="Times New Roman"/>
                <w:sz w:val="20"/>
                <w:szCs w:val="20"/>
              </w:rPr>
            </w:pPr>
          </w:p>
        </w:tc>
        <w:tc>
          <w:tcPr>
            <w:tcW w:w="0" w:type="auto"/>
            <w:gridSpan w:val="3"/>
            <w:vAlign w:val="center"/>
            <w:hideMark/>
          </w:tcPr>
          <w:p w14:paraId="08864B42" w14:textId="77777777" w:rsidR="00000000" w:rsidRDefault="00E614A4">
            <w:pPr>
              <w:rPr>
                <w:rFonts w:eastAsia="Times New Roman"/>
                <w:sz w:val="20"/>
                <w:szCs w:val="20"/>
              </w:rPr>
            </w:pPr>
          </w:p>
        </w:tc>
        <w:tc>
          <w:tcPr>
            <w:tcW w:w="0" w:type="auto"/>
            <w:gridSpan w:val="3"/>
            <w:vAlign w:val="center"/>
            <w:hideMark/>
          </w:tcPr>
          <w:p w14:paraId="2301E0CB" w14:textId="77777777" w:rsidR="00000000" w:rsidRDefault="00E614A4">
            <w:pPr>
              <w:rPr>
                <w:rFonts w:eastAsia="Times New Roman"/>
                <w:sz w:val="20"/>
                <w:szCs w:val="20"/>
              </w:rPr>
            </w:pPr>
          </w:p>
        </w:tc>
        <w:tc>
          <w:tcPr>
            <w:tcW w:w="0" w:type="auto"/>
            <w:gridSpan w:val="3"/>
            <w:vAlign w:val="center"/>
            <w:hideMark/>
          </w:tcPr>
          <w:p w14:paraId="1A199FF8" w14:textId="77777777" w:rsidR="00000000" w:rsidRDefault="00E614A4">
            <w:pPr>
              <w:rPr>
                <w:rFonts w:eastAsia="Times New Roman"/>
                <w:sz w:val="20"/>
                <w:szCs w:val="20"/>
              </w:rPr>
            </w:pPr>
          </w:p>
        </w:tc>
        <w:tc>
          <w:tcPr>
            <w:tcW w:w="0" w:type="auto"/>
            <w:gridSpan w:val="3"/>
            <w:vAlign w:val="center"/>
            <w:hideMark/>
          </w:tcPr>
          <w:p w14:paraId="641AA6DD" w14:textId="77777777" w:rsidR="00000000" w:rsidRDefault="00E614A4">
            <w:pPr>
              <w:rPr>
                <w:rFonts w:eastAsia="Times New Roman"/>
                <w:sz w:val="20"/>
                <w:szCs w:val="20"/>
              </w:rPr>
            </w:pPr>
          </w:p>
        </w:tc>
      </w:tr>
      <w:tr w:rsidR="00000000" w14:paraId="6AD74168" w14:textId="77777777">
        <w:trPr>
          <w:divId w:val="1523863754"/>
        </w:trPr>
        <w:tc>
          <w:tcPr>
            <w:tcW w:w="0" w:type="auto"/>
            <w:gridSpan w:val="3"/>
            <w:shd w:val="clear" w:color="auto" w:fill="CCEEFF"/>
            <w:tcMar>
              <w:top w:w="30" w:type="dxa"/>
              <w:left w:w="20" w:type="dxa"/>
              <w:bottom w:w="30" w:type="dxa"/>
              <w:right w:w="20" w:type="dxa"/>
            </w:tcMar>
            <w:hideMark/>
          </w:tcPr>
          <w:p w14:paraId="6D512852" w14:textId="77777777" w:rsidR="00000000" w:rsidRDefault="00E614A4">
            <w:pPr>
              <w:rPr>
                <w:rFonts w:eastAsia="Times New Roman"/>
              </w:rPr>
            </w:pPr>
            <w:r>
              <w:rPr>
                <w:rFonts w:eastAsia="Times New Roman"/>
                <w:color w:val="000000"/>
                <w:sz w:val="18"/>
                <w:szCs w:val="18"/>
              </w:rPr>
              <w:t>Settlement of litigation, net</w:t>
            </w:r>
          </w:p>
        </w:tc>
        <w:tc>
          <w:tcPr>
            <w:tcW w:w="0" w:type="auto"/>
            <w:gridSpan w:val="3"/>
            <w:shd w:val="clear" w:color="auto" w:fill="CCEEFF"/>
            <w:tcMar>
              <w:top w:w="0" w:type="dxa"/>
              <w:left w:w="20" w:type="dxa"/>
              <w:bottom w:w="0" w:type="dxa"/>
              <w:right w:w="20" w:type="dxa"/>
            </w:tcMar>
            <w:vAlign w:val="center"/>
            <w:hideMark/>
          </w:tcPr>
          <w:p w14:paraId="5D84BF8F"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B5AED6"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01121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F1D9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BE4C92" w14:textId="77777777" w:rsidR="00000000" w:rsidRDefault="00E614A4">
            <w:pPr>
              <w:jc w:val="right"/>
              <w:rPr>
                <w:rFonts w:eastAsia="Times New Roman"/>
              </w:rPr>
            </w:pPr>
            <w:r>
              <w:rPr>
                <w:rFonts w:eastAsia="Times New Roman"/>
                <w:color w:val="000000"/>
                <w:sz w:val="18"/>
                <w:szCs w:val="18"/>
              </w:rPr>
              <w:t>5,000 </w:t>
            </w:r>
          </w:p>
        </w:tc>
        <w:tc>
          <w:tcPr>
            <w:tcW w:w="0" w:type="auto"/>
            <w:shd w:val="clear" w:color="auto" w:fill="CCEEFF"/>
            <w:tcMar>
              <w:top w:w="30" w:type="dxa"/>
              <w:left w:w="0" w:type="dxa"/>
              <w:bottom w:w="30" w:type="dxa"/>
              <w:right w:w="20" w:type="dxa"/>
            </w:tcMar>
            <w:vAlign w:val="bottom"/>
            <w:hideMark/>
          </w:tcPr>
          <w:p w14:paraId="288C516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BF0D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F3AE85" w14:textId="77777777" w:rsidR="00000000" w:rsidRDefault="00E614A4">
            <w:pPr>
              <w:jc w:val="right"/>
              <w:rPr>
                <w:rFonts w:eastAsia="Times New Roman"/>
              </w:rPr>
            </w:pPr>
            <w:r>
              <w:rPr>
                <w:rFonts w:eastAsia="Times New Roman"/>
                <w:color w:val="000000"/>
                <w:sz w:val="18"/>
                <w:szCs w:val="18"/>
              </w:rPr>
              <w:t>(2,100)</w:t>
            </w:r>
          </w:p>
        </w:tc>
        <w:tc>
          <w:tcPr>
            <w:tcW w:w="0" w:type="auto"/>
            <w:shd w:val="clear" w:color="auto" w:fill="CCEEFF"/>
            <w:tcMar>
              <w:top w:w="30" w:type="dxa"/>
              <w:left w:w="0" w:type="dxa"/>
              <w:bottom w:w="30" w:type="dxa"/>
              <w:right w:w="20" w:type="dxa"/>
            </w:tcMar>
            <w:vAlign w:val="bottom"/>
            <w:hideMark/>
          </w:tcPr>
          <w:p w14:paraId="7B7AD73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E597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DA8B48"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E1E48AE" w14:textId="77777777" w:rsidR="00000000" w:rsidRDefault="00E614A4">
            <w:pPr>
              <w:jc w:val="right"/>
              <w:rPr>
                <w:rFonts w:eastAsia="Times New Roman"/>
              </w:rPr>
            </w:pPr>
          </w:p>
        </w:tc>
      </w:tr>
      <w:tr w:rsidR="00000000" w14:paraId="47319D67" w14:textId="77777777">
        <w:trPr>
          <w:divId w:val="1523863754"/>
        </w:trPr>
        <w:tc>
          <w:tcPr>
            <w:tcW w:w="0" w:type="auto"/>
            <w:gridSpan w:val="3"/>
            <w:shd w:val="clear" w:color="auto" w:fill="FFFFFF"/>
            <w:tcMar>
              <w:top w:w="30" w:type="dxa"/>
              <w:left w:w="20" w:type="dxa"/>
              <w:bottom w:w="30" w:type="dxa"/>
              <w:right w:w="20" w:type="dxa"/>
            </w:tcMar>
            <w:hideMark/>
          </w:tcPr>
          <w:p w14:paraId="5EF518E8" w14:textId="77777777" w:rsidR="00000000" w:rsidRDefault="00E614A4">
            <w:pPr>
              <w:rPr>
                <w:rFonts w:eastAsia="Times New Roman"/>
              </w:rPr>
            </w:pPr>
            <w:r>
              <w:rPr>
                <w:rFonts w:eastAsia="Times New Roman"/>
                <w:color w:val="000000"/>
                <w:sz w:val="18"/>
                <w:szCs w:val="18"/>
              </w:rPr>
              <w:t>Restructuring</w:t>
            </w:r>
          </w:p>
        </w:tc>
        <w:tc>
          <w:tcPr>
            <w:tcW w:w="0" w:type="auto"/>
            <w:gridSpan w:val="3"/>
            <w:shd w:val="clear" w:color="auto" w:fill="FFFFFF"/>
            <w:tcMar>
              <w:top w:w="0" w:type="dxa"/>
              <w:left w:w="20" w:type="dxa"/>
              <w:bottom w:w="0" w:type="dxa"/>
              <w:right w:w="20" w:type="dxa"/>
            </w:tcMar>
            <w:vAlign w:val="center"/>
            <w:hideMark/>
          </w:tcPr>
          <w:p w14:paraId="7BC96C4C"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4C8EA6" w14:textId="77777777" w:rsidR="00000000" w:rsidRDefault="00E614A4">
            <w:pPr>
              <w:jc w:val="right"/>
              <w:rPr>
                <w:rFonts w:eastAsia="Times New Roman"/>
              </w:rPr>
            </w:pPr>
            <w:r>
              <w:rPr>
                <w:rFonts w:eastAsia="Times New Roman"/>
                <w:color w:val="000000"/>
                <w:sz w:val="18"/>
                <w:szCs w:val="18"/>
              </w:rPr>
              <w:t>(70)</w:t>
            </w:r>
          </w:p>
        </w:tc>
        <w:tc>
          <w:tcPr>
            <w:tcW w:w="0" w:type="auto"/>
            <w:shd w:val="clear" w:color="auto" w:fill="FFFFFF"/>
            <w:tcMar>
              <w:top w:w="30" w:type="dxa"/>
              <w:left w:w="0" w:type="dxa"/>
              <w:bottom w:w="30" w:type="dxa"/>
              <w:right w:w="20" w:type="dxa"/>
            </w:tcMar>
            <w:vAlign w:val="bottom"/>
            <w:hideMark/>
          </w:tcPr>
          <w:p w14:paraId="09097E01"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39E0A"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42CFE1" w14:textId="77777777" w:rsidR="00000000" w:rsidRDefault="00E614A4">
            <w:pPr>
              <w:jc w:val="right"/>
              <w:rPr>
                <w:rFonts w:eastAsia="Times New Roman"/>
              </w:rPr>
            </w:pPr>
            <w:r>
              <w:rPr>
                <w:rFonts w:eastAsia="Times New Roman"/>
                <w:color w:val="000000"/>
                <w:sz w:val="18"/>
                <w:szCs w:val="18"/>
              </w:rPr>
              <w:t>2,949 </w:t>
            </w:r>
          </w:p>
        </w:tc>
        <w:tc>
          <w:tcPr>
            <w:tcW w:w="0" w:type="auto"/>
            <w:shd w:val="clear" w:color="auto" w:fill="FFFFFF"/>
            <w:tcMar>
              <w:top w:w="30" w:type="dxa"/>
              <w:left w:w="0" w:type="dxa"/>
              <w:bottom w:w="30" w:type="dxa"/>
              <w:right w:w="20" w:type="dxa"/>
            </w:tcMar>
            <w:vAlign w:val="bottom"/>
            <w:hideMark/>
          </w:tcPr>
          <w:p w14:paraId="652DDA4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CCE02"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17FD3E" w14:textId="77777777" w:rsidR="00000000" w:rsidRDefault="00E614A4">
            <w:pPr>
              <w:jc w:val="right"/>
              <w:rPr>
                <w:rFonts w:eastAsia="Times New Roman"/>
              </w:rPr>
            </w:pPr>
            <w:r>
              <w:rPr>
                <w:rFonts w:eastAsia="Times New Roman"/>
                <w:color w:val="000000"/>
                <w:sz w:val="18"/>
                <w:szCs w:val="18"/>
              </w:rPr>
              <w:t>2,270 </w:t>
            </w:r>
          </w:p>
        </w:tc>
        <w:tc>
          <w:tcPr>
            <w:tcW w:w="0" w:type="auto"/>
            <w:shd w:val="clear" w:color="auto" w:fill="FFFFFF"/>
            <w:tcMar>
              <w:top w:w="30" w:type="dxa"/>
              <w:left w:w="0" w:type="dxa"/>
              <w:bottom w:w="30" w:type="dxa"/>
              <w:right w:w="20" w:type="dxa"/>
            </w:tcMar>
            <w:vAlign w:val="bottom"/>
            <w:hideMark/>
          </w:tcPr>
          <w:p w14:paraId="325AF72F"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9A0B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284441" w14:textId="77777777" w:rsidR="00000000" w:rsidRDefault="00E614A4">
            <w:pPr>
              <w:jc w:val="right"/>
              <w:rPr>
                <w:rFonts w:eastAsia="Times New Roman"/>
              </w:rPr>
            </w:pPr>
            <w:r>
              <w:rPr>
                <w:rFonts w:eastAsia="Times New Roman"/>
                <w:color w:val="000000"/>
                <w:sz w:val="18"/>
                <w:szCs w:val="18"/>
              </w:rPr>
              <w:t>(1,886)</w:t>
            </w:r>
          </w:p>
        </w:tc>
        <w:tc>
          <w:tcPr>
            <w:tcW w:w="0" w:type="auto"/>
            <w:shd w:val="clear" w:color="auto" w:fill="FFFFFF"/>
            <w:tcMar>
              <w:top w:w="30" w:type="dxa"/>
              <w:left w:w="0" w:type="dxa"/>
              <w:bottom w:w="30" w:type="dxa"/>
              <w:right w:w="20" w:type="dxa"/>
            </w:tcMar>
            <w:vAlign w:val="bottom"/>
            <w:hideMark/>
          </w:tcPr>
          <w:p w14:paraId="03CF6A67" w14:textId="77777777" w:rsidR="00000000" w:rsidRDefault="00E614A4">
            <w:pPr>
              <w:jc w:val="right"/>
              <w:rPr>
                <w:rFonts w:eastAsia="Times New Roman"/>
              </w:rPr>
            </w:pPr>
          </w:p>
        </w:tc>
      </w:tr>
      <w:tr w:rsidR="00000000" w14:paraId="7B91BCC8" w14:textId="77777777">
        <w:trPr>
          <w:divId w:val="1523863754"/>
        </w:trPr>
        <w:tc>
          <w:tcPr>
            <w:tcW w:w="0" w:type="auto"/>
            <w:gridSpan w:val="3"/>
            <w:shd w:val="clear" w:color="auto" w:fill="CCEEFF"/>
            <w:tcMar>
              <w:top w:w="30" w:type="dxa"/>
              <w:left w:w="20" w:type="dxa"/>
              <w:bottom w:w="30" w:type="dxa"/>
              <w:right w:w="20" w:type="dxa"/>
            </w:tcMar>
            <w:hideMark/>
          </w:tcPr>
          <w:p w14:paraId="557043CB" w14:textId="77777777" w:rsidR="00000000" w:rsidRDefault="00E614A4">
            <w:pPr>
              <w:rPr>
                <w:rFonts w:eastAsia="Times New Roman"/>
              </w:rPr>
            </w:pPr>
            <w:r>
              <w:rPr>
                <w:rFonts w:eastAsia="Times New Roman"/>
                <w:color w:val="000000"/>
                <w:sz w:val="18"/>
                <w:szCs w:val="18"/>
              </w:rPr>
              <w:t>Total expenses from operations</w:t>
            </w:r>
          </w:p>
        </w:tc>
        <w:tc>
          <w:tcPr>
            <w:tcW w:w="0" w:type="auto"/>
            <w:gridSpan w:val="3"/>
            <w:shd w:val="clear" w:color="auto" w:fill="CCEEFF"/>
            <w:tcMar>
              <w:top w:w="0" w:type="dxa"/>
              <w:left w:w="20" w:type="dxa"/>
              <w:bottom w:w="0" w:type="dxa"/>
              <w:right w:w="20" w:type="dxa"/>
            </w:tcMar>
            <w:vAlign w:val="center"/>
            <w:hideMark/>
          </w:tcPr>
          <w:p w14:paraId="4EE5B89C" w14:textId="77777777" w:rsidR="00000000" w:rsidRDefault="00E614A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E807CB" w14:textId="77777777" w:rsidR="00000000" w:rsidRDefault="00E614A4">
            <w:pPr>
              <w:jc w:val="right"/>
              <w:rPr>
                <w:rFonts w:eastAsia="Times New Roman"/>
              </w:rPr>
            </w:pPr>
            <w:r>
              <w:rPr>
                <w:rFonts w:eastAsia="Times New Roman"/>
                <w:color w:val="000000"/>
                <w:sz w:val="18"/>
                <w:szCs w:val="18"/>
              </w:rPr>
              <w:t>71,478 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7FEFC2"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1DA65E"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84232B" w14:textId="77777777" w:rsidR="00000000" w:rsidRDefault="00E614A4">
            <w:pPr>
              <w:jc w:val="right"/>
              <w:rPr>
                <w:rFonts w:eastAsia="Times New Roman"/>
              </w:rPr>
            </w:pPr>
            <w:r>
              <w:rPr>
                <w:rFonts w:eastAsia="Times New Roman"/>
                <w:color w:val="000000"/>
                <w:sz w:val="18"/>
                <w:szCs w:val="18"/>
              </w:rPr>
              <w:t>317,103 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45D2E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7ECAA"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FEF0F4" w14:textId="77777777" w:rsidR="00000000" w:rsidRDefault="00E614A4">
            <w:pPr>
              <w:jc w:val="right"/>
              <w:rPr>
                <w:rFonts w:eastAsia="Times New Roman"/>
              </w:rPr>
            </w:pPr>
            <w:r>
              <w:rPr>
                <w:rFonts w:eastAsia="Times New Roman"/>
                <w:color w:val="000000"/>
                <w:sz w:val="18"/>
                <w:szCs w:val="18"/>
              </w:rPr>
              <w:t>56,669 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6E872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4393B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86EEA9" w14:textId="77777777" w:rsidR="00000000" w:rsidRDefault="00E614A4">
            <w:pPr>
              <w:jc w:val="right"/>
              <w:rPr>
                <w:rFonts w:eastAsia="Times New Roman"/>
              </w:rPr>
            </w:pPr>
            <w:r>
              <w:rPr>
                <w:rFonts w:eastAsia="Times New Roman"/>
                <w:color w:val="000000"/>
                <w:sz w:val="18"/>
                <w:szCs w:val="18"/>
              </w:rPr>
              <w:t>54,240 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7E83C3" w14:textId="77777777" w:rsidR="00000000" w:rsidRDefault="00E614A4">
            <w:pPr>
              <w:jc w:val="right"/>
              <w:rPr>
                <w:rFonts w:eastAsia="Times New Roman"/>
              </w:rPr>
            </w:pPr>
          </w:p>
        </w:tc>
      </w:tr>
      <w:tr w:rsidR="00000000" w14:paraId="760E9DD7" w14:textId="77777777">
        <w:trPr>
          <w:divId w:val="1523863754"/>
        </w:trPr>
        <w:tc>
          <w:tcPr>
            <w:tcW w:w="0" w:type="auto"/>
            <w:gridSpan w:val="3"/>
            <w:shd w:val="clear" w:color="auto" w:fill="FFFFFF"/>
            <w:tcMar>
              <w:top w:w="30" w:type="dxa"/>
              <w:left w:w="20" w:type="dxa"/>
              <w:bottom w:w="30" w:type="dxa"/>
              <w:right w:w="20" w:type="dxa"/>
            </w:tcMar>
            <w:hideMark/>
          </w:tcPr>
          <w:p w14:paraId="210448E8" w14:textId="77777777" w:rsidR="00000000" w:rsidRDefault="00E614A4">
            <w:pPr>
              <w:rPr>
                <w:rFonts w:eastAsia="Times New Roman"/>
              </w:rPr>
            </w:pPr>
            <w:r>
              <w:rPr>
                <w:rFonts w:eastAsia="Times New Roman"/>
                <w:color w:val="000000"/>
                <w:sz w:val="18"/>
                <w:szCs w:val="18"/>
              </w:rPr>
              <w:t>Loss from operations</w:t>
            </w:r>
          </w:p>
        </w:tc>
        <w:tc>
          <w:tcPr>
            <w:tcW w:w="0" w:type="auto"/>
            <w:gridSpan w:val="3"/>
            <w:shd w:val="clear" w:color="auto" w:fill="FFFFFF"/>
            <w:tcMar>
              <w:top w:w="0" w:type="dxa"/>
              <w:left w:w="20" w:type="dxa"/>
              <w:bottom w:w="0" w:type="dxa"/>
              <w:right w:w="20" w:type="dxa"/>
            </w:tcMar>
            <w:vAlign w:val="center"/>
            <w:hideMark/>
          </w:tcPr>
          <w:p w14:paraId="3C6DB6B0"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063F93" w14:textId="77777777" w:rsidR="00000000" w:rsidRDefault="00E614A4">
            <w:pPr>
              <w:jc w:val="right"/>
              <w:rPr>
                <w:rFonts w:eastAsia="Times New Roman"/>
              </w:rPr>
            </w:pPr>
            <w:r>
              <w:rPr>
                <w:rFonts w:eastAsia="Times New Roman"/>
                <w:color w:val="000000"/>
                <w:sz w:val="18"/>
                <w:szCs w:val="18"/>
              </w:rPr>
              <w:t>(22,591)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C1C8B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EC86F"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9C3900" w14:textId="77777777" w:rsidR="00000000" w:rsidRDefault="00E614A4">
            <w:pPr>
              <w:jc w:val="right"/>
              <w:rPr>
                <w:rFonts w:eastAsia="Times New Roman"/>
              </w:rPr>
            </w:pPr>
            <w:r>
              <w:rPr>
                <w:rFonts w:eastAsia="Times New Roman"/>
                <w:color w:val="000000"/>
                <w:sz w:val="18"/>
                <w:szCs w:val="18"/>
              </w:rPr>
              <w:t>(272,209)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4363FB"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F69C0"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68D53A" w14:textId="77777777" w:rsidR="00000000" w:rsidRDefault="00E614A4">
            <w:pPr>
              <w:jc w:val="right"/>
              <w:rPr>
                <w:rFonts w:eastAsia="Times New Roman"/>
              </w:rPr>
            </w:pPr>
            <w:r>
              <w:rPr>
                <w:rFonts w:eastAsia="Times New Roman"/>
                <w:color w:val="000000"/>
                <w:sz w:val="18"/>
                <w:szCs w:val="18"/>
              </w:rPr>
              <w:t>(9,759)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C8C9D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33628"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719790" w14:textId="77777777" w:rsidR="00000000" w:rsidRDefault="00E614A4">
            <w:pPr>
              <w:jc w:val="right"/>
              <w:rPr>
                <w:rFonts w:eastAsia="Times New Roman"/>
              </w:rPr>
            </w:pPr>
            <w:r>
              <w:rPr>
                <w:rFonts w:eastAsia="Times New Roman"/>
                <w:color w:val="000000"/>
                <w:sz w:val="18"/>
                <w:szCs w:val="18"/>
              </w:rPr>
              <w:t>(5,908)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D0530A" w14:textId="77777777" w:rsidR="00000000" w:rsidRDefault="00E614A4">
            <w:pPr>
              <w:jc w:val="right"/>
              <w:rPr>
                <w:rFonts w:eastAsia="Times New Roman"/>
              </w:rPr>
            </w:pPr>
          </w:p>
        </w:tc>
      </w:tr>
      <w:tr w:rsidR="00000000" w14:paraId="48F5A6B9" w14:textId="77777777">
        <w:trPr>
          <w:divId w:val="1523863754"/>
        </w:trPr>
        <w:tc>
          <w:tcPr>
            <w:tcW w:w="0" w:type="auto"/>
            <w:gridSpan w:val="3"/>
            <w:shd w:val="clear" w:color="auto" w:fill="CCEEFF"/>
            <w:tcMar>
              <w:top w:w="30" w:type="dxa"/>
              <w:left w:w="20" w:type="dxa"/>
              <w:bottom w:w="30" w:type="dxa"/>
              <w:right w:w="20" w:type="dxa"/>
            </w:tcMar>
            <w:hideMark/>
          </w:tcPr>
          <w:p w14:paraId="29CA4102" w14:textId="77777777" w:rsidR="00000000" w:rsidRDefault="00E614A4">
            <w:pPr>
              <w:rPr>
                <w:rFonts w:eastAsia="Times New Roman"/>
              </w:rPr>
            </w:pPr>
            <w:r>
              <w:rPr>
                <w:rFonts w:eastAsia="Times New Roman"/>
                <w:color w:val="000000"/>
                <w:sz w:val="18"/>
                <w:szCs w:val="18"/>
              </w:rPr>
              <w:t>Interest expense, net</w:t>
            </w:r>
          </w:p>
        </w:tc>
        <w:tc>
          <w:tcPr>
            <w:tcW w:w="0" w:type="auto"/>
            <w:gridSpan w:val="3"/>
            <w:shd w:val="clear" w:color="auto" w:fill="CCEEFF"/>
            <w:tcMar>
              <w:top w:w="0" w:type="dxa"/>
              <w:left w:w="20" w:type="dxa"/>
              <w:bottom w:w="0" w:type="dxa"/>
              <w:right w:w="20" w:type="dxa"/>
            </w:tcMar>
            <w:vAlign w:val="center"/>
            <w:hideMark/>
          </w:tcPr>
          <w:p w14:paraId="4F2CC5F6"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B35F37" w14:textId="77777777" w:rsidR="00000000" w:rsidRDefault="00E614A4">
            <w:pPr>
              <w:jc w:val="right"/>
              <w:rPr>
                <w:rFonts w:eastAsia="Times New Roman"/>
              </w:rPr>
            </w:pPr>
            <w:r>
              <w:rPr>
                <w:rFonts w:eastAsia="Times New Roman"/>
                <w:color w:val="000000"/>
                <w:sz w:val="18"/>
                <w:szCs w:val="18"/>
              </w:rPr>
              <w:t>(6,759)</w:t>
            </w:r>
          </w:p>
        </w:tc>
        <w:tc>
          <w:tcPr>
            <w:tcW w:w="0" w:type="auto"/>
            <w:shd w:val="clear" w:color="auto" w:fill="CCEEFF"/>
            <w:tcMar>
              <w:top w:w="30" w:type="dxa"/>
              <w:left w:w="0" w:type="dxa"/>
              <w:bottom w:w="30" w:type="dxa"/>
              <w:right w:w="20" w:type="dxa"/>
            </w:tcMar>
            <w:vAlign w:val="bottom"/>
            <w:hideMark/>
          </w:tcPr>
          <w:p w14:paraId="1358633A"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35BE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4A3AE2" w14:textId="77777777" w:rsidR="00000000" w:rsidRDefault="00E614A4">
            <w:pPr>
              <w:jc w:val="right"/>
              <w:rPr>
                <w:rFonts w:eastAsia="Times New Roman"/>
              </w:rPr>
            </w:pPr>
            <w:r>
              <w:rPr>
                <w:rFonts w:eastAsia="Times New Roman"/>
                <w:color w:val="000000"/>
                <w:sz w:val="18"/>
                <w:szCs w:val="18"/>
              </w:rPr>
              <w:t>(8,242)</w:t>
            </w:r>
          </w:p>
        </w:tc>
        <w:tc>
          <w:tcPr>
            <w:tcW w:w="0" w:type="auto"/>
            <w:shd w:val="clear" w:color="auto" w:fill="CCEEFF"/>
            <w:tcMar>
              <w:top w:w="30" w:type="dxa"/>
              <w:left w:w="0" w:type="dxa"/>
              <w:bottom w:w="30" w:type="dxa"/>
              <w:right w:w="20" w:type="dxa"/>
            </w:tcMar>
            <w:vAlign w:val="bottom"/>
            <w:hideMark/>
          </w:tcPr>
          <w:p w14:paraId="53C1DB4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4F67F"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715496" w14:textId="77777777" w:rsidR="00000000" w:rsidRDefault="00E614A4">
            <w:pPr>
              <w:jc w:val="right"/>
              <w:rPr>
                <w:rFonts w:eastAsia="Times New Roman"/>
              </w:rPr>
            </w:pPr>
            <w:r>
              <w:rPr>
                <w:rFonts w:eastAsia="Times New Roman"/>
                <w:color w:val="000000"/>
                <w:sz w:val="18"/>
                <w:szCs w:val="18"/>
              </w:rPr>
              <w:t>(8,175)</w:t>
            </w:r>
          </w:p>
        </w:tc>
        <w:tc>
          <w:tcPr>
            <w:tcW w:w="0" w:type="auto"/>
            <w:shd w:val="clear" w:color="auto" w:fill="CCEEFF"/>
            <w:tcMar>
              <w:top w:w="30" w:type="dxa"/>
              <w:left w:w="0" w:type="dxa"/>
              <w:bottom w:w="30" w:type="dxa"/>
              <w:right w:w="20" w:type="dxa"/>
            </w:tcMar>
            <w:vAlign w:val="bottom"/>
            <w:hideMark/>
          </w:tcPr>
          <w:p w14:paraId="72C6A7E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51A1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66F33F" w14:textId="77777777" w:rsidR="00000000" w:rsidRDefault="00E614A4">
            <w:pPr>
              <w:jc w:val="right"/>
              <w:rPr>
                <w:rFonts w:eastAsia="Times New Roman"/>
              </w:rPr>
            </w:pPr>
            <w:r>
              <w:rPr>
                <w:rFonts w:eastAsia="Times New Roman"/>
                <w:color w:val="000000"/>
                <w:sz w:val="18"/>
                <w:szCs w:val="18"/>
              </w:rPr>
              <w:t>(8,350)</w:t>
            </w:r>
          </w:p>
        </w:tc>
        <w:tc>
          <w:tcPr>
            <w:tcW w:w="0" w:type="auto"/>
            <w:shd w:val="clear" w:color="auto" w:fill="CCEEFF"/>
            <w:tcMar>
              <w:top w:w="30" w:type="dxa"/>
              <w:left w:w="0" w:type="dxa"/>
              <w:bottom w:w="30" w:type="dxa"/>
              <w:right w:w="20" w:type="dxa"/>
            </w:tcMar>
            <w:vAlign w:val="bottom"/>
            <w:hideMark/>
          </w:tcPr>
          <w:p w14:paraId="648E7A45" w14:textId="77777777" w:rsidR="00000000" w:rsidRDefault="00E614A4">
            <w:pPr>
              <w:jc w:val="right"/>
              <w:rPr>
                <w:rFonts w:eastAsia="Times New Roman"/>
              </w:rPr>
            </w:pPr>
          </w:p>
        </w:tc>
      </w:tr>
      <w:tr w:rsidR="00000000" w14:paraId="4FADEBD5" w14:textId="77777777">
        <w:trPr>
          <w:divId w:val="1523863754"/>
        </w:trPr>
        <w:tc>
          <w:tcPr>
            <w:tcW w:w="0" w:type="auto"/>
            <w:gridSpan w:val="3"/>
            <w:shd w:val="clear" w:color="auto" w:fill="FFFFFF"/>
            <w:tcMar>
              <w:top w:w="30" w:type="dxa"/>
              <w:left w:w="20" w:type="dxa"/>
              <w:bottom w:w="30" w:type="dxa"/>
              <w:right w:w="20" w:type="dxa"/>
            </w:tcMar>
            <w:hideMark/>
          </w:tcPr>
          <w:p w14:paraId="1309D223" w14:textId="77777777" w:rsidR="00000000" w:rsidRDefault="00E614A4">
            <w:pPr>
              <w:rPr>
                <w:rFonts w:eastAsia="Times New Roman"/>
              </w:rPr>
            </w:pPr>
            <w:r>
              <w:rPr>
                <w:rFonts w:eastAsia="Times New Roman"/>
                <w:color w:val="000000"/>
                <w:sz w:val="18"/>
                <w:szCs w:val="18"/>
              </w:rPr>
              <w:t>Other income (expense), net</w:t>
            </w:r>
          </w:p>
        </w:tc>
        <w:tc>
          <w:tcPr>
            <w:tcW w:w="0" w:type="auto"/>
            <w:gridSpan w:val="3"/>
            <w:shd w:val="clear" w:color="auto" w:fill="FFFFFF"/>
            <w:tcMar>
              <w:top w:w="0" w:type="dxa"/>
              <w:left w:w="20" w:type="dxa"/>
              <w:bottom w:w="0" w:type="dxa"/>
              <w:right w:w="20" w:type="dxa"/>
            </w:tcMar>
            <w:vAlign w:val="center"/>
            <w:hideMark/>
          </w:tcPr>
          <w:p w14:paraId="7ACF54C4"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F3CB0D" w14:textId="77777777" w:rsidR="00000000" w:rsidRDefault="00E614A4">
            <w:pPr>
              <w:jc w:val="right"/>
              <w:rPr>
                <w:rFonts w:eastAsia="Times New Roman"/>
              </w:rPr>
            </w:pPr>
            <w:r>
              <w:rPr>
                <w:rFonts w:eastAsia="Times New Roman"/>
                <w:color w:val="000000"/>
                <w:sz w:val="18"/>
                <w:szCs w:val="18"/>
              </w:rPr>
              <w:t>2,969 </w:t>
            </w:r>
          </w:p>
        </w:tc>
        <w:tc>
          <w:tcPr>
            <w:tcW w:w="0" w:type="auto"/>
            <w:shd w:val="clear" w:color="auto" w:fill="FFFFFF"/>
            <w:tcMar>
              <w:top w:w="30" w:type="dxa"/>
              <w:left w:w="0" w:type="dxa"/>
              <w:bottom w:w="30" w:type="dxa"/>
              <w:right w:w="20" w:type="dxa"/>
            </w:tcMar>
            <w:vAlign w:val="bottom"/>
            <w:hideMark/>
          </w:tcPr>
          <w:p w14:paraId="69C1A8A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F32E1"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FCE62" w14:textId="77777777" w:rsidR="00000000" w:rsidRDefault="00E614A4">
            <w:pPr>
              <w:jc w:val="right"/>
              <w:rPr>
                <w:rFonts w:eastAsia="Times New Roman"/>
              </w:rPr>
            </w:pPr>
            <w:r>
              <w:rPr>
                <w:rFonts w:eastAsia="Times New Roman"/>
                <w:color w:val="000000"/>
                <w:sz w:val="18"/>
                <w:szCs w:val="18"/>
              </w:rPr>
              <w:t>(3,081)</w:t>
            </w:r>
          </w:p>
        </w:tc>
        <w:tc>
          <w:tcPr>
            <w:tcW w:w="0" w:type="auto"/>
            <w:shd w:val="clear" w:color="auto" w:fill="FFFFFF"/>
            <w:tcMar>
              <w:top w:w="30" w:type="dxa"/>
              <w:left w:w="0" w:type="dxa"/>
              <w:bottom w:w="30" w:type="dxa"/>
              <w:right w:w="20" w:type="dxa"/>
            </w:tcMar>
            <w:vAlign w:val="bottom"/>
            <w:hideMark/>
          </w:tcPr>
          <w:p w14:paraId="519D6DF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0EAA3"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862863" w14:textId="77777777" w:rsidR="00000000" w:rsidRDefault="00E614A4">
            <w:pPr>
              <w:jc w:val="right"/>
              <w:rPr>
                <w:rFonts w:eastAsia="Times New Roman"/>
              </w:rPr>
            </w:pPr>
            <w:r>
              <w:rPr>
                <w:rFonts w:eastAsia="Times New Roman"/>
                <w:color w:val="000000"/>
                <w:sz w:val="18"/>
                <w:szCs w:val="18"/>
              </w:rPr>
              <w:t>6,733 </w:t>
            </w:r>
          </w:p>
        </w:tc>
        <w:tc>
          <w:tcPr>
            <w:tcW w:w="0" w:type="auto"/>
            <w:shd w:val="clear" w:color="auto" w:fill="FFFFFF"/>
            <w:tcMar>
              <w:top w:w="30" w:type="dxa"/>
              <w:left w:w="0" w:type="dxa"/>
              <w:bottom w:w="30" w:type="dxa"/>
              <w:right w:w="20" w:type="dxa"/>
            </w:tcMar>
            <w:vAlign w:val="bottom"/>
            <w:hideMark/>
          </w:tcPr>
          <w:p w14:paraId="56C8282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8E68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10077" w14:textId="77777777" w:rsidR="00000000" w:rsidRDefault="00E614A4">
            <w:pPr>
              <w:jc w:val="right"/>
              <w:rPr>
                <w:rFonts w:eastAsia="Times New Roman"/>
              </w:rPr>
            </w:pPr>
            <w:r>
              <w:rPr>
                <w:rFonts w:eastAsia="Times New Roman"/>
                <w:color w:val="000000"/>
                <w:sz w:val="18"/>
                <w:szCs w:val="18"/>
              </w:rPr>
              <w:t>(4,967)</w:t>
            </w:r>
          </w:p>
        </w:tc>
        <w:tc>
          <w:tcPr>
            <w:tcW w:w="0" w:type="auto"/>
            <w:shd w:val="clear" w:color="auto" w:fill="FFFFFF"/>
            <w:tcMar>
              <w:top w:w="30" w:type="dxa"/>
              <w:left w:w="0" w:type="dxa"/>
              <w:bottom w:w="30" w:type="dxa"/>
              <w:right w:w="20" w:type="dxa"/>
            </w:tcMar>
            <w:vAlign w:val="bottom"/>
            <w:hideMark/>
          </w:tcPr>
          <w:p w14:paraId="692BC83E" w14:textId="77777777" w:rsidR="00000000" w:rsidRDefault="00E614A4">
            <w:pPr>
              <w:jc w:val="right"/>
              <w:rPr>
                <w:rFonts w:eastAsia="Times New Roman"/>
              </w:rPr>
            </w:pPr>
          </w:p>
        </w:tc>
      </w:tr>
      <w:tr w:rsidR="00000000" w14:paraId="597D4C40" w14:textId="77777777">
        <w:trPr>
          <w:divId w:val="1523863754"/>
        </w:trPr>
        <w:tc>
          <w:tcPr>
            <w:tcW w:w="0" w:type="auto"/>
            <w:gridSpan w:val="3"/>
            <w:shd w:val="clear" w:color="auto" w:fill="CCEEFF"/>
            <w:tcMar>
              <w:top w:w="30" w:type="dxa"/>
              <w:left w:w="20" w:type="dxa"/>
              <w:bottom w:w="30" w:type="dxa"/>
              <w:right w:w="20" w:type="dxa"/>
            </w:tcMar>
            <w:hideMark/>
          </w:tcPr>
          <w:p w14:paraId="5E3D2723" w14:textId="77777777" w:rsidR="00000000" w:rsidRDefault="00E614A4">
            <w:pPr>
              <w:rPr>
                <w:rFonts w:eastAsia="Times New Roman"/>
              </w:rPr>
            </w:pPr>
            <w:r>
              <w:rPr>
                <w:rFonts w:eastAsia="Times New Roman"/>
                <w:color w:val="000000"/>
                <w:sz w:val="18"/>
                <w:szCs w:val="18"/>
              </w:rPr>
              <w:t>Gain (loss) from foreign currency transactions</w:t>
            </w:r>
          </w:p>
        </w:tc>
        <w:tc>
          <w:tcPr>
            <w:tcW w:w="0" w:type="auto"/>
            <w:gridSpan w:val="3"/>
            <w:shd w:val="clear" w:color="auto" w:fill="CCEEFF"/>
            <w:tcMar>
              <w:top w:w="0" w:type="dxa"/>
              <w:left w:w="20" w:type="dxa"/>
              <w:bottom w:w="0" w:type="dxa"/>
              <w:right w:w="20" w:type="dxa"/>
            </w:tcMar>
            <w:vAlign w:val="center"/>
            <w:hideMark/>
          </w:tcPr>
          <w:p w14:paraId="6B1364F8"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157694" w14:textId="77777777" w:rsidR="00000000" w:rsidRDefault="00E614A4">
            <w:pPr>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14:paraId="6C72E899"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237D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3CE59" w14:textId="77777777" w:rsidR="00000000" w:rsidRDefault="00E614A4">
            <w:pPr>
              <w:jc w:val="right"/>
              <w:rPr>
                <w:rFonts w:eastAsia="Times New Roman"/>
              </w:rPr>
            </w:pPr>
            <w:r>
              <w:rPr>
                <w:rFonts w:eastAsia="Times New Roman"/>
                <w:color w:val="000000"/>
                <w:sz w:val="18"/>
                <w:szCs w:val="18"/>
              </w:rPr>
              <w:t>(464)</w:t>
            </w:r>
          </w:p>
        </w:tc>
        <w:tc>
          <w:tcPr>
            <w:tcW w:w="0" w:type="auto"/>
            <w:shd w:val="clear" w:color="auto" w:fill="CCEEFF"/>
            <w:tcMar>
              <w:top w:w="30" w:type="dxa"/>
              <w:left w:w="0" w:type="dxa"/>
              <w:bottom w:w="30" w:type="dxa"/>
              <w:right w:w="20" w:type="dxa"/>
            </w:tcMar>
            <w:vAlign w:val="bottom"/>
            <w:hideMark/>
          </w:tcPr>
          <w:p w14:paraId="3E80177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199C8"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456E29" w14:textId="77777777" w:rsidR="00000000" w:rsidRDefault="00E614A4">
            <w:pPr>
              <w:jc w:val="right"/>
              <w:rPr>
                <w:rFonts w:eastAsia="Times New Roman"/>
              </w:rPr>
            </w:pPr>
            <w:r>
              <w:rPr>
                <w:rFonts w:eastAsia="Times New Roman"/>
                <w:color w:val="000000"/>
                <w:sz w:val="18"/>
                <w:szCs w:val="18"/>
              </w:rPr>
              <w:t>1,194 </w:t>
            </w:r>
          </w:p>
        </w:tc>
        <w:tc>
          <w:tcPr>
            <w:tcW w:w="0" w:type="auto"/>
            <w:shd w:val="clear" w:color="auto" w:fill="CCEEFF"/>
            <w:tcMar>
              <w:top w:w="30" w:type="dxa"/>
              <w:left w:w="0" w:type="dxa"/>
              <w:bottom w:w="30" w:type="dxa"/>
              <w:right w:w="20" w:type="dxa"/>
            </w:tcMar>
            <w:vAlign w:val="bottom"/>
            <w:hideMark/>
          </w:tcPr>
          <w:p w14:paraId="33A0194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762D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985B20" w14:textId="77777777" w:rsidR="00000000" w:rsidRDefault="00E614A4">
            <w:pPr>
              <w:jc w:val="right"/>
              <w:rPr>
                <w:rFonts w:eastAsia="Times New Roman"/>
              </w:rPr>
            </w:pPr>
            <w:r>
              <w:rPr>
                <w:rFonts w:eastAsia="Times New Roman"/>
                <w:color w:val="000000"/>
                <w:sz w:val="18"/>
                <w:szCs w:val="18"/>
              </w:rPr>
              <w:t>(432)</w:t>
            </w:r>
          </w:p>
        </w:tc>
        <w:tc>
          <w:tcPr>
            <w:tcW w:w="0" w:type="auto"/>
            <w:shd w:val="clear" w:color="auto" w:fill="CCEEFF"/>
            <w:tcMar>
              <w:top w:w="30" w:type="dxa"/>
              <w:left w:w="0" w:type="dxa"/>
              <w:bottom w:w="30" w:type="dxa"/>
              <w:right w:w="20" w:type="dxa"/>
            </w:tcMar>
            <w:vAlign w:val="bottom"/>
            <w:hideMark/>
          </w:tcPr>
          <w:p w14:paraId="1FECC639" w14:textId="77777777" w:rsidR="00000000" w:rsidRDefault="00E614A4">
            <w:pPr>
              <w:jc w:val="right"/>
              <w:rPr>
                <w:rFonts w:eastAsia="Times New Roman"/>
              </w:rPr>
            </w:pPr>
          </w:p>
        </w:tc>
      </w:tr>
      <w:tr w:rsidR="00000000" w14:paraId="2D4858FA" w14:textId="77777777">
        <w:trPr>
          <w:divId w:val="1523863754"/>
        </w:trPr>
        <w:tc>
          <w:tcPr>
            <w:tcW w:w="0" w:type="auto"/>
            <w:gridSpan w:val="3"/>
            <w:shd w:val="clear" w:color="auto" w:fill="FFFFFF"/>
            <w:tcMar>
              <w:top w:w="30" w:type="dxa"/>
              <w:left w:w="20" w:type="dxa"/>
              <w:bottom w:w="30" w:type="dxa"/>
              <w:right w:w="20" w:type="dxa"/>
            </w:tcMar>
            <w:hideMark/>
          </w:tcPr>
          <w:p w14:paraId="36E32165" w14:textId="77777777" w:rsidR="00000000" w:rsidRDefault="00E614A4">
            <w:pPr>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4284F9FB" w14:textId="77777777" w:rsidR="00000000" w:rsidRDefault="00E614A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76E74E" w14:textId="77777777" w:rsidR="00000000" w:rsidRDefault="00E614A4">
            <w:pPr>
              <w:jc w:val="right"/>
              <w:rPr>
                <w:rFonts w:eastAsia="Times New Roman"/>
              </w:rPr>
            </w:pPr>
            <w:r>
              <w:rPr>
                <w:rFonts w:eastAsia="Times New Roman"/>
                <w:color w:val="000000"/>
                <w:sz w:val="18"/>
                <w:szCs w:val="18"/>
              </w:rPr>
              <w:t>(26,343)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945C0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A3C7A"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0EE1F2" w14:textId="77777777" w:rsidR="00000000" w:rsidRDefault="00E614A4">
            <w:pPr>
              <w:jc w:val="right"/>
              <w:rPr>
                <w:rFonts w:eastAsia="Times New Roman"/>
              </w:rPr>
            </w:pPr>
            <w:r>
              <w:rPr>
                <w:rFonts w:eastAsia="Times New Roman"/>
                <w:color w:val="000000"/>
                <w:sz w:val="18"/>
                <w:szCs w:val="18"/>
              </w:rPr>
              <w:t>(283,996)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FEE1A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363E3"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BBD981" w14:textId="77777777" w:rsidR="00000000" w:rsidRDefault="00E614A4">
            <w:pPr>
              <w:jc w:val="right"/>
              <w:rPr>
                <w:rFonts w:eastAsia="Times New Roman"/>
              </w:rPr>
            </w:pPr>
            <w:r>
              <w:rPr>
                <w:rFonts w:eastAsia="Times New Roman"/>
                <w:color w:val="000000"/>
                <w:sz w:val="18"/>
                <w:szCs w:val="18"/>
              </w:rPr>
              <w:t>(10,007)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93DBC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2C6FE" w14:textId="77777777" w:rsidR="00000000" w:rsidRDefault="00E614A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78E17A" w14:textId="77777777" w:rsidR="00000000" w:rsidRDefault="00E614A4">
            <w:pPr>
              <w:jc w:val="right"/>
              <w:rPr>
                <w:rFonts w:eastAsia="Times New Roman"/>
              </w:rPr>
            </w:pPr>
            <w:r>
              <w:rPr>
                <w:rFonts w:eastAsia="Times New Roman"/>
                <w:color w:val="000000"/>
                <w:sz w:val="18"/>
                <w:szCs w:val="18"/>
              </w:rPr>
              <w:t>(</w:t>
            </w:r>
            <w:r>
              <w:rPr>
                <w:rFonts w:eastAsia="Times New Roman"/>
                <w:color w:val="000000"/>
                <w:sz w:val="18"/>
                <w:szCs w:val="18"/>
              </w:rPr>
              <w:t>19,657)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6EF20B" w14:textId="77777777" w:rsidR="00000000" w:rsidRDefault="00E614A4">
            <w:pPr>
              <w:jc w:val="right"/>
              <w:rPr>
                <w:rFonts w:eastAsia="Times New Roman"/>
              </w:rPr>
            </w:pPr>
          </w:p>
        </w:tc>
      </w:tr>
      <w:tr w:rsidR="00000000" w14:paraId="2C4F2DB5" w14:textId="77777777">
        <w:trPr>
          <w:divId w:val="1523863754"/>
        </w:trPr>
        <w:tc>
          <w:tcPr>
            <w:tcW w:w="0" w:type="auto"/>
            <w:gridSpan w:val="3"/>
            <w:shd w:val="clear" w:color="auto" w:fill="CCEEFF"/>
            <w:tcMar>
              <w:top w:w="30" w:type="dxa"/>
              <w:left w:w="20" w:type="dxa"/>
              <w:bottom w:w="30" w:type="dxa"/>
              <w:right w:w="20" w:type="dxa"/>
            </w:tcMar>
            <w:hideMark/>
          </w:tcPr>
          <w:p w14:paraId="4B8A4583" w14:textId="77777777" w:rsidR="00000000" w:rsidRDefault="00E614A4">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12999280"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95FF29" w14:textId="77777777" w:rsidR="00000000" w:rsidRDefault="00E614A4">
            <w:pPr>
              <w:jc w:val="right"/>
              <w:rPr>
                <w:rFonts w:eastAsia="Times New Roman"/>
              </w:rPr>
            </w:pPr>
            <w:r>
              <w:rPr>
                <w:rFonts w:eastAsia="Times New Roman"/>
                <w:color w:val="000000"/>
                <w:sz w:val="18"/>
                <w:szCs w:val="18"/>
              </w:rPr>
              <w:t>(1,171)</w:t>
            </w:r>
          </w:p>
        </w:tc>
        <w:tc>
          <w:tcPr>
            <w:tcW w:w="0" w:type="auto"/>
            <w:shd w:val="clear" w:color="auto" w:fill="CCEEFF"/>
            <w:tcMar>
              <w:top w:w="30" w:type="dxa"/>
              <w:left w:w="0" w:type="dxa"/>
              <w:bottom w:w="30" w:type="dxa"/>
              <w:right w:w="20" w:type="dxa"/>
            </w:tcMar>
            <w:vAlign w:val="bottom"/>
            <w:hideMark/>
          </w:tcPr>
          <w:p w14:paraId="1D6A866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24A2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D45B64" w14:textId="77777777" w:rsidR="00000000" w:rsidRDefault="00E614A4">
            <w:pPr>
              <w:jc w:val="right"/>
              <w:rPr>
                <w:rFonts w:eastAsia="Times New Roman"/>
              </w:rPr>
            </w:pPr>
            <w:r>
              <w:rPr>
                <w:rFonts w:eastAsia="Times New Roman"/>
                <w:color w:val="000000"/>
                <w:sz w:val="18"/>
                <w:szCs w:val="18"/>
              </w:rPr>
              <w:t>4,463 </w:t>
            </w:r>
          </w:p>
        </w:tc>
        <w:tc>
          <w:tcPr>
            <w:tcW w:w="0" w:type="auto"/>
            <w:shd w:val="clear" w:color="auto" w:fill="CCEEFF"/>
            <w:tcMar>
              <w:top w:w="30" w:type="dxa"/>
              <w:left w:w="0" w:type="dxa"/>
              <w:bottom w:w="30" w:type="dxa"/>
              <w:right w:w="20" w:type="dxa"/>
            </w:tcMar>
            <w:vAlign w:val="bottom"/>
            <w:hideMark/>
          </w:tcPr>
          <w:p w14:paraId="21C2EA44"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1EB80"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D45B33" w14:textId="77777777" w:rsidR="00000000" w:rsidRDefault="00E614A4">
            <w:pPr>
              <w:jc w:val="right"/>
              <w:rPr>
                <w:rFonts w:eastAsia="Times New Roman"/>
              </w:rPr>
            </w:pPr>
            <w:r>
              <w:rPr>
                <w:rFonts w:eastAsia="Times New Roman"/>
                <w:color w:val="000000"/>
                <w:sz w:val="18"/>
                <w:szCs w:val="18"/>
              </w:rPr>
              <w:t>(552)</w:t>
            </w:r>
          </w:p>
        </w:tc>
        <w:tc>
          <w:tcPr>
            <w:tcW w:w="0" w:type="auto"/>
            <w:shd w:val="clear" w:color="auto" w:fill="CCEEFF"/>
            <w:tcMar>
              <w:top w:w="30" w:type="dxa"/>
              <w:left w:w="0" w:type="dxa"/>
              <w:bottom w:w="30" w:type="dxa"/>
              <w:right w:w="20" w:type="dxa"/>
            </w:tcMar>
            <w:vAlign w:val="bottom"/>
            <w:hideMark/>
          </w:tcPr>
          <w:p w14:paraId="08BB9B3B"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EE8E6"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797774" w14:textId="77777777" w:rsidR="00000000" w:rsidRDefault="00E614A4">
            <w:pPr>
              <w:jc w:val="right"/>
              <w:rPr>
                <w:rFonts w:eastAsia="Times New Roman"/>
              </w:rPr>
            </w:pPr>
            <w:r>
              <w:rPr>
                <w:rFonts w:eastAsia="Times New Roman"/>
                <w:color w:val="000000"/>
                <w:sz w:val="18"/>
                <w:szCs w:val="18"/>
              </w:rPr>
              <w:t>(1,733)</w:t>
            </w:r>
          </w:p>
        </w:tc>
        <w:tc>
          <w:tcPr>
            <w:tcW w:w="0" w:type="auto"/>
            <w:shd w:val="clear" w:color="auto" w:fill="CCEEFF"/>
            <w:tcMar>
              <w:top w:w="30" w:type="dxa"/>
              <w:left w:w="0" w:type="dxa"/>
              <w:bottom w:w="30" w:type="dxa"/>
              <w:right w:w="20" w:type="dxa"/>
            </w:tcMar>
            <w:vAlign w:val="bottom"/>
            <w:hideMark/>
          </w:tcPr>
          <w:p w14:paraId="56E863F2" w14:textId="77777777" w:rsidR="00000000" w:rsidRDefault="00E614A4">
            <w:pPr>
              <w:jc w:val="right"/>
              <w:rPr>
                <w:rFonts w:eastAsia="Times New Roman"/>
              </w:rPr>
            </w:pPr>
          </w:p>
        </w:tc>
      </w:tr>
      <w:tr w:rsidR="00000000" w14:paraId="41A5466D" w14:textId="77777777">
        <w:trPr>
          <w:divId w:val="1523863754"/>
        </w:trPr>
        <w:tc>
          <w:tcPr>
            <w:tcW w:w="0" w:type="auto"/>
            <w:gridSpan w:val="3"/>
            <w:shd w:val="clear" w:color="auto" w:fill="FFFFFF"/>
            <w:tcMar>
              <w:top w:w="30" w:type="dxa"/>
              <w:left w:w="20" w:type="dxa"/>
              <w:bottom w:w="30" w:type="dxa"/>
              <w:right w:w="20" w:type="dxa"/>
            </w:tcMar>
            <w:hideMark/>
          </w:tcPr>
          <w:p w14:paraId="749936B7" w14:textId="77777777" w:rsidR="00000000" w:rsidRDefault="00E614A4">
            <w:pPr>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34D51300" w14:textId="77777777" w:rsidR="00000000" w:rsidRDefault="00E614A4">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46BF0A"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1BCCE1" w14:textId="77777777" w:rsidR="00000000" w:rsidRDefault="00E614A4">
            <w:pPr>
              <w:jc w:val="right"/>
              <w:rPr>
                <w:rFonts w:eastAsia="Times New Roman"/>
              </w:rPr>
            </w:pPr>
            <w:r>
              <w:rPr>
                <w:rFonts w:eastAsia="Times New Roman"/>
                <w:color w:val="000000"/>
                <w:sz w:val="18"/>
                <w:szCs w:val="18"/>
              </w:rPr>
              <w:t>(27,514)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8FC37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A32AC"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86E227"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9EBAC6" w14:textId="77777777" w:rsidR="00000000" w:rsidRDefault="00E614A4">
            <w:pPr>
              <w:jc w:val="right"/>
              <w:rPr>
                <w:rFonts w:eastAsia="Times New Roman"/>
              </w:rPr>
            </w:pPr>
            <w:r>
              <w:rPr>
                <w:rFonts w:eastAsia="Times New Roman"/>
                <w:color w:val="000000"/>
                <w:sz w:val="18"/>
                <w:szCs w:val="18"/>
              </w:rPr>
              <w:t>(279,533)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701824"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B1197"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BEB901"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CC2B9D" w14:textId="77777777" w:rsidR="00000000" w:rsidRDefault="00E614A4">
            <w:pPr>
              <w:jc w:val="right"/>
              <w:rPr>
                <w:rFonts w:eastAsia="Times New Roman"/>
              </w:rPr>
            </w:pPr>
            <w:r>
              <w:rPr>
                <w:rFonts w:eastAsia="Times New Roman"/>
                <w:color w:val="000000"/>
                <w:sz w:val="18"/>
                <w:szCs w:val="18"/>
              </w:rPr>
              <w:t>(10,559)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B1EE1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8C4B2" w14:textId="77777777" w:rsidR="00000000" w:rsidRDefault="00E614A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6ECBA9"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87FAEB" w14:textId="77777777" w:rsidR="00000000" w:rsidRDefault="00E614A4">
            <w:pPr>
              <w:jc w:val="right"/>
              <w:rPr>
                <w:rFonts w:eastAsia="Times New Roman"/>
              </w:rPr>
            </w:pPr>
            <w:r>
              <w:rPr>
                <w:rFonts w:eastAsia="Times New Roman"/>
                <w:color w:val="000000"/>
                <w:sz w:val="18"/>
                <w:szCs w:val="18"/>
              </w:rPr>
              <w:t>(21,390)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B1F233" w14:textId="77777777" w:rsidR="00000000" w:rsidRDefault="00E614A4">
            <w:pPr>
              <w:jc w:val="right"/>
              <w:rPr>
                <w:rFonts w:eastAsia="Times New Roman"/>
              </w:rPr>
            </w:pPr>
          </w:p>
        </w:tc>
      </w:tr>
      <w:tr w:rsidR="00000000" w14:paraId="284C596C" w14:textId="77777777">
        <w:trPr>
          <w:divId w:val="1523863754"/>
        </w:trPr>
        <w:tc>
          <w:tcPr>
            <w:tcW w:w="0" w:type="auto"/>
            <w:gridSpan w:val="3"/>
            <w:shd w:val="clear" w:color="auto" w:fill="CCEEFF"/>
            <w:tcMar>
              <w:top w:w="30" w:type="dxa"/>
              <w:left w:w="20" w:type="dxa"/>
              <w:bottom w:w="30" w:type="dxa"/>
              <w:right w:w="20" w:type="dxa"/>
            </w:tcMar>
            <w:hideMark/>
          </w:tcPr>
          <w:p w14:paraId="7C8B8A67" w14:textId="77777777" w:rsidR="00000000" w:rsidRDefault="00E614A4">
            <w:pPr>
              <w:rPr>
                <w:rFonts w:eastAsia="Times New Roman"/>
              </w:rPr>
            </w:pPr>
            <w:r>
              <w:rPr>
                <w:rFonts w:eastAsia="Times New Roman"/>
                <w:color w:val="000000"/>
                <w:sz w:val="18"/>
                <w:szCs w:val="18"/>
              </w:rPr>
              <w:t>Net loss per common share:</w:t>
            </w:r>
          </w:p>
        </w:tc>
        <w:tc>
          <w:tcPr>
            <w:tcW w:w="0" w:type="auto"/>
            <w:gridSpan w:val="3"/>
            <w:shd w:val="clear" w:color="auto" w:fill="CCEEFF"/>
            <w:tcMar>
              <w:top w:w="0" w:type="dxa"/>
              <w:left w:w="20" w:type="dxa"/>
              <w:bottom w:w="0" w:type="dxa"/>
              <w:right w:w="20" w:type="dxa"/>
            </w:tcMar>
            <w:vAlign w:val="center"/>
            <w:hideMark/>
          </w:tcPr>
          <w:p w14:paraId="10498436" w14:textId="77777777" w:rsidR="00000000" w:rsidRDefault="00E614A4">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F61C99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7F3B4A"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D12378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EA5332"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8694BC"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04B587" w14:textId="77777777" w:rsidR="00000000" w:rsidRDefault="00E614A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B4F5F4" w14:textId="77777777" w:rsidR="00000000" w:rsidRDefault="00E614A4">
            <w:pPr>
              <w:rPr>
                <w:rFonts w:eastAsia="Times New Roman"/>
                <w:sz w:val="20"/>
                <w:szCs w:val="20"/>
              </w:rPr>
            </w:pPr>
          </w:p>
        </w:tc>
      </w:tr>
      <w:tr w:rsidR="00000000" w14:paraId="4E5B4542" w14:textId="77777777">
        <w:trPr>
          <w:divId w:val="1523863754"/>
        </w:trPr>
        <w:tc>
          <w:tcPr>
            <w:tcW w:w="0" w:type="auto"/>
            <w:gridSpan w:val="3"/>
            <w:shd w:val="clear" w:color="auto" w:fill="FFFFFF"/>
            <w:tcMar>
              <w:top w:w="30" w:type="dxa"/>
              <w:left w:w="260" w:type="dxa"/>
              <w:bottom w:w="30" w:type="dxa"/>
              <w:right w:w="20" w:type="dxa"/>
            </w:tcMar>
            <w:hideMark/>
          </w:tcPr>
          <w:p w14:paraId="140F5E87" w14:textId="77777777" w:rsidR="00000000" w:rsidRDefault="00E614A4">
            <w:pPr>
              <w:rPr>
                <w:rFonts w:eastAsia="Times New Roman"/>
              </w:rPr>
            </w:pPr>
            <w:r>
              <w:rPr>
                <w:rFonts w:eastAsia="Times New Roman"/>
                <w:color w:val="000000"/>
                <w:sz w:val="18"/>
                <w:szCs w:val="18"/>
              </w:rPr>
              <w:t>Basic and diluted</w:t>
            </w:r>
          </w:p>
        </w:tc>
        <w:tc>
          <w:tcPr>
            <w:tcW w:w="0" w:type="auto"/>
            <w:gridSpan w:val="3"/>
            <w:shd w:val="clear" w:color="auto" w:fill="FFFFFF"/>
            <w:tcMar>
              <w:top w:w="0" w:type="dxa"/>
              <w:left w:w="20" w:type="dxa"/>
              <w:bottom w:w="0" w:type="dxa"/>
              <w:right w:w="20" w:type="dxa"/>
            </w:tcMar>
            <w:vAlign w:val="center"/>
            <w:hideMark/>
          </w:tcPr>
          <w:p w14:paraId="2CAA0FCD" w14:textId="77777777" w:rsidR="00000000" w:rsidRDefault="00E614A4">
            <w:pPr>
              <w:rPr>
                <w:rFonts w:eastAsia="Times New Roman"/>
              </w:rPr>
            </w:pPr>
          </w:p>
        </w:tc>
        <w:tc>
          <w:tcPr>
            <w:tcW w:w="0" w:type="auto"/>
            <w:shd w:val="clear" w:color="auto" w:fill="FFFFFF"/>
            <w:tcMar>
              <w:top w:w="30" w:type="dxa"/>
              <w:left w:w="20" w:type="dxa"/>
              <w:bottom w:w="30" w:type="dxa"/>
              <w:right w:w="0" w:type="dxa"/>
            </w:tcMar>
            <w:vAlign w:val="bottom"/>
            <w:hideMark/>
          </w:tcPr>
          <w:p w14:paraId="132CEC24"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D6BCB30" w14:textId="77777777" w:rsidR="00000000" w:rsidRDefault="00E614A4">
            <w:pPr>
              <w:jc w:val="right"/>
              <w:rPr>
                <w:rFonts w:eastAsia="Times New Roman"/>
              </w:rPr>
            </w:pPr>
            <w:r>
              <w:rPr>
                <w:rFonts w:eastAsia="Times New Roman"/>
                <w:color w:val="000000"/>
                <w:sz w:val="18"/>
                <w:szCs w:val="18"/>
              </w:rPr>
              <w:t>(0.46)</w:t>
            </w:r>
          </w:p>
        </w:tc>
        <w:tc>
          <w:tcPr>
            <w:tcW w:w="0" w:type="auto"/>
            <w:shd w:val="clear" w:color="auto" w:fill="FFFFFF"/>
            <w:tcMar>
              <w:top w:w="30" w:type="dxa"/>
              <w:left w:w="0" w:type="dxa"/>
              <w:bottom w:w="30" w:type="dxa"/>
              <w:right w:w="20" w:type="dxa"/>
            </w:tcMar>
            <w:vAlign w:val="bottom"/>
            <w:hideMark/>
          </w:tcPr>
          <w:p w14:paraId="6B5ECD6C"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B9209"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1E2908"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418CF82" w14:textId="77777777" w:rsidR="00000000" w:rsidRDefault="00E614A4">
            <w:pPr>
              <w:jc w:val="right"/>
              <w:rPr>
                <w:rFonts w:eastAsia="Times New Roman"/>
              </w:rPr>
            </w:pPr>
            <w:r>
              <w:rPr>
                <w:rFonts w:eastAsia="Times New Roman"/>
                <w:color w:val="000000"/>
                <w:sz w:val="18"/>
                <w:szCs w:val="18"/>
              </w:rPr>
              <w:t>(4.61)</w:t>
            </w:r>
          </w:p>
        </w:tc>
        <w:tc>
          <w:tcPr>
            <w:tcW w:w="0" w:type="auto"/>
            <w:shd w:val="clear" w:color="auto" w:fill="FFFFFF"/>
            <w:tcMar>
              <w:top w:w="30" w:type="dxa"/>
              <w:left w:w="0" w:type="dxa"/>
              <w:bottom w:w="30" w:type="dxa"/>
              <w:right w:w="20" w:type="dxa"/>
            </w:tcMar>
            <w:vAlign w:val="bottom"/>
            <w:hideMark/>
          </w:tcPr>
          <w:p w14:paraId="16DD592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256CE"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B8FFAC"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C350D00" w14:textId="77777777" w:rsidR="00000000" w:rsidRDefault="00E614A4">
            <w:pPr>
              <w:jc w:val="right"/>
              <w:rPr>
                <w:rFonts w:eastAsia="Times New Roman"/>
              </w:rPr>
            </w:pPr>
            <w:r>
              <w:rPr>
                <w:rFonts w:eastAsia="Times New Roman"/>
                <w:color w:val="000000"/>
                <w:sz w:val="18"/>
                <w:szCs w:val="18"/>
              </w:rPr>
              <w:t>(0.16)</w:t>
            </w:r>
          </w:p>
        </w:tc>
        <w:tc>
          <w:tcPr>
            <w:tcW w:w="0" w:type="auto"/>
            <w:shd w:val="clear" w:color="auto" w:fill="FFFFFF"/>
            <w:tcMar>
              <w:top w:w="30" w:type="dxa"/>
              <w:left w:w="0" w:type="dxa"/>
              <w:bottom w:w="30" w:type="dxa"/>
              <w:right w:w="20" w:type="dxa"/>
            </w:tcMar>
            <w:vAlign w:val="bottom"/>
            <w:hideMark/>
          </w:tcPr>
          <w:p w14:paraId="5A40969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DCD4F" w14:textId="77777777" w:rsidR="00000000" w:rsidRDefault="00E614A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1A4138"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C44BC03" w14:textId="77777777" w:rsidR="00000000" w:rsidRDefault="00E614A4">
            <w:pPr>
              <w:jc w:val="right"/>
              <w:rPr>
                <w:rFonts w:eastAsia="Times New Roman"/>
              </w:rPr>
            </w:pPr>
            <w:r>
              <w:rPr>
                <w:rFonts w:eastAsia="Times New Roman"/>
                <w:color w:val="000000"/>
                <w:sz w:val="18"/>
                <w:szCs w:val="18"/>
              </w:rPr>
              <w:t>(0.31)</w:t>
            </w:r>
          </w:p>
        </w:tc>
        <w:tc>
          <w:tcPr>
            <w:tcW w:w="0" w:type="auto"/>
            <w:shd w:val="clear" w:color="auto" w:fill="FFFFFF"/>
            <w:tcMar>
              <w:top w:w="30" w:type="dxa"/>
              <w:left w:w="0" w:type="dxa"/>
              <w:bottom w:w="30" w:type="dxa"/>
              <w:right w:w="20" w:type="dxa"/>
            </w:tcMar>
            <w:vAlign w:val="bottom"/>
            <w:hideMark/>
          </w:tcPr>
          <w:p w14:paraId="03EDA18D" w14:textId="77777777" w:rsidR="00000000" w:rsidRDefault="00E614A4">
            <w:pPr>
              <w:jc w:val="right"/>
              <w:rPr>
                <w:rFonts w:eastAsia="Times New Roman"/>
              </w:rPr>
            </w:pPr>
          </w:p>
        </w:tc>
      </w:tr>
      <w:tr w:rsidR="00000000" w14:paraId="6F706A3D" w14:textId="77777777">
        <w:trPr>
          <w:divId w:val="1523863754"/>
        </w:trPr>
        <w:tc>
          <w:tcPr>
            <w:tcW w:w="0" w:type="auto"/>
            <w:gridSpan w:val="3"/>
            <w:shd w:val="clear" w:color="auto" w:fill="CCEEFF"/>
            <w:tcMar>
              <w:top w:w="30" w:type="dxa"/>
              <w:left w:w="20" w:type="dxa"/>
              <w:bottom w:w="30" w:type="dxa"/>
              <w:right w:w="20" w:type="dxa"/>
            </w:tcMar>
            <w:hideMark/>
          </w:tcPr>
          <w:p w14:paraId="1E7CE72B" w14:textId="77777777" w:rsidR="00000000" w:rsidRDefault="00E614A4">
            <w:pPr>
              <w:rPr>
                <w:rFonts w:eastAsia="Times New Roman"/>
              </w:rPr>
            </w:pPr>
            <w:r>
              <w:rPr>
                <w:rFonts w:eastAsia="Times New Roman"/>
                <w:color w:val="000000"/>
                <w:sz w:val="18"/>
                <w:szCs w:val="18"/>
              </w:rPr>
              <w:t>Weighted-average number of shares used in per share calculation - Common Stock:</w:t>
            </w:r>
          </w:p>
        </w:tc>
        <w:tc>
          <w:tcPr>
            <w:tcW w:w="0" w:type="auto"/>
            <w:gridSpan w:val="3"/>
            <w:shd w:val="clear" w:color="auto" w:fill="CCEEFF"/>
            <w:tcMar>
              <w:top w:w="0" w:type="dxa"/>
              <w:left w:w="20" w:type="dxa"/>
              <w:bottom w:w="0" w:type="dxa"/>
              <w:right w:w="20" w:type="dxa"/>
            </w:tcMar>
            <w:vAlign w:val="center"/>
            <w:hideMark/>
          </w:tcPr>
          <w:p w14:paraId="38BD2F91" w14:textId="77777777" w:rsidR="00000000" w:rsidRDefault="00E614A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D6AA70"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555F94"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40A941"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A9D91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F9FCDB"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6639F3"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C9D155" w14:textId="77777777" w:rsidR="00000000" w:rsidRDefault="00E614A4">
            <w:pPr>
              <w:rPr>
                <w:rFonts w:eastAsia="Times New Roman"/>
                <w:sz w:val="20"/>
                <w:szCs w:val="20"/>
              </w:rPr>
            </w:pPr>
          </w:p>
        </w:tc>
      </w:tr>
      <w:tr w:rsidR="00000000" w14:paraId="1B10132E" w14:textId="77777777">
        <w:trPr>
          <w:divId w:val="1523863754"/>
        </w:trPr>
        <w:tc>
          <w:tcPr>
            <w:tcW w:w="0" w:type="auto"/>
            <w:gridSpan w:val="3"/>
            <w:shd w:val="clear" w:color="auto" w:fill="FFFFFF"/>
            <w:tcMar>
              <w:top w:w="30" w:type="dxa"/>
              <w:left w:w="260" w:type="dxa"/>
              <w:bottom w:w="30" w:type="dxa"/>
              <w:right w:w="20" w:type="dxa"/>
            </w:tcMar>
            <w:hideMark/>
          </w:tcPr>
          <w:p w14:paraId="46A8A77C" w14:textId="77777777" w:rsidR="00000000" w:rsidRDefault="00E614A4">
            <w:pPr>
              <w:rPr>
                <w:rFonts w:eastAsia="Times New Roman"/>
              </w:rPr>
            </w:pPr>
            <w:r>
              <w:rPr>
                <w:rFonts w:eastAsia="Times New Roman"/>
                <w:color w:val="000000"/>
                <w:sz w:val="18"/>
                <w:szCs w:val="18"/>
              </w:rPr>
              <w:t>Basic and diluted</w:t>
            </w:r>
          </w:p>
        </w:tc>
        <w:tc>
          <w:tcPr>
            <w:tcW w:w="0" w:type="auto"/>
            <w:gridSpan w:val="3"/>
            <w:shd w:val="clear" w:color="auto" w:fill="FFFFFF"/>
            <w:tcMar>
              <w:top w:w="0" w:type="dxa"/>
              <w:left w:w="20" w:type="dxa"/>
              <w:bottom w:w="0" w:type="dxa"/>
              <w:right w:w="20" w:type="dxa"/>
            </w:tcMar>
            <w:vAlign w:val="center"/>
            <w:hideMark/>
          </w:tcPr>
          <w:p w14:paraId="4F2E2DAB" w14:textId="77777777" w:rsidR="00000000" w:rsidRDefault="00E614A4">
            <w:pPr>
              <w:rPr>
                <w:rFonts w:eastAsia="Times New Roman"/>
              </w:rPr>
            </w:pPr>
          </w:p>
        </w:tc>
        <w:tc>
          <w:tcPr>
            <w:tcW w:w="0" w:type="auto"/>
            <w:gridSpan w:val="2"/>
            <w:tcMar>
              <w:top w:w="30" w:type="dxa"/>
              <w:left w:w="20" w:type="dxa"/>
              <w:bottom w:w="30" w:type="dxa"/>
              <w:right w:w="0" w:type="dxa"/>
            </w:tcMar>
            <w:vAlign w:val="bottom"/>
            <w:hideMark/>
          </w:tcPr>
          <w:p w14:paraId="399AC8FF" w14:textId="77777777" w:rsidR="00000000" w:rsidRDefault="00E614A4">
            <w:pPr>
              <w:jc w:val="right"/>
              <w:rPr>
                <w:rFonts w:eastAsia="Times New Roman"/>
              </w:rPr>
            </w:pPr>
            <w:r>
              <w:rPr>
                <w:rFonts w:eastAsia="Times New Roman"/>
                <w:color w:val="000000"/>
                <w:sz w:val="18"/>
                <w:szCs w:val="18"/>
              </w:rPr>
              <w:t>59,958,203 </w:t>
            </w:r>
          </w:p>
        </w:tc>
        <w:tc>
          <w:tcPr>
            <w:tcW w:w="0" w:type="auto"/>
            <w:tcMar>
              <w:top w:w="30" w:type="dxa"/>
              <w:left w:w="0" w:type="dxa"/>
              <w:bottom w:w="30" w:type="dxa"/>
              <w:right w:w="20" w:type="dxa"/>
            </w:tcMar>
            <w:vAlign w:val="bottom"/>
            <w:hideMark/>
          </w:tcPr>
          <w:p w14:paraId="021DAA3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8CA9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1FDF71" w14:textId="77777777" w:rsidR="00000000" w:rsidRDefault="00E614A4">
            <w:pPr>
              <w:jc w:val="right"/>
              <w:rPr>
                <w:rFonts w:eastAsia="Times New Roman"/>
              </w:rPr>
            </w:pPr>
            <w:r>
              <w:rPr>
                <w:rFonts w:eastAsia="Times New Roman"/>
                <w:color w:val="000000"/>
                <w:sz w:val="18"/>
                <w:szCs w:val="18"/>
              </w:rPr>
              <w:t>60,697,608 </w:t>
            </w:r>
          </w:p>
        </w:tc>
        <w:tc>
          <w:tcPr>
            <w:tcW w:w="0" w:type="auto"/>
            <w:shd w:val="clear" w:color="auto" w:fill="FFFFFF"/>
            <w:tcMar>
              <w:top w:w="30" w:type="dxa"/>
              <w:left w:w="0" w:type="dxa"/>
              <w:bottom w:w="30" w:type="dxa"/>
              <w:right w:w="20" w:type="dxa"/>
            </w:tcMar>
            <w:vAlign w:val="bottom"/>
            <w:hideMark/>
          </w:tcPr>
          <w:p w14:paraId="6ACBB675"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3A07D"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D0AA2A" w14:textId="77777777" w:rsidR="00000000" w:rsidRDefault="00E614A4">
            <w:pPr>
              <w:jc w:val="right"/>
              <w:rPr>
                <w:rFonts w:eastAsia="Times New Roman"/>
              </w:rPr>
            </w:pPr>
            <w:r>
              <w:rPr>
                <w:rFonts w:eastAsia="Times New Roman"/>
                <w:color w:val="000000"/>
                <w:sz w:val="18"/>
                <w:szCs w:val="18"/>
              </w:rPr>
              <w:t>64,157,167 </w:t>
            </w:r>
          </w:p>
        </w:tc>
        <w:tc>
          <w:tcPr>
            <w:tcW w:w="0" w:type="auto"/>
            <w:shd w:val="clear" w:color="auto" w:fill="FFFFFF"/>
            <w:tcMar>
              <w:top w:w="30" w:type="dxa"/>
              <w:left w:w="0" w:type="dxa"/>
              <w:bottom w:w="30" w:type="dxa"/>
              <w:right w:w="20" w:type="dxa"/>
            </w:tcMar>
            <w:vAlign w:val="bottom"/>
            <w:hideMark/>
          </w:tcPr>
          <w:p w14:paraId="311CBD1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8DE44E"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C67D6" w14:textId="77777777" w:rsidR="00000000" w:rsidRDefault="00E614A4">
            <w:pPr>
              <w:jc w:val="right"/>
              <w:rPr>
                <w:rFonts w:eastAsia="Times New Roman"/>
              </w:rPr>
            </w:pPr>
            <w:r>
              <w:rPr>
                <w:rFonts w:eastAsia="Times New Roman"/>
                <w:color w:val="000000"/>
                <w:sz w:val="18"/>
                <w:szCs w:val="18"/>
              </w:rPr>
              <w:t>69,644,437 </w:t>
            </w:r>
          </w:p>
        </w:tc>
        <w:tc>
          <w:tcPr>
            <w:tcW w:w="0" w:type="auto"/>
            <w:shd w:val="clear" w:color="auto" w:fill="FFFFFF"/>
            <w:tcMar>
              <w:top w:w="30" w:type="dxa"/>
              <w:left w:w="0" w:type="dxa"/>
              <w:bottom w:w="30" w:type="dxa"/>
              <w:right w:w="20" w:type="dxa"/>
            </w:tcMar>
            <w:vAlign w:val="bottom"/>
            <w:hideMark/>
          </w:tcPr>
          <w:p w14:paraId="4BA88556" w14:textId="77777777" w:rsidR="00000000" w:rsidRDefault="00E614A4">
            <w:pPr>
              <w:jc w:val="right"/>
              <w:rPr>
                <w:rFonts w:eastAsia="Times New Roman"/>
              </w:rPr>
            </w:pPr>
          </w:p>
        </w:tc>
      </w:tr>
      <w:tr w:rsidR="00000000" w14:paraId="7CB2A4DD" w14:textId="77777777">
        <w:trPr>
          <w:divId w:val="1523863754"/>
          <w:trHeight w:val="240"/>
        </w:trPr>
        <w:tc>
          <w:tcPr>
            <w:tcW w:w="0" w:type="auto"/>
            <w:gridSpan w:val="3"/>
            <w:shd w:val="clear" w:color="auto" w:fill="CCEEFF"/>
            <w:tcMar>
              <w:top w:w="0" w:type="dxa"/>
              <w:left w:w="20" w:type="dxa"/>
              <w:bottom w:w="0" w:type="dxa"/>
              <w:right w:w="20" w:type="dxa"/>
            </w:tcMar>
            <w:vAlign w:val="center"/>
            <w:hideMark/>
          </w:tcPr>
          <w:p w14:paraId="52BC8481" w14:textId="77777777" w:rsidR="00000000" w:rsidRDefault="00E614A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343CEE"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1237CC"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F375EF"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003015"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4182CD"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43BEE6"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FF61E2" w14:textId="77777777" w:rsidR="00000000" w:rsidRDefault="00E614A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5AFD42" w14:textId="77777777" w:rsidR="00000000" w:rsidRDefault="00E614A4">
            <w:pPr>
              <w:rPr>
                <w:rFonts w:eastAsia="Times New Roman"/>
                <w:sz w:val="20"/>
                <w:szCs w:val="20"/>
              </w:rPr>
            </w:pPr>
          </w:p>
        </w:tc>
      </w:tr>
      <w:tr w:rsidR="00000000" w14:paraId="7B0A12D0" w14:textId="77777777">
        <w:trPr>
          <w:divId w:val="1523863754"/>
        </w:trPr>
        <w:tc>
          <w:tcPr>
            <w:tcW w:w="0" w:type="auto"/>
            <w:gridSpan w:val="27"/>
            <w:shd w:val="clear" w:color="auto" w:fill="FFFFFF"/>
            <w:tcMar>
              <w:top w:w="30" w:type="dxa"/>
              <w:left w:w="20" w:type="dxa"/>
              <w:bottom w:w="30" w:type="dxa"/>
              <w:right w:w="20" w:type="dxa"/>
            </w:tcMar>
            <w:hideMark/>
          </w:tcPr>
          <w:p w14:paraId="6C6BB4F5" w14:textId="77777777" w:rsidR="00000000" w:rsidRDefault="00E614A4">
            <w:pPr>
              <w:divId w:val="203448709"/>
              <w:rPr>
                <w:rFonts w:eastAsia="Times New Roman"/>
              </w:rPr>
            </w:pPr>
            <w:r>
              <w:rPr>
                <w:rFonts w:eastAsia="Times New Roman"/>
                <w:i/>
                <w:iCs/>
                <w:color w:val="000000"/>
                <w:sz w:val="12"/>
                <w:szCs w:val="12"/>
              </w:rPr>
              <w:t>(1)</w:t>
            </w:r>
            <w:r>
              <w:rPr>
                <w:rFonts w:eastAsia="Times New Roman"/>
                <w:i/>
                <w:iCs/>
                <w:color w:val="000000"/>
                <w:sz w:val="12"/>
                <w:szCs w:val="12"/>
              </w:rPr>
              <w:t> </w:t>
            </w:r>
            <w:r>
              <w:rPr>
                <w:rFonts w:eastAsia="Times New Roman"/>
                <w:i/>
                <w:iCs/>
                <w:color w:val="000000"/>
                <w:sz w:val="18"/>
                <w:szCs w:val="18"/>
              </w:rPr>
              <w:t>Stock-based compensation expense is included in the line items above as follows:</w:t>
            </w:r>
          </w:p>
        </w:tc>
      </w:tr>
      <w:tr w:rsidR="00000000" w14:paraId="407000E7" w14:textId="77777777">
        <w:trPr>
          <w:divId w:val="1523863754"/>
        </w:trPr>
        <w:tc>
          <w:tcPr>
            <w:tcW w:w="0" w:type="auto"/>
            <w:gridSpan w:val="3"/>
            <w:shd w:val="clear" w:color="auto" w:fill="FFFFFF"/>
            <w:tcMar>
              <w:top w:w="0" w:type="dxa"/>
              <w:left w:w="20" w:type="dxa"/>
              <w:bottom w:w="0" w:type="dxa"/>
              <w:right w:w="20" w:type="dxa"/>
            </w:tcMar>
            <w:vAlign w:val="center"/>
            <w:hideMark/>
          </w:tcPr>
          <w:p w14:paraId="4C80A07C" w14:textId="77777777" w:rsidR="00000000" w:rsidRDefault="00E614A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996AD" w14:textId="77777777" w:rsidR="00000000" w:rsidRDefault="00E614A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8365EB1" w14:textId="77777777" w:rsidR="00000000" w:rsidRDefault="00E614A4">
            <w:pPr>
              <w:jc w:val="center"/>
              <w:rPr>
                <w:rFonts w:eastAsia="Times New Roman"/>
              </w:rPr>
            </w:pPr>
            <w:r>
              <w:rPr>
                <w:rFonts w:eastAsia="Times New Roman"/>
                <w:b/>
                <w:bCs/>
                <w:color w:val="000000"/>
                <w:sz w:val="16"/>
                <w:szCs w:val="16"/>
              </w:rPr>
              <w:t>First</w:t>
            </w:r>
          </w:p>
        </w:tc>
        <w:tc>
          <w:tcPr>
            <w:tcW w:w="0" w:type="auto"/>
            <w:gridSpan w:val="3"/>
            <w:shd w:val="clear" w:color="auto" w:fill="FFFFFF"/>
            <w:tcMar>
              <w:top w:w="0" w:type="dxa"/>
              <w:left w:w="20" w:type="dxa"/>
              <w:bottom w:w="0" w:type="dxa"/>
              <w:right w:w="20" w:type="dxa"/>
            </w:tcMar>
            <w:vAlign w:val="center"/>
            <w:hideMark/>
          </w:tcPr>
          <w:p w14:paraId="28DB58E3"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1EDB2DE" w14:textId="77777777" w:rsidR="00000000" w:rsidRDefault="00E614A4">
            <w:pPr>
              <w:jc w:val="center"/>
              <w:rPr>
                <w:rFonts w:eastAsia="Times New Roman"/>
              </w:rPr>
            </w:pPr>
            <w:r>
              <w:rPr>
                <w:rFonts w:eastAsia="Times New Roman"/>
                <w:b/>
                <w:bCs/>
                <w:color w:val="000000"/>
                <w:sz w:val="16"/>
                <w:szCs w:val="16"/>
              </w:rPr>
              <w:t>Second</w:t>
            </w:r>
          </w:p>
        </w:tc>
        <w:tc>
          <w:tcPr>
            <w:tcW w:w="0" w:type="auto"/>
            <w:gridSpan w:val="3"/>
            <w:shd w:val="clear" w:color="auto" w:fill="FFFFFF"/>
            <w:tcMar>
              <w:top w:w="0" w:type="dxa"/>
              <w:left w:w="20" w:type="dxa"/>
              <w:bottom w:w="0" w:type="dxa"/>
              <w:right w:w="20" w:type="dxa"/>
            </w:tcMar>
            <w:vAlign w:val="center"/>
            <w:hideMark/>
          </w:tcPr>
          <w:p w14:paraId="16F39D2F"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AE1BFD6" w14:textId="77777777" w:rsidR="00000000" w:rsidRDefault="00E614A4">
            <w:pPr>
              <w:jc w:val="center"/>
              <w:rPr>
                <w:rFonts w:eastAsia="Times New Roman"/>
              </w:rPr>
            </w:pPr>
            <w:r>
              <w:rPr>
                <w:rFonts w:eastAsia="Times New Roman"/>
                <w:b/>
                <w:bCs/>
                <w:color w:val="000000"/>
                <w:sz w:val="16"/>
                <w:szCs w:val="16"/>
              </w:rPr>
              <w:t>Third</w:t>
            </w:r>
          </w:p>
        </w:tc>
        <w:tc>
          <w:tcPr>
            <w:tcW w:w="0" w:type="auto"/>
            <w:gridSpan w:val="3"/>
            <w:shd w:val="clear" w:color="auto" w:fill="FFFFFF"/>
            <w:tcMar>
              <w:top w:w="0" w:type="dxa"/>
              <w:left w:w="20" w:type="dxa"/>
              <w:bottom w:w="0" w:type="dxa"/>
              <w:right w:w="20" w:type="dxa"/>
            </w:tcMar>
            <w:vAlign w:val="center"/>
            <w:hideMark/>
          </w:tcPr>
          <w:p w14:paraId="61894237" w14:textId="77777777" w:rsidR="00000000" w:rsidRDefault="00E614A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9BE3123" w14:textId="77777777" w:rsidR="00000000" w:rsidRDefault="00E614A4">
            <w:pPr>
              <w:jc w:val="center"/>
              <w:rPr>
                <w:rFonts w:eastAsia="Times New Roman"/>
              </w:rPr>
            </w:pPr>
            <w:r>
              <w:rPr>
                <w:rFonts w:eastAsia="Times New Roman"/>
                <w:b/>
                <w:bCs/>
                <w:color w:val="000000"/>
                <w:sz w:val="16"/>
                <w:szCs w:val="16"/>
              </w:rPr>
              <w:t>Fourth</w:t>
            </w:r>
          </w:p>
        </w:tc>
      </w:tr>
      <w:tr w:rsidR="00000000" w14:paraId="5D1456D4" w14:textId="77777777">
        <w:trPr>
          <w:divId w:val="1523863754"/>
        </w:trPr>
        <w:tc>
          <w:tcPr>
            <w:tcW w:w="0" w:type="auto"/>
            <w:gridSpan w:val="3"/>
            <w:shd w:val="clear" w:color="auto" w:fill="CCEEFF"/>
            <w:tcMar>
              <w:top w:w="30" w:type="dxa"/>
              <w:left w:w="20" w:type="dxa"/>
              <w:bottom w:w="30" w:type="dxa"/>
              <w:right w:w="20" w:type="dxa"/>
            </w:tcMar>
            <w:hideMark/>
          </w:tcPr>
          <w:p w14:paraId="23DF7B0E" w14:textId="77777777" w:rsidR="00000000" w:rsidRDefault="00E614A4">
            <w:pPr>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14:paraId="4F809975" w14:textId="77777777" w:rsidR="00000000" w:rsidRDefault="00E614A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8C016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1DEB4F" w14:textId="77777777" w:rsidR="00000000" w:rsidRDefault="00E614A4">
            <w:pPr>
              <w:jc w:val="right"/>
              <w:rPr>
                <w:rFonts w:eastAsia="Times New Roman"/>
              </w:rPr>
            </w:pPr>
            <w:r>
              <w:rPr>
                <w:rFonts w:eastAsia="Times New Roman"/>
                <w:color w:val="000000"/>
                <w:sz w:val="18"/>
                <w:szCs w:val="18"/>
              </w:rPr>
              <w:t>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D9265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FCB90"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5140EF"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34E0B4" w14:textId="77777777" w:rsidR="00000000" w:rsidRDefault="00E614A4">
            <w:pPr>
              <w:jc w:val="right"/>
              <w:rPr>
                <w:rFonts w:eastAsia="Times New Roman"/>
              </w:rPr>
            </w:pPr>
            <w:r>
              <w:rPr>
                <w:rFonts w:eastAsia="Times New Roman"/>
                <w:color w:val="000000"/>
                <w:sz w:val="18"/>
                <w:szCs w:val="18"/>
              </w:rPr>
              <w:t>636 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9CFEA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14AE5"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02F5F5"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A2656A" w14:textId="77777777" w:rsidR="00000000" w:rsidRDefault="00E614A4">
            <w:pPr>
              <w:jc w:val="right"/>
              <w:rPr>
                <w:rFonts w:eastAsia="Times New Roman"/>
              </w:rPr>
            </w:pPr>
            <w:r>
              <w:rPr>
                <w:rFonts w:eastAsia="Times New Roman"/>
                <w:color w:val="000000"/>
                <w:sz w:val="18"/>
                <w:szCs w:val="18"/>
              </w:rPr>
              <w:t>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1949D5"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23E4F" w14:textId="77777777" w:rsidR="00000000" w:rsidRDefault="00E614A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8D0C9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28663A" w14:textId="77777777" w:rsidR="00000000" w:rsidRDefault="00E614A4">
            <w:pPr>
              <w:jc w:val="right"/>
              <w:rPr>
                <w:rFonts w:eastAsia="Times New Roman"/>
              </w:rPr>
            </w:pPr>
            <w:r>
              <w:rPr>
                <w:rFonts w:eastAsia="Times New Roman"/>
                <w:color w:val="000000"/>
                <w:sz w:val="18"/>
                <w:szCs w:val="18"/>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E6A9FE" w14:textId="77777777" w:rsidR="00000000" w:rsidRDefault="00E614A4">
            <w:pPr>
              <w:jc w:val="right"/>
              <w:rPr>
                <w:rFonts w:eastAsia="Times New Roman"/>
              </w:rPr>
            </w:pPr>
          </w:p>
        </w:tc>
      </w:tr>
      <w:tr w:rsidR="00000000" w14:paraId="4E9AF85A" w14:textId="77777777">
        <w:trPr>
          <w:divId w:val="1523863754"/>
        </w:trPr>
        <w:tc>
          <w:tcPr>
            <w:tcW w:w="0" w:type="auto"/>
            <w:gridSpan w:val="3"/>
            <w:shd w:val="clear" w:color="auto" w:fill="FFFFFF"/>
            <w:tcMar>
              <w:top w:w="30" w:type="dxa"/>
              <w:left w:w="20" w:type="dxa"/>
              <w:bottom w:w="30" w:type="dxa"/>
              <w:right w:w="20" w:type="dxa"/>
            </w:tcMar>
            <w:hideMark/>
          </w:tcPr>
          <w:p w14:paraId="7053EFE2" w14:textId="77777777" w:rsidR="00000000" w:rsidRDefault="00E614A4">
            <w:pPr>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14:paraId="5F26AE61"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FCB40D" w14:textId="77777777" w:rsidR="00000000" w:rsidRDefault="00E614A4">
            <w:pPr>
              <w:jc w:val="right"/>
              <w:rPr>
                <w:rFonts w:eastAsia="Times New Roman"/>
              </w:rPr>
            </w:pPr>
            <w:r>
              <w:rPr>
                <w:rFonts w:eastAsia="Times New Roman"/>
                <w:color w:val="000000"/>
                <w:sz w:val="18"/>
                <w:szCs w:val="18"/>
              </w:rPr>
              <w:t>1,316 </w:t>
            </w:r>
          </w:p>
        </w:tc>
        <w:tc>
          <w:tcPr>
            <w:tcW w:w="0" w:type="auto"/>
            <w:shd w:val="clear" w:color="auto" w:fill="FFFFFF"/>
            <w:tcMar>
              <w:top w:w="30" w:type="dxa"/>
              <w:left w:w="0" w:type="dxa"/>
              <w:bottom w:w="30" w:type="dxa"/>
              <w:right w:w="20" w:type="dxa"/>
            </w:tcMar>
            <w:vAlign w:val="bottom"/>
            <w:hideMark/>
          </w:tcPr>
          <w:p w14:paraId="1E943762"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D6A37"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0A1FC" w14:textId="77777777" w:rsidR="00000000" w:rsidRDefault="00E614A4">
            <w:pPr>
              <w:jc w:val="right"/>
              <w:rPr>
                <w:rFonts w:eastAsia="Times New Roman"/>
              </w:rPr>
            </w:pPr>
            <w:r>
              <w:rPr>
                <w:rFonts w:eastAsia="Times New Roman"/>
                <w:color w:val="000000"/>
                <w:sz w:val="18"/>
                <w:szCs w:val="18"/>
              </w:rPr>
              <w:t>1,087 </w:t>
            </w:r>
          </w:p>
        </w:tc>
        <w:tc>
          <w:tcPr>
            <w:tcW w:w="0" w:type="auto"/>
            <w:shd w:val="clear" w:color="auto" w:fill="FFFFFF"/>
            <w:tcMar>
              <w:top w:w="30" w:type="dxa"/>
              <w:left w:w="0" w:type="dxa"/>
              <w:bottom w:w="30" w:type="dxa"/>
              <w:right w:w="20" w:type="dxa"/>
            </w:tcMar>
            <w:vAlign w:val="bottom"/>
            <w:hideMark/>
          </w:tcPr>
          <w:p w14:paraId="27D330DE"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672E9"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7352AC" w14:textId="77777777" w:rsidR="00000000" w:rsidRDefault="00E614A4">
            <w:pPr>
              <w:jc w:val="right"/>
              <w:rPr>
                <w:rFonts w:eastAsia="Times New Roman"/>
              </w:rPr>
            </w:pPr>
            <w:r>
              <w:rPr>
                <w:rFonts w:eastAsia="Times New Roman"/>
                <w:color w:val="000000"/>
                <w:sz w:val="18"/>
                <w:szCs w:val="18"/>
              </w:rPr>
              <w:t>756 </w:t>
            </w:r>
          </w:p>
        </w:tc>
        <w:tc>
          <w:tcPr>
            <w:tcW w:w="0" w:type="auto"/>
            <w:shd w:val="clear" w:color="auto" w:fill="FFFFFF"/>
            <w:tcMar>
              <w:top w:w="30" w:type="dxa"/>
              <w:left w:w="0" w:type="dxa"/>
              <w:bottom w:w="30" w:type="dxa"/>
              <w:right w:w="20" w:type="dxa"/>
            </w:tcMar>
            <w:vAlign w:val="bottom"/>
            <w:hideMark/>
          </w:tcPr>
          <w:p w14:paraId="39377E68"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9212B"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7A29BE" w14:textId="77777777" w:rsidR="00000000" w:rsidRDefault="00E614A4">
            <w:pPr>
              <w:jc w:val="right"/>
              <w:rPr>
                <w:rFonts w:eastAsia="Times New Roman"/>
              </w:rPr>
            </w:pPr>
            <w:r>
              <w:rPr>
                <w:rFonts w:eastAsia="Times New Roman"/>
                <w:color w:val="000000"/>
                <w:sz w:val="18"/>
                <w:szCs w:val="18"/>
              </w:rPr>
              <w:t>456 </w:t>
            </w:r>
          </w:p>
        </w:tc>
        <w:tc>
          <w:tcPr>
            <w:tcW w:w="0" w:type="auto"/>
            <w:shd w:val="clear" w:color="auto" w:fill="FFFFFF"/>
            <w:tcMar>
              <w:top w:w="30" w:type="dxa"/>
              <w:left w:w="0" w:type="dxa"/>
              <w:bottom w:w="30" w:type="dxa"/>
              <w:right w:w="20" w:type="dxa"/>
            </w:tcMar>
            <w:vAlign w:val="bottom"/>
            <w:hideMark/>
          </w:tcPr>
          <w:p w14:paraId="39A01D90" w14:textId="77777777" w:rsidR="00000000" w:rsidRDefault="00E614A4">
            <w:pPr>
              <w:jc w:val="right"/>
              <w:rPr>
                <w:rFonts w:eastAsia="Times New Roman"/>
              </w:rPr>
            </w:pPr>
          </w:p>
        </w:tc>
      </w:tr>
      <w:tr w:rsidR="00000000" w14:paraId="7D7B1723" w14:textId="77777777">
        <w:trPr>
          <w:divId w:val="1523863754"/>
        </w:trPr>
        <w:tc>
          <w:tcPr>
            <w:tcW w:w="0" w:type="auto"/>
            <w:gridSpan w:val="3"/>
            <w:shd w:val="clear" w:color="auto" w:fill="CCEEFF"/>
            <w:tcMar>
              <w:top w:w="30" w:type="dxa"/>
              <w:left w:w="20" w:type="dxa"/>
              <w:bottom w:w="30" w:type="dxa"/>
              <w:right w:w="20" w:type="dxa"/>
            </w:tcMar>
            <w:hideMark/>
          </w:tcPr>
          <w:p w14:paraId="2A3662C6" w14:textId="77777777" w:rsidR="00000000" w:rsidRDefault="00E614A4">
            <w:pPr>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14:paraId="037803C0"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348A9C" w14:textId="77777777" w:rsidR="00000000" w:rsidRDefault="00E614A4">
            <w:pPr>
              <w:jc w:val="right"/>
              <w:rPr>
                <w:rFonts w:eastAsia="Times New Roman"/>
              </w:rPr>
            </w:pPr>
            <w:r>
              <w:rPr>
                <w:rFonts w:eastAsia="Times New Roman"/>
                <w:color w:val="000000"/>
                <w:sz w:val="18"/>
                <w:szCs w:val="18"/>
              </w:rPr>
              <w:t>726 </w:t>
            </w:r>
          </w:p>
        </w:tc>
        <w:tc>
          <w:tcPr>
            <w:tcW w:w="0" w:type="auto"/>
            <w:shd w:val="clear" w:color="auto" w:fill="CCEEFF"/>
            <w:tcMar>
              <w:top w:w="30" w:type="dxa"/>
              <w:left w:w="0" w:type="dxa"/>
              <w:bottom w:w="30" w:type="dxa"/>
              <w:right w:w="20" w:type="dxa"/>
            </w:tcMar>
            <w:vAlign w:val="bottom"/>
            <w:hideMark/>
          </w:tcPr>
          <w:p w14:paraId="30B63C71"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9969D"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53DD86" w14:textId="77777777" w:rsidR="00000000" w:rsidRDefault="00E614A4">
            <w:pPr>
              <w:jc w:val="right"/>
              <w:rPr>
                <w:rFonts w:eastAsia="Times New Roman"/>
              </w:rPr>
            </w:pPr>
            <w:r>
              <w:rPr>
                <w:rFonts w:eastAsia="Times New Roman"/>
                <w:color w:val="000000"/>
                <w:sz w:val="18"/>
                <w:szCs w:val="18"/>
              </w:rPr>
              <w:t>668 </w:t>
            </w:r>
          </w:p>
        </w:tc>
        <w:tc>
          <w:tcPr>
            <w:tcW w:w="0" w:type="auto"/>
            <w:shd w:val="clear" w:color="auto" w:fill="CCEEFF"/>
            <w:tcMar>
              <w:top w:w="30" w:type="dxa"/>
              <w:left w:w="0" w:type="dxa"/>
              <w:bottom w:w="30" w:type="dxa"/>
              <w:right w:w="20" w:type="dxa"/>
            </w:tcMar>
            <w:vAlign w:val="bottom"/>
            <w:hideMark/>
          </w:tcPr>
          <w:p w14:paraId="22664B60"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678B7"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31F252" w14:textId="77777777" w:rsidR="00000000" w:rsidRDefault="00E614A4">
            <w:pPr>
              <w:jc w:val="right"/>
              <w:rPr>
                <w:rFonts w:eastAsia="Times New Roman"/>
              </w:rPr>
            </w:pPr>
            <w:r>
              <w:rPr>
                <w:rFonts w:eastAsia="Times New Roman"/>
                <w:color w:val="000000"/>
                <w:sz w:val="18"/>
                <w:szCs w:val="18"/>
              </w:rPr>
              <w:t>469 </w:t>
            </w:r>
          </w:p>
        </w:tc>
        <w:tc>
          <w:tcPr>
            <w:tcW w:w="0" w:type="auto"/>
            <w:shd w:val="clear" w:color="auto" w:fill="CCEEFF"/>
            <w:tcMar>
              <w:top w:w="30" w:type="dxa"/>
              <w:left w:w="0" w:type="dxa"/>
              <w:bottom w:w="30" w:type="dxa"/>
              <w:right w:w="20" w:type="dxa"/>
            </w:tcMar>
            <w:vAlign w:val="bottom"/>
            <w:hideMark/>
          </w:tcPr>
          <w:p w14:paraId="462A3EEE"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D1623"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072936" w14:textId="77777777" w:rsidR="00000000" w:rsidRDefault="00E614A4">
            <w:pPr>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bottom"/>
            <w:hideMark/>
          </w:tcPr>
          <w:p w14:paraId="3FC4D70E" w14:textId="77777777" w:rsidR="00000000" w:rsidRDefault="00E614A4">
            <w:pPr>
              <w:jc w:val="right"/>
              <w:rPr>
                <w:rFonts w:eastAsia="Times New Roman"/>
              </w:rPr>
            </w:pPr>
          </w:p>
        </w:tc>
      </w:tr>
      <w:tr w:rsidR="00000000" w14:paraId="6C15BC84" w14:textId="77777777">
        <w:trPr>
          <w:divId w:val="1523863754"/>
        </w:trPr>
        <w:tc>
          <w:tcPr>
            <w:tcW w:w="0" w:type="auto"/>
            <w:gridSpan w:val="3"/>
            <w:shd w:val="clear" w:color="auto" w:fill="FFFFFF"/>
            <w:tcMar>
              <w:top w:w="30" w:type="dxa"/>
              <w:left w:w="20" w:type="dxa"/>
              <w:bottom w:w="30" w:type="dxa"/>
              <w:right w:w="20" w:type="dxa"/>
            </w:tcMar>
            <w:hideMark/>
          </w:tcPr>
          <w:p w14:paraId="76339EDC" w14:textId="77777777" w:rsidR="00000000" w:rsidRDefault="00E614A4">
            <w:pPr>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14:paraId="35625595" w14:textId="77777777" w:rsidR="00000000" w:rsidRDefault="00E614A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7A121E" w14:textId="77777777" w:rsidR="00000000" w:rsidRDefault="00E614A4">
            <w:pPr>
              <w:jc w:val="right"/>
              <w:rPr>
                <w:rFonts w:eastAsia="Times New Roman"/>
              </w:rPr>
            </w:pPr>
            <w:r>
              <w:rPr>
                <w:rFonts w:eastAsia="Times New Roman"/>
                <w:color w:val="000000"/>
                <w:sz w:val="18"/>
                <w:szCs w:val="18"/>
              </w:rPr>
              <w:t>4,063 </w:t>
            </w:r>
          </w:p>
        </w:tc>
        <w:tc>
          <w:tcPr>
            <w:tcW w:w="0" w:type="auto"/>
            <w:shd w:val="clear" w:color="auto" w:fill="FFFFFF"/>
            <w:tcMar>
              <w:top w:w="30" w:type="dxa"/>
              <w:left w:w="0" w:type="dxa"/>
              <w:bottom w:w="30" w:type="dxa"/>
              <w:right w:w="20" w:type="dxa"/>
            </w:tcMar>
            <w:vAlign w:val="bottom"/>
            <w:hideMark/>
          </w:tcPr>
          <w:p w14:paraId="1E15CC5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CC500"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E6EF6" w14:textId="77777777" w:rsidR="00000000" w:rsidRDefault="00E614A4">
            <w:pPr>
              <w:jc w:val="right"/>
              <w:rPr>
                <w:rFonts w:eastAsia="Times New Roman"/>
              </w:rPr>
            </w:pPr>
            <w:r>
              <w:rPr>
                <w:rFonts w:eastAsia="Times New Roman"/>
                <w:color w:val="000000"/>
                <w:sz w:val="18"/>
                <w:szCs w:val="18"/>
              </w:rPr>
              <w:t>1,913 </w:t>
            </w:r>
          </w:p>
        </w:tc>
        <w:tc>
          <w:tcPr>
            <w:tcW w:w="0" w:type="auto"/>
            <w:shd w:val="clear" w:color="auto" w:fill="FFFFFF"/>
            <w:tcMar>
              <w:top w:w="30" w:type="dxa"/>
              <w:left w:w="0" w:type="dxa"/>
              <w:bottom w:w="30" w:type="dxa"/>
              <w:right w:w="20" w:type="dxa"/>
            </w:tcMar>
            <w:vAlign w:val="bottom"/>
            <w:hideMark/>
          </w:tcPr>
          <w:p w14:paraId="6963A4AA"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0EAAC"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784F3" w14:textId="77777777" w:rsidR="00000000" w:rsidRDefault="00E614A4">
            <w:pPr>
              <w:jc w:val="right"/>
              <w:rPr>
                <w:rFonts w:eastAsia="Times New Roman"/>
              </w:rPr>
            </w:pPr>
            <w:r>
              <w:rPr>
                <w:rFonts w:eastAsia="Times New Roman"/>
                <w:color w:val="000000"/>
                <w:sz w:val="18"/>
                <w:szCs w:val="18"/>
              </w:rPr>
              <w:t>1,392 </w:t>
            </w:r>
          </w:p>
        </w:tc>
        <w:tc>
          <w:tcPr>
            <w:tcW w:w="0" w:type="auto"/>
            <w:shd w:val="clear" w:color="auto" w:fill="FFFFFF"/>
            <w:tcMar>
              <w:top w:w="30" w:type="dxa"/>
              <w:left w:w="0" w:type="dxa"/>
              <w:bottom w:w="30" w:type="dxa"/>
              <w:right w:w="20" w:type="dxa"/>
            </w:tcMar>
            <w:vAlign w:val="bottom"/>
            <w:hideMark/>
          </w:tcPr>
          <w:p w14:paraId="0B244E86"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E521E8" w14:textId="77777777" w:rsidR="00000000" w:rsidRDefault="00E614A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526FBD" w14:textId="77777777" w:rsidR="00000000" w:rsidRDefault="00E614A4">
            <w:pPr>
              <w:jc w:val="right"/>
              <w:rPr>
                <w:rFonts w:eastAsia="Times New Roman"/>
              </w:rPr>
            </w:pPr>
            <w:r>
              <w:rPr>
                <w:rFonts w:eastAsia="Times New Roman"/>
                <w:color w:val="000000"/>
                <w:sz w:val="18"/>
                <w:szCs w:val="18"/>
              </w:rPr>
              <w:t>1,879 </w:t>
            </w:r>
          </w:p>
        </w:tc>
        <w:tc>
          <w:tcPr>
            <w:tcW w:w="0" w:type="auto"/>
            <w:shd w:val="clear" w:color="auto" w:fill="FFFFFF"/>
            <w:tcMar>
              <w:top w:w="30" w:type="dxa"/>
              <w:left w:w="0" w:type="dxa"/>
              <w:bottom w:w="30" w:type="dxa"/>
              <w:right w:w="20" w:type="dxa"/>
            </w:tcMar>
            <w:vAlign w:val="bottom"/>
            <w:hideMark/>
          </w:tcPr>
          <w:p w14:paraId="5C9570D0" w14:textId="77777777" w:rsidR="00000000" w:rsidRDefault="00E614A4">
            <w:pPr>
              <w:jc w:val="right"/>
              <w:rPr>
                <w:rFonts w:eastAsia="Times New Roman"/>
              </w:rPr>
            </w:pPr>
          </w:p>
        </w:tc>
      </w:tr>
      <w:tr w:rsidR="00000000" w14:paraId="5C089FC6" w14:textId="77777777">
        <w:trPr>
          <w:divId w:val="1523863754"/>
        </w:trPr>
        <w:tc>
          <w:tcPr>
            <w:tcW w:w="0" w:type="auto"/>
            <w:gridSpan w:val="3"/>
            <w:shd w:val="clear" w:color="auto" w:fill="CCEEFF"/>
            <w:tcMar>
              <w:top w:w="30" w:type="dxa"/>
              <w:left w:w="20" w:type="dxa"/>
              <w:bottom w:w="30" w:type="dxa"/>
              <w:right w:w="20" w:type="dxa"/>
            </w:tcMar>
            <w:hideMark/>
          </w:tcPr>
          <w:p w14:paraId="18EE15CE" w14:textId="77777777" w:rsidR="00000000" w:rsidRDefault="00E614A4">
            <w:pPr>
              <w:rPr>
                <w:rFonts w:eastAsia="Times New Roman"/>
              </w:rPr>
            </w:pPr>
            <w:r>
              <w:rPr>
                <w:rFonts w:eastAsia="Times New Roman"/>
                <w:color w:val="000000"/>
                <w:sz w:val="18"/>
                <w:szCs w:val="18"/>
              </w:rPr>
              <w:t>Restructuring</w:t>
            </w:r>
          </w:p>
        </w:tc>
        <w:tc>
          <w:tcPr>
            <w:tcW w:w="0" w:type="auto"/>
            <w:gridSpan w:val="3"/>
            <w:shd w:val="clear" w:color="auto" w:fill="CCEEFF"/>
            <w:tcMar>
              <w:top w:w="0" w:type="dxa"/>
              <w:left w:w="20" w:type="dxa"/>
              <w:bottom w:w="0" w:type="dxa"/>
              <w:right w:w="20" w:type="dxa"/>
            </w:tcMar>
            <w:vAlign w:val="center"/>
            <w:hideMark/>
          </w:tcPr>
          <w:p w14:paraId="00C75170" w14:textId="77777777" w:rsidR="00000000" w:rsidRDefault="00E614A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8BE1BE"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6602EBD"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DB94A"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EA214D" w14:textId="77777777" w:rsidR="00000000" w:rsidRDefault="00E614A4">
            <w:pPr>
              <w:jc w:val="right"/>
              <w:rPr>
                <w:rFonts w:eastAsia="Times New Roman"/>
              </w:rPr>
            </w:pPr>
            <w:r>
              <w:rPr>
                <w:rFonts w:eastAsia="Times New Roman"/>
                <w:color w:val="000000"/>
                <w:sz w:val="18"/>
                <w:szCs w:val="18"/>
              </w:rPr>
              <w:t>(266)</w:t>
            </w:r>
          </w:p>
        </w:tc>
        <w:tc>
          <w:tcPr>
            <w:tcW w:w="0" w:type="auto"/>
            <w:shd w:val="clear" w:color="auto" w:fill="CCEEFF"/>
            <w:tcMar>
              <w:top w:w="30" w:type="dxa"/>
              <w:left w:w="0" w:type="dxa"/>
              <w:bottom w:w="30" w:type="dxa"/>
              <w:right w:w="20" w:type="dxa"/>
            </w:tcMar>
            <w:vAlign w:val="bottom"/>
            <w:hideMark/>
          </w:tcPr>
          <w:p w14:paraId="050C6383"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25894"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1D0440" w14:textId="77777777" w:rsidR="00000000" w:rsidRDefault="00E614A4">
            <w:pPr>
              <w:jc w:val="right"/>
              <w:rPr>
                <w:rFonts w:eastAsia="Times New Roman"/>
              </w:rPr>
            </w:pPr>
            <w:r>
              <w:rPr>
                <w:rFonts w:eastAsia="Times New Roman"/>
                <w:color w:val="000000"/>
                <w:sz w:val="18"/>
                <w:szCs w:val="18"/>
              </w:rPr>
              <w:t>129 </w:t>
            </w:r>
          </w:p>
        </w:tc>
        <w:tc>
          <w:tcPr>
            <w:tcW w:w="0" w:type="auto"/>
            <w:shd w:val="clear" w:color="auto" w:fill="CCEEFF"/>
            <w:tcMar>
              <w:top w:w="30" w:type="dxa"/>
              <w:left w:w="0" w:type="dxa"/>
              <w:bottom w:w="30" w:type="dxa"/>
              <w:right w:w="20" w:type="dxa"/>
            </w:tcMar>
            <w:vAlign w:val="bottom"/>
            <w:hideMark/>
          </w:tcPr>
          <w:p w14:paraId="1D38E6F7" w14:textId="77777777" w:rsidR="00000000" w:rsidRDefault="00E614A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151CC" w14:textId="77777777" w:rsidR="00000000" w:rsidRDefault="00E614A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BBE32" w14:textId="77777777" w:rsidR="00000000" w:rsidRDefault="00E614A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AC821F" w14:textId="77777777" w:rsidR="00000000" w:rsidRDefault="00E614A4">
            <w:pPr>
              <w:jc w:val="right"/>
              <w:rPr>
                <w:rFonts w:eastAsia="Times New Roman"/>
              </w:rPr>
            </w:pPr>
          </w:p>
        </w:tc>
      </w:tr>
      <w:tr w:rsidR="00000000" w14:paraId="49D635C0" w14:textId="77777777">
        <w:trPr>
          <w:divId w:val="1523863754"/>
        </w:trPr>
        <w:tc>
          <w:tcPr>
            <w:tcW w:w="0" w:type="auto"/>
            <w:gridSpan w:val="3"/>
            <w:shd w:val="clear" w:color="auto" w:fill="FFFFFF"/>
            <w:tcMar>
              <w:top w:w="30" w:type="dxa"/>
              <w:left w:w="20" w:type="dxa"/>
              <w:bottom w:w="30" w:type="dxa"/>
              <w:right w:w="20" w:type="dxa"/>
            </w:tcMar>
            <w:hideMark/>
          </w:tcPr>
          <w:p w14:paraId="51E657D4" w14:textId="77777777" w:rsidR="00000000" w:rsidRDefault="00E614A4">
            <w:pPr>
              <w:rPr>
                <w:rFonts w:eastAsia="Times New Roman"/>
              </w:rPr>
            </w:pPr>
            <w:r>
              <w:rPr>
                <w:rFonts w:eastAsia="Times New Roman"/>
                <w:color w:val="000000"/>
                <w:sz w:val="18"/>
                <w:szCs w:val="18"/>
              </w:rPr>
              <w:t>Total stock-based compensation expense</w:t>
            </w:r>
          </w:p>
        </w:tc>
        <w:tc>
          <w:tcPr>
            <w:tcW w:w="0" w:type="auto"/>
            <w:gridSpan w:val="3"/>
            <w:shd w:val="clear" w:color="auto" w:fill="FFFFFF"/>
            <w:tcMar>
              <w:top w:w="0" w:type="dxa"/>
              <w:left w:w="20" w:type="dxa"/>
              <w:bottom w:w="0" w:type="dxa"/>
              <w:right w:w="20" w:type="dxa"/>
            </w:tcMar>
            <w:vAlign w:val="center"/>
            <w:hideMark/>
          </w:tcPr>
          <w:p w14:paraId="0CC4453F" w14:textId="77777777" w:rsidR="00000000" w:rsidRDefault="00E614A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A14492"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D08835" w14:textId="77777777" w:rsidR="00000000" w:rsidRDefault="00E614A4">
            <w:pPr>
              <w:jc w:val="right"/>
              <w:rPr>
                <w:rFonts w:eastAsia="Times New Roman"/>
              </w:rPr>
            </w:pPr>
            <w:r>
              <w:rPr>
                <w:rFonts w:eastAsia="Times New Roman"/>
                <w:color w:val="000000"/>
                <w:sz w:val="18"/>
                <w:szCs w:val="18"/>
              </w:rPr>
              <w:t>6,953 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0613B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E8795"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141288"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17B61D" w14:textId="77777777" w:rsidR="00000000" w:rsidRDefault="00E614A4">
            <w:pPr>
              <w:jc w:val="right"/>
              <w:rPr>
                <w:rFonts w:eastAsia="Times New Roman"/>
              </w:rPr>
            </w:pPr>
            <w:r>
              <w:rPr>
                <w:rFonts w:eastAsia="Times New Roman"/>
                <w:color w:val="000000"/>
                <w:sz w:val="18"/>
                <w:szCs w:val="18"/>
              </w:rPr>
              <w:t>4,038 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B22DB0"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F606E"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73105E"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47CDBE" w14:textId="77777777" w:rsidR="00000000" w:rsidRDefault="00E614A4">
            <w:pPr>
              <w:jc w:val="right"/>
              <w:rPr>
                <w:rFonts w:eastAsia="Times New Roman"/>
              </w:rPr>
            </w:pPr>
            <w:r>
              <w:rPr>
                <w:rFonts w:eastAsia="Times New Roman"/>
                <w:color w:val="000000"/>
                <w:sz w:val="18"/>
                <w:szCs w:val="18"/>
              </w:rPr>
              <w:t>3,142 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AC96E3" w14:textId="77777777" w:rsidR="00000000" w:rsidRDefault="00E614A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56A63" w14:textId="77777777" w:rsidR="00000000" w:rsidRDefault="00E614A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6F55B3" w14:textId="77777777" w:rsidR="00000000" w:rsidRDefault="00E614A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375F8F" w14:textId="77777777" w:rsidR="00000000" w:rsidRDefault="00E614A4">
            <w:pPr>
              <w:jc w:val="right"/>
              <w:rPr>
                <w:rFonts w:eastAsia="Times New Roman"/>
              </w:rPr>
            </w:pPr>
            <w:r>
              <w:rPr>
                <w:rFonts w:eastAsia="Times New Roman"/>
                <w:color w:val="000000"/>
                <w:sz w:val="18"/>
                <w:szCs w:val="18"/>
              </w:rPr>
              <w:t>2,425 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59DF3F" w14:textId="77777777" w:rsidR="00000000" w:rsidRDefault="00E614A4">
            <w:pPr>
              <w:jc w:val="right"/>
              <w:rPr>
                <w:rFonts w:eastAsia="Times New Roman"/>
              </w:rPr>
            </w:pPr>
          </w:p>
        </w:tc>
      </w:tr>
    </w:tbl>
    <w:p w14:paraId="39D8D3A1" w14:textId="77777777" w:rsidR="00000000" w:rsidRDefault="00E614A4">
      <w:pPr>
        <w:divId w:val="1662460513"/>
        <w:rPr>
          <w:rFonts w:eastAsia="Times New Roman"/>
        </w:rPr>
      </w:pPr>
    </w:p>
    <w:p w14:paraId="4E3B88E6" w14:textId="77777777" w:rsidR="00000000" w:rsidRDefault="00E614A4">
      <w:pPr>
        <w:jc w:val="center"/>
        <w:divId w:val="141428592"/>
        <w:rPr>
          <w:rFonts w:eastAsia="Times New Roman"/>
        </w:rPr>
      </w:pPr>
      <w:r>
        <w:rPr>
          <w:rFonts w:eastAsia="Times New Roman"/>
          <w:color w:val="000000"/>
          <w:sz w:val="20"/>
          <w:szCs w:val="20"/>
        </w:rPr>
        <w:t>100</w:t>
      </w:r>
    </w:p>
    <w:p w14:paraId="5CFFCF59" w14:textId="77777777" w:rsidR="00000000" w:rsidRDefault="00E614A4">
      <w:pPr>
        <w:rPr>
          <w:rFonts w:eastAsia="Times New Roman"/>
        </w:rPr>
      </w:pPr>
      <w:r>
        <w:rPr>
          <w:rFonts w:eastAsia="Times New Roman"/>
        </w:rPr>
        <w:pict w14:anchorId="2127E74F">
          <v:rect id="_x0000_i1128" style="width:0;height:1.5pt" o:hralign="center" o:hrstd="t" o:hr="t" fillcolor="#a0a0a0" stroked="f"/>
        </w:pict>
      </w:r>
    </w:p>
    <w:p w14:paraId="5CC26378" w14:textId="77777777" w:rsidR="00000000" w:rsidRDefault="00E614A4">
      <w:pPr>
        <w:divId w:val="144049188"/>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86EE024" w14:textId="77777777" w:rsidR="00000000" w:rsidRDefault="00E614A4">
      <w:pPr>
        <w:divId w:val="1439914447"/>
        <w:rPr>
          <w:rFonts w:eastAsia="Times New Roman"/>
        </w:rPr>
      </w:pPr>
    </w:p>
    <w:p w14:paraId="40998DFC" w14:textId="77777777" w:rsidR="00000000" w:rsidRDefault="00E614A4">
      <w:pPr>
        <w:ind w:hanging="360"/>
        <w:divId w:val="2105225345"/>
        <w:rPr>
          <w:rFonts w:eastAsia="Times New Roman"/>
        </w:rPr>
      </w:pPr>
      <w:r>
        <w:rPr>
          <w:rFonts w:eastAsia="Times New Roman"/>
          <w:b/>
          <w:bCs/>
          <w:color w:val="000000"/>
          <w:sz w:val="20"/>
          <w:szCs w:val="20"/>
        </w:rPr>
        <w:t>16.Subsequent Events</w:t>
      </w:r>
    </w:p>
    <w:p w14:paraId="5DE8CC45" w14:textId="77777777" w:rsidR="00000000" w:rsidRDefault="00E614A4">
      <w:pPr>
        <w:jc w:val="both"/>
        <w:divId w:val="1689986115"/>
        <w:rPr>
          <w:rFonts w:eastAsia="Times New Roman"/>
        </w:rPr>
      </w:pPr>
      <w:r>
        <w:rPr>
          <w:rFonts w:eastAsia="Times New Roman"/>
          <w:color w:val="000000"/>
          <w:sz w:val="20"/>
          <w:szCs w:val="20"/>
        </w:rPr>
        <w:t>On January 7, 2021, the Company entered into separate Securities Purchase Agreements with each of Charter, Qurate and Pine, pursuant to which, at the closing of the Transa</w:t>
      </w:r>
      <w:r>
        <w:rPr>
          <w:rFonts w:eastAsia="Times New Roman"/>
          <w:color w:val="000000"/>
          <w:sz w:val="20"/>
          <w:szCs w:val="20"/>
        </w:rPr>
        <w:t>ctions contemplated thereby, the Company will issue and sell (a) to Charter, 27,509,203 shares of Series B Convertible Preferred Stock in exchange for $68.0 million, (b) to Qurate, 27,509,203 shares of Series B Convertible Preferred Stock in exchange for $</w:t>
      </w:r>
      <w:r>
        <w:rPr>
          <w:rFonts w:eastAsia="Times New Roman"/>
          <w:color w:val="000000"/>
          <w:sz w:val="20"/>
          <w:szCs w:val="20"/>
        </w:rPr>
        <w:t>68.0 million and (c) to Pine, 27,509,203 shares of Series B Convertible Preferred Stock in exchange for $68.0 million. The proceeds of the Transactions will be used to repay the Notes. Additionally, in connection with the closing, the Company expects to re</w:t>
      </w:r>
      <w:r>
        <w:rPr>
          <w:rFonts w:eastAsia="Times New Roman"/>
          <w:color w:val="000000"/>
          <w:sz w:val="20"/>
          <w:szCs w:val="20"/>
        </w:rPr>
        <w:t xml:space="preserve">pay the Secured Term Note and certain transaction-related expenses with cash from its balance sheet. Refer to </w:t>
      </w:r>
      <w:hyperlink w:anchor="ided6989bcc374020961c421c465250ee_124"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for additional information on the Notes and the Secured Term Note.</w:t>
      </w:r>
    </w:p>
    <w:p w14:paraId="46F15718" w14:textId="77777777" w:rsidR="00000000" w:rsidRDefault="00E614A4">
      <w:pPr>
        <w:jc w:val="both"/>
        <w:divId w:val="855734893"/>
        <w:rPr>
          <w:rFonts w:eastAsia="Times New Roman"/>
        </w:rPr>
      </w:pPr>
      <w:r>
        <w:rPr>
          <w:rFonts w:eastAsia="Times New Roman"/>
          <w:color w:val="000000"/>
          <w:sz w:val="20"/>
          <w:szCs w:val="20"/>
        </w:rPr>
        <w:t>Th</w:t>
      </w:r>
      <w:r>
        <w:rPr>
          <w:rFonts w:eastAsia="Times New Roman"/>
          <w:color w:val="000000"/>
          <w:sz w:val="20"/>
          <w:szCs w:val="20"/>
        </w:rPr>
        <w:t>e Transactions and related matters were approved by the Company's stockholders on March 9, 2021 and are expected to be completed on or around March 10, 2021. Repayment of the Notes and the Secured Term Note will result in the termination of the affirmative</w:t>
      </w:r>
      <w:r>
        <w:rPr>
          <w:rFonts w:eastAsia="Times New Roman"/>
          <w:color w:val="000000"/>
          <w:sz w:val="20"/>
          <w:szCs w:val="20"/>
        </w:rPr>
        <w:t xml:space="preserve"> and negative covenants set forth in these instruments, including the Notes covenant requiring maintenance of certain minimum cash balances (currently $40.0 million), and is expected to improve the Company's financial position and liquidity.</w:t>
      </w:r>
    </w:p>
    <w:p w14:paraId="33A7205E" w14:textId="77777777" w:rsidR="00000000" w:rsidRDefault="00E614A4">
      <w:pPr>
        <w:jc w:val="both"/>
        <w:divId w:val="1513958163"/>
        <w:rPr>
          <w:rFonts w:eastAsia="Times New Roman"/>
        </w:rPr>
      </w:pPr>
      <w:r>
        <w:rPr>
          <w:rFonts w:eastAsia="Times New Roman"/>
          <w:color w:val="000000"/>
          <w:sz w:val="20"/>
          <w:szCs w:val="20"/>
        </w:rPr>
        <w:t>The exercise p</w:t>
      </w:r>
      <w:r>
        <w:rPr>
          <w:rFonts w:eastAsia="Times New Roman"/>
          <w:color w:val="000000"/>
          <w:sz w:val="20"/>
          <w:szCs w:val="20"/>
        </w:rPr>
        <w:t xml:space="preserve">rice of the Company's Series A Warrants described in </w:t>
      </w:r>
      <w:hyperlink w:anchor="ided6989bcc374020961c421c465250ee_133"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Stockholders' Equity</w:t>
      </w:r>
      <w:r>
        <w:rPr>
          <w:rFonts w:eastAsia="Times New Roman"/>
          <w:color w:val="000000"/>
          <w:sz w:val="20"/>
          <w:szCs w:val="20"/>
        </w:rPr>
        <w:t xml:space="preserve">, is subject to anti-dilution adjustment in certain circumstances, including upon certain issuances of capital </w:t>
      </w:r>
      <w:r>
        <w:rPr>
          <w:rFonts w:eastAsia="Times New Roman"/>
          <w:color w:val="000000"/>
          <w:sz w:val="20"/>
          <w:szCs w:val="20"/>
        </w:rPr>
        <w:t>stock. As a result of the Transactions described above, the Company expects to adjust the exercise price of the Series A Warrants to the closing price of the Transactions.</w:t>
      </w:r>
    </w:p>
    <w:p w14:paraId="2D917829" w14:textId="77777777" w:rsidR="00000000" w:rsidRDefault="00E614A4">
      <w:pPr>
        <w:jc w:val="both"/>
        <w:divId w:val="140464048"/>
        <w:rPr>
          <w:rFonts w:eastAsia="Times New Roman"/>
        </w:rPr>
      </w:pPr>
      <w:r>
        <w:rPr>
          <w:rFonts w:eastAsia="Times New Roman"/>
          <w:color w:val="000000"/>
          <w:sz w:val="20"/>
          <w:szCs w:val="20"/>
        </w:rPr>
        <w:t>Upon closing of the Transactions, the Company expects to record a non-cash charge th</w:t>
      </w:r>
      <w:r>
        <w:rPr>
          <w:rFonts w:eastAsia="Times New Roman"/>
          <w:color w:val="000000"/>
          <w:sz w:val="20"/>
          <w:szCs w:val="20"/>
        </w:rPr>
        <w:t xml:space="preserve">at will include extinguishment of debt and associated derivatives, issuance of 3.15 million conversion shares to affiliates of Starboard Value LP, and the anti-dilution adjustment to the Series A Warrants described above. The non-cash charge at closing is </w:t>
      </w:r>
      <w:r>
        <w:rPr>
          <w:rFonts w:eastAsia="Times New Roman"/>
          <w:color w:val="000000"/>
          <w:sz w:val="20"/>
          <w:szCs w:val="20"/>
        </w:rPr>
        <w:t>estimated to range between $15 million and $25 million based on recent trading prices of the Company's Common Stock, but could vary depending on the market price of the Common Stock on the closing date and other variables.</w:t>
      </w:r>
    </w:p>
    <w:p w14:paraId="40BB97B5" w14:textId="77777777" w:rsidR="00000000" w:rsidRDefault="00E614A4">
      <w:pPr>
        <w:jc w:val="both"/>
        <w:divId w:val="600182235"/>
        <w:rPr>
          <w:rFonts w:eastAsia="Times New Roman"/>
        </w:rPr>
      </w:pPr>
    </w:p>
    <w:p w14:paraId="77B7DA49" w14:textId="77777777" w:rsidR="00000000" w:rsidRDefault="00E614A4">
      <w:pPr>
        <w:jc w:val="center"/>
        <w:divId w:val="149251553"/>
        <w:rPr>
          <w:rFonts w:eastAsia="Times New Roman"/>
        </w:rPr>
      </w:pPr>
      <w:r>
        <w:rPr>
          <w:rFonts w:eastAsia="Times New Roman"/>
          <w:color w:val="000000"/>
          <w:sz w:val="20"/>
          <w:szCs w:val="20"/>
        </w:rPr>
        <w:t>101</w:t>
      </w:r>
    </w:p>
    <w:p w14:paraId="633E130F" w14:textId="77777777" w:rsidR="00000000" w:rsidRDefault="00E614A4">
      <w:pPr>
        <w:rPr>
          <w:rFonts w:eastAsia="Times New Roman"/>
        </w:rPr>
      </w:pPr>
      <w:r>
        <w:rPr>
          <w:rFonts w:eastAsia="Times New Roman"/>
        </w:rPr>
        <w:pict w14:anchorId="12E1891C">
          <v:rect id="_x0000_i1129" style="width:0;height:1.5pt" o:hralign="center" o:hrstd="t" o:hr="t" fillcolor="#a0a0a0" stroked="f"/>
        </w:pict>
      </w:r>
    </w:p>
    <w:p w14:paraId="5F6E200E" w14:textId="77777777" w:rsidR="00000000" w:rsidRDefault="00E614A4">
      <w:pPr>
        <w:divId w:val="1966499650"/>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ED0B1B9" w14:textId="77777777" w:rsidR="00000000" w:rsidRDefault="00E614A4">
      <w:pPr>
        <w:divId w:val="1961104936"/>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1"/>
        <w:gridCol w:w="758"/>
        <w:gridCol w:w="36"/>
        <w:gridCol w:w="65"/>
        <w:gridCol w:w="6913"/>
        <w:gridCol w:w="36"/>
      </w:tblGrid>
      <w:tr w:rsidR="00000000" w14:paraId="2C0DFD3F" w14:textId="77777777">
        <w:trPr>
          <w:divId w:val="2090613664"/>
        </w:trPr>
        <w:tc>
          <w:tcPr>
            <w:tcW w:w="50" w:type="pct"/>
            <w:vAlign w:val="center"/>
            <w:hideMark/>
          </w:tcPr>
          <w:p w14:paraId="473ECA9E" w14:textId="77777777" w:rsidR="00000000" w:rsidRDefault="00E614A4">
            <w:pPr>
              <w:rPr>
                <w:rFonts w:eastAsia="Times New Roman"/>
              </w:rPr>
            </w:pPr>
          </w:p>
        </w:tc>
        <w:tc>
          <w:tcPr>
            <w:tcW w:w="494" w:type="pct"/>
            <w:vAlign w:val="center"/>
            <w:hideMark/>
          </w:tcPr>
          <w:p w14:paraId="4EEFE305" w14:textId="77777777" w:rsidR="00000000" w:rsidRDefault="00E614A4">
            <w:pPr>
              <w:rPr>
                <w:rFonts w:eastAsia="Times New Roman"/>
                <w:sz w:val="20"/>
                <w:szCs w:val="20"/>
              </w:rPr>
            </w:pPr>
          </w:p>
        </w:tc>
        <w:tc>
          <w:tcPr>
            <w:tcW w:w="5" w:type="pct"/>
            <w:vAlign w:val="center"/>
            <w:hideMark/>
          </w:tcPr>
          <w:p w14:paraId="63E50590" w14:textId="77777777" w:rsidR="00000000" w:rsidRDefault="00E614A4">
            <w:pPr>
              <w:rPr>
                <w:rFonts w:eastAsia="Times New Roman"/>
                <w:sz w:val="20"/>
                <w:szCs w:val="20"/>
              </w:rPr>
            </w:pPr>
          </w:p>
        </w:tc>
        <w:tc>
          <w:tcPr>
            <w:tcW w:w="50" w:type="pct"/>
            <w:vAlign w:val="center"/>
            <w:hideMark/>
          </w:tcPr>
          <w:p w14:paraId="641361D7" w14:textId="77777777" w:rsidR="00000000" w:rsidRDefault="00E614A4">
            <w:pPr>
              <w:rPr>
                <w:rFonts w:eastAsia="Times New Roman"/>
                <w:sz w:val="20"/>
                <w:szCs w:val="20"/>
              </w:rPr>
            </w:pPr>
          </w:p>
        </w:tc>
        <w:tc>
          <w:tcPr>
            <w:tcW w:w="4396" w:type="pct"/>
            <w:vAlign w:val="center"/>
            <w:hideMark/>
          </w:tcPr>
          <w:p w14:paraId="569D70F6" w14:textId="77777777" w:rsidR="00000000" w:rsidRDefault="00E614A4">
            <w:pPr>
              <w:rPr>
                <w:rFonts w:eastAsia="Times New Roman"/>
                <w:sz w:val="20"/>
                <w:szCs w:val="20"/>
              </w:rPr>
            </w:pPr>
          </w:p>
        </w:tc>
        <w:tc>
          <w:tcPr>
            <w:tcW w:w="5" w:type="pct"/>
            <w:vAlign w:val="center"/>
            <w:hideMark/>
          </w:tcPr>
          <w:p w14:paraId="710370DF" w14:textId="77777777" w:rsidR="00000000" w:rsidRDefault="00E614A4">
            <w:pPr>
              <w:rPr>
                <w:rFonts w:eastAsia="Times New Roman"/>
                <w:sz w:val="20"/>
                <w:szCs w:val="20"/>
              </w:rPr>
            </w:pPr>
          </w:p>
        </w:tc>
      </w:tr>
      <w:tr w:rsidR="00000000" w14:paraId="0114D476" w14:textId="77777777">
        <w:trPr>
          <w:divId w:val="2090613664"/>
        </w:trPr>
        <w:tc>
          <w:tcPr>
            <w:tcW w:w="0" w:type="auto"/>
            <w:gridSpan w:val="3"/>
            <w:tcMar>
              <w:top w:w="30" w:type="dxa"/>
              <w:left w:w="20" w:type="dxa"/>
              <w:bottom w:w="30" w:type="dxa"/>
              <w:right w:w="20" w:type="dxa"/>
            </w:tcMar>
            <w:hideMark/>
          </w:tcPr>
          <w:p w14:paraId="2FB91275" w14:textId="77777777" w:rsidR="00000000" w:rsidRDefault="00E614A4">
            <w:pPr>
              <w:rPr>
                <w:rFonts w:eastAsia="Times New Roman"/>
              </w:rPr>
            </w:pPr>
            <w:r>
              <w:rPr>
                <w:rFonts w:eastAsia="Times New Roman"/>
                <w:b/>
                <w:bCs/>
                <w:color w:val="000000"/>
                <w:sz w:val="20"/>
                <w:szCs w:val="20"/>
              </w:rPr>
              <w:t>ITEM 9.</w:t>
            </w:r>
          </w:p>
        </w:tc>
        <w:tc>
          <w:tcPr>
            <w:tcW w:w="0" w:type="auto"/>
            <w:gridSpan w:val="3"/>
            <w:tcMar>
              <w:top w:w="30" w:type="dxa"/>
              <w:left w:w="20" w:type="dxa"/>
              <w:bottom w:w="30" w:type="dxa"/>
              <w:right w:w="20" w:type="dxa"/>
            </w:tcMar>
            <w:hideMark/>
          </w:tcPr>
          <w:p w14:paraId="6A05F1A9" w14:textId="77777777" w:rsidR="00000000" w:rsidRDefault="00E614A4">
            <w:pPr>
              <w:rPr>
                <w:rFonts w:eastAsia="Times New Roman"/>
              </w:rPr>
            </w:pPr>
            <w:r>
              <w:rPr>
                <w:rFonts w:eastAsia="Times New Roman"/>
                <w:b/>
                <w:bCs/>
                <w:i/>
                <w:iCs/>
                <w:color w:val="000000"/>
                <w:sz w:val="20"/>
                <w:szCs w:val="20"/>
              </w:rPr>
              <w:t>CHANGES IN AND DISAGREEMENTS WITH ACCOUNTANTS ON ACCOUNTING AND FINANCIAL DISCLOSURE</w:t>
            </w:r>
          </w:p>
        </w:tc>
      </w:tr>
    </w:tbl>
    <w:p w14:paraId="17277435" w14:textId="77777777" w:rsidR="00000000" w:rsidRDefault="00E614A4">
      <w:pPr>
        <w:jc w:val="both"/>
        <w:divId w:val="2024162931"/>
        <w:rPr>
          <w:rFonts w:eastAsia="Times New Roman"/>
        </w:rPr>
      </w:pPr>
      <w:r>
        <w:rPr>
          <w:rFonts w:eastAsia="Times New Roman"/>
          <w:color w:val="000000"/>
          <w:sz w:val="20"/>
          <w:szCs w:val="20"/>
        </w:rPr>
        <w:t>None.</w:t>
      </w:r>
    </w:p>
    <w:tbl>
      <w:tblPr>
        <w:tblW w:w="4743"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860"/>
        <w:gridCol w:w="36"/>
      </w:tblGrid>
      <w:tr w:rsidR="00000000" w14:paraId="3F5BE4D2" w14:textId="77777777">
        <w:trPr>
          <w:divId w:val="1462115516"/>
        </w:trPr>
        <w:tc>
          <w:tcPr>
            <w:tcW w:w="50" w:type="pct"/>
            <w:vAlign w:val="center"/>
            <w:hideMark/>
          </w:tcPr>
          <w:p w14:paraId="5FA1D7B7" w14:textId="77777777" w:rsidR="00000000" w:rsidRDefault="00E614A4">
            <w:pPr>
              <w:jc w:val="both"/>
              <w:rPr>
                <w:rFonts w:eastAsia="Times New Roman"/>
              </w:rPr>
            </w:pPr>
          </w:p>
        </w:tc>
        <w:tc>
          <w:tcPr>
            <w:tcW w:w="494" w:type="pct"/>
            <w:vAlign w:val="center"/>
            <w:hideMark/>
          </w:tcPr>
          <w:p w14:paraId="5EDD713D" w14:textId="77777777" w:rsidR="00000000" w:rsidRDefault="00E614A4">
            <w:pPr>
              <w:rPr>
                <w:rFonts w:eastAsia="Times New Roman"/>
                <w:sz w:val="20"/>
                <w:szCs w:val="20"/>
              </w:rPr>
            </w:pPr>
          </w:p>
        </w:tc>
        <w:tc>
          <w:tcPr>
            <w:tcW w:w="5" w:type="pct"/>
            <w:vAlign w:val="center"/>
            <w:hideMark/>
          </w:tcPr>
          <w:p w14:paraId="704E2CF0" w14:textId="77777777" w:rsidR="00000000" w:rsidRDefault="00E614A4">
            <w:pPr>
              <w:rPr>
                <w:rFonts w:eastAsia="Times New Roman"/>
                <w:sz w:val="20"/>
                <w:szCs w:val="20"/>
              </w:rPr>
            </w:pPr>
          </w:p>
        </w:tc>
        <w:tc>
          <w:tcPr>
            <w:tcW w:w="50" w:type="pct"/>
            <w:vAlign w:val="center"/>
            <w:hideMark/>
          </w:tcPr>
          <w:p w14:paraId="021EF617" w14:textId="77777777" w:rsidR="00000000" w:rsidRDefault="00E614A4">
            <w:pPr>
              <w:rPr>
                <w:rFonts w:eastAsia="Times New Roman"/>
                <w:sz w:val="20"/>
                <w:szCs w:val="20"/>
              </w:rPr>
            </w:pPr>
          </w:p>
        </w:tc>
        <w:tc>
          <w:tcPr>
            <w:tcW w:w="4396" w:type="pct"/>
            <w:vAlign w:val="center"/>
            <w:hideMark/>
          </w:tcPr>
          <w:p w14:paraId="78D3906B" w14:textId="77777777" w:rsidR="00000000" w:rsidRDefault="00E614A4">
            <w:pPr>
              <w:rPr>
                <w:rFonts w:eastAsia="Times New Roman"/>
                <w:sz w:val="20"/>
                <w:szCs w:val="20"/>
              </w:rPr>
            </w:pPr>
          </w:p>
        </w:tc>
        <w:tc>
          <w:tcPr>
            <w:tcW w:w="5" w:type="pct"/>
            <w:vAlign w:val="center"/>
            <w:hideMark/>
          </w:tcPr>
          <w:p w14:paraId="67583E53" w14:textId="77777777" w:rsidR="00000000" w:rsidRDefault="00E614A4">
            <w:pPr>
              <w:rPr>
                <w:rFonts w:eastAsia="Times New Roman"/>
                <w:sz w:val="20"/>
                <w:szCs w:val="20"/>
              </w:rPr>
            </w:pPr>
          </w:p>
        </w:tc>
      </w:tr>
      <w:tr w:rsidR="00000000" w14:paraId="38AFD3EE" w14:textId="77777777">
        <w:trPr>
          <w:divId w:val="1462115516"/>
        </w:trPr>
        <w:tc>
          <w:tcPr>
            <w:tcW w:w="0" w:type="auto"/>
            <w:gridSpan w:val="3"/>
            <w:tcMar>
              <w:top w:w="30" w:type="dxa"/>
              <w:left w:w="20" w:type="dxa"/>
              <w:bottom w:w="30" w:type="dxa"/>
              <w:right w:w="20" w:type="dxa"/>
            </w:tcMar>
            <w:hideMark/>
          </w:tcPr>
          <w:p w14:paraId="436630FE" w14:textId="77777777" w:rsidR="00000000" w:rsidRDefault="00E614A4">
            <w:pPr>
              <w:rPr>
                <w:rFonts w:eastAsia="Times New Roman"/>
              </w:rPr>
            </w:pPr>
            <w:r>
              <w:rPr>
                <w:rFonts w:eastAsia="Times New Roman"/>
                <w:b/>
                <w:bCs/>
                <w:color w:val="000000"/>
                <w:sz w:val="20"/>
                <w:szCs w:val="20"/>
              </w:rPr>
              <w:t>ITEM 9A.</w:t>
            </w:r>
          </w:p>
        </w:tc>
        <w:tc>
          <w:tcPr>
            <w:tcW w:w="0" w:type="auto"/>
            <w:gridSpan w:val="3"/>
            <w:tcMar>
              <w:top w:w="30" w:type="dxa"/>
              <w:left w:w="20" w:type="dxa"/>
              <w:bottom w:w="30" w:type="dxa"/>
              <w:right w:w="20" w:type="dxa"/>
            </w:tcMar>
            <w:hideMark/>
          </w:tcPr>
          <w:p w14:paraId="42725EE8" w14:textId="77777777" w:rsidR="00000000" w:rsidRDefault="00E614A4">
            <w:pPr>
              <w:rPr>
                <w:rFonts w:eastAsia="Times New Roman"/>
              </w:rPr>
            </w:pPr>
            <w:r>
              <w:rPr>
                <w:rFonts w:eastAsia="Times New Roman"/>
                <w:b/>
                <w:bCs/>
                <w:i/>
                <w:iCs/>
                <w:color w:val="000000"/>
                <w:sz w:val="20"/>
                <w:szCs w:val="20"/>
              </w:rPr>
              <w:t>CONTROLS AND PROCEDURES</w:t>
            </w:r>
          </w:p>
        </w:tc>
      </w:tr>
    </w:tbl>
    <w:p w14:paraId="4C622FA5" w14:textId="77777777" w:rsidR="00000000" w:rsidRDefault="00E614A4">
      <w:pPr>
        <w:jc w:val="both"/>
        <w:divId w:val="1638954418"/>
        <w:rPr>
          <w:rFonts w:eastAsia="Times New Roman"/>
        </w:rPr>
      </w:pPr>
      <w:r>
        <w:rPr>
          <w:rFonts w:eastAsia="Times New Roman"/>
          <w:b/>
          <w:bCs/>
          <w:color w:val="000000"/>
          <w:sz w:val="20"/>
          <w:szCs w:val="20"/>
        </w:rPr>
        <w:t>Evaluation of Disclosure Controls and Procedures</w:t>
      </w:r>
    </w:p>
    <w:p w14:paraId="6DCAB324" w14:textId="77777777" w:rsidR="00000000" w:rsidRDefault="00E614A4">
      <w:pPr>
        <w:jc w:val="both"/>
        <w:divId w:val="1661620282"/>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financial officer, of the effectiveness of the design a</w:t>
      </w:r>
      <w:r>
        <w:rPr>
          <w:rFonts w:eastAsia="Times New Roman"/>
          <w:color w:val="000000"/>
          <w:sz w:val="20"/>
          <w:szCs w:val="20"/>
        </w:rPr>
        <w:t>nd operation of our disclosure controls and procedures, as defined in Rules 13a-15(e) and 15d-15(e) of the Exchange Act, as of December 31, 2020. Based on this evaluation, our principal executive officer and principal financial officer concluded that as of</w:t>
      </w:r>
      <w:r>
        <w:rPr>
          <w:rFonts w:eastAsia="Times New Roman"/>
          <w:color w:val="000000"/>
          <w:sz w:val="20"/>
          <w:szCs w:val="20"/>
        </w:rPr>
        <w:t xml:space="preserve"> December 31, 2020, these disclosure controls and procedures were effective to provide reasonable assurance that information required to be disclosed by us in the reports that we file or submit under the Exchange Act is recorded, processed, summarized, and</w:t>
      </w:r>
      <w:r>
        <w:rPr>
          <w:rFonts w:eastAsia="Times New Roman"/>
          <w:color w:val="000000"/>
          <w:sz w:val="20"/>
          <w:szCs w:val="20"/>
        </w:rPr>
        <w:t xml:space="preserve"> reported within the time periods specified in the SEC's rules and forms and to provide reasonable assurance that such information is accumulated and communicated to our management, including our principal executive officer and principal financial officer,</w:t>
      </w:r>
      <w:r>
        <w:rPr>
          <w:rFonts w:eastAsia="Times New Roman"/>
          <w:color w:val="000000"/>
          <w:sz w:val="20"/>
          <w:szCs w:val="20"/>
        </w:rPr>
        <w:t xml:space="preserve"> as appropriate to allow timely decisions regarding required disclosure.</w:t>
      </w:r>
    </w:p>
    <w:p w14:paraId="144762FE" w14:textId="77777777" w:rsidR="00000000" w:rsidRDefault="00E614A4">
      <w:pPr>
        <w:jc w:val="both"/>
        <w:divId w:val="1347051032"/>
        <w:rPr>
          <w:rFonts w:eastAsia="Times New Roman"/>
        </w:rPr>
      </w:pPr>
      <w:r>
        <w:rPr>
          <w:rFonts w:eastAsia="Times New Roman"/>
          <w:b/>
          <w:bCs/>
          <w:color w:val="000000"/>
          <w:sz w:val="20"/>
          <w:szCs w:val="20"/>
        </w:rPr>
        <w:t>Management's Report on Internal Control over Financial Reporting</w:t>
      </w:r>
    </w:p>
    <w:p w14:paraId="11AD67F1" w14:textId="77777777" w:rsidR="00000000" w:rsidRDefault="00E614A4">
      <w:pPr>
        <w:jc w:val="both"/>
        <w:divId w:val="1834682436"/>
        <w:rPr>
          <w:rFonts w:eastAsia="Times New Roman"/>
        </w:rPr>
      </w:pPr>
      <w:r>
        <w:rPr>
          <w:rFonts w:eastAsia="Times New Roman"/>
          <w:color w:val="000000"/>
          <w:sz w:val="20"/>
          <w:szCs w:val="20"/>
        </w:rPr>
        <w:t>Management is responsible for establishing and maintaining adequate internal control over financial reporting, as defi</w:t>
      </w:r>
      <w:r>
        <w:rPr>
          <w:rFonts w:eastAsia="Times New Roman"/>
          <w:color w:val="000000"/>
          <w:sz w:val="20"/>
          <w:szCs w:val="20"/>
        </w:rPr>
        <w:t>ned in Rule 13a-15(f) and 15d-15(f) of the Exchange Act. Management, under the supervision and with the participation of our principal executive officer and principal financial officer, assessed the effectiveness of our internal control over financial repo</w:t>
      </w:r>
      <w:r>
        <w:rPr>
          <w:rFonts w:eastAsia="Times New Roman"/>
          <w:color w:val="000000"/>
          <w:sz w:val="20"/>
          <w:szCs w:val="20"/>
        </w:rPr>
        <w:t>rting as of December 31, 2020 based on criteria established in Internal Control - Integrated Framework (2013) issued by the Committee of Sponsoring Organizations of the Treadway Commission. As a result of this assessment, management concluded that, as of D</w:t>
      </w:r>
      <w:r>
        <w:rPr>
          <w:rFonts w:eastAsia="Times New Roman"/>
          <w:color w:val="000000"/>
          <w:sz w:val="20"/>
          <w:szCs w:val="20"/>
        </w:rPr>
        <w:t xml:space="preserve">ecember 31, 2020, our internal control over financial reporting was effective in providing reasonable assurance regarding the reliability of financial reporting and the preparation of financial statements for external purposes in accordance with generally </w:t>
      </w:r>
      <w:r>
        <w:rPr>
          <w:rFonts w:eastAsia="Times New Roman"/>
          <w:color w:val="000000"/>
          <w:sz w:val="20"/>
          <w:szCs w:val="20"/>
        </w:rPr>
        <w:t>accepted accounting principles.</w:t>
      </w:r>
    </w:p>
    <w:p w14:paraId="44794ED5" w14:textId="77777777" w:rsidR="00000000" w:rsidRDefault="00E614A4">
      <w:pPr>
        <w:jc w:val="both"/>
        <w:divId w:val="312174142"/>
        <w:rPr>
          <w:rFonts w:eastAsia="Times New Roman"/>
        </w:rPr>
      </w:pPr>
      <w:r>
        <w:rPr>
          <w:rFonts w:eastAsia="Times New Roman"/>
          <w:color w:val="000000"/>
          <w:sz w:val="20"/>
          <w:szCs w:val="20"/>
        </w:rPr>
        <w:t xml:space="preserve">Deloitte &amp; </w:t>
      </w:r>
      <w:r>
        <w:rPr>
          <w:rFonts w:eastAsia="Times New Roman"/>
          <w:color w:val="000000"/>
          <w:sz w:val="20"/>
          <w:szCs w:val="20"/>
        </w:rPr>
        <w:t xml:space="preserve">Touche LLP, an independent registered public accounting firm, has audited the effectiveness of our internal control over financial reporting as of December 31, 2020, and their report is included below. Deloitte &amp; Touche LLP has also audited, and issued an </w:t>
      </w:r>
      <w:r>
        <w:rPr>
          <w:rFonts w:eastAsia="Times New Roman"/>
          <w:color w:val="000000"/>
          <w:sz w:val="20"/>
          <w:szCs w:val="20"/>
        </w:rPr>
        <w:t xml:space="preserve">unqualified opinion with respect to, our Consolidated Financial Statements for 2020, which opinion is included in </w:t>
      </w:r>
      <w:hyperlink w:anchor="ided6989bcc374020961c421c465250ee_79" w:history="1">
        <w:r>
          <w:rPr>
            <w:rStyle w:val="a3"/>
            <w:rFonts w:eastAsia="Times New Roman"/>
            <w:sz w:val="20"/>
            <w:szCs w:val="20"/>
          </w:rPr>
          <w:t>Item 8</w:t>
        </w:r>
      </w:hyperlink>
      <w:r>
        <w:rPr>
          <w:rFonts w:eastAsia="Times New Roman"/>
          <w:color w:val="000000"/>
          <w:sz w:val="20"/>
          <w:szCs w:val="20"/>
        </w:rPr>
        <w:t>, "Financial Statements and Supplementary Data," of this 10-K.</w:t>
      </w:r>
    </w:p>
    <w:p w14:paraId="7CD229C0" w14:textId="77777777" w:rsidR="00000000" w:rsidRDefault="00E614A4">
      <w:pPr>
        <w:jc w:val="both"/>
        <w:divId w:val="177277669"/>
        <w:rPr>
          <w:rFonts w:eastAsia="Times New Roman"/>
        </w:rPr>
      </w:pPr>
      <w:r>
        <w:rPr>
          <w:rFonts w:eastAsia="Times New Roman"/>
          <w:b/>
          <w:bCs/>
          <w:color w:val="000000"/>
          <w:sz w:val="20"/>
          <w:szCs w:val="20"/>
        </w:rPr>
        <w:t>Changes in Int</w:t>
      </w:r>
      <w:r>
        <w:rPr>
          <w:rFonts w:eastAsia="Times New Roman"/>
          <w:b/>
          <w:bCs/>
          <w:color w:val="000000"/>
          <w:sz w:val="20"/>
          <w:szCs w:val="20"/>
        </w:rPr>
        <w:t>ernal Control over Financial Reporting</w:t>
      </w:r>
    </w:p>
    <w:p w14:paraId="2598ABEE" w14:textId="77777777" w:rsidR="00000000" w:rsidRDefault="00E614A4">
      <w:pPr>
        <w:jc w:val="both"/>
        <w:divId w:val="105121953"/>
        <w:rPr>
          <w:rFonts w:eastAsia="Times New Roman"/>
        </w:rPr>
      </w:pPr>
      <w:r>
        <w:rPr>
          <w:rFonts w:eastAsia="Times New Roman"/>
          <w:color w:val="000000"/>
          <w:sz w:val="20"/>
          <w:szCs w:val="20"/>
        </w:rPr>
        <w:t>Under Exchange Act Rules 13a-15(d) and 15d-15(d), management is required to evaluate, with the participation of our principal executive officer and principal financial officer, any changes in internal control over fin</w:t>
      </w:r>
      <w:r>
        <w:rPr>
          <w:rFonts w:eastAsia="Times New Roman"/>
          <w:color w:val="000000"/>
          <w:sz w:val="20"/>
          <w:szCs w:val="20"/>
        </w:rPr>
        <w:t xml:space="preserve">ancial reporting that occurred during each fiscal quarter that materially affected, or are reasonably likely to materially affect, our internal control over financial reporting. There were no changes in our internal control over financial reporting during </w:t>
      </w:r>
      <w:r>
        <w:rPr>
          <w:rFonts w:eastAsia="Times New Roman"/>
          <w:color w:val="000000"/>
          <w:sz w:val="20"/>
          <w:szCs w:val="20"/>
        </w:rPr>
        <w:t>our most recent fiscal quarter that have materially affected, or are reasonably likely to materially affect, our internal control over financial reporting.</w:t>
      </w:r>
    </w:p>
    <w:p w14:paraId="6D0882A1" w14:textId="77777777" w:rsidR="00000000" w:rsidRDefault="00E614A4">
      <w:pPr>
        <w:jc w:val="both"/>
        <w:divId w:val="226885942"/>
        <w:rPr>
          <w:rFonts w:eastAsia="Times New Roman"/>
        </w:rPr>
      </w:pPr>
      <w:r>
        <w:rPr>
          <w:rFonts w:eastAsia="Times New Roman"/>
          <w:b/>
          <w:bCs/>
          <w:color w:val="000000"/>
          <w:sz w:val="20"/>
          <w:szCs w:val="20"/>
        </w:rPr>
        <w:t>Inherent Limitation on the Effectiveness of Internal Controls</w:t>
      </w:r>
    </w:p>
    <w:p w14:paraId="7A884B07" w14:textId="77777777" w:rsidR="00000000" w:rsidRDefault="00E614A4">
      <w:pPr>
        <w:jc w:val="both"/>
        <w:divId w:val="244262819"/>
        <w:rPr>
          <w:rFonts w:eastAsia="Times New Roman"/>
        </w:rPr>
      </w:pPr>
      <w:r>
        <w:rPr>
          <w:rFonts w:eastAsia="Times New Roman"/>
          <w:color w:val="000000"/>
          <w:sz w:val="20"/>
          <w:szCs w:val="20"/>
        </w:rPr>
        <w:t>The effectiveness of any system of int</w:t>
      </w:r>
      <w:r>
        <w:rPr>
          <w:rFonts w:eastAsia="Times New Roman"/>
          <w:color w:val="000000"/>
          <w:sz w:val="20"/>
          <w:szCs w:val="20"/>
        </w:rPr>
        <w:t>ernal control over financial reporting is subject to inherent limitations, including the exercise of judgment in designing, implementing, operating, and evaluating the controls and procedures, and the inability to eliminate misconduct completely. According</w:t>
      </w:r>
      <w:r>
        <w:rPr>
          <w:rFonts w:eastAsia="Times New Roman"/>
          <w:color w:val="000000"/>
          <w:sz w:val="20"/>
          <w:szCs w:val="20"/>
        </w:rPr>
        <w:t>ly, any system of internal control over financial reporting can only provide reasonable, not absolute, assurance that its objectives will be met. In addition, projections of any evaluation of effectiveness to future periods are subject to the risk that con</w:t>
      </w:r>
      <w:r>
        <w:rPr>
          <w:rFonts w:eastAsia="Times New Roman"/>
          <w:color w:val="000000"/>
          <w:sz w:val="20"/>
          <w:szCs w:val="20"/>
        </w:rPr>
        <w:t>trols may become inadequate because of changes in conditions, or that the degree of compliance with the policies or procedures may deteriorate. We intend to continue to monitor and upgrade our internal controls as necessary or appropriate for our business,</w:t>
      </w:r>
      <w:r>
        <w:rPr>
          <w:rFonts w:eastAsia="Times New Roman"/>
          <w:color w:val="000000"/>
          <w:sz w:val="20"/>
          <w:szCs w:val="20"/>
        </w:rPr>
        <w:t xml:space="preserve"> but we cannot assure that such improvements will be sufficient to provide us with effective internal control over financial reporting in future periods.</w:t>
      </w:r>
    </w:p>
    <w:p w14:paraId="59B34526" w14:textId="77777777" w:rsidR="00000000" w:rsidRDefault="00E614A4">
      <w:pPr>
        <w:jc w:val="center"/>
        <w:divId w:val="800225322"/>
        <w:rPr>
          <w:rFonts w:eastAsia="Times New Roman"/>
        </w:rPr>
      </w:pPr>
      <w:r>
        <w:rPr>
          <w:rFonts w:eastAsia="Times New Roman"/>
          <w:color w:val="000000"/>
          <w:sz w:val="20"/>
          <w:szCs w:val="20"/>
        </w:rPr>
        <w:t>102</w:t>
      </w:r>
    </w:p>
    <w:p w14:paraId="4D70BB83" w14:textId="77777777" w:rsidR="00000000" w:rsidRDefault="00E614A4">
      <w:pPr>
        <w:rPr>
          <w:rFonts w:eastAsia="Times New Roman"/>
        </w:rPr>
      </w:pPr>
      <w:r>
        <w:rPr>
          <w:rFonts w:eastAsia="Times New Roman"/>
        </w:rPr>
        <w:pict w14:anchorId="7155AE9E">
          <v:rect id="_x0000_i1130" style="width:0;height:1.5pt" o:hralign="center" o:hrstd="t" o:hr="t" fillcolor="#a0a0a0" stroked="f"/>
        </w:pict>
      </w:r>
    </w:p>
    <w:p w14:paraId="78D68254" w14:textId="77777777" w:rsidR="00000000" w:rsidRDefault="00E614A4">
      <w:pPr>
        <w:divId w:val="66212481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852C660" w14:textId="77777777" w:rsidR="00000000" w:rsidRDefault="00E614A4">
      <w:pPr>
        <w:divId w:val="163595971"/>
        <w:rPr>
          <w:rFonts w:eastAsia="Times New Roman"/>
        </w:rPr>
      </w:pPr>
    </w:p>
    <w:p w14:paraId="7A91466F" w14:textId="77777777" w:rsidR="00000000" w:rsidRDefault="00E614A4">
      <w:pPr>
        <w:divId w:val="155148119"/>
        <w:rPr>
          <w:rFonts w:eastAsia="Times New Roman"/>
        </w:rPr>
      </w:pPr>
      <w:r>
        <w:rPr>
          <w:rFonts w:eastAsia="Times New Roman"/>
          <w:b/>
          <w:bCs/>
          <w:color w:val="000000"/>
          <w:sz w:val="20"/>
          <w:szCs w:val="20"/>
        </w:rPr>
        <w:t>REPORT OF INDEPENDENT REGISTERED PUBLIC ACCOUNTING FIRM</w:t>
      </w:r>
    </w:p>
    <w:p w14:paraId="3248104E" w14:textId="77777777" w:rsidR="00000000" w:rsidRDefault="00E614A4">
      <w:pPr>
        <w:divId w:val="1010572332"/>
        <w:rPr>
          <w:rFonts w:eastAsia="Times New Roman"/>
        </w:rPr>
      </w:pPr>
      <w:r>
        <w:rPr>
          <w:rFonts w:eastAsia="Times New Roman"/>
          <w:color w:val="000000"/>
          <w:sz w:val="20"/>
          <w:szCs w:val="20"/>
        </w:rPr>
        <w:t>To the stockholders and the Board of Directors of comScore, Inc.</w:t>
      </w:r>
    </w:p>
    <w:p w14:paraId="11A63D1B" w14:textId="77777777" w:rsidR="00000000" w:rsidRDefault="00E614A4">
      <w:pPr>
        <w:divId w:val="1404835975"/>
        <w:rPr>
          <w:rFonts w:eastAsia="Times New Roman"/>
        </w:rPr>
      </w:pPr>
      <w:r>
        <w:rPr>
          <w:rFonts w:eastAsia="Times New Roman"/>
          <w:b/>
          <w:bCs/>
          <w:color w:val="000000"/>
          <w:sz w:val="20"/>
          <w:szCs w:val="20"/>
        </w:rPr>
        <w:t>Opinion on Internal Control over Financial Reporting</w:t>
      </w:r>
    </w:p>
    <w:p w14:paraId="3182F433" w14:textId="77777777" w:rsidR="00000000" w:rsidRDefault="00E614A4">
      <w:pPr>
        <w:jc w:val="both"/>
        <w:divId w:val="168641242"/>
        <w:rPr>
          <w:rFonts w:eastAsia="Times New Roman"/>
        </w:rPr>
      </w:pPr>
      <w:r>
        <w:rPr>
          <w:rFonts w:eastAsia="Times New Roman"/>
          <w:color w:val="000000"/>
          <w:sz w:val="20"/>
          <w:szCs w:val="20"/>
        </w:rPr>
        <w:t xml:space="preserve">We have audited the internal control over financial reporting of comScore, Inc. and subsidiaries (the "Company") as of December 31, 2020, based on criteria established in </w:t>
      </w:r>
      <w:r>
        <w:rPr>
          <w:rFonts w:eastAsia="Times New Roman"/>
          <w:i/>
          <w:iCs/>
          <w:color w:val="000000"/>
          <w:sz w:val="20"/>
          <w:szCs w:val="20"/>
        </w:rPr>
        <w:t>Internal Control - Integrated F</w:t>
      </w:r>
      <w:r>
        <w:rPr>
          <w:rFonts w:eastAsia="Times New Roman"/>
          <w:i/>
          <w:iCs/>
          <w:color w:val="000000"/>
          <w:sz w:val="20"/>
          <w:szCs w:val="20"/>
        </w:rPr>
        <w:t>ramework (2013)</w:t>
      </w:r>
      <w:r>
        <w:rPr>
          <w:rFonts w:eastAsia="Times New Roman"/>
          <w:color w:val="000000"/>
          <w:sz w:val="20"/>
          <w:szCs w:val="20"/>
        </w:rPr>
        <w:t xml:space="preserve"> issued by the Committee of Sponsoring Organizations of the Treadway Commission (COSO). In our opinion, the Company maintained, in all material respects, effective internal control over financial reporting as of December 31, 2020, based on c</w:t>
      </w:r>
      <w:r>
        <w:rPr>
          <w:rFonts w:eastAsia="Times New Roman"/>
          <w:color w:val="000000"/>
          <w:sz w:val="20"/>
          <w:szCs w:val="20"/>
        </w:rPr>
        <w:t xml:space="preserve">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COSO.</w:t>
      </w:r>
    </w:p>
    <w:p w14:paraId="07DF15A2" w14:textId="77777777" w:rsidR="00000000" w:rsidRDefault="00E614A4">
      <w:pPr>
        <w:jc w:val="both"/>
        <w:divId w:val="939294447"/>
        <w:rPr>
          <w:rFonts w:eastAsia="Times New Roman"/>
        </w:rPr>
      </w:pPr>
      <w:r>
        <w:rPr>
          <w:rFonts w:eastAsia="Times New Roman"/>
          <w:color w:val="000000"/>
          <w:sz w:val="20"/>
          <w:szCs w:val="20"/>
        </w:rPr>
        <w:t xml:space="preserve">We have also audited, in accordance with the standards of the Public Company Accounting Oversight Board (United States) (PCAOB), the consolidated financial statements as </w:t>
      </w:r>
      <w:r>
        <w:rPr>
          <w:rFonts w:eastAsia="Times New Roman"/>
          <w:color w:val="000000"/>
          <w:sz w:val="20"/>
          <w:szCs w:val="20"/>
        </w:rPr>
        <w:t>of and for the year ended December 31, 2020, of the Company and our report dated March 9, 2021, expressed an unqualified opinion on those financial statements and included an explanatory paragraph regarding the Company's adoption of a new accounting standa</w:t>
      </w:r>
      <w:r>
        <w:rPr>
          <w:rFonts w:eastAsia="Times New Roman"/>
          <w:color w:val="000000"/>
          <w:sz w:val="20"/>
          <w:szCs w:val="20"/>
        </w:rPr>
        <w:t>rd.</w:t>
      </w:r>
    </w:p>
    <w:p w14:paraId="144D97CF" w14:textId="77777777" w:rsidR="00000000" w:rsidRDefault="00E614A4">
      <w:pPr>
        <w:divId w:val="1343967567"/>
        <w:rPr>
          <w:rFonts w:eastAsia="Times New Roman"/>
        </w:rPr>
      </w:pPr>
      <w:r>
        <w:rPr>
          <w:rFonts w:eastAsia="Times New Roman"/>
          <w:b/>
          <w:bCs/>
          <w:color w:val="000000"/>
          <w:sz w:val="20"/>
          <w:szCs w:val="20"/>
        </w:rPr>
        <w:t xml:space="preserve">Basis for Opinion </w:t>
      </w:r>
    </w:p>
    <w:p w14:paraId="7FC59D43" w14:textId="77777777" w:rsidR="00000000" w:rsidRDefault="00E614A4">
      <w:pPr>
        <w:jc w:val="both"/>
        <w:divId w:val="1635132597"/>
        <w:rPr>
          <w:rFonts w:eastAsia="Times New Roman"/>
        </w:rPr>
      </w:pPr>
      <w:r>
        <w:rPr>
          <w:rFonts w:eastAsia="Times New Roman"/>
          <w:color w:val="000000"/>
          <w:sz w:val="20"/>
          <w:szCs w:val="20"/>
        </w:rPr>
        <w:t xml:space="preserve">The Company's management is responsible for maintaining effective internal control over financial reporting and for its assessment of the effectiveness of internal control over financial reporting, included in the accompanying </w:t>
      </w:r>
      <w:r>
        <w:rPr>
          <w:rFonts w:eastAsia="Times New Roman"/>
          <w:i/>
          <w:iCs/>
          <w:color w:val="000000"/>
          <w:sz w:val="20"/>
          <w:szCs w:val="20"/>
        </w:rPr>
        <w:t>Manage</w:t>
      </w:r>
      <w:r>
        <w:rPr>
          <w:rFonts w:eastAsia="Times New Roman"/>
          <w:i/>
          <w:iCs/>
          <w:color w:val="000000"/>
          <w:sz w:val="20"/>
          <w:szCs w:val="20"/>
        </w:rPr>
        <w:t>ment's Report on Internal Control over Financial Reporting</w:t>
      </w:r>
      <w:r>
        <w:rPr>
          <w:rFonts w:eastAsia="Times New Roman"/>
          <w:color w:val="000000"/>
          <w:sz w:val="20"/>
          <w:szCs w:val="20"/>
        </w:rPr>
        <w:t>. Our responsibility is to express an opinion on the Company's internal control over financial reporting based on our audit. We are a public accounting firm registered with the PCAOB and are require</w:t>
      </w:r>
      <w:r>
        <w:rPr>
          <w:rFonts w:eastAsia="Times New Roman"/>
          <w:color w:val="000000"/>
          <w:sz w:val="20"/>
          <w:szCs w:val="20"/>
        </w:rPr>
        <w:t>d to be independent with respect to the Company in accordance with the U.S. federal securities laws and the applicable rules and regulations of the Securities and Exchange Commission and the PCAOB.</w:t>
      </w:r>
    </w:p>
    <w:p w14:paraId="5B2F14F7" w14:textId="77777777" w:rsidR="00000000" w:rsidRDefault="00E614A4">
      <w:pPr>
        <w:jc w:val="both"/>
        <w:divId w:val="1358695994"/>
        <w:rPr>
          <w:rFonts w:eastAsia="Times New Roman"/>
        </w:rPr>
      </w:pPr>
      <w:r>
        <w:rPr>
          <w:rFonts w:eastAsia="Times New Roman"/>
          <w:color w:val="000000"/>
          <w:sz w:val="20"/>
          <w:szCs w:val="20"/>
        </w:rPr>
        <w:t>We conducted our audit in accordance with the standards of</w:t>
      </w:r>
      <w:r>
        <w:rPr>
          <w:rFonts w:eastAsia="Times New Roman"/>
          <w:color w:val="000000"/>
          <w:sz w:val="20"/>
          <w:szCs w:val="20"/>
        </w:rPr>
        <w:t xml:space="preserve"> the PCAOB. Those standards require that we plan and perform the audit to obtain reasonable assurance about whether effective internal control over financial reporting was maintained in all material respects. Our audit included obtaining an understanding o</w:t>
      </w:r>
      <w:r>
        <w:rPr>
          <w:rFonts w:eastAsia="Times New Roman"/>
          <w:color w:val="000000"/>
          <w:sz w:val="20"/>
          <w:szCs w:val="20"/>
        </w:rPr>
        <w:t>f internal control over financial reporting, assessing the risk that a material weakness exists, testing and evaluating the design and operating effectiveness of internal control based on the assessed risk, and performing such other procedures as we consid</w:t>
      </w:r>
      <w:r>
        <w:rPr>
          <w:rFonts w:eastAsia="Times New Roman"/>
          <w:color w:val="000000"/>
          <w:sz w:val="20"/>
          <w:szCs w:val="20"/>
        </w:rPr>
        <w:t>ered necessary in the circumstances. We believe that our audit provides a reasonable basis for our opinion.</w:t>
      </w:r>
    </w:p>
    <w:p w14:paraId="38442ADD" w14:textId="77777777" w:rsidR="00000000" w:rsidRDefault="00E614A4">
      <w:pPr>
        <w:divId w:val="1298334566"/>
        <w:rPr>
          <w:rFonts w:eastAsia="Times New Roman"/>
        </w:rPr>
      </w:pPr>
      <w:r>
        <w:rPr>
          <w:rFonts w:eastAsia="Times New Roman"/>
          <w:b/>
          <w:bCs/>
          <w:color w:val="000000"/>
          <w:sz w:val="20"/>
          <w:szCs w:val="20"/>
        </w:rPr>
        <w:t>Definition and Limitations of Internal Control over Financial Reporting</w:t>
      </w:r>
    </w:p>
    <w:p w14:paraId="2A2D1FAD" w14:textId="77777777" w:rsidR="00000000" w:rsidRDefault="00E614A4">
      <w:pPr>
        <w:jc w:val="both"/>
        <w:divId w:val="1537035858"/>
        <w:rPr>
          <w:rFonts w:eastAsia="Times New Roman"/>
        </w:rPr>
      </w:pPr>
      <w:r>
        <w:rPr>
          <w:rFonts w:eastAsia="Times New Roman"/>
          <w:color w:val="000000"/>
          <w:sz w:val="20"/>
          <w:szCs w:val="20"/>
        </w:rPr>
        <w:t xml:space="preserve">A company's internal control over financial reporting is a process designed </w:t>
      </w:r>
      <w:r>
        <w:rPr>
          <w:rFonts w:eastAsia="Times New Roman"/>
          <w:color w:val="000000"/>
          <w:sz w:val="20"/>
          <w:szCs w:val="20"/>
        </w:rPr>
        <w:t>to provide reasonable assurance regarding the reliability of financial reporting and the preparation of financial statements for external purposes in accordance with generally accepted accounting principles. A company's internal control over financial repo</w:t>
      </w:r>
      <w:r>
        <w:rPr>
          <w:rFonts w:eastAsia="Times New Roman"/>
          <w:color w:val="000000"/>
          <w:sz w:val="20"/>
          <w:szCs w:val="20"/>
        </w:rPr>
        <w:t>rting includes those policies and procedures that (1) pertain to the maintenance of records that, in reasonable detail, accurately and fairly reflect the transactions and dispositions of the assets of the company; (2) provide reasonable assurance that tran</w:t>
      </w:r>
      <w:r>
        <w:rPr>
          <w:rFonts w:eastAsia="Times New Roman"/>
          <w:color w:val="000000"/>
          <w:sz w:val="20"/>
          <w:szCs w:val="20"/>
        </w:rPr>
        <w:t>sactions are recorded as necessary to permit preparation of financial statements in accordance with generally accepted accounting principles, and that receipts and expenditures of the company are being made only in accordance with authorizations of managem</w:t>
      </w:r>
      <w:r>
        <w:rPr>
          <w:rFonts w:eastAsia="Times New Roman"/>
          <w:color w:val="000000"/>
          <w:sz w:val="20"/>
          <w:szCs w:val="20"/>
        </w:rPr>
        <w:t>ent and directors of the company; and (3) provide reasonable assurance regarding prevention or timely detection of unauthorized acquisition, use, or disposition of the company's assets that could have a material effect on the financial statements.</w:t>
      </w:r>
    </w:p>
    <w:p w14:paraId="2024FCF3" w14:textId="77777777" w:rsidR="00000000" w:rsidRDefault="00E614A4">
      <w:pPr>
        <w:jc w:val="both"/>
        <w:divId w:val="1081638249"/>
        <w:rPr>
          <w:rFonts w:eastAsia="Times New Roman"/>
        </w:rPr>
      </w:pPr>
      <w:r>
        <w:rPr>
          <w:rFonts w:eastAsia="Times New Roman"/>
          <w:color w:val="000000"/>
          <w:sz w:val="20"/>
          <w:szCs w:val="20"/>
        </w:rPr>
        <w:t xml:space="preserve">Because </w:t>
      </w:r>
      <w:r>
        <w:rPr>
          <w:rFonts w:eastAsia="Times New Roman"/>
          <w:color w:val="000000"/>
          <w:sz w:val="20"/>
          <w:szCs w:val="20"/>
        </w:rPr>
        <w:t>of its inherent limitations, internal control over financial reporting may not prevent or detect misstatements. Also, projections of any evaluation of effectiveness to future periods are subject to the risk that controls may become inadequate because of ch</w:t>
      </w:r>
      <w:r>
        <w:rPr>
          <w:rFonts w:eastAsia="Times New Roman"/>
          <w:color w:val="000000"/>
          <w:sz w:val="20"/>
          <w:szCs w:val="20"/>
        </w:rPr>
        <w:t>anges in conditions, or that the degree of compliance with the policies or procedures may deteriorate.</w:t>
      </w:r>
    </w:p>
    <w:p w14:paraId="4608CC98" w14:textId="77777777" w:rsidR="00000000" w:rsidRDefault="00E614A4">
      <w:pPr>
        <w:divId w:val="1292247271"/>
        <w:rPr>
          <w:rFonts w:eastAsia="Times New Roman"/>
        </w:rPr>
      </w:pPr>
    </w:p>
    <w:p w14:paraId="5A9DC6A6" w14:textId="77777777" w:rsidR="00000000" w:rsidRDefault="00E614A4">
      <w:pPr>
        <w:divId w:val="1543639555"/>
        <w:rPr>
          <w:rFonts w:eastAsia="Times New Roman"/>
        </w:rPr>
      </w:pPr>
      <w:r>
        <w:rPr>
          <w:rFonts w:eastAsia="Times New Roman"/>
          <w:color w:val="000000"/>
          <w:sz w:val="20"/>
          <w:szCs w:val="20"/>
        </w:rPr>
        <w:t>/s/ Deloitte &amp; Touche LLP</w:t>
      </w:r>
    </w:p>
    <w:p w14:paraId="71DAA991" w14:textId="77777777" w:rsidR="00000000" w:rsidRDefault="00E614A4">
      <w:pPr>
        <w:divId w:val="478040932"/>
        <w:rPr>
          <w:rFonts w:eastAsia="Times New Roman"/>
        </w:rPr>
      </w:pPr>
    </w:p>
    <w:p w14:paraId="6CA802A7" w14:textId="77777777" w:rsidR="00000000" w:rsidRDefault="00E614A4">
      <w:pPr>
        <w:divId w:val="926842327"/>
        <w:rPr>
          <w:rFonts w:eastAsia="Times New Roman"/>
        </w:rPr>
      </w:pPr>
      <w:r>
        <w:rPr>
          <w:rFonts w:eastAsia="Times New Roman"/>
          <w:color w:val="000000"/>
          <w:sz w:val="20"/>
          <w:szCs w:val="20"/>
        </w:rPr>
        <w:t>McLean, Virginia</w:t>
      </w:r>
    </w:p>
    <w:p w14:paraId="047ABEED" w14:textId="77777777" w:rsidR="00000000" w:rsidRDefault="00E614A4">
      <w:pPr>
        <w:divId w:val="1211721521"/>
        <w:rPr>
          <w:rFonts w:eastAsia="Times New Roman"/>
        </w:rPr>
      </w:pPr>
      <w:r>
        <w:rPr>
          <w:rFonts w:eastAsia="Times New Roman"/>
          <w:color w:val="000000"/>
          <w:sz w:val="20"/>
          <w:szCs w:val="20"/>
        </w:rPr>
        <w:t>March 9, 2021</w:t>
      </w:r>
    </w:p>
    <w:p w14:paraId="73FB401E" w14:textId="77777777" w:rsidR="00000000" w:rsidRDefault="00E614A4">
      <w:pPr>
        <w:jc w:val="both"/>
        <w:divId w:val="1731541481"/>
        <w:rPr>
          <w:rFonts w:eastAsia="Times New Roman"/>
        </w:rPr>
      </w:pPr>
    </w:p>
    <w:p w14:paraId="08D7BDAE" w14:textId="77777777" w:rsidR="00000000" w:rsidRDefault="00E614A4">
      <w:pPr>
        <w:jc w:val="both"/>
        <w:divId w:val="973410611"/>
        <w:rPr>
          <w:rFonts w:eastAsia="Times New Roman"/>
        </w:rPr>
      </w:pPr>
    </w:p>
    <w:p w14:paraId="57947C93" w14:textId="77777777" w:rsidR="00000000" w:rsidRDefault="00E614A4">
      <w:pPr>
        <w:jc w:val="both"/>
        <w:rPr>
          <w:rFonts w:eastAsia="Times New Roman"/>
        </w:rPr>
      </w:pPr>
    </w:p>
    <w:p w14:paraId="767BEE5D" w14:textId="77777777" w:rsidR="00000000" w:rsidRDefault="00E614A4">
      <w:pPr>
        <w:jc w:val="center"/>
        <w:divId w:val="1467967378"/>
        <w:rPr>
          <w:rFonts w:eastAsia="Times New Roman"/>
        </w:rPr>
      </w:pPr>
      <w:r>
        <w:rPr>
          <w:rFonts w:eastAsia="Times New Roman"/>
          <w:color w:val="000000"/>
          <w:sz w:val="20"/>
          <w:szCs w:val="20"/>
        </w:rPr>
        <w:t>103</w:t>
      </w:r>
    </w:p>
    <w:p w14:paraId="0B745342" w14:textId="77777777" w:rsidR="00000000" w:rsidRDefault="00E614A4">
      <w:pPr>
        <w:rPr>
          <w:rFonts w:eastAsia="Times New Roman"/>
        </w:rPr>
      </w:pPr>
      <w:r>
        <w:rPr>
          <w:rFonts w:eastAsia="Times New Roman"/>
        </w:rPr>
        <w:pict w14:anchorId="7F18CD1E">
          <v:rect id="_x0000_i1131" style="width:0;height:1.5pt" o:hralign="center" o:hrstd="t" o:hr="t" fillcolor="#a0a0a0" stroked="f"/>
        </w:pict>
      </w:r>
    </w:p>
    <w:p w14:paraId="08AACCFE" w14:textId="77777777" w:rsidR="00000000" w:rsidRDefault="00E614A4">
      <w:pPr>
        <w:divId w:val="75323567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1B86E0BA" w14:textId="77777777" w:rsidR="00000000" w:rsidRDefault="00E614A4">
      <w:pPr>
        <w:divId w:val="681976501"/>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2AD89028" w14:textId="77777777">
        <w:trPr>
          <w:divId w:val="1035619658"/>
        </w:trPr>
        <w:tc>
          <w:tcPr>
            <w:tcW w:w="50" w:type="pct"/>
            <w:vAlign w:val="center"/>
            <w:hideMark/>
          </w:tcPr>
          <w:p w14:paraId="2067F8BE" w14:textId="77777777" w:rsidR="00000000" w:rsidRDefault="00E614A4">
            <w:pPr>
              <w:rPr>
                <w:rFonts w:eastAsia="Times New Roman"/>
              </w:rPr>
            </w:pPr>
          </w:p>
        </w:tc>
        <w:tc>
          <w:tcPr>
            <w:tcW w:w="494" w:type="pct"/>
            <w:vAlign w:val="center"/>
            <w:hideMark/>
          </w:tcPr>
          <w:p w14:paraId="4FBE5B34" w14:textId="77777777" w:rsidR="00000000" w:rsidRDefault="00E614A4">
            <w:pPr>
              <w:rPr>
                <w:rFonts w:eastAsia="Times New Roman"/>
                <w:sz w:val="20"/>
                <w:szCs w:val="20"/>
              </w:rPr>
            </w:pPr>
          </w:p>
        </w:tc>
        <w:tc>
          <w:tcPr>
            <w:tcW w:w="5" w:type="pct"/>
            <w:vAlign w:val="center"/>
            <w:hideMark/>
          </w:tcPr>
          <w:p w14:paraId="54BDACFC" w14:textId="77777777" w:rsidR="00000000" w:rsidRDefault="00E614A4">
            <w:pPr>
              <w:rPr>
                <w:rFonts w:eastAsia="Times New Roman"/>
                <w:sz w:val="20"/>
                <w:szCs w:val="20"/>
              </w:rPr>
            </w:pPr>
          </w:p>
        </w:tc>
        <w:tc>
          <w:tcPr>
            <w:tcW w:w="50" w:type="pct"/>
            <w:vAlign w:val="center"/>
            <w:hideMark/>
          </w:tcPr>
          <w:p w14:paraId="0BA22A40" w14:textId="77777777" w:rsidR="00000000" w:rsidRDefault="00E614A4">
            <w:pPr>
              <w:rPr>
                <w:rFonts w:eastAsia="Times New Roman"/>
                <w:sz w:val="20"/>
                <w:szCs w:val="20"/>
              </w:rPr>
            </w:pPr>
          </w:p>
        </w:tc>
        <w:tc>
          <w:tcPr>
            <w:tcW w:w="4396" w:type="pct"/>
            <w:vAlign w:val="center"/>
            <w:hideMark/>
          </w:tcPr>
          <w:p w14:paraId="673B7F89" w14:textId="77777777" w:rsidR="00000000" w:rsidRDefault="00E614A4">
            <w:pPr>
              <w:rPr>
                <w:rFonts w:eastAsia="Times New Roman"/>
                <w:sz w:val="20"/>
                <w:szCs w:val="20"/>
              </w:rPr>
            </w:pPr>
          </w:p>
        </w:tc>
        <w:tc>
          <w:tcPr>
            <w:tcW w:w="5" w:type="pct"/>
            <w:vAlign w:val="center"/>
            <w:hideMark/>
          </w:tcPr>
          <w:p w14:paraId="7098A400" w14:textId="77777777" w:rsidR="00000000" w:rsidRDefault="00E614A4">
            <w:pPr>
              <w:rPr>
                <w:rFonts w:eastAsia="Times New Roman"/>
                <w:sz w:val="20"/>
                <w:szCs w:val="20"/>
              </w:rPr>
            </w:pPr>
          </w:p>
        </w:tc>
      </w:tr>
      <w:tr w:rsidR="00000000" w14:paraId="333A3F8F" w14:textId="77777777">
        <w:trPr>
          <w:divId w:val="1035619658"/>
        </w:trPr>
        <w:tc>
          <w:tcPr>
            <w:tcW w:w="0" w:type="auto"/>
            <w:gridSpan w:val="3"/>
            <w:tcMar>
              <w:top w:w="30" w:type="dxa"/>
              <w:left w:w="20" w:type="dxa"/>
              <w:bottom w:w="30" w:type="dxa"/>
              <w:right w:w="20" w:type="dxa"/>
            </w:tcMar>
            <w:hideMark/>
          </w:tcPr>
          <w:p w14:paraId="511F279F" w14:textId="77777777" w:rsidR="00000000" w:rsidRDefault="00E614A4">
            <w:pPr>
              <w:rPr>
                <w:rFonts w:eastAsia="Times New Roman"/>
              </w:rPr>
            </w:pPr>
            <w:r>
              <w:rPr>
                <w:rFonts w:eastAsia="Times New Roman"/>
                <w:b/>
                <w:bCs/>
                <w:color w:val="000000"/>
                <w:sz w:val="20"/>
                <w:szCs w:val="20"/>
              </w:rPr>
              <w:t>ITEM 9B.</w:t>
            </w:r>
          </w:p>
        </w:tc>
        <w:tc>
          <w:tcPr>
            <w:tcW w:w="0" w:type="auto"/>
            <w:gridSpan w:val="3"/>
            <w:tcMar>
              <w:top w:w="30" w:type="dxa"/>
              <w:left w:w="20" w:type="dxa"/>
              <w:bottom w:w="30" w:type="dxa"/>
              <w:right w:w="20" w:type="dxa"/>
            </w:tcMar>
            <w:hideMark/>
          </w:tcPr>
          <w:p w14:paraId="333FD77A" w14:textId="77777777" w:rsidR="00000000" w:rsidRDefault="00E614A4">
            <w:pPr>
              <w:rPr>
                <w:rFonts w:eastAsia="Times New Roman"/>
              </w:rPr>
            </w:pPr>
            <w:r>
              <w:rPr>
                <w:rFonts w:eastAsia="Times New Roman"/>
                <w:b/>
                <w:bCs/>
                <w:i/>
                <w:iCs/>
                <w:color w:val="000000"/>
                <w:sz w:val="20"/>
                <w:szCs w:val="20"/>
              </w:rPr>
              <w:t>OTHER INFORMATION</w:t>
            </w:r>
          </w:p>
        </w:tc>
      </w:tr>
    </w:tbl>
    <w:p w14:paraId="5CA51B6D" w14:textId="77777777" w:rsidR="00000000" w:rsidRDefault="00E614A4">
      <w:pPr>
        <w:jc w:val="both"/>
        <w:divId w:val="588736225"/>
        <w:rPr>
          <w:rFonts w:eastAsia="Times New Roman"/>
        </w:rPr>
      </w:pPr>
      <w:r>
        <w:rPr>
          <w:rFonts w:eastAsia="Times New Roman"/>
          <w:color w:val="000000"/>
          <w:sz w:val="20"/>
          <w:szCs w:val="20"/>
        </w:rPr>
        <w:t>On March 5, 2021, the Company's Compensation Committee and Board of Directors approved the following annual awards for the executive officers and former executive officer named below, based on achievement of goals relating to 2020 revenue and adjusted earn</w:t>
      </w:r>
      <w:r>
        <w:rPr>
          <w:rFonts w:eastAsia="Times New Roman"/>
          <w:color w:val="000000"/>
          <w:sz w:val="20"/>
          <w:szCs w:val="20"/>
        </w:rPr>
        <w:t>ings before interest, taxes, depreciation and amortization, as well as corporate culture objectives and other discretionary considerations. Ms. DiBattiste received a prorated award as set forth in her Separation and Release Agreement dated May 7, 2020. Awa</w:t>
      </w:r>
      <w:r>
        <w:rPr>
          <w:rFonts w:eastAsia="Times New Roman"/>
          <w:color w:val="000000"/>
          <w:sz w:val="20"/>
          <w:szCs w:val="20"/>
        </w:rPr>
        <w:t>rds will be paid in a cash lump sum, less applicable deductions and withholdings, on or before April 15, 2021.</w:t>
      </w:r>
    </w:p>
    <w:tbl>
      <w:tblPr>
        <w:tblW w:w="5000" w:type="pct"/>
        <w:tblCellMar>
          <w:top w:w="15" w:type="dxa"/>
          <w:left w:w="15" w:type="dxa"/>
          <w:bottom w:w="15" w:type="dxa"/>
          <w:right w:w="15" w:type="dxa"/>
        </w:tblCellMar>
        <w:tblLook w:val="04A0" w:firstRow="1" w:lastRow="0" w:firstColumn="1" w:lastColumn="0" w:noHBand="0" w:noVBand="1"/>
      </w:tblPr>
      <w:tblGrid>
        <w:gridCol w:w="55"/>
        <w:gridCol w:w="7069"/>
        <w:gridCol w:w="37"/>
        <w:gridCol w:w="110"/>
        <w:gridCol w:w="999"/>
        <w:gridCol w:w="36"/>
      </w:tblGrid>
      <w:tr w:rsidR="00000000" w14:paraId="0F238CBE" w14:textId="77777777">
        <w:trPr>
          <w:divId w:val="1920018362"/>
        </w:trPr>
        <w:tc>
          <w:tcPr>
            <w:tcW w:w="50" w:type="pct"/>
            <w:vAlign w:val="center"/>
            <w:hideMark/>
          </w:tcPr>
          <w:p w14:paraId="451A1391" w14:textId="77777777" w:rsidR="00000000" w:rsidRDefault="00E614A4">
            <w:pPr>
              <w:jc w:val="both"/>
              <w:rPr>
                <w:rFonts w:eastAsia="Times New Roman"/>
              </w:rPr>
            </w:pPr>
          </w:p>
        </w:tc>
        <w:tc>
          <w:tcPr>
            <w:tcW w:w="4271" w:type="pct"/>
            <w:vAlign w:val="center"/>
            <w:hideMark/>
          </w:tcPr>
          <w:p w14:paraId="146D7BE4" w14:textId="77777777" w:rsidR="00000000" w:rsidRDefault="00E614A4">
            <w:pPr>
              <w:rPr>
                <w:rFonts w:eastAsia="Times New Roman"/>
                <w:sz w:val="20"/>
                <w:szCs w:val="20"/>
              </w:rPr>
            </w:pPr>
          </w:p>
        </w:tc>
        <w:tc>
          <w:tcPr>
            <w:tcW w:w="5" w:type="pct"/>
            <w:vAlign w:val="center"/>
            <w:hideMark/>
          </w:tcPr>
          <w:p w14:paraId="4736A7FA" w14:textId="77777777" w:rsidR="00000000" w:rsidRDefault="00E614A4">
            <w:pPr>
              <w:rPr>
                <w:rFonts w:eastAsia="Times New Roman"/>
                <w:sz w:val="20"/>
                <w:szCs w:val="20"/>
              </w:rPr>
            </w:pPr>
          </w:p>
        </w:tc>
        <w:tc>
          <w:tcPr>
            <w:tcW w:w="50" w:type="pct"/>
            <w:vAlign w:val="center"/>
            <w:hideMark/>
          </w:tcPr>
          <w:p w14:paraId="16D70CF8" w14:textId="77777777" w:rsidR="00000000" w:rsidRDefault="00E614A4">
            <w:pPr>
              <w:rPr>
                <w:rFonts w:eastAsia="Times New Roman"/>
                <w:sz w:val="20"/>
                <w:szCs w:val="20"/>
              </w:rPr>
            </w:pPr>
          </w:p>
        </w:tc>
        <w:tc>
          <w:tcPr>
            <w:tcW w:w="618" w:type="pct"/>
            <w:vAlign w:val="center"/>
            <w:hideMark/>
          </w:tcPr>
          <w:p w14:paraId="53195631" w14:textId="77777777" w:rsidR="00000000" w:rsidRDefault="00E614A4">
            <w:pPr>
              <w:rPr>
                <w:rFonts w:eastAsia="Times New Roman"/>
                <w:sz w:val="20"/>
                <w:szCs w:val="20"/>
              </w:rPr>
            </w:pPr>
          </w:p>
        </w:tc>
        <w:tc>
          <w:tcPr>
            <w:tcW w:w="5" w:type="pct"/>
            <w:vAlign w:val="center"/>
            <w:hideMark/>
          </w:tcPr>
          <w:p w14:paraId="0E0C7650" w14:textId="77777777" w:rsidR="00000000" w:rsidRDefault="00E614A4">
            <w:pPr>
              <w:rPr>
                <w:rFonts w:eastAsia="Times New Roman"/>
                <w:sz w:val="20"/>
                <w:szCs w:val="20"/>
              </w:rPr>
            </w:pPr>
          </w:p>
        </w:tc>
      </w:tr>
      <w:tr w:rsidR="00000000" w14:paraId="0DD14F6F" w14:textId="77777777">
        <w:trPr>
          <w:divId w:val="1920018362"/>
        </w:trPr>
        <w:tc>
          <w:tcPr>
            <w:tcW w:w="0" w:type="auto"/>
            <w:gridSpan w:val="3"/>
            <w:tcMar>
              <w:top w:w="30" w:type="dxa"/>
              <w:left w:w="20" w:type="dxa"/>
              <w:bottom w:w="30" w:type="dxa"/>
              <w:right w:w="20" w:type="dxa"/>
            </w:tcMar>
            <w:vAlign w:val="bottom"/>
            <w:hideMark/>
          </w:tcPr>
          <w:p w14:paraId="61DB18E8" w14:textId="77777777" w:rsidR="00000000" w:rsidRDefault="00E614A4">
            <w:pPr>
              <w:rPr>
                <w:rFonts w:eastAsia="Times New Roman"/>
              </w:rPr>
            </w:pPr>
            <w:r>
              <w:rPr>
                <w:rFonts w:eastAsia="Times New Roman"/>
                <w:b/>
                <w:bCs/>
                <w:color w:val="000000"/>
                <w:sz w:val="16"/>
                <w:szCs w:val="16"/>
              </w:rPr>
              <w:t>Name</w:t>
            </w:r>
          </w:p>
        </w:tc>
        <w:tc>
          <w:tcPr>
            <w:tcW w:w="0" w:type="auto"/>
            <w:gridSpan w:val="3"/>
            <w:tcMar>
              <w:top w:w="30" w:type="dxa"/>
              <w:left w:w="20" w:type="dxa"/>
              <w:bottom w:w="30" w:type="dxa"/>
              <w:right w:w="20" w:type="dxa"/>
            </w:tcMar>
            <w:vAlign w:val="bottom"/>
            <w:hideMark/>
          </w:tcPr>
          <w:p w14:paraId="2D576BDA" w14:textId="77777777" w:rsidR="00000000" w:rsidRDefault="00E614A4">
            <w:pPr>
              <w:jc w:val="center"/>
              <w:rPr>
                <w:rFonts w:eastAsia="Times New Roman"/>
              </w:rPr>
            </w:pPr>
            <w:r>
              <w:rPr>
                <w:rFonts w:eastAsia="Times New Roman"/>
                <w:b/>
                <w:bCs/>
                <w:color w:val="000000"/>
                <w:sz w:val="16"/>
                <w:szCs w:val="16"/>
              </w:rPr>
              <w:t>Award</w:t>
            </w:r>
          </w:p>
        </w:tc>
      </w:tr>
      <w:tr w:rsidR="00000000" w14:paraId="13EFB2A7" w14:textId="77777777">
        <w:trPr>
          <w:divId w:val="1920018362"/>
        </w:trPr>
        <w:tc>
          <w:tcPr>
            <w:tcW w:w="0" w:type="auto"/>
            <w:gridSpan w:val="3"/>
            <w:shd w:val="clear" w:color="auto" w:fill="CCEEFF"/>
            <w:tcMar>
              <w:top w:w="30" w:type="dxa"/>
              <w:left w:w="20" w:type="dxa"/>
              <w:bottom w:w="30" w:type="dxa"/>
              <w:right w:w="20" w:type="dxa"/>
            </w:tcMar>
            <w:hideMark/>
          </w:tcPr>
          <w:p w14:paraId="31E10282" w14:textId="77777777" w:rsidR="00000000" w:rsidRDefault="00E614A4">
            <w:pPr>
              <w:divId w:val="1694918527"/>
              <w:rPr>
                <w:rFonts w:eastAsia="Times New Roman"/>
              </w:rPr>
            </w:pPr>
            <w:r>
              <w:rPr>
                <w:rFonts w:eastAsia="Times New Roman"/>
                <w:color w:val="000000"/>
                <w:sz w:val="18"/>
                <w:szCs w:val="18"/>
              </w:rPr>
              <w:t>William Livek</w:t>
            </w:r>
          </w:p>
          <w:p w14:paraId="2029FD03" w14:textId="77777777" w:rsidR="00000000" w:rsidRDefault="00E614A4">
            <w:pPr>
              <w:divId w:val="390815652"/>
              <w:rPr>
                <w:rFonts w:eastAsia="Times New Roman"/>
              </w:rPr>
            </w:pPr>
            <w:r>
              <w:rPr>
                <w:rFonts w:eastAsia="Times New Roman"/>
                <w:color w:val="000000"/>
                <w:sz w:val="18"/>
                <w:szCs w:val="18"/>
              </w:rPr>
              <w:t>          </w:t>
            </w:r>
            <w:r>
              <w:rPr>
                <w:rFonts w:eastAsia="Times New Roman"/>
                <w:i/>
                <w:iCs/>
                <w:color w:val="000000"/>
                <w:sz w:val="18"/>
                <w:szCs w:val="18"/>
              </w:rPr>
              <w:t>Chief Executive Officer and Executive Vice Chairman</w:t>
            </w:r>
          </w:p>
        </w:tc>
        <w:tc>
          <w:tcPr>
            <w:tcW w:w="0" w:type="auto"/>
            <w:shd w:val="clear" w:color="auto" w:fill="CCEEFF"/>
            <w:tcMar>
              <w:top w:w="30" w:type="dxa"/>
              <w:left w:w="20" w:type="dxa"/>
              <w:bottom w:w="30" w:type="dxa"/>
              <w:right w:w="0" w:type="dxa"/>
            </w:tcMar>
            <w:hideMark/>
          </w:tcPr>
          <w:p w14:paraId="05DC1005"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hideMark/>
          </w:tcPr>
          <w:p w14:paraId="665F3E92" w14:textId="77777777" w:rsidR="00000000" w:rsidRDefault="00E614A4">
            <w:pPr>
              <w:jc w:val="right"/>
              <w:rPr>
                <w:rFonts w:eastAsia="Times New Roman"/>
              </w:rPr>
            </w:pPr>
            <w:r>
              <w:rPr>
                <w:rFonts w:eastAsia="Times New Roman"/>
                <w:color w:val="000000"/>
                <w:sz w:val="18"/>
                <w:szCs w:val="18"/>
              </w:rPr>
              <w:t>650,000 </w:t>
            </w:r>
          </w:p>
        </w:tc>
        <w:tc>
          <w:tcPr>
            <w:tcW w:w="0" w:type="auto"/>
            <w:shd w:val="clear" w:color="auto" w:fill="CCEEFF"/>
            <w:tcMar>
              <w:top w:w="30" w:type="dxa"/>
              <w:left w:w="0" w:type="dxa"/>
              <w:bottom w:w="30" w:type="dxa"/>
              <w:right w:w="20" w:type="dxa"/>
            </w:tcMar>
            <w:hideMark/>
          </w:tcPr>
          <w:p w14:paraId="6EF04E10" w14:textId="77777777" w:rsidR="00000000" w:rsidRDefault="00E614A4">
            <w:pPr>
              <w:jc w:val="right"/>
              <w:rPr>
                <w:rFonts w:eastAsia="Times New Roman"/>
              </w:rPr>
            </w:pPr>
          </w:p>
        </w:tc>
      </w:tr>
      <w:tr w:rsidR="00000000" w14:paraId="31A0414F" w14:textId="77777777">
        <w:trPr>
          <w:divId w:val="1920018362"/>
        </w:trPr>
        <w:tc>
          <w:tcPr>
            <w:tcW w:w="0" w:type="auto"/>
            <w:gridSpan w:val="3"/>
            <w:shd w:val="clear" w:color="auto" w:fill="FFFFFF"/>
            <w:tcMar>
              <w:top w:w="30" w:type="dxa"/>
              <w:left w:w="20" w:type="dxa"/>
              <w:bottom w:w="30" w:type="dxa"/>
              <w:right w:w="20" w:type="dxa"/>
            </w:tcMar>
            <w:hideMark/>
          </w:tcPr>
          <w:p w14:paraId="6DA56770" w14:textId="77777777" w:rsidR="00000000" w:rsidRDefault="00E614A4">
            <w:pPr>
              <w:divId w:val="879367646"/>
              <w:rPr>
                <w:rFonts w:eastAsia="Times New Roman"/>
              </w:rPr>
            </w:pPr>
            <w:r>
              <w:rPr>
                <w:rFonts w:eastAsia="Times New Roman"/>
                <w:color w:val="000000"/>
                <w:sz w:val="18"/>
                <w:szCs w:val="18"/>
              </w:rPr>
              <w:t>Gregory Fink</w:t>
            </w:r>
          </w:p>
          <w:p w14:paraId="7D7E2B6B" w14:textId="77777777" w:rsidR="00000000" w:rsidRDefault="00E614A4">
            <w:pPr>
              <w:divId w:val="92019889"/>
              <w:rPr>
                <w:rFonts w:eastAsia="Times New Roman"/>
              </w:rPr>
            </w:pPr>
            <w:r>
              <w:rPr>
                <w:rFonts w:eastAsia="Times New Roman"/>
                <w:color w:val="000000"/>
                <w:sz w:val="18"/>
                <w:szCs w:val="18"/>
              </w:rPr>
              <w:t>          </w:t>
            </w:r>
            <w:r>
              <w:rPr>
                <w:rFonts w:eastAsia="Times New Roman"/>
                <w:i/>
                <w:iCs/>
                <w:color w:val="000000"/>
                <w:sz w:val="18"/>
                <w:szCs w:val="18"/>
              </w:rPr>
              <w:t>Chief Financial Officer and Treasurer</w:t>
            </w:r>
          </w:p>
        </w:tc>
        <w:tc>
          <w:tcPr>
            <w:tcW w:w="0" w:type="auto"/>
            <w:shd w:val="clear" w:color="auto" w:fill="FFFFFF"/>
            <w:tcMar>
              <w:top w:w="30" w:type="dxa"/>
              <w:left w:w="20" w:type="dxa"/>
              <w:bottom w:w="30" w:type="dxa"/>
              <w:right w:w="0" w:type="dxa"/>
            </w:tcMar>
            <w:hideMark/>
          </w:tcPr>
          <w:p w14:paraId="6C54B243"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14:paraId="0847A111" w14:textId="77777777" w:rsidR="00000000" w:rsidRDefault="00E614A4">
            <w:pPr>
              <w:jc w:val="right"/>
              <w:rPr>
                <w:rFonts w:eastAsia="Times New Roman"/>
              </w:rPr>
            </w:pPr>
            <w:r>
              <w:rPr>
                <w:rFonts w:eastAsia="Times New Roman"/>
                <w:color w:val="000000"/>
                <w:sz w:val="18"/>
                <w:szCs w:val="18"/>
              </w:rPr>
              <w:t>292,500 </w:t>
            </w:r>
          </w:p>
        </w:tc>
        <w:tc>
          <w:tcPr>
            <w:tcW w:w="0" w:type="auto"/>
            <w:shd w:val="clear" w:color="auto" w:fill="FFFFFF"/>
            <w:tcMar>
              <w:top w:w="30" w:type="dxa"/>
              <w:left w:w="0" w:type="dxa"/>
              <w:bottom w:w="30" w:type="dxa"/>
              <w:right w:w="20" w:type="dxa"/>
            </w:tcMar>
            <w:hideMark/>
          </w:tcPr>
          <w:p w14:paraId="3EFAABDE" w14:textId="77777777" w:rsidR="00000000" w:rsidRDefault="00E614A4">
            <w:pPr>
              <w:jc w:val="right"/>
              <w:rPr>
                <w:rFonts w:eastAsia="Times New Roman"/>
              </w:rPr>
            </w:pPr>
          </w:p>
        </w:tc>
      </w:tr>
      <w:tr w:rsidR="00000000" w14:paraId="4981E154" w14:textId="77777777">
        <w:trPr>
          <w:divId w:val="1920018362"/>
        </w:trPr>
        <w:tc>
          <w:tcPr>
            <w:tcW w:w="0" w:type="auto"/>
            <w:gridSpan w:val="3"/>
            <w:shd w:val="clear" w:color="auto" w:fill="CCEEFF"/>
            <w:tcMar>
              <w:top w:w="30" w:type="dxa"/>
              <w:left w:w="20" w:type="dxa"/>
              <w:bottom w:w="30" w:type="dxa"/>
              <w:right w:w="20" w:type="dxa"/>
            </w:tcMar>
            <w:hideMark/>
          </w:tcPr>
          <w:p w14:paraId="6BF64F7C" w14:textId="77777777" w:rsidR="00000000" w:rsidRDefault="00E614A4">
            <w:pPr>
              <w:divId w:val="832531930"/>
              <w:rPr>
                <w:rFonts w:eastAsia="Times New Roman"/>
              </w:rPr>
            </w:pPr>
            <w:r>
              <w:rPr>
                <w:rFonts w:eastAsia="Times New Roman"/>
                <w:color w:val="000000"/>
                <w:sz w:val="18"/>
                <w:szCs w:val="18"/>
              </w:rPr>
              <w:t>Christopher Wilson</w:t>
            </w:r>
          </w:p>
          <w:p w14:paraId="63543571" w14:textId="77777777" w:rsidR="00000000" w:rsidRDefault="00E614A4">
            <w:pPr>
              <w:divId w:val="1728138882"/>
              <w:rPr>
                <w:rFonts w:eastAsia="Times New Roman"/>
              </w:rPr>
            </w:pPr>
            <w:r>
              <w:rPr>
                <w:rFonts w:eastAsia="Times New Roman"/>
                <w:color w:val="000000"/>
                <w:sz w:val="18"/>
                <w:szCs w:val="18"/>
              </w:rPr>
              <w:t>          </w:t>
            </w:r>
            <w:r>
              <w:rPr>
                <w:rFonts w:eastAsia="Times New Roman"/>
                <w:i/>
                <w:iCs/>
                <w:color w:val="000000"/>
                <w:sz w:val="18"/>
                <w:szCs w:val="18"/>
              </w:rPr>
              <w:t>Chief Commercial Officer</w:t>
            </w:r>
          </w:p>
        </w:tc>
        <w:tc>
          <w:tcPr>
            <w:tcW w:w="0" w:type="auto"/>
            <w:shd w:val="clear" w:color="auto" w:fill="CCEEFF"/>
            <w:tcMar>
              <w:top w:w="30" w:type="dxa"/>
              <w:left w:w="20" w:type="dxa"/>
              <w:bottom w:w="30" w:type="dxa"/>
              <w:right w:w="0" w:type="dxa"/>
            </w:tcMar>
            <w:hideMark/>
          </w:tcPr>
          <w:p w14:paraId="30931162" w14:textId="77777777" w:rsidR="00000000" w:rsidRDefault="00E614A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hideMark/>
          </w:tcPr>
          <w:p w14:paraId="150EB492" w14:textId="77777777" w:rsidR="00000000" w:rsidRDefault="00E614A4">
            <w:pPr>
              <w:jc w:val="right"/>
              <w:rPr>
                <w:rFonts w:eastAsia="Times New Roman"/>
              </w:rPr>
            </w:pPr>
            <w:r>
              <w:rPr>
                <w:rFonts w:eastAsia="Times New Roman"/>
                <w:color w:val="000000"/>
                <w:sz w:val="18"/>
                <w:szCs w:val="18"/>
              </w:rPr>
              <w:t>450,000 </w:t>
            </w:r>
          </w:p>
        </w:tc>
        <w:tc>
          <w:tcPr>
            <w:tcW w:w="0" w:type="auto"/>
            <w:shd w:val="clear" w:color="auto" w:fill="CCEEFF"/>
            <w:tcMar>
              <w:top w:w="30" w:type="dxa"/>
              <w:left w:w="0" w:type="dxa"/>
              <w:bottom w:w="30" w:type="dxa"/>
              <w:right w:w="20" w:type="dxa"/>
            </w:tcMar>
            <w:hideMark/>
          </w:tcPr>
          <w:p w14:paraId="703201F4" w14:textId="77777777" w:rsidR="00000000" w:rsidRDefault="00E614A4">
            <w:pPr>
              <w:jc w:val="right"/>
              <w:rPr>
                <w:rFonts w:eastAsia="Times New Roman"/>
              </w:rPr>
            </w:pPr>
          </w:p>
        </w:tc>
      </w:tr>
      <w:tr w:rsidR="00000000" w14:paraId="5171689F" w14:textId="77777777">
        <w:trPr>
          <w:divId w:val="1920018362"/>
        </w:trPr>
        <w:tc>
          <w:tcPr>
            <w:tcW w:w="0" w:type="auto"/>
            <w:gridSpan w:val="3"/>
            <w:shd w:val="clear" w:color="auto" w:fill="FFFFFF"/>
            <w:tcMar>
              <w:top w:w="30" w:type="dxa"/>
              <w:left w:w="20" w:type="dxa"/>
              <w:bottom w:w="30" w:type="dxa"/>
              <w:right w:w="20" w:type="dxa"/>
            </w:tcMar>
            <w:hideMark/>
          </w:tcPr>
          <w:p w14:paraId="16AE3EBE" w14:textId="77777777" w:rsidR="00000000" w:rsidRDefault="00E614A4">
            <w:pPr>
              <w:divId w:val="1818183724"/>
              <w:rPr>
                <w:rFonts w:eastAsia="Times New Roman"/>
              </w:rPr>
            </w:pPr>
            <w:r>
              <w:rPr>
                <w:rFonts w:eastAsia="Times New Roman"/>
                <w:color w:val="000000"/>
                <w:sz w:val="18"/>
                <w:szCs w:val="18"/>
              </w:rPr>
              <w:t>Carol DiBattiste</w:t>
            </w:r>
          </w:p>
          <w:p w14:paraId="35A9AFBA" w14:textId="77777777" w:rsidR="00000000" w:rsidRDefault="00E614A4">
            <w:pPr>
              <w:divId w:val="1332298008"/>
              <w:rPr>
                <w:rFonts w:eastAsia="Times New Roman"/>
              </w:rPr>
            </w:pPr>
            <w:r>
              <w:rPr>
                <w:rFonts w:eastAsia="Times New Roman"/>
                <w:color w:val="000000"/>
                <w:sz w:val="18"/>
                <w:szCs w:val="18"/>
              </w:rPr>
              <w:t>          </w:t>
            </w:r>
            <w:r>
              <w:rPr>
                <w:rFonts w:eastAsia="Times New Roman"/>
                <w:i/>
                <w:iCs/>
                <w:color w:val="000000"/>
                <w:sz w:val="18"/>
                <w:szCs w:val="18"/>
              </w:rPr>
              <w:t>Former Chief Legal and Compliance Officer</w:t>
            </w:r>
          </w:p>
        </w:tc>
        <w:tc>
          <w:tcPr>
            <w:tcW w:w="0" w:type="auto"/>
            <w:shd w:val="clear" w:color="auto" w:fill="FFFFFF"/>
            <w:tcMar>
              <w:top w:w="30" w:type="dxa"/>
              <w:left w:w="20" w:type="dxa"/>
              <w:bottom w:w="30" w:type="dxa"/>
              <w:right w:w="0" w:type="dxa"/>
            </w:tcMar>
            <w:hideMark/>
          </w:tcPr>
          <w:p w14:paraId="49C74EF5" w14:textId="77777777" w:rsidR="00000000" w:rsidRDefault="00E614A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14:paraId="7E2CE56A" w14:textId="77777777" w:rsidR="00000000" w:rsidRDefault="00E614A4">
            <w:pPr>
              <w:jc w:val="right"/>
              <w:rPr>
                <w:rFonts w:eastAsia="Times New Roman"/>
              </w:rPr>
            </w:pPr>
            <w:r>
              <w:rPr>
                <w:rFonts w:eastAsia="Times New Roman"/>
                <w:color w:val="000000"/>
                <w:sz w:val="18"/>
                <w:szCs w:val="18"/>
              </w:rPr>
              <w:t>127,913 </w:t>
            </w:r>
          </w:p>
        </w:tc>
        <w:tc>
          <w:tcPr>
            <w:tcW w:w="0" w:type="auto"/>
            <w:shd w:val="clear" w:color="auto" w:fill="FFFFFF"/>
            <w:tcMar>
              <w:top w:w="30" w:type="dxa"/>
              <w:left w:w="0" w:type="dxa"/>
              <w:bottom w:w="30" w:type="dxa"/>
              <w:right w:w="20" w:type="dxa"/>
            </w:tcMar>
            <w:hideMark/>
          </w:tcPr>
          <w:p w14:paraId="1B6A209A" w14:textId="77777777" w:rsidR="00000000" w:rsidRDefault="00E614A4">
            <w:pPr>
              <w:jc w:val="right"/>
              <w:rPr>
                <w:rFonts w:eastAsia="Times New Roman"/>
              </w:rPr>
            </w:pPr>
          </w:p>
        </w:tc>
      </w:tr>
    </w:tbl>
    <w:p w14:paraId="06C769D7" w14:textId="77777777" w:rsidR="00000000" w:rsidRDefault="00E614A4">
      <w:pPr>
        <w:jc w:val="center"/>
        <w:divId w:val="629551995"/>
        <w:rPr>
          <w:rFonts w:eastAsia="Times New Roman"/>
        </w:rPr>
      </w:pPr>
      <w:r>
        <w:rPr>
          <w:rFonts w:eastAsia="Times New Roman"/>
          <w:color w:val="000000"/>
          <w:sz w:val="20"/>
          <w:szCs w:val="20"/>
        </w:rPr>
        <w:t>104</w:t>
      </w:r>
    </w:p>
    <w:p w14:paraId="2B341AEC" w14:textId="77777777" w:rsidR="00000000" w:rsidRDefault="00E614A4">
      <w:pPr>
        <w:rPr>
          <w:rFonts w:eastAsia="Times New Roman"/>
        </w:rPr>
      </w:pPr>
      <w:r>
        <w:rPr>
          <w:rFonts w:eastAsia="Times New Roman"/>
        </w:rPr>
        <w:pict w14:anchorId="7582037D">
          <v:rect id="_x0000_i1132" style="width:0;height:1.5pt" o:hralign="center" o:hrstd="t" o:hr="t" fillcolor="#a0a0a0" stroked="f"/>
        </w:pict>
      </w:r>
    </w:p>
    <w:p w14:paraId="08F9A3F5" w14:textId="77777777" w:rsidR="00000000" w:rsidRDefault="00E614A4">
      <w:pPr>
        <w:divId w:val="186223800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C13A7C5" w14:textId="77777777" w:rsidR="00000000" w:rsidRDefault="00E614A4">
      <w:pPr>
        <w:divId w:val="1127041342"/>
        <w:rPr>
          <w:rFonts w:eastAsia="Times New Roman"/>
        </w:rPr>
      </w:pPr>
    </w:p>
    <w:p w14:paraId="4918327E" w14:textId="77777777" w:rsidR="00000000" w:rsidRDefault="00E614A4">
      <w:pPr>
        <w:jc w:val="center"/>
        <w:divId w:val="995450614"/>
        <w:rPr>
          <w:rFonts w:eastAsia="Times New Roman"/>
        </w:rPr>
      </w:pPr>
      <w:r>
        <w:rPr>
          <w:rFonts w:eastAsia="Times New Roman"/>
          <w:b/>
          <w:bCs/>
          <w:color w:val="000000"/>
          <w:sz w:val="20"/>
          <w:szCs w:val="20"/>
        </w:rPr>
        <w:t>PART III</w:t>
      </w:r>
    </w:p>
    <w:p w14:paraId="4055E46A" w14:textId="77777777" w:rsidR="00000000" w:rsidRDefault="00E614A4">
      <w:pPr>
        <w:divId w:val="516772444"/>
        <w:rPr>
          <w:rFonts w:eastAsia="Times New Roman"/>
        </w:rPr>
      </w:pPr>
      <w:r>
        <w:rPr>
          <w:rFonts w:eastAsia="Times New Roman"/>
          <w:color w:val="000000"/>
          <w:sz w:val="28"/>
          <w:szCs w:val="28"/>
        </w:rPr>
        <w:t> </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655CA783" w14:textId="77777777">
        <w:trPr>
          <w:divId w:val="969284249"/>
        </w:trPr>
        <w:tc>
          <w:tcPr>
            <w:tcW w:w="50" w:type="pct"/>
            <w:vAlign w:val="center"/>
            <w:hideMark/>
          </w:tcPr>
          <w:p w14:paraId="3A288BC7" w14:textId="77777777" w:rsidR="00000000" w:rsidRDefault="00E614A4">
            <w:pPr>
              <w:rPr>
                <w:rFonts w:eastAsia="Times New Roman"/>
              </w:rPr>
            </w:pPr>
          </w:p>
        </w:tc>
        <w:tc>
          <w:tcPr>
            <w:tcW w:w="494" w:type="pct"/>
            <w:vAlign w:val="center"/>
            <w:hideMark/>
          </w:tcPr>
          <w:p w14:paraId="40871FE5" w14:textId="77777777" w:rsidR="00000000" w:rsidRDefault="00E614A4">
            <w:pPr>
              <w:rPr>
                <w:rFonts w:eastAsia="Times New Roman"/>
                <w:sz w:val="20"/>
                <w:szCs w:val="20"/>
              </w:rPr>
            </w:pPr>
          </w:p>
        </w:tc>
        <w:tc>
          <w:tcPr>
            <w:tcW w:w="5" w:type="pct"/>
            <w:vAlign w:val="center"/>
            <w:hideMark/>
          </w:tcPr>
          <w:p w14:paraId="1ADF5C6D" w14:textId="77777777" w:rsidR="00000000" w:rsidRDefault="00E614A4">
            <w:pPr>
              <w:rPr>
                <w:rFonts w:eastAsia="Times New Roman"/>
                <w:sz w:val="20"/>
                <w:szCs w:val="20"/>
              </w:rPr>
            </w:pPr>
          </w:p>
        </w:tc>
        <w:tc>
          <w:tcPr>
            <w:tcW w:w="50" w:type="pct"/>
            <w:vAlign w:val="center"/>
            <w:hideMark/>
          </w:tcPr>
          <w:p w14:paraId="05E978F9" w14:textId="77777777" w:rsidR="00000000" w:rsidRDefault="00E614A4">
            <w:pPr>
              <w:rPr>
                <w:rFonts w:eastAsia="Times New Roman"/>
                <w:sz w:val="20"/>
                <w:szCs w:val="20"/>
              </w:rPr>
            </w:pPr>
          </w:p>
        </w:tc>
        <w:tc>
          <w:tcPr>
            <w:tcW w:w="4396" w:type="pct"/>
            <w:vAlign w:val="center"/>
            <w:hideMark/>
          </w:tcPr>
          <w:p w14:paraId="68D2A4D9" w14:textId="77777777" w:rsidR="00000000" w:rsidRDefault="00E614A4">
            <w:pPr>
              <w:rPr>
                <w:rFonts w:eastAsia="Times New Roman"/>
                <w:sz w:val="20"/>
                <w:szCs w:val="20"/>
              </w:rPr>
            </w:pPr>
          </w:p>
        </w:tc>
        <w:tc>
          <w:tcPr>
            <w:tcW w:w="5" w:type="pct"/>
            <w:vAlign w:val="center"/>
            <w:hideMark/>
          </w:tcPr>
          <w:p w14:paraId="740B021A" w14:textId="77777777" w:rsidR="00000000" w:rsidRDefault="00E614A4">
            <w:pPr>
              <w:rPr>
                <w:rFonts w:eastAsia="Times New Roman"/>
                <w:sz w:val="20"/>
                <w:szCs w:val="20"/>
              </w:rPr>
            </w:pPr>
          </w:p>
        </w:tc>
      </w:tr>
      <w:tr w:rsidR="00000000" w14:paraId="65D4EF21" w14:textId="77777777">
        <w:trPr>
          <w:divId w:val="969284249"/>
        </w:trPr>
        <w:tc>
          <w:tcPr>
            <w:tcW w:w="0" w:type="auto"/>
            <w:gridSpan w:val="3"/>
            <w:tcMar>
              <w:top w:w="30" w:type="dxa"/>
              <w:left w:w="20" w:type="dxa"/>
              <w:bottom w:w="30" w:type="dxa"/>
              <w:right w:w="20" w:type="dxa"/>
            </w:tcMar>
            <w:vAlign w:val="bottom"/>
            <w:hideMark/>
          </w:tcPr>
          <w:p w14:paraId="2E934766" w14:textId="77777777" w:rsidR="00000000" w:rsidRDefault="00E614A4">
            <w:pPr>
              <w:rPr>
                <w:rFonts w:eastAsia="Times New Roman"/>
              </w:rPr>
            </w:pPr>
            <w:r>
              <w:rPr>
                <w:rFonts w:eastAsia="Times New Roman"/>
                <w:b/>
                <w:bCs/>
                <w:color w:val="000000"/>
                <w:sz w:val="20"/>
                <w:szCs w:val="20"/>
              </w:rPr>
              <w:t>ITEM 10.</w:t>
            </w:r>
          </w:p>
        </w:tc>
        <w:tc>
          <w:tcPr>
            <w:tcW w:w="0" w:type="auto"/>
            <w:gridSpan w:val="3"/>
            <w:tcMar>
              <w:top w:w="30" w:type="dxa"/>
              <w:left w:w="20" w:type="dxa"/>
              <w:bottom w:w="30" w:type="dxa"/>
              <w:right w:w="20" w:type="dxa"/>
            </w:tcMar>
            <w:hideMark/>
          </w:tcPr>
          <w:p w14:paraId="6326E2BA" w14:textId="77777777" w:rsidR="00000000" w:rsidRDefault="00E614A4">
            <w:pPr>
              <w:rPr>
                <w:rFonts w:eastAsia="Times New Roman"/>
              </w:rPr>
            </w:pPr>
            <w:r>
              <w:rPr>
                <w:rFonts w:eastAsia="Times New Roman"/>
                <w:b/>
                <w:bCs/>
                <w:i/>
                <w:iCs/>
                <w:color w:val="000000"/>
                <w:sz w:val="20"/>
                <w:szCs w:val="20"/>
              </w:rPr>
              <w:t>DIRECTORS, EXECUTIVE OFFICERS AND CORPORATE GOVERNANCE</w:t>
            </w:r>
          </w:p>
        </w:tc>
      </w:tr>
    </w:tbl>
    <w:p w14:paraId="34E6C4F8" w14:textId="77777777" w:rsidR="00000000" w:rsidRDefault="00E614A4">
      <w:pPr>
        <w:jc w:val="both"/>
        <w:divId w:val="1833792062"/>
        <w:rPr>
          <w:rFonts w:eastAsia="Times New Roman"/>
        </w:rPr>
      </w:pPr>
      <w:r>
        <w:rPr>
          <w:rFonts w:eastAsia="Times New Roman"/>
          <w:color w:val="000000"/>
          <w:sz w:val="20"/>
          <w:szCs w:val="20"/>
        </w:rPr>
        <w:t xml:space="preserve">Certain information regarding our directors and executive officers required by Item 10 of Part III is set forth in </w:t>
      </w:r>
      <w:hyperlink w:anchor="ided6989bcc374020961c421c465250ee_16" w:history="1">
        <w:r>
          <w:rPr>
            <w:rStyle w:val="a3"/>
            <w:rFonts w:eastAsia="Times New Roman"/>
            <w:sz w:val="20"/>
            <w:szCs w:val="20"/>
          </w:rPr>
          <w:t>Item 1</w:t>
        </w:r>
      </w:hyperlink>
      <w:r>
        <w:rPr>
          <w:rFonts w:eastAsia="Times New Roman"/>
          <w:color w:val="000000"/>
          <w:sz w:val="20"/>
          <w:szCs w:val="20"/>
        </w:rPr>
        <w:t xml:space="preserve"> of Part I "Business - Executive Officers and Directors." Other information </w:t>
      </w:r>
      <w:r>
        <w:rPr>
          <w:rFonts w:eastAsia="Times New Roman"/>
          <w:color w:val="000000"/>
          <w:sz w:val="20"/>
          <w:szCs w:val="20"/>
        </w:rPr>
        <w:t>required by Item 10 of Part III, including information regarding any material changes to the process by which security holders may recommend nominees to the Board of Directors, is incorporated by reference to the information that will be included in our Pr</w:t>
      </w:r>
      <w:r>
        <w:rPr>
          <w:rFonts w:eastAsia="Times New Roman"/>
          <w:color w:val="000000"/>
          <w:sz w:val="20"/>
          <w:szCs w:val="20"/>
        </w:rPr>
        <w:t xml:space="preserve">oxy Statement relating to our 2021 Annual Meeting of Stockholders. Information required by Item 10 of Part III regarding our Audit Committee is incorporated by reference to the information that will be set forth in our Proxy Statement relating to our 2021 </w:t>
      </w:r>
      <w:r>
        <w:rPr>
          <w:rFonts w:eastAsia="Times New Roman"/>
          <w:color w:val="000000"/>
          <w:sz w:val="20"/>
          <w:szCs w:val="20"/>
        </w:rPr>
        <w:t>Annual Meeting of Stockholders. Information relating to our compliance with Section 16(a) of the Exchange Act is incorporated by reference to the information that will be set forth in our Proxy Statement relating to our 2021 Annual Meeting of Stockholders.</w:t>
      </w:r>
    </w:p>
    <w:p w14:paraId="141F1ADD" w14:textId="77777777" w:rsidR="00000000" w:rsidRDefault="00E614A4">
      <w:pPr>
        <w:jc w:val="both"/>
        <w:divId w:val="1470440829"/>
        <w:rPr>
          <w:rFonts w:eastAsia="Times New Roman"/>
        </w:rPr>
      </w:pPr>
      <w:r>
        <w:rPr>
          <w:rFonts w:eastAsia="Times New Roman"/>
          <w:color w:val="000000"/>
          <w:sz w:val="20"/>
          <w:szCs w:val="20"/>
        </w:rPr>
        <w:t>We have adopted a Code of Business Conduct and Ethics that applies to our principal executive officer, principal financial officer, principal accounting officer or controller, and persons performing similar functions. We have posted the Code of Business C</w:t>
      </w:r>
      <w:r>
        <w:rPr>
          <w:rFonts w:eastAsia="Times New Roman"/>
          <w:color w:val="000000"/>
          <w:sz w:val="20"/>
          <w:szCs w:val="20"/>
        </w:rPr>
        <w:t>onduct and Ethics on our investor relations website under the heading "Corporate Governance" at www.comscore.com. To the extent permissible under Nasdaq rules, we intend to disclose any amendments to our Code of Business Conduct and Ethics, as well as waiv</w:t>
      </w:r>
      <w:r>
        <w:rPr>
          <w:rFonts w:eastAsia="Times New Roman"/>
          <w:color w:val="000000"/>
          <w:sz w:val="20"/>
          <w:szCs w:val="20"/>
        </w:rPr>
        <w:t>ers of the provisions thereof, on our investor relations website under the heading "Corporate Governance" at www.comscore.com.</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0BC9B89D" w14:textId="77777777">
        <w:trPr>
          <w:divId w:val="541526474"/>
        </w:trPr>
        <w:tc>
          <w:tcPr>
            <w:tcW w:w="50" w:type="pct"/>
            <w:vAlign w:val="center"/>
            <w:hideMark/>
          </w:tcPr>
          <w:p w14:paraId="08564FAE" w14:textId="77777777" w:rsidR="00000000" w:rsidRDefault="00E614A4">
            <w:pPr>
              <w:jc w:val="both"/>
              <w:rPr>
                <w:rFonts w:eastAsia="Times New Roman"/>
              </w:rPr>
            </w:pPr>
          </w:p>
        </w:tc>
        <w:tc>
          <w:tcPr>
            <w:tcW w:w="494" w:type="pct"/>
            <w:vAlign w:val="center"/>
            <w:hideMark/>
          </w:tcPr>
          <w:p w14:paraId="723B6CF2" w14:textId="77777777" w:rsidR="00000000" w:rsidRDefault="00E614A4">
            <w:pPr>
              <w:rPr>
                <w:rFonts w:eastAsia="Times New Roman"/>
                <w:sz w:val="20"/>
                <w:szCs w:val="20"/>
              </w:rPr>
            </w:pPr>
          </w:p>
        </w:tc>
        <w:tc>
          <w:tcPr>
            <w:tcW w:w="5" w:type="pct"/>
            <w:vAlign w:val="center"/>
            <w:hideMark/>
          </w:tcPr>
          <w:p w14:paraId="6CCF7C98" w14:textId="77777777" w:rsidR="00000000" w:rsidRDefault="00E614A4">
            <w:pPr>
              <w:rPr>
                <w:rFonts w:eastAsia="Times New Roman"/>
                <w:sz w:val="20"/>
                <w:szCs w:val="20"/>
              </w:rPr>
            </w:pPr>
          </w:p>
        </w:tc>
        <w:tc>
          <w:tcPr>
            <w:tcW w:w="50" w:type="pct"/>
            <w:vAlign w:val="center"/>
            <w:hideMark/>
          </w:tcPr>
          <w:p w14:paraId="6EEBB6A5" w14:textId="77777777" w:rsidR="00000000" w:rsidRDefault="00E614A4">
            <w:pPr>
              <w:rPr>
                <w:rFonts w:eastAsia="Times New Roman"/>
                <w:sz w:val="20"/>
                <w:szCs w:val="20"/>
              </w:rPr>
            </w:pPr>
          </w:p>
        </w:tc>
        <w:tc>
          <w:tcPr>
            <w:tcW w:w="4396" w:type="pct"/>
            <w:vAlign w:val="center"/>
            <w:hideMark/>
          </w:tcPr>
          <w:p w14:paraId="63CAD9A4" w14:textId="77777777" w:rsidR="00000000" w:rsidRDefault="00E614A4">
            <w:pPr>
              <w:rPr>
                <w:rFonts w:eastAsia="Times New Roman"/>
                <w:sz w:val="20"/>
                <w:szCs w:val="20"/>
              </w:rPr>
            </w:pPr>
          </w:p>
        </w:tc>
        <w:tc>
          <w:tcPr>
            <w:tcW w:w="5" w:type="pct"/>
            <w:vAlign w:val="center"/>
            <w:hideMark/>
          </w:tcPr>
          <w:p w14:paraId="780C5299" w14:textId="77777777" w:rsidR="00000000" w:rsidRDefault="00E614A4">
            <w:pPr>
              <w:rPr>
                <w:rFonts w:eastAsia="Times New Roman"/>
                <w:sz w:val="20"/>
                <w:szCs w:val="20"/>
              </w:rPr>
            </w:pPr>
          </w:p>
        </w:tc>
      </w:tr>
      <w:tr w:rsidR="00000000" w14:paraId="1032208A" w14:textId="77777777">
        <w:trPr>
          <w:divId w:val="541526474"/>
        </w:trPr>
        <w:tc>
          <w:tcPr>
            <w:tcW w:w="0" w:type="auto"/>
            <w:gridSpan w:val="3"/>
            <w:tcMar>
              <w:top w:w="30" w:type="dxa"/>
              <w:left w:w="20" w:type="dxa"/>
              <w:bottom w:w="30" w:type="dxa"/>
              <w:right w:w="20" w:type="dxa"/>
            </w:tcMar>
            <w:hideMark/>
          </w:tcPr>
          <w:p w14:paraId="54BC0A6B" w14:textId="77777777" w:rsidR="00000000" w:rsidRDefault="00E614A4">
            <w:pPr>
              <w:rPr>
                <w:rFonts w:eastAsia="Times New Roman"/>
              </w:rPr>
            </w:pPr>
            <w:r>
              <w:rPr>
                <w:rFonts w:eastAsia="Times New Roman"/>
                <w:b/>
                <w:bCs/>
                <w:color w:val="000000"/>
                <w:sz w:val="20"/>
                <w:szCs w:val="20"/>
              </w:rPr>
              <w:t>ITEM 11.</w:t>
            </w:r>
          </w:p>
        </w:tc>
        <w:tc>
          <w:tcPr>
            <w:tcW w:w="0" w:type="auto"/>
            <w:gridSpan w:val="3"/>
            <w:tcMar>
              <w:top w:w="30" w:type="dxa"/>
              <w:left w:w="20" w:type="dxa"/>
              <w:bottom w:w="30" w:type="dxa"/>
              <w:right w:w="20" w:type="dxa"/>
            </w:tcMar>
            <w:hideMark/>
          </w:tcPr>
          <w:p w14:paraId="4CE88B3A" w14:textId="77777777" w:rsidR="00000000" w:rsidRDefault="00E614A4">
            <w:pPr>
              <w:rPr>
                <w:rFonts w:eastAsia="Times New Roman"/>
              </w:rPr>
            </w:pPr>
            <w:r>
              <w:rPr>
                <w:rFonts w:eastAsia="Times New Roman"/>
                <w:b/>
                <w:bCs/>
                <w:i/>
                <w:iCs/>
                <w:color w:val="000000"/>
                <w:sz w:val="20"/>
                <w:szCs w:val="20"/>
              </w:rPr>
              <w:t>EXECUTIVE COMPENSATION</w:t>
            </w:r>
          </w:p>
        </w:tc>
      </w:tr>
    </w:tbl>
    <w:p w14:paraId="6E171A42" w14:textId="77777777" w:rsidR="00000000" w:rsidRDefault="00E614A4">
      <w:pPr>
        <w:jc w:val="both"/>
        <w:divId w:val="490948317"/>
        <w:rPr>
          <w:rFonts w:eastAsia="Times New Roman"/>
        </w:rPr>
      </w:pPr>
      <w:r>
        <w:rPr>
          <w:rFonts w:eastAsia="Times New Roman"/>
          <w:color w:val="000000"/>
          <w:sz w:val="20"/>
          <w:szCs w:val="20"/>
        </w:rPr>
        <w:t>Information required by Item 11 of Part III is incorporated by reference to the information that will be included in our Proxy Statement relating to our 2021 Annual Meeting of Stockholders.</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04DDF1E4" w14:textId="77777777">
        <w:trPr>
          <w:divId w:val="1779254480"/>
        </w:trPr>
        <w:tc>
          <w:tcPr>
            <w:tcW w:w="50" w:type="pct"/>
            <w:vAlign w:val="center"/>
            <w:hideMark/>
          </w:tcPr>
          <w:p w14:paraId="075744CD" w14:textId="77777777" w:rsidR="00000000" w:rsidRDefault="00E614A4">
            <w:pPr>
              <w:jc w:val="both"/>
              <w:rPr>
                <w:rFonts w:eastAsia="Times New Roman"/>
              </w:rPr>
            </w:pPr>
          </w:p>
        </w:tc>
        <w:tc>
          <w:tcPr>
            <w:tcW w:w="494" w:type="pct"/>
            <w:vAlign w:val="center"/>
            <w:hideMark/>
          </w:tcPr>
          <w:p w14:paraId="39F71276" w14:textId="77777777" w:rsidR="00000000" w:rsidRDefault="00E614A4">
            <w:pPr>
              <w:rPr>
                <w:rFonts w:eastAsia="Times New Roman"/>
                <w:sz w:val="20"/>
                <w:szCs w:val="20"/>
              </w:rPr>
            </w:pPr>
          </w:p>
        </w:tc>
        <w:tc>
          <w:tcPr>
            <w:tcW w:w="5" w:type="pct"/>
            <w:vAlign w:val="center"/>
            <w:hideMark/>
          </w:tcPr>
          <w:p w14:paraId="568C163A" w14:textId="77777777" w:rsidR="00000000" w:rsidRDefault="00E614A4">
            <w:pPr>
              <w:rPr>
                <w:rFonts w:eastAsia="Times New Roman"/>
                <w:sz w:val="20"/>
                <w:szCs w:val="20"/>
              </w:rPr>
            </w:pPr>
          </w:p>
        </w:tc>
        <w:tc>
          <w:tcPr>
            <w:tcW w:w="50" w:type="pct"/>
            <w:vAlign w:val="center"/>
            <w:hideMark/>
          </w:tcPr>
          <w:p w14:paraId="573D9559" w14:textId="77777777" w:rsidR="00000000" w:rsidRDefault="00E614A4">
            <w:pPr>
              <w:rPr>
                <w:rFonts w:eastAsia="Times New Roman"/>
                <w:sz w:val="20"/>
                <w:szCs w:val="20"/>
              </w:rPr>
            </w:pPr>
          </w:p>
        </w:tc>
        <w:tc>
          <w:tcPr>
            <w:tcW w:w="4396" w:type="pct"/>
            <w:vAlign w:val="center"/>
            <w:hideMark/>
          </w:tcPr>
          <w:p w14:paraId="70974ED8" w14:textId="77777777" w:rsidR="00000000" w:rsidRDefault="00E614A4">
            <w:pPr>
              <w:rPr>
                <w:rFonts w:eastAsia="Times New Roman"/>
                <w:sz w:val="20"/>
                <w:szCs w:val="20"/>
              </w:rPr>
            </w:pPr>
          </w:p>
        </w:tc>
        <w:tc>
          <w:tcPr>
            <w:tcW w:w="5" w:type="pct"/>
            <w:vAlign w:val="center"/>
            <w:hideMark/>
          </w:tcPr>
          <w:p w14:paraId="77B8BAAA" w14:textId="77777777" w:rsidR="00000000" w:rsidRDefault="00E614A4">
            <w:pPr>
              <w:rPr>
                <w:rFonts w:eastAsia="Times New Roman"/>
                <w:sz w:val="20"/>
                <w:szCs w:val="20"/>
              </w:rPr>
            </w:pPr>
          </w:p>
        </w:tc>
      </w:tr>
      <w:tr w:rsidR="00000000" w14:paraId="3E270ABC" w14:textId="77777777">
        <w:trPr>
          <w:divId w:val="1779254480"/>
        </w:trPr>
        <w:tc>
          <w:tcPr>
            <w:tcW w:w="0" w:type="auto"/>
            <w:gridSpan w:val="3"/>
            <w:tcMar>
              <w:top w:w="30" w:type="dxa"/>
              <w:left w:w="20" w:type="dxa"/>
              <w:bottom w:w="30" w:type="dxa"/>
              <w:right w:w="20" w:type="dxa"/>
            </w:tcMar>
            <w:hideMark/>
          </w:tcPr>
          <w:p w14:paraId="51955B1E" w14:textId="77777777" w:rsidR="00000000" w:rsidRDefault="00E614A4">
            <w:pPr>
              <w:rPr>
                <w:rFonts w:eastAsia="Times New Roman"/>
              </w:rPr>
            </w:pPr>
            <w:r>
              <w:rPr>
                <w:rFonts w:eastAsia="Times New Roman"/>
                <w:b/>
                <w:bCs/>
                <w:color w:val="000000"/>
                <w:sz w:val="20"/>
                <w:szCs w:val="20"/>
              </w:rPr>
              <w:t>ITEM 12.</w:t>
            </w:r>
          </w:p>
        </w:tc>
        <w:tc>
          <w:tcPr>
            <w:tcW w:w="0" w:type="auto"/>
            <w:gridSpan w:val="3"/>
            <w:tcMar>
              <w:top w:w="30" w:type="dxa"/>
              <w:left w:w="20" w:type="dxa"/>
              <w:bottom w:w="30" w:type="dxa"/>
              <w:right w:w="20" w:type="dxa"/>
            </w:tcMar>
            <w:hideMark/>
          </w:tcPr>
          <w:p w14:paraId="69D57CF1" w14:textId="77777777" w:rsidR="00000000" w:rsidRDefault="00E614A4">
            <w:pPr>
              <w:rPr>
                <w:rFonts w:eastAsia="Times New Roman"/>
              </w:rPr>
            </w:pPr>
            <w:r>
              <w:rPr>
                <w:rFonts w:eastAsia="Times New Roman"/>
                <w:b/>
                <w:bCs/>
                <w:i/>
                <w:iCs/>
                <w:color w:val="000000"/>
                <w:sz w:val="20"/>
                <w:szCs w:val="20"/>
              </w:rPr>
              <w:t xml:space="preserve">SECURITY OWNERSHIP OF CERTAIN BENEFICIAL OWNERS </w:t>
            </w:r>
            <w:r>
              <w:rPr>
                <w:rFonts w:eastAsia="Times New Roman"/>
                <w:b/>
                <w:bCs/>
                <w:i/>
                <w:iCs/>
                <w:color w:val="000000"/>
                <w:sz w:val="20"/>
                <w:szCs w:val="20"/>
              </w:rPr>
              <w:t>AND MANAGEMENT AND RELATED STOCKHOLDER MATTERS</w:t>
            </w:r>
          </w:p>
        </w:tc>
      </w:tr>
    </w:tbl>
    <w:p w14:paraId="7AD39853" w14:textId="77777777" w:rsidR="00000000" w:rsidRDefault="00E614A4">
      <w:pPr>
        <w:jc w:val="both"/>
        <w:divId w:val="2004698077"/>
        <w:rPr>
          <w:rFonts w:eastAsia="Times New Roman"/>
        </w:rPr>
      </w:pPr>
      <w:r>
        <w:rPr>
          <w:rFonts w:eastAsia="Times New Roman"/>
          <w:color w:val="000000"/>
          <w:sz w:val="20"/>
          <w:szCs w:val="20"/>
        </w:rPr>
        <w:t>Information required by Item 12 of Part III is incorporated by reference to the information that will be included in our Proxy Statement relating to our 2021 Annual Meeting of Stockholders.</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552A8168" w14:textId="77777777">
        <w:trPr>
          <w:divId w:val="1014726236"/>
        </w:trPr>
        <w:tc>
          <w:tcPr>
            <w:tcW w:w="50" w:type="pct"/>
            <w:vAlign w:val="center"/>
            <w:hideMark/>
          </w:tcPr>
          <w:p w14:paraId="228793AD" w14:textId="77777777" w:rsidR="00000000" w:rsidRDefault="00E614A4">
            <w:pPr>
              <w:jc w:val="both"/>
              <w:rPr>
                <w:rFonts w:eastAsia="Times New Roman"/>
              </w:rPr>
            </w:pPr>
          </w:p>
        </w:tc>
        <w:tc>
          <w:tcPr>
            <w:tcW w:w="494" w:type="pct"/>
            <w:vAlign w:val="center"/>
            <w:hideMark/>
          </w:tcPr>
          <w:p w14:paraId="46392080" w14:textId="77777777" w:rsidR="00000000" w:rsidRDefault="00E614A4">
            <w:pPr>
              <w:rPr>
                <w:rFonts w:eastAsia="Times New Roman"/>
                <w:sz w:val="20"/>
                <w:szCs w:val="20"/>
              </w:rPr>
            </w:pPr>
          </w:p>
        </w:tc>
        <w:tc>
          <w:tcPr>
            <w:tcW w:w="5" w:type="pct"/>
            <w:vAlign w:val="center"/>
            <w:hideMark/>
          </w:tcPr>
          <w:p w14:paraId="18A0A160" w14:textId="77777777" w:rsidR="00000000" w:rsidRDefault="00E614A4">
            <w:pPr>
              <w:rPr>
                <w:rFonts w:eastAsia="Times New Roman"/>
                <w:sz w:val="20"/>
                <w:szCs w:val="20"/>
              </w:rPr>
            </w:pPr>
          </w:p>
        </w:tc>
        <w:tc>
          <w:tcPr>
            <w:tcW w:w="50" w:type="pct"/>
            <w:vAlign w:val="center"/>
            <w:hideMark/>
          </w:tcPr>
          <w:p w14:paraId="655B8F4D" w14:textId="77777777" w:rsidR="00000000" w:rsidRDefault="00E614A4">
            <w:pPr>
              <w:rPr>
                <w:rFonts w:eastAsia="Times New Roman"/>
                <w:sz w:val="20"/>
                <w:szCs w:val="20"/>
              </w:rPr>
            </w:pPr>
          </w:p>
        </w:tc>
        <w:tc>
          <w:tcPr>
            <w:tcW w:w="4396" w:type="pct"/>
            <w:vAlign w:val="center"/>
            <w:hideMark/>
          </w:tcPr>
          <w:p w14:paraId="04957C5B" w14:textId="77777777" w:rsidR="00000000" w:rsidRDefault="00E614A4">
            <w:pPr>
              <w:rPr>
                <w:rFonts w:eastAsia="Times New Roman"/>
                <w:sz w:val="20"/>
                <w:szCs w:val="20"/>
              </w:rPr>
            </w:pPr>
          </w:p>
        </w:tc>
        <w:tc>
          <w:tcPr>
            <w:tcW w:w="5" w:type="pct"/>
            <w:vAlign w:val="center"/>
            <w:hideMark/>
          </w:tcPr>
          <w:p w14:paraId="75D05A70" w14:textId="77777777" w:rsidR="00000000" w:rsidRDefault="00E614A4">
            <w:pPr>
              <w:rPr>
                <w:rFonts w:eastAsia="Times New Roman"/>
                <w:sz w:val="20"/>
                <w:szCs w:val="20"/>
              </w:rPr>
            </w:pPr>
          </w:p>
        </w:tc>
      </w:tr>
      <w:tr w:rsidR="00000000" w14:paraId="256BD77A" w14:textId="77777777">
        <w:trPr>
          <w:divId w:val="1014726236"/>
        </w:trPr>
        <w:tc>
          <w:tcPr>
            <w:tcW w:w="0" w:type="auto"/>
            <w:gridSpan w:val="3"/>
            <w:tcMar>
              <w:top w:w="30" w:type="dxa"/>
              <w:left w:w="20" w:type="dxa"/>
              <w:bottom w:w="30" w:type="dxa"/>
              <w:right w:w="20" w:type="dxa"/>
            </w:tcMar>
            <w:hideMark/>
          </w:tcPr>
          <w:p w14:paraId="5AB36366" w14:textId="77777777" w:rsidR="00000000" w:rsidRDefault="00E614A4">
            <w:pPr>
              <w:rPr>
                <w:rFonts w:eastAsia="Times New Roman"/>
              </w:rPr>
            </w:pPr>
            <w:r>
              <w:rPr>
                <w:rFonts w:eastAsia="Times New Roman"/>
                <w:b/>
                <w:bCs/>
                <w:color w:val="000000"/>
                <w:sz w:val="20"/>
                <w:szCs w:val="20"/>
              </w:rPr>
              <w:t>ITEM 13.</w:t>
            </w:r>
          </w:p>
        </w:tc>
        <w:tc>
          <w:tcPr>
            <w:tcW w:w="0" w:type="auto"/>
            <w:gridSpan w:val="3"/>
            <w:tcMar>
              <w:top w:w="30" w:type="dxa"/>
              <w:left w:w="20" w:type="dxa"/>
              <w:bottom w:w="30" w:type="dxa"/>
              <w:right w:w="20" w:type="dxa"/>
            </w:tcMar>
            <w:hideMark/>
          </w:tcPr>
          <w:p w14:paraId="2EF91A1F" w14:textId="77777777" w:rsidR="00000000" w:rsidRDefault="00E614A4">
            <w:pPr>
              <w:rPr>
                <w:rFonts w:eastAsia="Times New Roman"/>
              </w:rPr>
            </w:pPr>
            <w:r>
              <w:rPr>
                <w:rFonts w:eastAsia="Times New Roman"/>
                <w:b/>
                <w:bCs/>
                <w:i/>
                <w:iCs/>
                <w:color w:val="000000"/>
                <w:sz w:val="20"/>
                <w:szCs w:val="20"/>
              </w:rPr>
              <w:t>CERTAIN RELATIONSHIPS AND RELATED TRANSACTIONS, AND DIRECTOR INDEPENDENCE</w:t>
            </w:r>
          </w:p>
        </w:tc>
      </w:tr>
    </w:tbl>
    <w:p w14:paraId="35363059" w14:textId="77777777" w:rsidR="00000000" w:rsidRDefault="00E614A4">
      <w:pPr>
        <w:jc w:val="both"/>
        <w:divId w:val="963271768"/>
        <w:rPr>
          <w:rFonts w:eastAsia="Times New Roman"/>
        </w:rPr>
      </w:pPr>
      <w:r>
        <w:rPr>
          <w:rFonts w:eastAsia="Times New Roman"/>
          <w:color w:val="000000"/>
          <w:sz w:val="20"/>
          <w:szCs w:val="20"/>
        </w:rPr>
        <w:t>Information required by Item 13 of Part III is incorporated by reference to the information that will be included in our Proxy Statement relating to our 2021 Annual Meeting of St</w:t>
      </w:r>
      <w:r>
        <w:rPr>
          <w:rFonts w:eastAsia="Times New Roman"/>
          <w:color w:val="000000"/>
          <w:sz w:val="20"/>
          <w:szCs w:val="20"/>
        </w:rPr>
        <w:t>ockholders.</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06D855F0" w14:textId="77777777">
        <w:trPr>
          <w:divId w:val="375199164"/>
        </w:trPr>
        <w:tc>
          <w:tcPr>
            <w:tcW w:w="50" w:type="pct"/>
            <w:vAlign w:val="center"/>
            <w:hideMark/>
          </w:tcPr>
          <w:p w14:paraId="7AE995AE" w14:textId="77777777" w:rsidR="00000000" w:rsidRDefault="00E614A4">
            <w:pPr>
              <w:jc w:val="both"/>
              <w:rPr>
                <w:rFonts w:eastAsia="Times New Roman"/>
              </w:rPr>
            </w:pPr>
          </w:p>
        </w:tc>
        <w:tc>
          <w:tcPr>
            <w:tcW w:w="494" w:type="pct"/>
            <w:vAlign w:val="center"/>
            <w:hideMark/>
          </w:tcPr>
          <w:p w14:paraId="6E201BC2" w14:textId="77777777" w:rsidR="00000000" w:rsidRDefault="00E614A4">
            <w:pPr>
              <w:rPr>
                <w:rFonts w:eastAsia="Times New Roman"/>
                <w:sz w:val="20"/>
                <w:szCs w:val="20"/>
              </w:rPr>
            </w:pPr>
          </w:p>
        </w:tc>
        <w:tc>
          <w:tcPr>
            <w:tcW w:w="5" w:type="pct"/>
            <w:vAlign w:val="center"/>
            <w:hideMark/>
          </w:tcPr>
          <w:p w14:paraId="60D5E2E0" w14:textId="77777777" w:rsidR="00000000" w:rsidRDefault="00E614A4">
            <w:pPr>
              <w:rPr>
                <w:rFonts w:eastAsia="Times New Roman"/>
                <w:sz w:val="20"/>
                <w:szCs w:val="20"/>
              </w:rPr>
            </w:pPr>
          </w:p>
        </w:tc>
        <w:tc>
          <w:tcPr>
            <w:tcW w:w="50" w:type="pct"/>
            <w:vAlign w:val="center"/>
            <w:hideMark/>
          </w:tcPr>
          <w:p w14:paraId="086D9FE4" w14:textId="77777777" w:rsidR="00000000" w:rsidRDefault="00E614A4">
            <w:pPr>
              <w:rPr>
                <w:rFonts w:eastAsia="Times New Roman"/>
                <w:sz w:val="20"/>
                <w:szCs w:val="20"/>
              </w:rPr>
            </w:pPr>
          </w:p>
        </w:tc>
        <w:tc>
          <w:tcPr>
            <w:tcW w:w="4396" w:type="pct"/>
            <w:vAlign w:val="center"/>
            <w:hideMark/>
          </w:tcPr>
          <w:p w14:paraId="709BB29C" w14:textId="77777777" w:rsidR="00000000" w:rsidRDefault="00E614A4">
            <w:pPr>
              <w:rPr>
                <w:rFonts w:eastAsia="Times New Roman"/>
                <w:sz w:val="20"/>
                <w:szCs w:val="20"/>
              </w:rPr>
            </w:pPr>
          </w:p>
        </w:tc>
        <w:tc>
          <w:tcPr>
            <w:tcW w:w="5" w:type="pct"/>
            <w:vAlign w:val="center"/>
            <w:hideMark/>
          </w:tcPr>
          <w:p w14:paraId="20200123" w14:textId="77777777" w:rsidR="00000000" w:rsidRDefault="00E614A4">
            <w:pPr>
              <w:rPr>
                <w:rFonts w:eastAsia="Times New Roman"/>
                <w:sz w:val="20"/>
                <w:szCs w:val="20"/>
              </w:rPr>
            </w:pPr>
          </w:p>
        </w:tc>
      </w:tr>
      <w:tr w:rsidR="00000000" w14:paraId="307C41CF" w14:textId="77777777">
        <w:trPr>
          <w:divId w:val="375199164"/>
        </w:trPr>
        <w:tc>
          <w:tcPr>
            <w:tcW w:w="0" w:type="auto"/>
            <w:gridSpan w:val="3"/>
            <w:tcMar>
              <w:top w:w="30" w:type="dxa"/>
              <w:left w:w="20" w:type="dxa"/>
              <w:bottom w:w="30" w:type="dxa"/>
              <w:right w:w="20" w:type="dxa"/>
            </w:tcMar>
            <w:hideMark/>
          </w:tcPr>
          <w:p w14:paraId="346590D6" w14:textId="77777777" w:rsidR="00000000" w:rsidRDefault="00E614A4">
            <w:pPr>
              <w:rPr>
                <w:rFonts w:eastAsia="Times New Roman"/>
              </w:rPr>
            </w:pPr>
            <w:r>
              <w:rPr>
                <w:rFonts w:eastAsia="Times New Roman"/>
                <w:b/>
                <w:bCs/>
                <w:color w:val="000000"/>
                <w:sz w:val="20"/>
                <w:szCs w:val="20"/>
              </w:rPr>
              <w:t>ITEM 14.</w:t>
            </w:r>
          </w:p>
        </w:tc>
        <w:tc>
          <w:tcPr>
            <w:tcW w:w="0" w:type="auto"/>
            <w:gridSpan w:val="3"/>
            <w:tcMar>
              <w:top w:w="30" w:type="dxa"/>
              <w:left w:w="20" w:type="dxa"/>
              <w:bottom w:w="30" w:type="dxa"/>
              <w:right w:w="20" w:type="dxa"/>
            </w:tcMar>
            <w:hideMark/>
          </w:tcPr>
          <w:p w14:paraId="37722182" w14:textId="77777777" w:rsidR="00000000" w:rsidRDefault="00E614A4">
            <w:pPr>
              <w:rPr>
                <w:rFonts w:eastAsia="Times New Roman"/>
              </w:rPr>
            </w:pPr>
            <w:r>
              <w:rPr>
                <w:rFonts w:eastAsia="Times New Roman"/>
                <w:b/>
                <w:bCs/>
                <w:i/>
                <w:iCs/>
                <w:color w:val="000000"/>
                <w:sz w:val="20"/>
                <w:szCs w:val="20"/>
              </w:rPr>
              <w:t>PRINCIPAL ACCOUNTING FEES AND SERVICES</w:t>
            </w:r>
          </w:p>
        </w:tc>
      </w:tr>
    </w:tbl>
    <w:p w14:paraId="29F563EA" w14:textId="77777777" w:rsidR="00000000" w:rsidRDefault="00E614A4">
      <w:pPr>
        <w:jc w:val="both"/>
        <w:divId w:val="1216427762"/>
        <w:rPr>
          <w:rFonts w:eastAsia="Times New Roman"/>
        </w:rPr>
      </w:pPr>
      <w:r>
        <w:rPr>
          <w:rFonts w:eastAsia="Times New Roman"/>
          <w:color w:val="000000"/>
          <w:sz w:val="20"/>
          <w:szCs w:val="20"/>
        </w:rPr>
        <w:t>Information required by Item 14 of Part III is incorporated by reference to the information that will be included in our Proxy Statement relating to our 2021 Annual Meeting of Stockholders.</w:t>
      </w:r>
    </w:p>
    <w:p w14:paraId="4606C6F3" w14:textId="77777777" w:rsidR="00000000" w:rsidRDefault="00E614A4">
      <w:pPr>
        <w:jc w:val="center"/>
        <w:divId w:val="49159610"/>
        <w:rPr>
          <w:rFonts w:eastAsia="Times New Roman"/>
        </w:rPr>
      </w:pPr>
      <w:r>
        <w:rPr>
          <w:rFonts w:eastAsia="Times New Roman"/>
          <w:color w:val="000000"/>
          <w:sz w:val="20"/>
          <w:szCs w:val="20"/>
        </w:rPr>
        <w:t>105</w:t>
      </w:r>
    </w:p>
    <w:p w14:paraId="0D0B21EF" w14:textId="77777777" w:rsidR="00000000" w:rsidRDefault="00E614A4">
      <w:pPr>
        <w:rPr>
          <w:rFonts w:eastAsia="Times New Roman"/>
        </w:rPr>
      </w:pPr>
      <w:r>
        <w:rPr>
          <w:rFonts w:eastAsia="Times New Roman"/>
        </w:rPr>
        <w:pict w14:anchorId="17CCBB8A">
          <v:rect id="_x0000_i1133" style="width:0;height:1.5pt" o:hralign="center" o:hrstd="t" o:hr="t" fillcolor="#a0a0a0" stroked="f"/>
        </w:pict>
      </w:r>
    </w:p>
    <w:p w14:paraId="7F219680" w14:textId="77777777" w:rsidR="00000000" w:rsidRDefault="00E614A4">
      <w:pPr>
        <w:divId w:val="955065282"/>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697B40C" w14:textId="77777777" w:rsidR="00000000" w:rsidRDefault="00E614A4">
      <w:pPr>
        <w:divId w:val="1597135364"/>
        <w:rPr>
          <w:rFonts w:eastAsia="Times New Roman"/>
        </w:rPr>
      </w:pPr>
    </w:p>
    <w:p w14:paraId="44E2FA77" w14:textId="77777777" w:rsidR="00000000" w:rsidRDefault="00E614A4">
      <w:pPr>
        <w:jc w:val="center"/>
        <w:divId w:val="795374966"/>
        <w:rPr>
          <w:rFonts w:eastAsia="Times New Roman"/>
        </w:rPr>
      </w:pPr>
      <w:r>
        <w:rPr>
          <w:rFonts w:eastAsia="Times New Roman"/>
          <w:b/>
          <w:bCs/>
          <w:color w:val="000000"/>
          <w:sz w:val="20"/>
          <w:szCs w:val="20"/>
        </w:rPr>
        <w:t>PART IV</w:t>
      </w:r>
    </w:p>
    <w:p w14:paraId="52AF735B" w14:textId="77777777" w:rsidR="00000000" w:rsidRDefault="00E614A4">
      <w:pPr>
        <w:divId w:val="1379356345"/>
        <w:rPr>
          <w:rFonts w:eastAsia="Times New Roman"/>
        </w:rPr>
      </w:pPr>
      <w:r>
        <w:rPr>
          <w:rFonts w:eastAsia="Times New Roman"/>
          <w:color w:val="000000"/>
          <w:sz w:val="18"/>
          <w:szCs w:val="18"/>
        </w:rPr>
        <w:t> </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14:paraId="0DF5B4F5" w14:textId="77777777">
        <w:trPr>
          <w:divId w:val="2140687509"/>
        </w:trPr>
        <w:tc>
          <w:tcPr>
            <w:tcW w:w="50" w:type="pct"/>
            <w:vAlign w:val="center"/>
            <w:hideMark/>
          </w:tcPr>
          <w:p w14:paraId="2FE958E1" w14:textId="77777777" w:rsidR="00000000" w:rsidRDefault="00E614A4">
            <w:pPr>
              <w:rPr>
                <w:rFonts w:eastAsia="Times New Roman"/>
              </w:rPr>
            </w:pPr>
          </w:p>
        </w:tc>
        <w:tc>
          <w:tcPr>
            <w:tcW w:w="494" w:type="pct"/>
            <w:vAlign w:val="center"/>
            <w:hideMark/>
          </w:tcPr>
          <w:p w14:paraId="26037C04" w14:textId="77777777" w:rsidR="00000000" w:rsidRDefault="00E614A4">
            <w:pPr>
              <w:rPr>
                <w:rFonts w:eastAsia="Times New Roman"/>
                <w:sz w:val="20"/>
                <w:szCs w:val="20"/>
              </w:rPr>
            </w:pPr>
          </w:p>
        </w:tc>
        <w:tc>
          <w:tcPr>
            <w:tcW w:w="5" w:type="pct"/>
            <w:vAlign w:val="center"/>
            <w:hideMark/>
          </w:tcPr>
          <w:p w14:paraId="6EB97BD8" w14:textId="77777777" w:rsidR="00000000" w:rsidRDefault="00E614A4">
            <w:pPr>
              <w:rPr>
                <w:rFonts w:eastAsia="Times New Roman"/>
                <w:sz w:val="20"/>
                <w:szCs w:val="20"/>
              </w:rPr>
            </w:pPr>
          </w:p>
        </w:tc>
        <w:tc>
          <w:tcPr>
            <w:tcW w:w="50" w:type="pct"/>
            <w:vAlign w:val="center"/>
            <w:hideMark/>
          </w:tcPr>
          <w:p w14:paraId="5CD0F7DE" w14:textId="77777777" w:rsidR="00000000" w:rsidRDefault="00E614A4">
            <w:pPr>
              <w:rPr>
                <w:rFonts w:eastAsia="Times New Roman"/>
                <w:sz w:val="20"/>
                <w:szCs w:val="20"/>
              </w:rPr>
            </w:pPr>
          </w:p>
        </w:tc>
        <w:tc>
          <w:tcPr>
            <w:tcW w:w="4396" w:type="pct"/>
            <w:vAlign w:val="center"/>
            <w:hideMark/>
          </w:tcPr>
          <w:p w14:paraId="57C1D6CA" w14:textId="77777777" w:rsidR="00000000" w:rsidRDefault="00E614A4">
            <w:pPr>
              <w:rPr>
                <w:rFonts w:eastAsia="Times New Roman"/>
                <w:sz w:val="20"/>
                <w:szCs w:val="20"/>
              </w:rPr>
            </w:pPr>
          </w:p>
        </w:tc>
        <w:tc>
          <w:tcPr>
            <w:tcW w:w="5" w:type="pct"/>
            <w:vAlign w:val="center"/>
            <w:hideMark/>
          </w:tcPr>
          <w:p w14:paraId="4259E6BD" w14:textId="77777777" w:rsidR="00000000" w:rsidRDefault="00E614A4">
            <w:pPr>
              <w:rPr>
                <w:rFonts w:eastAsia="Times New Roman"/>
                <w:sz w:val="20"/>
                <w:szCs w:val="20"/>
              </w:rPr>
            </w:pPr>
          </w:p>
        </w:tc>
      </w:tr>
      <w:tr w:rsidR="00000000" w14:paraId="591EB118" w14:textId="77777777">
        <w:trPr>
          <w:divId w:val="2140687509"/>
        </w:trPr>
        <w:tc>
          <w:tcPr>
            <w:tcW w:w="0" w:type="auto"/>
            <w:gridSpan w:val="3"/>
            <w:tcMar>
              <w:top w:w="30" w:type="dxa"/>
              <w:left w:w="20" w:type="dxa"/>
              <w:bottom w:w="30" w:type="dxa"/>
              <w:right w:w="20" w:type="dxa"/>
            </w:tcMar>
            <w:hideMark/>
          </w:tcPr>
          <w:p w14:paraId="262BDBBE" w14:textId="77777777" w:rsidR="00000000" w:rsidRDefault="00E614A4">
            <w:pPr>
              <w:rPr>
                <w:rFonts w:eastAsia="Times New Roman"/>
              </w:rPr>
            </w:pPr>
            <w:r>
              <w:rPr>
                <w:rFonts w:eastAsia="Times New Roman"/>
                <w:b/>
                <w:bCs/>
                <w:color w:val="000000"/>
                <w:sz w:val="20"/>
                <w:szCs w:val="20"/>
              </w:rPr>
              <w:t>ITEM 15.</w:t>
            </w:r>
          </w:p>
        </w:tc>
        <w:tc>
          <w:tcPr>
            <w:tcW w:w="0" w:type="auto"/>
            <w:gridSpan w:val="3"/>
            <w:tcMar>
              <w:top w:w="30" w:type="dxa"/>
              <w:left w:w="20" w:type="dxa"/>
              <w:bottom w:w="30" w:type="dxa"/>
              <w:right w:w="20" w:type="dxa"/>
            </w:tcMar>
            <w:hideMark/>
          </w:tcPr>
          <w:p w14:paraId="7B99DF76" w14:textId="77777777" w:rsidR="00000000" w:rsidRDefault="00E614A4">
            <w:pPr>
              <w:rPr>
                <w:rFonts w:eastAsia="Times New Roman"/>
              </w:rPr>
            </w:pPr>
            <w:r>
              <w:rPr>
                <w:rFonts w:eastAsia="Times New Roman"/>
                <w:b/>
                <w:bCs/>
                <w:i/>
                <w:iCs/>
                <w:color w:val="000000"/>
                <w:sz w:val="20"/>
                <w:szCs w:val="20"/>
              </w:rPr>
              <w:t>EXHIBITS, FINANCIAL STATEMENT SCHEDULES</w:t>
            </w:r>
          </w:p>
        </w:tc>
      </w:tr>
    </w:tbl>
    <w:p w14:paraId="097CD00C" w14:textId="77777777" w:rsidR="00000000" w:rsidRDefault="00E614A4">
      <w:pPr>
        <w:ind w:firstLine="495"/>
        <w:jc w:val="both"/>
        <w:divId w:val="253755793"/>
        <w:rPr>
          <w:rFonts w:eastAsia="Times New Roman"/>
        </w:rPr>
      </w:pPr>
      <w:r>
        <w:rPr>
          <w:rFonts w:eastAsia="Times New Roman"/>
          <w:color w:val="000000"/>
          <w:sz w:val="20"/>
          <w:szCs w:val="20"/>
        </w:rPr>
        <w:t>(a) </w:t>
      </w:r>
      <w:r>
        <w:rPr>
          <w:rFonts w:eastAsia="Times New Roman"/>
          <w:color w:val="000000"/>
          <w:sz w:val="20"/>
          <w:szCs w:val="20"/>
        </w:rPr>
        <w:t>The following documents are filed as part of this Annual Report on Form 10-K:</w:t>
      </w:r>
    </w:p>
    <w:p w14:paraId="1446062C" w14:textId="77777777" w:rsidR="00000000" w:rsidRDefault="00E614A4">
      <w:pPr>
        <w:ind w:firstLine="990"/>
        <w:jc w:val="both"/>
        <w:divId w:val="248003722"/>
        <w:rPr>
          <w:rFonts w:eastAsia="Times New Roman"/>
        </w:rPr>
      </w:pPr>
      <w:r>
        <w:rPr>
          <w:rFonts w:eastAsia="Times New Roman"/>
          <w:color w:val="000000"/>
          <w:sz w:val="20"/>
          <w:szCs w:val="20"/>
        </w:rPr>
        <w:t xml:space="preserve">(1) Financial statements and reports of our independent registered public accounting firm. See (i) Index to Consolidated Financial Statements at </w:t>
      </w:r>
      <w:hyperlink w:anchor="ided6989bcc374020961c421c465250ee_76" w:history="1">
        <w:r>
          <w:rPr>
            <w:rStyle w:val="a3"/>
            <w:rFonts w:eastAsia="Times New Roman"/>
            <w:sz w:val="20"/>
            <w:szCs w:val="20"/>
          </w:rPr>
          <w:t>Item 8</w:t>
        </w:r>
      </w:hyperlink>
      <w:r>
        <w:rPr>
          <w:rFonts w:eastAsia="Times New Roman"/>
          <w:color w:val="000000"/>
          <w:sz w:val="20"/>
          <w:szCs w:val="20"/>
        </w:rPr>
        <w:t xml:space="preserve"> and (ii) </w:t>
      </w:r>
      <w:hyperlink w:anchor="ided6989bcc374020961c421c465250ee_199" w:history="1">
        <w:r>
          <w:rPr>
            <w:rStyle w:val="a3"/>
            <w:rFonts w:eastAsia="Times New Roman"/>
            <w:sz w:val="20"/>
            <w:szCs w:val="20"/>
          </w:rPr>
          <w:t>Item 9A</w:t>
        </w:r>
      </w:hyperlink>
      <w:r>
        <w:rPr>
          <w:rFonts w:eastAsia="Times New Roman"/>
          <w:color w:val="000000"/>
          <w:sz w:val="20"/>
          <w:szCs w:val="20"/>
        </w:rPr>
        <w:t xml:space="preserve"> of this Annual Report on Form 10-K.</w:t>
      </w:r>
    </w:p>
    <w:p w14:paraId="5D678718" w14:textId="77777777" w:rsidR="00000000" w:rsidRDefault="00E614A4">
      <w:pPr>
        <w:ind w:firstLine="990"/>
        <w:jc w:val="both"/>
        <w:divId w:val="113788862"/>
        <w:rPr>
          <w:rFonts w:eastAsia="Times New Roman"/>
        </w:rPr>
      </w:pPr>
      <w:r>
        <w:rPr>
          <w:rFonts w:eastAsia="Times New Roman"/>
          <w:color w:val="000000"/>
          <w:sz w:val="20"/>
          <w:szCs w:val="20"/>
        </w:rPr>
        <w:t>(2) </w:t>
      </w:r>
      <w:r>
        <w:rPr>
          <w:rFonts w:eastAsia="Times New Roman"/>
          <w:color w:val="000000"/>
          <w:sz w:val="20"/>
          <w:szCs w:val="20"/>
        </w:rPr>
        <w:t>All other schedules, for which provision is made in the applicable accounting regulations of the SEC, are omitted, as the required information is inapplicable or the information is presented in the Consolidated Financial Statements and Notes to Consolidate</w:t>
      </w:r>
      <w:r>
        <w:rPr>
          <w:rFonts w:eastAsia="Times New Roman"/>
          <w:color w:val="000000"/>
          <w:sz w:val="20"/>
          <w:szCs w:val="20"/>
        </w:rPr>
        <w:t xml:space="preserve">d Financial Statements in </w:t>
      </w:r>
      <w:hyperlink w:anchor="ided6989bcc374020961c421c465250ee_76" w:history="1">
        <w:r>
          <w:rPr>
            <w:rStyle w:val="a3"/>
            <w:rFonts w:eastAsia="Times New Roman"/>
            <w:sz w:val="20"/>
            <w:szCs w:val="20"/>
          </w:rPr>
          <w:t>Item 8</w:t>
        </w:r>
      </w:hyperlink>
      <w:r>
        <w:rPr>
          <w:rFonts w:eastAsia="Times New Roman"/>
          <w:color w:val="000000"/>
          <w:sz w:val="20"/>
          <w:szCs w:val="20"/>
        </w:rPr>
        <w:t xml:space="preserve"> of this Annual Report on Form 10-K.</w:t>
      </w:r>
    </w:p>
    <w:p w14:paraId="67B69E00" w14:textId="77777777" w:rsidR="00000000" w:rsidRDefault="00E614A4">
      <w:pPr>
        <w:ind w:firstLine="990"/>
        <w:jc w:val="both"/>
        <w:divId w:val="1851602444"/>
        <w:rPr>
          <w:rFonts w:eastAsia="Times New Roman"/>
        </w:rPr>
      </w:pPr>
      <w:r>
        <w:rPr>
          <w:rFonts w:eastAsia="Times New Roman"/>
          <w:color w:val="000000"/>
          <w:sz w:val="20"/>
          <w:szCs w:val="20"/>
        </w:rPr>
        <w:t xml:space="preserve">(3) Exhibits. The exhibits filed as part of this report are listed under "Exhibits" at subsection (b) of this </w:t>
      </w:r>
      <w:hyperlink w:anchor="ided6989bcc374020961c421c465250ee_241" w:history="1">
        <w:r>
          <w:rPr>
            <w:rStyle w:val="a3"/>
            <w:rFonts w:eastAsia="Times New Roman"/>
            <w:sz w:val="20"/>
            <w:szCs w:val="20"/>
          </w:rPr>
          <w:t>Item 15</w:t>
        </w:r>
      </w:hyperlink>
      <w:r>
        <w:rPr>
          <w:rFonts w:eastAsia="Times New Roman"/>
          <w:color w:val="000000"/>
          <w:sz w:val="20"/>
          <w:szCs w:val="20"/>
        </w:rPr>
        <w:t>.</w:t>
      </w:r>
    </w:p>
    <w:p w14:paraId="63D8509F" w14:textId="77777777" w:rsidR="00000000" w:rsidRDefault="00E614A4">
      <w:pPr>
        <w:ind w:firstLine="495"/>
        <w:jc w:val="both"/>
        <w:divId w:val="41365142"/>
        <w:rPr>
          <w:rFonts w:eastAsia="Times New Roman"/>
        </w:rPr>
      </w:pPr>
      <w:r>
        <w:rPr>
          <w:rFonts w:eastAsia="Times New Roman"/>
          <w:color w:val="000000"/>
          <w:sz w:val="20"/>
          <w:szCs w:val="20"/>
        </w:rPr>
        <w:t>(b) </w:t>
      </w:r>
      <w:hyperlink w:anchor="ided6989bcc374020961c421c465250ee_244" w:history="1">
        <w:r>
          <w:rPr>
            <w:rStyle w:val="a3"/>
            <w:rFonts w:eastAsia="Times New Roman"/>
            <w:sz w:val="20"/>
            <w:szCs w:val="20"/>
          </w:rPr>
          <w:t>Exhibits</w:t>
        </w:r>
      </w:hyperlink>
    </w:p>
    <w:p w14:paraId="7C99CFCE" w14:textId="77777777" w:rsidR="00000000" w:rsidRDefault="00E614A4">
      <w:pPr>
        <w:jc w:val="both"/>
        <w:rPr>
          <w:rFonts w:eastAsia="Times New Roman"/>
        </w:rPr>
      </w:pPr>
    </w:p>
    <w:p w14:paraId="33C60F31" w14:textId="77777777" w:rsidR="00000000" w:rsidRDefault="00E614A4">
      <w:pPr>
        <w:jc w:val="both"/>
        <w:rPr>
          <w:rFonts w:eastAsia="Times New Roman"/>
        </w:rPr>
      </w:pPr>
    </w:p>
    <w:p w14:paraId="5041A04B" w14:textId="77777777" w:rsidR="00000000" w:rsidRDefault="00E614A4">
      <w:pPr>
        <w:jc w:val="center"/>
        <w:divId w:val="1151294577"/>
        <w:rPr>
          <w:rFonts w:eastAsia="Times New Roman"/>
        </w:rPr>
      </w:pPr>
      <w:r>
        <w:rPr>
          <w:rFonts w:eastAsia="Times New Roman"/>
          <w:color w:val="000000"/>
          <w:sz w:val="20"/>
          <w:szCs w:val="20"/>
        </w:rPr>
        <w:t>106</w:t>
      </w:r>
    </w:p>
    <w:p w14:paraId="00AF40C1" w14:textId="77777777" w:rsidR="00000000" w:rsidRDefault="00E614A4">
      <w:pPr>
        <w:rPr>
          <w:rFonts w:eastAsia="Times New Roman"/>
        </w:rPr>
      </w:pPr>
      <w:r>
        <w:rPr>
          <w:rFonts w:eastAsia="Times New Roman"/>
        </w:rPr>
        <w:pict w14:anchorId="24434A9E">
          <v:rect id="_x0000_i1134" style="width:0;height:1.5pt" o:hralign="center" o:hrstd="t" o:hr="t" fillcolor="#a0a0a0" stroked="f"/>
        </w:pict>
      </w:r>
    </w:p>
    <w:p w14:paraId="5E53E7FB" w14:textId="77777777" w:rsidR="00000000" w:rsidRDefault="00E614A4">
      <w:pPr>
        <w:divId w:val="129560297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53F7670B" w14:textId="77777777" w:rsidR="00000000" w:rsidRDefault="00E614A4">
      <w:pPr>
        <w:divId w:val="1117793791"/>
        <w:rPr>
          <w:rFonts w:eastAsia="Times New Roman"/>
        </w:rPr>
      </w:pPr>
    </w:p>
    <w:tbl>
      <w:tblPr>
        <w:tblW w:w="4743" w:type="pct"/>
        <w:jc w:val="center"/>
        <w:tblCellMar>
          <w:top w:w="15" w:type="dxa"/>
          <w:left w:w="15" w:type="dxa"/>
          <w:bottom w:w="15" w:type="dxa"/>
          <w:right w:w="15" w:type="dxa"/>
        </w:tblCellMar>
        <w:tblLook w:val="04A0" w:firstRow="1" w:lastRow="0" w:firstColumn="1" w:lastColumn="0" w:noHBand="0" w:noVBand="1"/>
      </w:tblPr>
      <w:tblGrid>
        <w:gridCol w:w="90"/>
        <w:gridCol w:w="887"/>
        <w:gridCol w:w="36"/>
        <w:gridCol w:w="36"/>
        <w:gridCol w:w="6794"/>
        <w:gridCol w:w="36"/>
      </w:tblGrid>
      <w:tr w:rsidR="00000000" w14:paraId="41FC2B61" w14:textId="77777777">
        <w:trPr>
          <w:divId w:val="325061671"/>
          <w:jc w:val="center"/>
        </w:trPr>
        <w:tc>
          <w:tcPr>
            <w:tcW w:w="50" w:type="pct"/>
            <w:vAlign w:val="center"/>
            <w:hideMark/>
          </w:tcPr>
          <w:p w14:paraId="5538F4A6" w14:textId="77777777" w:rsidR="00000000" w:rsidRDefault="00E614A4">
            <w:pPr>
              <w:rPr>
                <w:rFonts w:eastAsia="Times New Roman"/>
              </w:rPr>
            </w:pPr>
          </w:p>
        </w:tc>
        <w:tc>
          <w:tcPr>
            <w:tcW w:w="494" w:type="pct"/>
            <w:vAlign w:val="center"/>
            <w:hideMark/>
          </w:tcPr>
          <w:p w14:paraId="050E747A" w14:textId="77777777" w:rsidR="00000000" w:rsidRDefault="00E614A4">
            <w:pPr>
              <w:rPr>
                <w:rFonts w:eastAsia="Times New Roman"/>
                <w:sz w:val="20"/>
                <w:szCs w:val="20"/>
              </w:rPr>
            </w:pPr>
          </w:p>
        </w:tc>
        <w:tc>
          <w:tcPr>
            <w:tcW w:w="5" w:type="pct"/>
            <w:vAlign w:val="center"/>
            <w:hideMark/>
          </w:tcPr>
          <w:p w14:paraId="16971C94" w14:textId="77777777" w:rsidR="00000000" w:rsidRDefault="00E614A4">
            <w:pPr>
              <w:rPr>
                <w:rFonts w:eastAsia="Times New Roman"/>
                <w:sz w:val="20"/>
                <w:szCs w:val="20"/>
              </w:rPr>
            </w:pPr>
          </w:p>
        </w:tc>
        <w:tc>
          <w:tcPr>
            <w:tcW w:w="50" w:type="pct"/>
            <w:vAlign w:val="center"/>
            <w:hideMark/>
          </w:tcPr>
          <w:p w14:paraId="3E300C58" w14:textId="77777777" w:rsidR="00000000" w:rsidRDefault="00E614A4">
            <w:pPr>
              <w:rPr>
                <w:rFonts w:eastAsia="Times New Roman"/>
                <w:sz w:val="20"/>
                <w:szCs w:val="20"/>
              </w:rPr>
            </w:pPr>
          </w:p>
        </w:tc>
        <w:tc>
          <w:tcPr>
            <w:tcW w:w="4396" w:type="pct"/>
            <w:vAlign w:val="center"/>
            <w:hideMark/>
          </w:tcPr>
          <w:p w14:paraId="545656BF" w14:textId="77777777" w:rsidR="00000000" w:rsidRDefault="00E614A4">
            <w:pPr>
              <w:rPr>
                <w:rFonts w:eastAsia="Times New Roman"/>
                <w:sz w:val="20"/>
                <w:szCs w:val="20"/>
              </w:rPr>
            </w:pPr>
          </w:p>
        </w:tc>
        <w:tc>
          <w:tcPr>
            <w:tcW w:w="5" w:type="pct"/>
            <w:vAlign w:val="center"/>
            <w:hideMark/>
          </w:tcPr>
          <w:p w14:paraId="0F4AC1DE" w14:textId="77777777" w:rsidR="00000000" w:rsidRDefault="00E614A4">
            <w:pPr>
              <w:rPr>
                <w:rFonts w:eastAsia="Times New Roman"/>
                <w:sz w:val="20"/>
                <w:szCs w:val="20"/>
              </w:rPr>
            </w:pPr>
          </w:p>
        </w:tc>
      </w:tr>
      <w:tr w:rsidR="00000000" w14:paraId="4D83B173" w14:textId="77777777">
        <w:trPr>
          <w:divId w:val="325061671"/>
          <w:jc w:val="center"/>
        </w:trPr>
        <w:tc>
          <w:tcPr>
            <w:tcW w:w="0" w:type="auto"/>
            <w:gridSpan w:val="3"/>
            <w:tcMar>
              <w:top w:w="30" w:type="dxa"/>
              <w:left w:w="20" w:type="dxa"/>
              <w:bottom w:w="30" w:type="dxa"/>
              <w:right w:w="20" w:type="dxa"/>
            </w:tcMar>
            <w:vAlign w:val="bottom"/>
            <w:hideMark/>
          </w:tcPr>
          <w:p w14:paraId="0218F7E4" w14:textId="77777777" w:rsidR="00000000" w:rsidRDefault="00E614A4">
            <w:pPr>
              <w:rPr>
                <w:rFonts w:eastAsia="Times New Roman"/>
              </w:rPr>
            </w:pPr>
            <w:r>
              <w:rPr>
                <w:rFonts w:eastAsia="Times New Roman"/>
                <w:b/>
                <w:bCs/>
                <w:i/>
                <w:iCs/>
                <w:color w:val="000000"/>
                <w:sz w:val="20"/>
                <w:szCs w:val="20"/>
              </w:rPr>
              <w:t>EXHIBITS</w:t>
            </w:r>
          </w:p>
        </w:tc>
        <w:tc>
          <w:tcPr>
            <w:tcW w:w="0" w:type="auto"/>
            <w:gridSpan w:val="3"/>
            <w:tcMar>
              <w:top w:w="0" w:type="dxa"/>
              <w:left w:w="20" w:type="dxa"/>
              <w:bottom w:w="0" w:type="dxa"/>
              <w:right w:w="20" w:type="dxa"/>
            </w:tcMar>
            <w:vAlign w:val="center"/>
            <w:hideMark/>
          </w:tcPr>
          <w:p w14:paraId="12EA9C87" w14:textId="77777777" w:rsidR="00000000" w:rsidRDefault="00E614A4">
            <w:pPr>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634"/>
        <w:gridCol w:w="144"/>
        <w:gridCol w:w="144"/>
        <w:gridCol w:w="144"/>
        <w:gridCol w:w="144"/>
        <w:gridCol w:w="144"/>
        <w:gridCol w:w="7440"/>
        <w:gridCol w:w="144"/>
      </w:tblGrid>
      <w:tr w:rsidR="00000000" w14:paraId="41388438" w14:textId="77777777">
        <w:trPr>
          <w:jc w:val="center"/>
        </w:trPr>
        <w:tc>
          <w:tcPr>
            <w:tcW w:w="50" w:type="pct"/>
            <w:vAlign w:val="center"/>
            <w:hideMark/>
          </w:tcPr>
          <w:p w14:paraId="503B616B" w14:textId="77777777" w:rsidR="00000000" w:rsidRDefault="00E614A4">
            <w:pPr>
              <w:jc w:val="center"/>
              <w:rPr>
                <w:rFonts w:eastAsia="Times New Roman"/>
              </w:rPr>
            </w:pPr>
          </w:p>
        </w:tc>
        <w:tc>
          <w:tcPr>
            <w:tcW w:w="382" w:type="pct"/>
            <w:vAlign w:val="center"/>
            <w:hideMark/>
          </w:tcPr>
          <w:p w14:paraId="11151B25" w14:textId="77777777" w:rsidR="00000000" w:rsidRDefault="00E614A4">
            <w:pPr>
              <w:rPr>
                <w:rFonts w:eastAsia="Times New Roman"/>
                <w:sz w:val="20"/>
                <w:szCs w:val="20"/>
              </w:rPr>
            </w:pPr>
          </w:p>
        </w:tc>
        <w:tc>
          <w:tcPr>
            <w:tcW w:w="5" w:type="pct"/>
            <w:vAlign w:val="center"/>
            <w:hideMark/>
          </w:tcPr>
          <w:p w14:paraId="71BF02AD" w14:textId="77777777" w:rsidR="00000000" w:rsidRDefault="00E614A4">
            <w:pPr>
              <w:rPr>
                <w:rFonts w:eastAsia="Times New Roman"/>
                <w:sz w:val="20"/>
                <w:szCs w:val="20"/>
              </w:rPr>
            </w:pPr>
          </w:p>
        </w:tc>
        <w:tc>
          <w:tcPr>
            <w:tcW w:w="5" w:type="pct"/>
            <w:vAlign w:val="center"/>
            <w:hideMark/>
          </w:tcPr>
          <w:p w14:paraId="47D69571" w14:textId="77777777" w:rsidR="00000000" w:rsidRDefault="00E614A4">
            <w:pPr>
              <w:rPr>
                <w:rFonts w:eastAsia="Times New Roman"/>
                <w:sz w:val="20"/>
                <w:szCs w:val="20"/>
              </w:rPr>
            </w:pPr>
          </w:p>
        </w:tc>
        <w:tc>
          <w:tcPr>
            <w:tcW w:w="17" w:type="pct"/>
            <w:vAlign w:val="center"/>
            <w:hideMark/>
          </w:tcPr>
          <w:p w14:paraId="0E2FEDCA" w14:textId="77777777" w:rsidR="00000000" w:rsidRDefault="00E614A4">
            <w:pPr>
              <w:rPr>
                <w:rFonts w:eastAsia="Times New Roman"/>
                <w:sz w:val="20"/>
                <w:szCs w:val="20"/>
              </w:rPr>
            </w:pPr>
          </w:p>
        </w:tc>
        <w:tc>
          <w:tcPr>
            <w:tcW w:w="5" w:type="pct"/>
            <w:vAlign w:val="center"/>
            <w:hideMark/>
          </w:tcPr>
          <w:p w14:paraId="5FC21AC6" w14:textId="77777777" w:rsidR="00000000" w:rsidRDefault="00E614A4">
            <w:pPr>
              <w:rPr>
                <w:rFonts w:eastAsia="Times New Roman"/>
                <w:sz w:val="20"/>
                <w:szCs w:val="20"/>
              </w:rPr>
            </w:pPr>
          </w:p>
        </w:tc>
        <w:tc>
          <w:tcPr>
            <w:tcW w:w="50" w:type="pct"/>
            <w:vAlign w:val="center"/>
            <w:hideMark/>
          </w:tcPr>
          <w:p w14:paraId="348A0734" w14:textId="77777777" w:rsidR="00000000" w:rsidRDefault="00E614A4">
            <w:pPr>
              <w:rPr>
                <w:rFonts w:eastAsia="Times New Roman"/>
                <w:sz w:val="20"/>
                <w:szCs w:val="20"/>
              </w:rPr>
            </w:pPr>
          </w:p>
        </w:tc>
        <w:tc>
          <w:tcPr>
            <w:tcW w:w="4479" w:type="pct"/>
            <w:vAlign w:val="center"/>
            <w:hideMark/>
          </w:tcPr>
          <w:p w14:paraId="2E433799" w14:textId="77777777" w:rsidR="00000000" w:rsidRDefault="00E614A4">
            <w:pPr>
              <w:rPr>
                <w:rFonts w:eastAsia="Times New Roman"/>
                <w:sz w:val="20"/>
                <w:szCs w:val="20"/>
              </w:rPr>
            </w:pPr>
          </w:p>
        </w:tc>
        <w:tc>
          <w:tcPr>
            <w:tcW w:w="5" w:type="pct"/>
            <w:vAlign w:val="center"/>
            <w:hideMark/>
          </w:tcPr>
          <w:p w14:paraId="63B8BD06" w14:textId="77777777" w:rsidR="00000000" w:rsidRDefault="00E614A4">
            <w:pPr>
              <w:rPr>
                <w:rFonts w:eastAsia="Times New Roman"/>
                <w:sz w:val="20"/>
                <w:szCs w:val="20"/>
              </w:rPr>
            </w:pPr>
          </w:p>
        </w:tc>
      </w:tr>
      <w:tr w:rsidR="00000000" w14:paraId="12D471BB" w14:textId="77777777">
        <w:trPr>
          <w:jc w:val="center"/>
        </w:trPr>
        <w:tc>
          <w:tcPr>
            <w:tcW w:w="0" w:type="auto"/>
            <w:gridSpan w:val="3"/>
            <w:tcMar>
              <w:top w:w="30" w:type="dxa"/>
              <w:left w:w="20" w:type="dxa"/>
              <w:bottom w:w="30" w:type="dxa"/>
              <w:right w:w="20" w:type="dxa"/>
            </w:tcMar>
            <w:hideMark/>
          </w:tcPr>
          <w:p w14:paraId="3035278B" w14:textId="77777777" w:rsidR="00000000" w:rsidRDefault="00E614A4">
            <w:pP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30" w:type="dxa"/>
              <w:left w:w="20" w:type="dxa"/>
              <w:bottom w:w="30" w:type="dxa"/>
              <w:right w:w="20" w:type="dxa"/>
            </w:tcMar>
            <w:vAlign w:val="bottom"/>
            <w:hideMark/>
          </w:tcPr>
          <w:p w14:paraId="023AD91D"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26A7EA4E" w14:textId="77777777" w:rsidR="00000000" w:rsidRDefault="00E614A4">
            <w:pPr>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14:paraId="291EEF61" w14:textId="77777777">
        <w:trPr>
          <w:trHeight w:val="60"/>
          <w:jc w:val="center"/>
        </w:trPr>
        <w:tc>
          <w:tcPr>
            <w:tcW w:w="0" w:type="auto"/>
            <w:gridSpan w:val="3"/>
            <w:tcMar>
              <w:top w:w="0" w:type="dxa"/>
              <w:left w:w="20" w:type="dxa"/>
              <w:bottom w:w="0" w:type="dxa"/>
              <w:right w:w="20" w:type="dxa"/>
            </w:tcMar>
            <w:vAlign w:val="center"/>
            <w:hideMark/>
          </w:tcPr>
          <w:p w14:paraId="7B1BD0AC"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75214A1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924856A" w14:textId="77777777" w:rsidR="00000000" w:rsidRDefault="00E614A4">
            <w:pPr>
              <w:rPr>
                <w:rFonts w:eastAsia="Times New Roman"/>
                <w:sz w:val="20"/>
                <w:szCs w:val="20"/>
              </w:rPr>
            </w:pPr>
          </w:p>
        </w:tc>
      </w:tr>
      <w:tr w:rsidR="00000000" w14:paraId="055C7FC3" w14:textId="77777777">
        <w:trPr>
          <w:jc w:val="center"/>
        </w:trPr>
        <w:tc>
          <w:tcPr>
            <w:tcW w:w="0" w:type="auto"/>
            <w:gridSpan w:val="3"/>
            <w:tcMar>
              <w:top w:w="30" w:type="dxa"/>
              <w:left w:w="20" w:type="dxa"/>
              <w:bottom w:w="30" w:type="dxa"/>
              <w:right w:w="20" w:type="dxa"/>
            </w:tcMar>
            <w:hideMark/>
          </w:tcPr>
          <w:p w14:paraId="22D214BC" w14:textId="77777777" w:rsidR="00000000" w:rsidRDefault="00E614A4">
            <w:pP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7072487C"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B53B53B" w14:textId="77777777" w:rsidR="00000000" w:rsidRDefault="00E614A4">
            <w:pPr>
              <w:jc w:val="both"/>
              <w:rPr>
                <w:rFonts w:eastAsia="Times New Roman"/>
              </w:rPr>
            </w:pPr>
            <w:hyperlink r:id="rId16" w:history="1">
              <w:r>
                <w:rPr>
                  <w:rStyle w:val="a3"/>
                  <w:rFonts w:eastAsia="Times New Roman"/>
                  <w:sz w:val="20"/>
                  <w:szCs w:val="20"/>
                </w:rPr>
                <w:t>Amended and Restated Certificate of Incorporation of the Registrant (incorporated by reference to Exhibit 3.3 to the Registrant's Registration Statement on</w:t>
              </w:r>
              <w:r>
                <w:rPr>
                  <w:rStyle w:val="a3"/>
                  <w:rFonts w:eastAsia="Times New Roman"/>
                  <w:sz w:val="20"/>
                  <w:szCs w:val="20"/>
                </w:rPr>
                <w:t xml:space="preserve"> Form S-1, as amended, filed June 12, 2007) (File No. 333-141740)</w:t>
              </w:r>
            </w:hyperlink>
          </w:p>
        </w:tc>
      </w:tr>
      <w:tr w:rsidR="00000000" w14:paraId="5AEB828B" w14:textId="77777777">
        <w:trPr>
          <w:trHeight w:val="60"/>
          <w:jc w:val="center"/>
        </w:trPr>
        <w:tc>
          <w:tcPr>
            <w:tcW w:w="0" w:type="auto"/>
            <w:gridSpan w:val="3"/>
            <w:tcMar>
              <w:top w:w="0" w:type="dxa"/>
              <w:left w:w="20" w:type="dxa"/>
              <w:bottom w:w="0" w:type="dxa"/>
              <w:right w:w="20" w:type="dxa"/>
            </w:tcMar>
            <w:vAlign w:val="center"/>
            <w:hideMark/>
          </w:tcPr>
          <w:p w14:paraId="489E21E6"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5874806"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1E2F55B" w14:textId="77777777" w:rsidR="00000000" w:rsidRDefault="00E614A4">
            <w:pPr>
              <w:rPr>
                <w:rFonts w:eastAsia="Times New Roman"/>
                <w:sz w:val="20"/>
                <w:szCs w:val="20"/>
              </w:rPr>
            </w:pPr>
          </w:p>
        </w:tc>
      </w:tr>
      <w:tr w:rsidR="00000000" w14:paraId="74F1CA59" w14:textId="77777777">
        <w:trPr>
          <w:jc w:val="center"/>
        </w:trPr>
        <w:tc>
          <w:tcPr>
            <w:tcW w:w="0" w:type="auto"/>
            <w:gridSpan w:val="3"/>
            <w:tcMar>
              <w:top w:w="30" w:type="dxa"/>
              <w:left w:w="20" w:type="dxa"/>
              <w:bottom w:w="30" w:type="dxa"/>
              <w:right w:w="20" w:type="dxa"/>
            </w:tcMar>
            <w:hideMark/>
          </w:tcPr>
          <w:p w14:paraId="17FBEA36" w14:textId="77777777" w:rsidR="00000000" w:rsidRDefault="00E614A4">
            <w:pP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3654D9AF"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02FCDA9" w14:textId="77777777" w:rsidR="00000000" w:rsidRDefault="00E614A4">
            <w:pPr>
              <w:jc w:val="both"/>
              <w:rPr>
                <w:rFonts w:eastAsia="Times New Roman"/>
              </w:rPr>
            </w:pPr>
            <w:hyperlink r:id="rId17"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14:paraId="456A4381" w14:textId="77777777">
        <w:trPr>
          <w:trHeight w:val="60"/>
          <w:jc w:val="center"/>
        </w:trPr>
        <w:tc>
          <w:tcPr>
            <w:tcW w:w="0" w:type="auto"/>
            <w:gridSpan w:val="3"/>
            <w:tcMar>
              <w:top w:w="0" w:type="dxa"/>
              <w:left w:w="20" w:type="dxa"/>
              <w:bottom w:w="0" w:type="dxa"/>
              <w:right w:w="20" w:type="dxa"/>
            </w:tcMar>
            <w:vAlign w:val="center"/>
            <w:hideMark/>
          </w:tcPr>
          <w:p w14:paraId="7AEC9F35"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62A49D3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030A657" w14:textId="77777777" w:rsidR="00000000" w:rsidRDefault="00E614A4">
            <w:pPr>
              <w:rPr>
                <w:rFonts w:eastAsia="Times New Roman"/>
                <w:sz w:val="20"/>
                <w:szCs w:val="20"/>
              </w:rPr>
            </w:pPr>
          </w:p>
        </w:tc>
      </w:tr>
      <w:tr w:rsidR="00000000" w14:paraId="5A964AB2" w14:textId="77777777">
        <w:trPr>
          <w:jc w:val="center"/>
        </w:trPr>
        <w:tc>
          <w:tcPr>
            <w:tcW w:w="0" w:type="auto"/>
            <w:gridSpan w:val="3"/>
            <w:tcMar>
              <w:top w:w="30" w:type="dxa"/>
              <w:left w:w="20" w:type="dxa"/>
              <w:bottom w:w="30" w:type="dxa"/>
              <w:right w:w="20" w:type="dxa"/>
            </w:tcMar>
            <w:hideMark/>
          </w:tcPr>
          <w:p w14:paraId="18AC74EC" w14:textId="77777777" w:rsidR="00000000" w:rsidRDefault="00E614A4">
            <w:pPr>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14:paraId="2B0E3908"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BAEC3B1" w14:textId="77777777" w:rsidR="00000000" w:rsidRDefault="00E614A4">
            <w:pPr>
              <w:jc w:val="both"/>
              <w:rPr>
                <w:rFonts w:eastAsia="Times New Roman"/>
              </w:rPr>
            </w:pPr>
            <w:hyperlink r:id="rId18" w:history="1">
              <w:r>
                <w:rPr>
                  <w:rStyle w:val="a3"/>
                  <w:rFonts w:eastAsia="Times New Roman"/>
                  <w:sz w:val="20"/>
                  <w:szCs w:val="20"/>
                </w:rPr>
                <w:t xml:space="preserve">Certificate of Designation of Series A Junior Participating Preferred Stock of comScore, Inc., as filed with the Secretary of State of the State of Delaware </w:t>
              </w:r>
              <w:r>
                <w:rPr>
                  <w:rStyle w:val="a3"/>
                  <w:rFonts w:eastAsia="Times New Roman"/>
                  <w:sz w:val="20"/>
                  <w:szCs w:val="20"/>
                </w:rPr>
                <w:t>on February 9, 2017 (incorporated by reference to Exhibit 3.1 to the Registrant's Current Report on Form 8-K, filed February 9, 2017) (File No. 001-33520)</w:t>
              </w:r>
            </w:hyperlink>
          </w:p>
        </w:tc>
      </w:tr>
      <w:tr w:rsidR="00000000" w14:paraId="1DA26266" w14:textId="77777777">
        <w:trPr>
          <w:trHeight w:val="60"/>
          <w:jc w:val="center"/>
        </w:trPr>
        <w:tc>
          <w:tcPr>
            <w:tcW w:w="0" w:type="auto"/>
            <w:gridSpan w:val="3"/>
            <w:tcMar>
              <w:top w:w="0" w:type="dxa"/>
              <w:left w:w="20" w:type="dxa"/>
              <w:bottom w:w="0" w:type="dxa"/>
              <w:right w:w="20" w:type="dxa"/>
            </w:tcMar>
            <w:vAlign w:val="center"/>
            <w:hideMark/>
          </w:tcPr>
          <w:p w14:paraId="52BC6FFF"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2221619B"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5AA3439" w14:textId="77777777" w:rsidR="00000000" w:rsidRDefault="00E614A4">
            <w:pPr>
              <w:rPr>
                <w:rFonts w:eastAsia="Times New Roman"/>
                <w:sz w:val="20"/>
                <w:szCs w:val="20"/>
              </w:rPr>
            </w:pPr>
          </w:p>
        </w:tc>
      </w:tr>
      <w:tr w:rsidR="00000000" w14:paraId="0349DB0B" w14:textId="77777777">
        <w:trPr>
          <w:jc w:val="center"/>
        </w:trPr>
        <w:tc>
          <w:tcPr>
            <w:tcW w:w="0" w:type="auto"/>
            <w:gridSpan w:val="3"/>
            <w:tcMar>
              <w:top w:w="30" w:type="dxa"/>
              <w:left w:w="20" w:type="dxa"/>
              <w:bottom w:w="30" w:type="dxa"/>
              <w:right w:w="20" w:type="dxa"/>
            </w:tcMar>
            <w:hideMark/>
          </w:tcPr>
          <w:p w14:paraId="79A5A7E9" w14:textId="77777777" w:rsidR="00000000" w:rsidRDefault="00E614A4">
            <w:pPr>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14:paraId="63279313"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00421C71" w14:textId="77777777" w:rsidR="00000000" w:rsidRDefault="00E614A4">
            <w:pPr>
              <w:jc w:val="both"/>
              <w:rPr>
                <w:rFonts w:eastAsia="Times New Roman"/>
              </w:rPr>
            </w:pPr>
            <w:hyperlink r:id="rId19" w:history="1">
              <w:r>
                <w:rPr>
                  <w:rStyle w:val="a3"/>
                  <w:rFonts w:eastAsia="Times New Roman"/>
                  <w:sz w:val="20"/>
                  <w:szCs w:val="20"/>
                </w:rPr>
                <w:t xml:space="preserve">Certificate of Elimination of Series A Junior Participating Preferred Stock of comScore, Inc., as filed with the Secretary of State of the State of Delaware </w:t>
              </w:r>
              <w:r>
                <w:rPr>
                  <w:rStyle w:val="a3"/>
                  <w:rFonts w:eastAsia="Times New Roman"/>
                  <w:sz w:val="20"/>
                  <w:szCs w:val="20"/>
                </w:rPr>
                <w:t>on September 29, 2017 (incorporated by reference to Exhibit 3.1 to the Registrant's Current Report on Form 8-K, filed October 4, 2017) (File No. 001-33520)</w:t>
              </w:r>
            </w:hyperlink>
          </w:p>
        </w:tc>
      </w:tr>
      <w:tr w:rsidR="00000000" w14:paraId="348DCC0F" w14:textId="77777777">
        <w:trPr>
          <w:trHeight w:val="60"/>
          <w:jc w:val="center"/>
        </w:trPr>
        <w:tc>
          <w:tcPr>
            <w:tcW w:w="0" w:type="auto"/>
            <w:gridSpan w:val="3"/>
            <w:tcMar>
              <w:top w:w="0" w:type="dxa"/>
              <w:left w:w="20" w:type="dxa"/>
              <w:bottom w:w="0" w:type="dxa"/>
              <w:right w:w="20" w:type="dxa"/>
            </w:tcMar>
            <w:vAlign w:val="center"/>
            <w:hideMark/>
          </w:tcPr>
          <w:p w14:paraId="4364ED1E"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11E981F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62C8241" w14:textId="77777777" w:rsidR="00000000" w:rsidRDefault="00E614A4">
            <w:pPr>
              <w:rPr>
                <w:rFonts w:eastAsia="Times New Roman"/>
                <w:sz w:val="20"/>
                <w:szCs w:val="20"/>
              </w:rPr>
            </w:pPr>
          </w:p>
        </w:tc>
      </w:tr>
      <w:tr w:rsidR="00000000" w14:paraId="02A567D6" w14:textId="77777777">
        <w:trPr>
          <w:jc w:val="center"/>
        </w:trPr>
        <w:tc>
          <w:tcPr>
            <w:tcW w:w="0" w:type="auto"/>
            <w:gridSpan w:val="3"/>
            <w:tcMar>
              <w:top w:w="30" w:type="dxa"/>
              <w:left w:w="20" w:type="dxa"/>
              <w:bottom w:w="30" w:type="dxa"/>
              <w:right w:w="20" w:type="dxa"/>
            </w:tcMar>
            <w:hideMark/>
          </w:tcPr>
          <w:p w14:paraId="3EDA2A20" w14:textId="77777777" w:rsidR="00000000" w:rsidRDefault="00E614A4">
            <w:pPr>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14:paraId="528EDCD3"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DBA6444" w14:textId="77777777" w:rsidR="00000000" w:rsidRDefault="00E614A4">
            <w:pPr>
              <w:jc w:val="both"/>
              <w:rPr>
                <w:rFonts w:eastAsia="Times New Roman"/>
              </w:rPr>
            </w:pPr>
            <w:hyperlink r:id="rId20" w:history="1">
              <w:r>
                <w:rPr>
                  <w:rStyle w:val="a3"/>
                  <w:rFonts w:eastAsia="Times New Roman"/>
                  <w:sz w:val="20"/>
                  <w:szCs w:val="20"/>
                </w:rPr>
                <w:t>Amended and Restated Bylaws of comScore, Inc (incorporated by reference to Exhibit 3.2 to the Registrant's Quarterly Report on Form 10-Q for th</w:t>
              </w:r>
              <w:r>
                <w:rPr>
                  <w:rStyle w:val="a3"/>
                  <w:rFonts w:eastAsia="Times New Roman"/>
                  <w:sz w:val="20"/>
                  <w:szCs w:val="20"/>
                </w:rPr>
                <w:t>e period ended June 30, 2018, filed August 10, 2018) (File No. 001-33520)</w:t>
              </w:r>
            </w:hyperlink>
            <w:r>
              <w:rPr>
                <w:rFonts w:eastAsia="Times New Roman"/>
                <w:color w:val="000000"/>
                <w:sz w:val="20"/>
                <w:szCs w:val="20"/>
              </w:rPr>
              <w:t xml:space="preserve">. </w:t>
            </w:r>
          </w:p>
        </w:tc>
      </w:tr>
      <w:tr w:rsidR="00000000" w14:paraId="2A9B353B" w14:textId="77777777">
        <w:trPr>
          <w:trHeight w:val="60"/>
          <w:jc w:val="center"/>
        </w:trPr>
        <w:tc>
          <w:tcPr>
            <w:tcW w:w="0" w:type="auto"/>
            <w:gridSpan w:val="3"/>
            <w:tcMar>
              <w:top w:w="0" w:type="dxa"/>
              <w:left w:w="20" w:type="dxa"/>
              <w:bottom w:w="0" w:type="dxa"/>
              <w:right w:w="20" w:type="dxa"/>
            </w:tcMar>
            <w:vAlign w:val="center"/>
            <w:hideMark/>
          </w:tcPr>
          <w:p w14:paraId="1E8D3C22"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2B48B17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ECC9C77" w14:textId="77777777" w:rsidR="00000000" w:rsidRDefault="00E614A4">
            <w:pPr>
              <w:rPr>
                <w:rFonts w:eastAsia="Times New Roman"/>
                <w:sz w:val="20"/>
                <w:szCs w:val="20"/>
              </w:rPr>
            </w:pPr>
          </w:p>
        </w:tc>
      </w:tr>
      <w:tr w:rsidR="00000000" w14:paraId="72C50D0C" w14:textId="77777777">
        <w:trPr>
          <w:jc w:val="center"/>
        </w:trPr>
        <w:tc>
          <w:tcPr>
            <w:tcW w:w="0" w:type="auto"/>
            <w:gridSpan w:val="3"/>
            <w:tcMar>
              <w:top w:w="30" w:type="dxa"/>
              <w:left w:w="20" w:type="dxa"/>
              <w:bottom w:w="30" w:type="dxa"/>
              <w:right w:w="20" w:type="dxa"/>
            </w:tcMar>
            <w:hideMark/>
          </w:tcPr>
          <w:p w14:paraId="1F55F486" w14:textId="77777777" w:rsidR="00000000" w:rsidRDefault="00E614A4">
            <w:pP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14:paraId="3F927539"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0A7DC8D" w14:textId="77777777" w:rsidR="00000000" w:rsidRDefault="00E614A4">
            <w:pPr>
              <w:jc w:val="both"/>
              <w:rPr>
                <w:rFonts w:eastAsia="Times New Roman"/>
              </w:rPr>
            </w:pPr>
            <w:hyperlink r:id="rId21" w:history="1">
              <w:r>
                <w:rPr>
                  <w:rStyle w:val="a3"/>
                  <w:rFonts w:eastAsia="Times New Roman"/>
                  <w:sz w:val="20"/>
                  <w:szCs w:val="20"/>
                </w:rPr>
                <w:t xml:space="preserve">Form of Senior Secured Convertible Note (Initial Notes), as amended (incorporated by reference to Exhibit 4.1 to the Registrant's Quarterly Report </w:t>
              </w:r>
              <w:r>
                <w:rPr>
                  <w:rStyle w:val="a3"/>
                  <w:rFonts w:eastAsia="Times New Roman"/>
                  <w:sz w:val="20"/>
                  <w:szCs w:val="20"/>
                </w:rPr>
                <w:t>on Form 10-Q for the period ended June 30, 2020, filed August 10, 2020) (File No. 001-33520)</w:t>
              </w:r>
            </w:hyperlink>
          </w:p>
        </w:tc>
      </w:tr>
      <w:tr w:rsidR="00000000" w14:paraId="0B75F54A" w14:textId="77777777">
        <w:trPr>
          <w:trHeight w:val="60"/>
          <w:jc w:val="center"/>
        </w:trPr>
        <w:tc>
          <w:tcPr>
            <w:tcW w:w="0" w:type="auto"/>
            <w:gridSpan w:val="3"/>
            <w:tcMar>
              <w:top w:w="0" w:type="dxa"/>
              <w:left w:w="20" w:type="dxa"/>
              <w:bottom w:w="0" w:type="dxa"/>
              <w:right w:w="20" w:type="dxa"/>
            </w:tcMar>
            <w:vAlign w:val="center"/>
            <w:hideMark/>
          </w:tcPr>
          <w:p w14:paraId="0C928112"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6B6E3ED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F6CC95D" w14:textId="77777777" w:rsidR="00000000" w:rsidRDefault="00E614A4">
            <w:pPr>
              <w:rPr>
                <w:rFonts w:eastAsia="Times New Roman"/>
                <w:sz w:val="20"/>
                <w:szCs w:val="20"/>
              </w:rPr>
            </w:pPr>
          </w:p>
        </w:tc>
      </w:tr>
      <w:tr w:rsidR="00000000" w14:paraId="6522C9ED" w14:textId="77777777">
        <w:trPr>
          <w:jc w:val="center"/>
        </w:trPr>
        <w:tc>
          <w:tcPr>
            <w:tcW w:w="0" w:type="auto"/>
            <w:gridSpan w:val="3"/>
            <w:tcMar>
              <w:top w:w="30" w:type="dxa"/>
              <w:left w:w="20" w:type="dxa"/>
              <w:bottom w:w="30" w:type="dxa"/>
              <w:right w:w="20" w:type="dxa"/>
            </w:tcMar>
            <w:hideMark/>
          </w:tcPr>
          <w:p w14:paraId="474FDF24" w14:textId="77777777" w:rsidR="00000000" w:rsidRDefault="00E614A4">
            <w:pPr>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14:paraId="5E3037F3"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ADF573D" w14:textId="77777777" w:rsidR="00000000" w:rsidRDefault="00E614A4">
            <w:pPr>
              <w:jc w:val="both"/>
              <w:rPr>
                <w:rFonts w:eastAsia="Times New Roman"/>
              </w:rPr>
            </w:pPr>
            <w:hyperlink r:id="rId22" w:history="1">
              <w:r>
                <w:rPr>
                  <w:rStyle w:val="a3"/>
                  <w:rFonts w:eastAsia="Times New Roman"/>
                  <w:sz w:val="20"/>
                  <w:szCs w:val="20"/>
                </w:rPr>
                <w:t>Form of Senior Secured Convertible Note (Option Notes), as amended (incorporated by reference to Exhibit 4.2 to the Registrant's Quarterly Report o</w:t>
              </w:r>
              <w:r>
                <w:rPr>
                  <w:rStyle w:val="a3"/>
                  <w:rFonts w:eastAsia="Times New Roman"/>
                  <w:sz w:val="20"/>
                  <w:szCs w:val="20"/>
                </w:rPr>
                <w:t>n Form 10-Q for the period ended June 30, 2020, filed August 10, 2020) (File No. 001-33520)</w:t>
              </w:r>
            </w:hyperlink>
          </w:p>
        </w:tc>
      </w:tr>
      <w:tr w:rsidR="00000000" w14:paraId="2567AAA8" w14:textId="77777777">
        <w:trPr>
          <w:trHeight w:val="60"/>
          <w:jc w:val="center"/>
        </w:trPr>
        <w:tc>
          <w:tcPr>
            <w:tcW w:w="0" w:type="auto"/>
            <w:gridSpan w:val="3"/>
            <w:tcMar>
              <w:top w:w="0" w:type="dxa"/>
              <w:left w:w="20" w:type="dxa"/>
              <w:bottom w:w="0" w:type="dxa"/>
              <w:right w:w="20" w:type="dxa"/>
            </w:tcMar>
            <w:vAlign w:val="center"/>
            <w:hideMark/>
          </w:tcPr>
          <w:p w14:paraId="02A9723A"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398FC87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C0ACD02" w14:textId="77777777" w:rsidR="00000000" w:rsidRDefault="00E614A4">
            <w:pPr>
              <w:rPr>
                <w:rFonts w:eastAsia="Times New Roman"/>
                <w:sz w:val="20"/>
                <w:szCs w:val="20"/>
              </w:rPr>
            </w:pPr>
          </w:p>
        </w:tc>
      </w:tr>
      <w:tr w:rsidR="00000000" w14:paraId="02BD6DB1" w14:textId="77777777">
        <w:trPr>
          <w:jc w:val="center"/>
        </w:trPr>
        <w:tc>
          <w:tcPr>
            <w:tcW w:w="0" w:type="auto"/>
            <w:gridSpan w:val="3"/>
            <w:tcMar>
              <w:top w:w="30" w:type="dxa"/>
              <w:left w:w="20" w:type="dxa"/>
              <w:bottom w:w="30" w:type="dxa"/>
              <w:right w:w="20" w:type="dxa"/>
            </w:tcMar>
            <w:hideMark/>
          </w:tcPr>
          <w:p w14:paraId="150ABC36" w14:textId="77777777" w:rsidR="00000000" w:rsidRDefault="00E614A4">
            <w:pPr>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14:paraId="57E31A8A"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3E7DFF71" w14:textId="77777777" w:rsidR="00000000" w:rsidRDefault="00E614A4">
            <w:pPr>
              <w:jc w:val="both"/>
              <w:rPr>
                <w:rFonts w:eastAsia="Times New Roman"/>
              </w:rPr>
            </w:pPr>
            <w:hyperlink r:id="rId23" w:history="1">
              <w:r>
                <w:rPr>
                  <w:rStyle w:val="a3"/>
                  <w:rFonts w:eastAsia="Times New Roman"/>
                  <w:sz w:val="20"/>
                  <w:szCs w:val="20"/>
                </w:rPr>
                <w:t>Specimen Common Stock Certificate (incorp</w:t>
              </w:r>
              <w:r>
                <w:rPr>
                  <w:rStyle w:val="a3"/>
                  <w:rFonts w:eastAsia="Times New Roman"/>
                  <w:sz w:val="20"/>
                  <w:szCs w:val="20"/>
                </w:rPr>
                <w:t>orated by reference to Exhibit 4.1 to the Registrant's Registration Statement on Form S-1, as amended, filed June 12, 2007) (File No. 333-141740)</w:t>
              </w:r>
            </w:hyperlink>
          </w:p>
        </w:tc>
      </w:tr>
      <w:tr w:rsidR="00000000" w14:paraId="0468C8FF" w14:textId="77777777">
        <w:trPr>
          <w:trHeight w:val="60"/>
          <w:jc w:val="center"/>
        </w:trPr>
        <w:tc>
          <w:tcPr>
            <w:tcW w:w="0" w:type="auto"/>
            <w:gridSpan w:val="3"/>
            <w:tcMar>
              <w:top w:w="0" w:type="dxa"/>
              <w:left w:w="20" w:type="dxa"/>
              <w:bottom w:w="0" w:type="dxa"/>
              <w:right w:w="20" w:type="dxa"/>
            </w:tcMar>
            <w:vAlign w:val="center"/>
            <w:hideMark/>
          </w:tcPr>
          <w:p w14:paraId="3825D866"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1EEB844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C3E12EC" w14:textId="77777777" w:rsidR="00000000" w:rsidRDefault="00E614A4">
            <w:pPr>
              <w:rPr>
                <w:rFonts w:eastAsia="Times New Roman"/>
                <w:sz w:val="20"/>
                <w:szCs w:val="20"/>
              </w:rPr>
            </w:pPr>
          </w:p>
        </w:tc>
      </w:tr>
      <w:tr w:rsidR="00000000" w14:paraId="33CFC63E" w14:textId="77777777">
        <w:trPr>
          <w:jc w:val="center"/>
        </w:trPr>
        <w:tc>
          <w:tcPr>
            <w:tcW w:w="0" w:type="auto"/>
            <w:gridSpan w:val="3"/>
            <w:tcMar>
              <w:top w:w="30" w:type="dxa"/>
              <w:left w:w="20" w:type="dxa"/>
              <w:bottom w:w="30" w:type="dxa"/>
              <w:right w:w="20" w:type="dxa"/>
            </w:tcMar>
            <w:hideMark/>
          </w:tcPr>
          <w:p w14:paraId="42F38945" w14:textId="77777777" w:rsidR="00000000" w:rsidRDefault="00E614A4">
            <w:pPr>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14:paraId="13E60378"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A1FDF8B" w14:textId="77777777" w:rsidR="00000000" w:rsidRDefault="00E614A4">
            <w:pPr>
              <w:jc w:val="both"/>
              <w:rPr>
                <w:rFonts w:eastAsia="Times New Roman"/>
              </w:rPr>
            </w:pPr>
            <w:hyperlink r:id="rId24" w:history="1">
              <w:r>
                <w:rPr>
                  <w:rStyle w:val="a3"/>
                  <w:rFonts w:eastAsia="Times New Roman"/>
                  <w:sz w:val="20"/>
                  <w:szCs w:val="20"/>
                </w:rPr>
                <w:t xml:space="preserve">Series A Warrant Issued to CVI Investments, Inc. (incorporated by reference to Exhibit 4.1 to the Registrant's Current Report on Form 8-K, filed June 26, 2019) </w:t>
              </w:r>
              <w:r>
                <w:rPr>
                  <w:rStyle w:val="a3"/>
                  <w:rFonts w:eastAsia="Times New Roman"/>
                  <w:sz w:val="20"/>
                  <w:szCs w:val="20"/>
                </w:rPr>
                <w:t>(File No. 001-33520)</w:t>
              </w:r>
            </w:hyperlink>
          </w:p>
        </w:tc>
      </w:tr>
      <w:tr w:rsidR="00000000" w14:paraId="22E10844" w14:textId="77777777">
        <w:trPr>
          <w:trHeight w:val="60"/>
          <w:jc w:val="center"/>
        </w:trPr>
        <w:tc>
          <w:tcPr>
            <w:tcW w:w="0" w:type="auto"/>
            <w:gridSpan w:val="3"/>
            <w:tcMar>
              <w:top w:w="0" w:type="dxa"/>
              <w:left w:w="20" w:type="dxa"/>
              <w:bottom w:w="0" w:type="dxa"/>
              <w:right w:w="20" w:type="dxa"/>
            </w:tcMar>
            <w:vAlign w:val="center"/>
            <w:hideMark/>
          </w:tcPr>
          <w:p w14:paraId="44F4FDFB"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5C06EA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2611EA2" w14:textId="77777777" w:rsidR="00000000" w:rsidRDefault="00E614A4">
            <w:pPr>
              <w:rPr>
                <w:rFonts w:eastAsia="Times New Roman"/>
                <w:sz w:val="20"/>
                <w:szCs w:val="20"/>
              </w:rPr>
            </w:pPr>
          </w:p>
        </w:tc>
      </w:tr>
      <w:tr w:rsidR="00000000" w14:paraId="758DA6F3" w14:textId="77777777">
        <w:trPr>
          <w:jc w:val="center"/>
        </w:trPr>
        <w:tc>
          <w:tcPr>
            <w:tcW w:w="0" w:type="auto"/>
            <w:gridSpan w:val="3"/>
            <w:tcMar>
              <w:top w:w="30" w:type="dxa"/>
              <w:left w:w="20" w:type="dxa"/>
              <w:bottom w:w="30" w:type="dxa"/>
              <w:right w:w="20" w:type="dxa"/>
            </w:tcMar>
            <w:hideMark/>
          </w:tcPr>
          <w:p w14:paraId="2E06E342" w14:textId="77777777" w:rsidR="00000000" w:rsidRDefault="00E614A4">
            <w:pPr>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14:paraId="59492A8D"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6F23950" w14:textId="77777777" w:rsidR="00000000" w:rsidRDefault="00E614A4">
            <w:pPr>
              <w:jc w:val="both"/>
              <w:rPr>
                <w:rFonts w:eastAsia="Times New Roman"/>
              </w:rPr>
            </w:pPr>
            <w:hyperlink r:id="rId25" w:history="1">
              <w:r>
                <w:rPr>
                  <w:rStyle w:val="a3"/>
                  <w:rFonts w:eastAsia="Times New Roman"/>
                  <w:sz w:val="20"/>
                  <w:szCs w:val="20"/>
                </w:rPr>
                <w:t>Series B-1 Warrant Issued to CVI Investments, Inc. (incorporated by reference to Exhibit 4.2 to the Registrant's Current Report on Form 8-K, filed June 26, 2019) (File No. 001-33520)</w:t>
              </w:r>
            </w:hyperlink>
          </w:p>
        </w:tc>
      </w:tr>
      <w:tr w:rsidR="00000000" w14:paraId="6BA39562" w14:textId="77777777">
        <w:trPr>
          <w:trHeight w:val="60"/>
          <w:jc w:val="center"/>
        </w:trPr>
        <w:tc>
          <w:tcPr>
            <w:tcW w:w="0" w:type="auto"/>
            <w:gridSpan w:val="3"/>
            <w:tcMar>
              <w:top w:w="0" w:type="dxa"/>
              <w:left w:w="20" w:type="dxa"/>
              <w:bottom w:w="0" w:type="dxa"/>
              <w:right w:w="20" w:type="dxa"/>
            </w:tcMar>
            <w:vAlign w:val="center"/>
            <w:hideMark/>
          </w:tcPr>
          <w:p w14:paraId="564A9FE7"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7E542D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142682F" w14:textId="77777777" w:rsidR="00000000" w:rsidRDefault="00E614A4">
            <w:pPr>
              <w:rPr>
                <w:rFonts w:eastAsia="Times New Roman"/>
                <w:sz w:val="20"/>
                <w:szCs w:val="20"/>
              </w:rPr>
            </w:pPr>
          </w:p>
        </w:tc>
      </w:tr>
      <w:tr w:rsidR="00000000" w14:paraId="12DD08E9" w14:textId="77777777">
        <w:trPr>
          <w:jc w:val="center"/>
        </w:trPr>
        <w:tc>
          <w:tcPr>
            <w:tcW w:w="0" w:type="auto"/>
            <w:gridSpan w:val="3"/>
            <w:tcMar>
              <w:top w:w="30" w:type="dxa"/>
              <w:left w:w="20" w:type="dxa"/>
              <w:bottom w:w="30" w:type="dxa"/>
              <w:right w:w="20" w:type="dxa"/>
            </w:tcMar>
            <w:hideMark/>
          </w:tcPr>
          <w:p w14:paraId="7DA6C749" w14:textId="77777777" w:rsidR="00000000" w:rsidRDefault="00E614A4">
            <w:pPr>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14:paraId="02383C7A"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274B8A9" w14:textId="77777777" w:rsidR="00000000" w:rsidRDefault="00E614A4">
            <w:pPr>
              <w:jc w:val="both"/>
              <w:rPr>
                <w:rFonts w:eastAsia="Times New Roman"/>
              </w:rPr>
            </w:pPr>
            <w:hyperlink r:id="rId26" w:history="1">
              <w:r>
                <w:rPr>
                  <w:rStyle w:val="a3"/>
                  <w:rFonts w:eastAsia="Times New Roman"/>
                  <w:sz w:val="20"/>
                  <w:szCs w:val="20"/>
                </w:rPr>
                <w:t>Series B-2 Warrant Issued to CVI Investments, Inc. (incorporated by reference to Exhibit 4.3 to the Registrant's Current Report on Form 8-K, filed June 26, 2019</w:t>
              </w:r>
              <w:r>
                <w:rPr>
                  <w:rStyle w:val="a3"/>
                  <w:rFonts w:eastAsia="Times New Roman"/>
                  <w:sz w:val="20"/>
                  <w:szCs w:val="20"/>
                </w:rPr>
                <w:t>) (File No. 001-33520)</w:t>
              </w:r>
            </w:hyperlink>
          </w:p>
        </w:tc>
      </w:tr>
      <w:tr w:rsidR="00000000" w14:paraId="12AE2004" w14:textId="77777777">
        <w:trPr>
          <w:trHeight w:val="60"/>
          <w:jc w:val="center"/>
        </w:trPr>
        <w:tc>
          <w:tcPr>
            <w:tcW w:w="0" w:type="auto"/>
            <w:gridSpan w:val="3"/>
            <w:tcMar>
              <w:top w:w="0" w:type="dxa"/>
              <w:left w:w="20" w:type="dxa"/>
              <w:bottom w:w="0" w:type="dxa"/>
              <w:right w:w="20" w:type="dxa"/>
            </w:tcMar>
            <w:vAlign w:val="center"/>
            <w:hideMark/>
          </w:tcPr>
          <w:p w14:paraId="44AB9123"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4EBB1E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1158C24" w14:textId="77777777" w:rsidR="00000000" w:rsidRDefault="00E614A4">
            <w:pPr>
              <w:rPr>
                <w:rFonts w:eastAsia="Times New Roman"/>
                <w:sz w:val="20"/>
                <w:szCs w:val="20"/>
              </w:rPr>
            </w:pPr>
          </w:p>
        </w:tc>
      </w:tr>
      <w:tr w:rsidR="00000000" w14:paraId="0AE60AA6" w14:textId="77777777">
        <w:trPr>
          <w:jc w:val="center"/>
        </w:trPr>
        <w:tc>
          <w:tcPr>
            <w:tcW w:w="0" w:type="auto"/>
            <w:gridSpan w:val="3"/>
            <w:tcMar>
              <w:top w:w="30" w:type="dxa"/>
              <w:left w:w="20" w:type="dxa"/>
              <w:bottom w:w="30" w:type="dxa"/>
              <w:right w:w="20" w:type="dxa"/>
            </w:tcMar>
            <w:hideMark/>
          </w:tcPr>
          <w:p w14:paraId="3D0EF240" w14:textId="77777777" w:rsidR="00000000" w:rsidRDefault="00E614A4">
            <w:pPr>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14:paraId="01704EF4"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C91A7FA" w14:textId="77777777" w:rsidR="00000000" w:rsidRDefault="00E614A4">
            <w:pPr>
              <w:jc w:val="both"/>
              <w:rPr>
                <w:rFonts w:eastAsia="Times New Roman"/>
              </w:rPr>
            </w:pPr>
            <w:hyperlink r:id="rId27" w:history="1">
              <w:r>
                <w:rPr>
                  <w:rStyle w:val="a3"/>
                  <w:rFonts w:eastAsia="Times New Roman"/>
                  <w:sz w:val="20"/>
                  <w:szCs w:val="20"/>
                </w:rPr>
                <w:t>Series C Warrant Issued to CVI Investments, Inc. (incorporated by reference to Exhibit 4.7 to the Registrant's Quarterly Report on Form 10-Q, filed August 07, 2019) (File No. 001-33520)</w:t>
              </w:r>
            </w:hyperlink>
          </w:p>
        </w:tc>
      </w:tr>
      <w:tr w:rsidR="00000000" w14:paraId="563BF37E" w14:textId="77777777">
        <w:trPr>
          <w:trHeight w:val="60"/>
          <w:jc w:val="center"/>
        </w:trPr>
        <w:tc>
          <w:tcPr>
            <w:tcW w:w="0" w:type="auto"/>
            <w:gridSpan w:val="3"/>
            <w:tcMar>
              <w:top w:w="0" w:type="dxa"/>
              <w:left w:w="20" w:type="dxa"/>
              <w:bottom w:w="0" w:type="dxa"/>
              <w:right w:w="20" w:type="dxa"/>
            </w:tcMar>
            <w:vAlign w:val="center"/>
            <w:hideMark/>
          </w:tcPr>
          <w:p w14:paraId="363345AB"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68046FE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D461FBB" w14:textId="77777777" w:rsidR="00000000" w:rsidRDefault="00E614A4">
            <w:pPr>
              <w:rPr>
                <w:rFonts w:eastAsia="Times New Roman"/>
                <w:sz w:val="20"/>
                <w:szCs w:val="20"/>
              </w:rPr>
            </w:pPr>
          </w:p>
        </w:tc>
      </w:tr>
      <w:tr w:rsidR="00000000" w14:paraId="2EB78296" w14:textId="77777777">
        <w:trPr>
          <w:jc w:val="center"/>
        </w:trPr>
        <w:tc>
          <w:tcPr>
            <w:tcW w:w="0" w:type="auto"/>
            <w:gridSpan w:val="3"/>
            <w:tcMar>
              <w:top w:w="30" w:type="dxa"/>
              <w:left w:w="20" w:type="dxa"/>
              <w:bottom w:w="30" w:type="dxa"/>
              <w:right w:w="20" w:type="dxa"/>
            </w:tcMar>
            <w:hideMark/>
          </w:tcPr>
          <w:p w14:paraId="54F90935" w14:textId="77777777" w:rsidR="00000000" w:rsidRDefault="00E614A4">
            <w:pPr>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14:paraId="70E30753"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09CE985" w14:textId="77777777" w:rsidR="00000000" w:rsidRDefault="00E614A4">
            <w:pPr>
              <w:jc w:val="both"/>
              <w:rPr>
                <w:rFonts w:eastAsia="Times New Roman"/>
              </w:rPr>
            </w:pPr>
            <w:hyperlink r:id="rId28" w:history="1">
              <w:r>
                <w:rPr>
                  <w:rStyle w:val="a3"/>
                  <w:rFonts w:eastAsia="Times New Roman"/>
                  <w:sz w:val="20"/>
                  <w:szCs w:val="20"/>
                </w:rPr>
                <w:t>Registration Rights Agreement, dated June 26, 2019, between comScore, Inc and CVI Investments, Inc. (incorporated by reference to Exhibit 4.5 to the Registrant's Current Report on Form 8-K, filed June 26, 201</w:t>
              </w:r>
              <w:r>
                <w:rPr>
                  <w:rStyle w:val="a3"/>
                  <w:rFonts w:eastAsia="Times New Roman"/>
                  <w:sz w:val="20"/>
                  <w:szCs w:val="20"/>
                </w:rPr>
                <w:t>9) (File No. 001-33520)</w:t>
              </w:r>
            </w:hyperlink>
          </w:p>
        </w:tc>
      </w:tr>
      <w:tr w:rsidR="00000000" w14:paraId="71B01FE2" w14:textId="77777777">
        <w:trPr>
          <w:trHeight w:val="60"/>
          <w:jc w:val="center"/>
        </w:trPr>
        <w:tc>
          <w:tcPr>
            <w:tcW w:w="0" w:type="auto"/>
            <w:gridSpan w:val="3"/>
            <w:tcMar>
              <w:top w:w="0" w:type="dxa"/>
              <w:left w:w="20" w:type="dxa"/>
              <w:bottom w:w="0" w:type="dxa"/>
              <w:right w:w="20" w:type="dxa"/>
            </w:tcMar>
            <w:vAlign w:val="center"/>
            <w:hideMark/>
          </w:tcPr>
          <w:p w14:paraId="51198437"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5AF2160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4433760" w14:textId="77777777" w:rsidR="00000000" w:rsidRDefault="00E614A4">
            <w:pPr>
              <w:rPr>
                <w:rFonts w:eastAsia="Times New Roman"/>
                <w:sz w:val="20"/>
                <w:szCs w:val="20"/>
              </w:rPr>
            </w:pPr>
          </w:p>
        </w:tc>
      </w:tr>
      <w:tr w:rsidR="00000000" w14:paraId="1630E4C3" w14:textId="77777777">
        <w:trPr>
          <w:jc w:val="center"/>
        </w:trPr>
        <w:tc>
          <w:tcPr>
            <w:tcW w:w="0" w:type="auto"/>
            <w:gridSpan w:val="3"/>
            <w:tcMar>
              <w:top w:w="30" w:type="dxa"/>
              <w:left w:w="20" w:type="dxa"/>
              <w:bottom w:w="30" w:type="dxa"/>
              <w:right w:w="20" w:type="dxa"/>
            </w:tcMar>
            <w:vAlign w:val="center"/>
            <w:hideMark/>
          </w:tcPr>
          <w:p w14:paraId="0CC42248" w14:textId="77777777" w:rsidR="00000000" w:rsidRDefault="00E614A4">
            <w:pPr>
              <w:rPr>
                <w:rFonts w:eastAsia="Times New Roman"/>
              </w:rPr>
            </w:pPr>
            <w:r>
              <w:rPr>
                <w:rFonts w:eastAsia="Times New Roman"/>
                <w:color w:val="000000"/>
                <w:sz w:val="20"/>
                <w:szCs w:val="20"/>
              </w:rPr>
              <w:t>4.9+</w:t>
            </w:r>
          </w:p>
        </w:tc>
        <w:tc>
          <w:tcPr>
            <w:tcW w:w="0" w:type="auto"/>
            <w:gridSpan w:val="3"/>
            <w:tcMar>
              <w:top w:w="0" w:type="dxa"/>
              <w:left w:w="20" w:type="dxa"/>
              <w:bottom w:w="0" w:type="dxa"/>
              <w:right w:w="20" w:type="dxa"/>
            </w:tcMar>
            <w:vAlign w:val="center"/>
            <w:hideMark/>
          </w:tcPr>
          <w:p w14:paraId="5B63DD53"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212EA9B2" w14:textId="77777777" w:rsidR="00000000" w:rsidRDefault="00E614A4">
            <w:pPr>
              <w:jc w:val="both"/>
              <w:rPr>
                <w:rFonts w:eastAsia="Times New Roman"/>
              </w:rPr>
            </w:pPr>
            <w:hyperlink r:id="rId29" w:history="1">
              <w:r>
                <w:rPr>
                  <w:rStyle w:val="a3"/>
                  <w:rFonts w:eastAsia="Times New Roman"/>
                  <w:sz w:val="20"/>
                  <w:szCs w:val="20"/>
                </w:rPr>
                <w:t>Description of Securities</w:t>
              </w:r>
            </w:hyperlink>
          </w:p>
        </w:tc>
      </w:tr>
      <w:tr w:rsidR="00000000" w14:paraId="611CA2AC" w14:textId="77777777">
        <w:trPr>
          <w:trHeight w:val="60"/>
          <w:jc w:val="center"/>
        </w:trPr>
        <w:tc>
          <w:tcPr>
            <w:tcW w:w="0" w:type="auto"/>
            <w:gridSpan w:val="3"/>
            <w:tcMar>
              <w:top w:w="0" w:type="dxa"/>
              <w:left w:w="20" w:type="dxa"/>
              <w:bottom w:w="0" w:type="dxa"/>
              <w:right w:w="20" w:type="dxa"/>
            </w:tcMar>
            <w:vAlign w:val="center"/>
            <w:hideMark/>
          </w:tcPr>
          <w:p w14:paraId="6CC4D12C"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5599780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B9D6AF1" w14:textId="77777777" w:rsidR="00000000" w:rsidRDefault="00E614A4">
            <w:pPr>
              <w:rPr>
                <w:rFonts w:eastAsia="Times New Roman"/>
                <w:sz w:val="20"/>
                <w:szCs w:val="20"/>
              </w:rPr>
            </w:pPr>
          </w:p>
        </w:tc>
      </w:tr>
      <w:tr w:rsidR="00000000" w14:paraId="66B2D222" w14:textId="77777777">
        <w:trPr>
          <w:jc w:val="center"/>
        </w:trPr>
        <w:tc>
          <w:tcPr>
            <w:tcW w:w="0" w:type="auto"/>
            <w:gridSpan w:val="3"/>
            <w:tcMar>
              <w:top w:w="30" w:type="dxa"/>
              <w:left w:w="20" w:type="dxa"/>
              <w:bottom w:w="30" w:type="dxa"/>
              <w:right w:w="20" w:type="dxa"/>
            </w:tcMar>
            <w:hideMark/>
          </w:tcPr>
          <w:p w14:paraId="22999BE5" w14:textId="77777777" w:rsidR="00000000" w:rsidRDefault="00E614A4">
            <w:pPr>
              <w:rPr>
                <w:rFonts w:eastAsia="Times New Roman"/>
              </w:rPr>
            </w:pPr>
            <w:r>
              <w:rPr>
                <w:rFonts w:eastAsia="Times New Roman"/>
                <w:color w:val="000000"/>
                <w:sz w:val="20"/>
                <w:szCs w:val="20"/>
              </w:rPr>
              <w:t>4.10</w:t>
            </w:r>
          </w:p>
        </w:tc>
        <w:tc>
          <w:tcPr>
            <w:tcW w:w="0" w:type="auto"/>
            <w:gridSpan w:val="3"/>
            <w:tcMar>
              <w:top w:w="0" w:type="dxa"/>
              <w:left w:w="20" w:type="dxa"/>
              <w:bottom w:w="0" w:type="dxa"/>
              <w:right w:w="20" w:type="dxa"/>
            </w:tcMar>
            <w:vAlign w:val="center"/>
            <w:hideMark/>
          </w:tcPr>
          <w:p w14:paraId="79FE59E2"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2DCB2E0F" w14:textId="77777777" w:rsidR="00000000" w:rsidRDefault="00E614A4">
            <w:pPr>
              <w:jc w:val="both"/>
              <w:rPr>
                <w:rFonts w:eastAsia="Times New Roman"/>
              </w:rPr>
            </w:pPr>
            <w:hyperlink r:id="rId30" w:history="1">
              <w:r>
                <w:rPr>
                  <w:rStyle w:val="a3"/>
                  <w:rFonts w:eastAsia="Times New Roman"/>
                  <w:sz w:val="20"/>
                  <w:szCs w:val="20"/>
                </w:rPr>
                <w:t xml:space="preserve">Voting Agreement, dated as of December 20, 2011, by and among comScore, Inc. and The Nielsen Company (US) LLC (incorporated by reference to Exhibit 10.3 to </w:t>
              </w:r>
              <w:r>
                <w:rPr>
                  <w:rStyle w:val="a3"/>
                  <w:rFonts w:eastAsia="Times New Roman"/>
                  <w:sz w:val="20"/>
                  <w:szCs w:val="20"/>
                </w:rPr>
                <w:t>the Registrant's Current Report on Form 8-K, filed December 21, 2011) (File No. 001-33520)</w:t>
              </w:r>
            </w:hyperlink>
          </w:p>
        </w:tc>
      </w:tr>
      <w:tr w:rsidR="00000000" w14:paraId="63D92814" w14:textId="77777777">
        <w:trPr>
          <w:trHeight w:val="60"/>
          <w:jc w:val="center"/>
        </w:trPr>
        <w:tc>
          <w:tcPr>
            <w:tcW w:w="0" w:type="auto"/>
            <w:gridSpan w:val="3"/>
            <w:tcMar>
              <w:top w:w="0" w:type="dxa"/>
              <w:left w:w="20" w:type="dxa"/>
              <w:bottom w:w="0" w:type="dxa"/>
              <w:right w:w="20" w:type="dxa"/>
            </w:tcMar>
            <w:vAlign w:val="center"/>
            <w:hideMark/>
          </w:tcPr>
          <w:p w14:paraId="753456A3"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3ECA7D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8EEFFD3" w14:textId="77777777" w:rsidR="00000000" w:rsidRDefault="00E614A4">
            <w:pPr>
              <w:rPr>
                <w:rFonts w:eastAsia="Times New Roman"/>
                <w:sz w:val="20"/>
                <w:szCs w:val="20"/>
              </w:rPr>
            </w:pPr>
          </w:p>
        </w:tc>
      </w:tr>
      <w:tr w:rsidR="00000000" w14:paraId="56F0C88E" w14:textId="77777777">
        <w:trPr>
          <w:jc w:val="center"/>
        </w:trPr>
        <w:tc>
          <w:tcPr>
            <w:tcW w:w="0" w:type="auto"/>
            <w:gridSpan w:val="3"/>
            <w:tcMar>
              <w:top w:w="30" w:type="dxa"/>
              <w:left w:w="20" w:type="dxa"/>
              <w:bottom w:w="30" w:type="dxa"/>
              <w:right w:w="20" w:type="dxa"/>
            </w:tcMar>
            <w:hideMark/>
          </w:tcPr>
          <w:p w14:paraId="1CE36CB9" w14:textId="77777777" w:rsidR="00000000" w:rsidRDefault="00E614A4">
            <w:pPr>
              <w:rPr>
                <w:rFonts w:eastAsia="Times New Roman"/>
              </w:rPr>
            </w:pPr>
            <w:r>
              <w:rPr>
                <w:rFonts w:eastAsia="Times New Roman"/>
                <w:color w:val="000000"/>
                <w:sz w:val="20"/>
                <w:szCs w:val="20"/>
              </w:rPr>
              <w:t>4.11</w:t>
            </w:r>
          </w:p>
        </w:tc>
        <w:tc>
          <w:tcPr>
            <w:tcW w:w="0" w:type="auto"/>
            <w:gridSpan w:val="3"/>
            <w:tcMar>
              <w:top w:w="0" w:type="dxa"/>
              <w:left w:w="20" w:type="dxa"/>
              <w:bottom w:w="0" w:type="dxa"/>
              <w:right w:w="20" w:type="dxa"/>
            </w:tcMar>
            <w:vAlign w:val="center"/>
            <w:hideMark/>
          </w:tcPr>
          <w:p w14:paraId="5BCEA66F"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21D3D721" w14:textId="77777777" w:rsidR="00000000" w:rsidRDefault="00E614A4">
            <w:pPr>
              <w:jc w:val="both"/>
              <w:rPr>
                <w:rFonts w:eastAsia="Times New Roman"/>
              </w:rPr>
            </w:pPr>
            <w:hyperlink r:id="rId31" w:history="1">
              <w:r>
                <w:rPr>
                  <w:rStyle w:val="a3"/>
                  <w:rFonts w:eastAsia="Times New Roman"/>
                  <w:sz w:val="20"/>
                  <w:szCs w:val="20"/>
                </w:rPr>
                <w:t>Stockholders Rights Agreement, dated as of February 11, 2015, by and among comScore, Inc., WPP Group USA, Inc. and Cavendish Square Holding B.V. (incorporat</w:t>
              </w:r>
              <w:r>
                <w:rPr>
                  <w:rStyle w:val="a3"/>
                  <w:rFonts w:eastAsia="Times New Roman"/>
                  <w:sz w:val="20"/>
                  <w:szCs w:val="20"/>
                </w:rPr>
                <w:t>ed by reference to Exhibit (d)(3) to Cavendish Square Holding B.V.'s and WPP plc's Tender Offer Statement on Schedule TO, filed February 20, 2015) (File No. 005-83687)</w:t>
              </w:r>
            </w:hyperlink>
          </w:p>
        </w:tc>
      </w:tr>
      <w:tr w:rsidR="00000000" w14:paraId="368F0C93" w14:textId="77777777">
        <w:trPr>
          <w:trHeight w:val="60"/>
          <w:jc w:val="center"/>
        </w:trPr>
        <w:tc>
          <w:tcPr>
            <w:tcW w:w="0" w:type="auto"/>
            <w:gridSpan w:val="3"/>
            <w:tcMar>
              <w:top w:w="0" w:type="dxa"/>
              <w:left w:w="20" w:type="dxa"/>
              <w:bottom w:w="0" w:type="dxa"/>
              <w:right w:w="20" w:type="dxa"/>
            </w:tcMar>
            <w:vAlign w:val="center"/>
            <w:hideMark/>
          </w:tcPr>
          <w:p w14:paraId="6E4AD8EF"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4871318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984CBE6" w14:textId="77777777" w:rsidR="00000000" w:rsidRDefault="00E614A4">
            <w:pPr>
              <w:rPr>
                <w:rFonts w:eastAsia="Times New Roman"/>
                <w:sz w:val="20"/>
                <w:szCs w:val="20"/>
              </w:rPr>
            </w:pPr>
          </w:p>
        </w:tc>
      </w:tr>
      <w:tr w:rsidR="00000000" w14:paraId="1FCE6C57" w14:textId="77777777">
        <w:trPr>
          <w:jc w:val="center"/>
        </w:trPr>
        <w:tc>
          <w:tcPr>
            <w:tcW w:w="0" w:type="auto"/>
            <w:gridSpan w:val="3"/>
            <w:tcMar>
              <w:top w:w="30" w:type="dxa"/>
              <w:left w:w="20" w:type="dxa"/>
              <w:bottom w:w="30" w:type="dxa"/>
              <w:right w:w="20" w:type="dxa"/>
            </w:tcMar>
            <w:hideMark/>
          </w:tcPr>
          <w:p w14:paraId="28E22AF6" w14:textId="77777777" w:rsidR="00000000" w:rsidRDefault="00E614A4">
            <w:pPr>
              <w:rPr>
                <w:rFonts w:eastAsia="Times New Roman"/>
              </w:rPr>
            </w:pPr>
            <w:r>
              <w:rPr>
                <w:rFonts w:eastAsia="Times New Roman"/>
                <w:color w:val="000000"/>
                <w:sz w:val="20"/>
                <w:szCs w:val="20"/>
              </w:rPr>
              <w:t>4.12</w:t>
            </w:r>
          </w:p>
        </w:tc>
        <w:tc>
          <w:tcPr>
            <w:tcW w:w="0" w:type="auto"/>
            <w:gridSpan w:val="3"/>
            <w:tcMar>
              <w:top w:w="0" w:type="dxa"/>
              <w:left w:w="20" w:type="dxa"/>
              <w:bottom w:w="0" w:type="dxa"/>
              <w:right w:w="20" w:type="dxa"/>
            </w:tcMar>
            <w:vAlign w:val="center"/>
            <w:hideMark/>
          </w:tcPr>
          <w:p w14:paraId="0796E4C1"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2D27B3B" w14:textId="77777777" w:rsidR="00000000" w:rsidRDefault="00E614A4">
            <w:pPr>
              <w:jc w:val="both"/>
              <w:rPr>
                <w:rFonts w:eastAsia="Times New Roman"/>
              </w:rPr>
            </w:pPr>
            <w:hyperlink r:id="rId32" w:history="1">
              <w:r>
                <w:rPr>
                  <w:rStyle w:val="a3"/>
                  <w:rFonts w:eastAsia="Times New Roman"/>
                  <w:sz w:val="20"/>
                  <w:szCs w:val="20"/>
                </w:rPr>
                <w:t>Voting Agreement, dated as of February 11, 2015, by and among comScore, Inc., WPP Group USA, Inc. and Cavendish Square Holding B.V. (incorporated by referen</w:t>
              </w:r>
              <w:r>
                <w:rPr>
                  <w:rStyle w:val="a3"/>
                  <w:rFonts w:eastAsia="Times New Roman"/>
                  <w:sz w:val="20"/>
                  <w:szCs w:val="20"/>
                </w:rPr>
                <w:t>ce to Exhibit (d)(4) to Cavendish Square Holding B.V.'s and WPP plc's Tender Offer Statement on Schedule TO, filed February 20, 2015) (File No. 005-83687)</w:t>
              </w:r>
            </w:hyperlink>
          </w:p>
        </w:tc>
      </w:tr>
      <w:tr w:rsidR="00000000" w14:paraId="07748442" w14:textId="77777777">
        <w:trPr>
          <w:trHeight w:val="60"/>
          <w:jc w:val="center"/>
        </w:trPr>
        <w:tc>
          <w:tcPr>
            <w:tcW w:w="0" w:type="auto"/>
            <w:gridSpan w:val="3"/>
            <w:tcMar>
              <w:top w:w="0" w:type="dxa"/>
              <w:left w:w="20" w:type="dxa"/>
              <w:bottom w:w="0" w:type="dxa"/>
              <w:right w:w="20" w:type="dxa"/>
            </w:tcMar>
            <w:vAlign w:val="center"/>
            <w:hideMark/>
          </w:tcPr>
          <w:p w14:paraId="4D1EFA48"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38746A3B"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51C3D9C" w14:textId="77777777" w:rsidR="00000000" w:rsidRDefault="00E614A4">
            <w:pPr>
              <w:rPr>
                <w:rFonts w:eastAsia="Times New Roman"/>
                <w:sz w:val="20"/>
                <w:szCs w:val="20"/>
              </w:rPr>
            </w:pPr>
          </w:p>
        </w:tc>
      </w:tr>
      <w:tr w:rsidR="00000000" w14:paraId="54D2E5E6" w14:textId="77777777">
        <w:trPr>
          <w:jc w:val="center"/>
        </w:trPr>
        <w:tc>
          <w:tcPr>
            <w:tcW w:w="0" w:type="auto"/>
            <w:gridSpan w:val="3"/>
            <w:tcMar>
              <w:top w:w="30" w:type="dxa"/>
              <w:left w:w="20" w:type="dxa"/>
              <w:bottom w:w="30" w:type="dxa"/>
              <w:right w:w="20" w:type="dxa"/>
            </w:tcMar>
            <w:hideMark/>
          </w:tcPr>
          <w:p w14:paraId="1C0291C0" w14:textId="77777777" w:rsidR="00000000" w:rsidRDefault="00E614A4">
            <w:pPr>
              <w:rPr>
                <w:rFonts w:eastAsia="Times New Roman"/>
              </w:rPr>
            </w:pPr>
            <w:r>
              <w:rPr>
                <w:rFonts w:eastAsia="Times New Roman"/>
                <w:color w:val="000000"/>
                <w:sz w:val="20"/>
                <w:szCs w:val="20"/>
              </w:rPr>
              <w:t>4.13</w:t>
            </w:r>
          </w:p>
        </w:tc>
        <w:tc>
          <w:tcPr>
            <w:tcW w:w="0" w:type="auto"/>
            <w:gridSpan w:val="3"/>
            <w:tcMar>
              <w:top w:w="0" w:type="dxa"/>
              <w:left w:w="20" w:type="dxa"/>
              <w:bottom w:w="0" w:type="dxa"/>
              <w:right w:w="20" w:type="dxa"/>
            </w:tcMar>
            <w:vAlign w:val="center"/>
            <w:hideMark/>
          </w:tcPr>
          <w:p w14:paraId="299E27F3"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336F6DC5" w14:textId="77777777" w:rsidR="00000000" w:rsidRDefault="00E614A4">
            <w:pPr>
              <w:jc w:val="both"/>
              <w:rPr>
                <w:rFonts w:eastAsia="Times New Roman"/>
              </w:rPr>
            </w:pPr>
            <w:hyperlink r:id="rId33" w:history="1">
              <w:r>
                <w:rPr>
                  <w:rStyle w:val="a3"/>
                  <w:rFonts w:eastAsia="Times New Roman"/>
                  <w:sz w:val="20"/>
                  <w:szCs w:val="20"/>
                </w:rPr>
                <w:t>Registration Rights Agreement, dated as of January 16, 2018, by and among comScore, Inc. and the investors listed on the Schedule of Buyers attached thereto (incorporated by reference to Exhibit 10.4 to the Registrant's Current Report on Form 8-K, filed Ja</w:t>
              </w:r>
              <w:r>
                <w:rPr>
                  <w:rStyle w:val="a3"/>
                  <w:rFonts w:eastAsia="Times New Roman"/>
                  <w:sz w:val="20"/>
                  <w:szCs w:val="20"/>
                </w:rPr>
                <w:t>nuary 16, 2018) (File No. 001-33520)</w:t>
              </w:r>
            </w:hyperlink>
          </w:p>
        </w:tc>
      </w:tr>
      <w:tr w:rsidR="00000000" w14:paraId="5E532776" w14:textId="77777777">
        <w:trPr>
          <w:trHeight w:val="60"/>
          <w:jc w:val="center"/>
        </w:trPr>
        <w:tc>
          <w:tcPr>
            <w:tcW w:w="0" w:type="auto"/>
            <w:gridSpan w:val="3"/>
            <w:tcMar>
              <w:top w:w="0" w:type="dxa"/>
              <w:left w:w="20" w:type="dxa"/>
              <w:bottom w:w="0" w:type="dxa"/>
              <w:right w:w="20" w:type="dxa"/>
            </w:tcMar>
            <w:vAlign w:val="center"/>
            <w:hideMark/>
          </w:tcPr>
          <w:p w14:paraId="39CA7F66"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2886338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F73F38C" w14:textId="77777777" w:rsidR="00000000" w:rsidRDefault="00E614A4">
            <w:pPr>
              <w:rPr>
                <w:rFonts w:eastAsia="Times New Roman"/>
                <w:sz w:val="20"/>
                <w:szCs w:val="20"/>
              </w:rPr>
            </w:pPr>
          </w:p>
        </w:tc>
      </w:tr>
      <w:tr w:rsidR="00000000" w14:paraId="3AD705C4" w14:textId="77777777">
        <w:trPr>
          <w:jc w:val="center"/>
        </w:trPr>
        <w:tc>
          <w:tcPr>
            <w:tcW w:w="0" w:type="auto"/>
            <w:gridSpan w:val="3"/>
            <w:tcMar>
              <w:top w:w="30" w:type="dxa"/>
              <w:left w:w="20" w:type="dxa"/>
              <w:bottom w:w="30" w:type="dxa"/>
              <w:right w:w="20" w:type="dxa"/>
            </w:tcMar>
            <w:hideMark/>
          </w:tcPr>
          <w:p w14:paraId="371DBF65" w14:textId="77777777" w:rsidR="00000000" w:rsidRDefault="00E614A4">
            <w:pPr>
              <w:rPr>
                <w:rFonts w:eastAsia="Times New Roman"/>
              </w:rPr>
            </w:pPr>
            <w:r>
              <w:rPr>
                <w:rFonts w:eastAsia="Times New Roman"/>
                <w:color w:val="000000"/>
                <w:sz w:val="20"/>
                <w:szCs w:val="20"/>
              </w:rPr>
              <w:t>4.14</w:t>
            </w:r>
          </w:p>
        </w:tc>
        <w:tc>
          <w:tcPr>
            <w:tcW w:w="0" w:type="auto"/>
            <w:gridSpan w:val="3"/>
            <w:tcMar>
              <w:top w:w="0" w:type="dxa"/>
              <w:left w:w="20" w:type="dxa"/>
              <w:bottom w:w="0" w:type="dxa"/>
              <w:right w:w="20" w:type="dxa"/>
            </w:tcMar>
            <w:vAlign w:val="center"/>
            <w:hideMark/>
          </w:tcPr>
          <w:p w14:paraId="0B446441"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9C6CDEE" w14:textId="77777777" w:rsidR="00000000" w:rsidRDefault="00E614A4">
            <w:pPr>
              <w:jc w:val="both"/>
              <w:rPr>
                <w:rFonts w:eastAsia="Times New Roman"/>
              </w:rPr>
            </w:pPr>
            <w:hyperlink r:id="rId34" w:history="1">
              <w:r>
                <w:rPr>
                  <w:rStyle w:val="a3"/>
                  <w:rFonts w:eastAsia="Times New Roman"/>
                  <w:sz w:val="20"/>
                  <w:szCs w:val="20"/>
                </w:rPr>
                <w:t>First Amendment to Senior Secured Convertible Notes, dated as of May 17, 2018, by and between comScore, Inc., Starboard Value and Opportunity M</w:t>
              </w:r>
              <w:r>
                <w:rPr>
                  <w:rStyle w:val="a3"/>
                  <w:rFonts w:eastAsia="Times New Roman"/>
                  <w:sz w:val="20"/>
                  <w:szCs w:val="20"/>
                </w:rPr>
                <w:t>aster Fund Ltd. and each of the other investors listed on the signature pages attached thereto (incorporated by reference to Exhibit 10.1 to the Registrant's Current Report on Form 8-K, filed May 17, 2018) (File No. 001-33520)</w:t>
              </w:r>
            </w:hyperlink>
          </w:p>
        </w:tc>
      </w:tr>
      <w:tr w:rsidR="00000000" w14:paraId="1EE22656" w14:textId="77777777">
        <w:trPr>
          <w:trHeight w:val="60"/>
          <w:jc w:val="center"/>
        </w:trPr>
        <w:tc>
          <w:tcPr>
            <w:tcW w:w="0" w:type="auto"/>
            <w:gridSpan w:val="3"/>
            <w:tcMar>
              <w:top w:w="0" w:type="dxa"/>
              <w:left w:w="20" w:type="dxa"/>
              <w:bottom w:w="0" w:type="dxa"/>
              <w:right w:w="20" w:type="dxa"/>
            </w:tcMar>
            <w:vAlign w:val="center"/>
            <w:hideMark/>
          </w:tcPr>
          <w:p w14:paraId="66051607"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6C2B04F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96ABD04" w14:textId="77777777" w:rsidR="00000000" w:rsidRDefault="00E614A4">
            <w:pPr>
              <w:rPr>
                <w:rFonts w:eastAsia="Times New Roman"/>
                <w:sz w:val="20"/>
                <w:szCs w:val="20"/>
              </w:rPr>
            </w:pPr>
          </w:p>
        </w:tc>
      </w:tr>
    </w:tbl>
    <w:p w14:paraId="64E56996" w14:textId="77777777" w:rsidR="00000000" w:rsidRDefault="00E614A4">
      <w:pPr>
        <w:jc w:val="center"/>
        <w:divId w:val="2051611616"/>
        <w:rPr>
          <w:rFonts w:eastAsia="Times New Roman"/>
        </w:rPr>
      </w:pPr>
      <w:r>
        <w:rPr>
          <w:rFonts w:eastAsia="Times New Roman"/>
          <w:color w:val="000000"/>
          <w:sz w:val="20"/>
          <w:szCs w:val="20"/>
        </w:rPr>
        <w:t>107</w:t>
      </w:r>
    </w:p>
    <w:p w14:paraId="5010901C" w14:textId="77777777" w:rsidR="00000000" w:rsidRDefault="00E614A4">
      <w:pPr>
        <w:rPr>
          <w:rFonts w:eastAsia="Times New Roman"/>
        </w:rPr>
      </w:pPr>
      <w:r>
        <w:rPr>
          <w:rFonts w:eastAsia="Times New Roman"/>
        </w:rPr>
        <w:pict w14:anchorId="44924CB1">
          <v:rect id="_x0000_i1135" style="width:0;height:1.5pt" o:hralign="center" o:hrstd="t" o:hr="t" fillcolor="#a0a0a0" stroked="f"/>
        </w:pict>
      </w:r>
    </w:p>
    <w:p w14:paraId="26755C3D" w14:textId="77777777" w:rsidR="00000000" w:rsidRDefault="00E614A4">
      <w:pPr>
        <w:divId w:val="2115661381"/>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7F60505F" w14:textId="77777777" w:rsidR="00000000" w:rsidRDefault="00E614A4">
      <w:pPr>
        <w:divId w:val="172073971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90"/>
        <w:gridCol w:w="36"/>
        <w:gridCol w:w="36"/>
        <w:gridCol w:w="36"/>
        <w:gridCol w:w="36"/>
        <w:gridCol w:w="53"/>
        <w:gridCol w:w="7414"/>
        <w:gridCol w:w="37"/>
      </w:tblGrid>
      <w:tr w:rsidR="00000000" w14:paraId="34802CF1" w14:textId="77777777">
        <w:trPr>
          <w:divId w:val="1426223885"/>
          <w:jc w:val="center"/>
        </w:trPr>
        <w:tc>
          <w:tcPr>
            <w:tcW w:w="50" w:type="pct"/>
            <w:vAlign w:val="center"/>
            <w:hideMark/>
          </w:tcPr>
          <w:p w14:paraId="2CF83FE7" w14:textId="77777777" w:rsidR="00000000" w:rsidRDefault="00E614A4">
            <w:pPr>
              <w:rPr>
                <w:rFonts w:eastAsia="Times New Roman"/>
              </w:rPr>
            </w:pPr>
          </w:p>
        </w:tc>
        <w:tc>
          <w:tcPr>
            <w:tcW w:w="382" w:type="pct"/>
            <w:vAlign w:val="center"/>
            <w:hideMark/>
          </w:tcPr>
          <w:p w14:paraId="4AB85044" w14:textId="77777777" w:rsidR="00000000" w:rsidRDefault="00E614A4">
            <w:pPr>
              <w:rPr>
                <w:rFonts w:eastAsia="Times New Roman"/>
                <w:sz w:val="20"/>
                <w:szCs w:val="20"/>
              </w:rPr>
            </w:pPr>
          </w:p>
        </w:tc>
        <w:tc>
          <w:tcPr>
            <w:tcW w:w="5" w:type="pct"/>
            <w:vAlign w:val="center"/>
            <w:hideMark/>
          </w:tcPr>
          <w:p w14:paraId="1BEC2842" w14:textId="77777777" w:rsidR="00000000" w:rsidRDefault="00E614A4">
            <w:pPr>
              <w:rPr>
                <w:rFonts w:eastAsia="Times New Roman"/>
                <w:sz w:val="20"/>
                <w:szCs w:val="20"/>
              </w:rPr>
            </w:pPr>
          </w:p>
        </w:tc>
        <w:tc>
          <w:tcPr>
            <w:tcW w:w="5" w:type="pct"/>
            <w:vAlign w:val="center"/>
            <w:hideMark/>
          </w:tcPr>
          <w:p w14:paraId="4DD12080" w14:textId="77777777" w:rsidR="00000000" w:rsidRDefault="00E614A4">
            <w:pPr>
              <w:rPr>
                <w:rFonts w:eastAsia="Times New Roman"/>
                <w:sz w:val="20"/>
                <w:szCs w:val="20"/>
              </w:rPr>
            </w:pPr>
          </w:p>
        </w:tc>
        <w:tc>
          <w:tcPr>
            <w:tcW w:w="17" w:type="pct"/>
            <w:vAlign w:val="center"/>
            <w:hideMark/>
          </w:tcPr>
          <w:p w14:paraId="6AD8B500" w14:textId="77777777" w:rsidR="00000000" w:rsidRDefault="00E614A4">
            <w:pPr>
              <w:rPr>
                <w:rFonts w:eastAsia="Times New Roman"/>
                <w:sz w:val="20"/>
                <w:szCs w:val="20"/>
              </w:rPr>
            </w:pPr>
          </w:p>
        </w:tc>
        <w:tc>
          <w:tcPr>
            <w:tcW w:w="5" w:type="pct"/>
            <w:vAlign w:val="center"/>
            <w:hideMark/>
          </w:tcPr>
          <w:p w14:paraId="16A4AD6D" w14:textId="77777777" w:rsidR="00000000" w:rsidRDefault="00E614A4">
            <w:pPr>
              <w:rPr>
                <w:rFonts w:eastAsia="Times New Roman"/>
                <w:sz w:val="20"/>
                <w:szCs w:val="20"/>
              </w:rPr>
            </w:pPr>
          </w:p>
        </w:tc>
        <w:tc>
          <w:tcPr>
            <w:tcW w:w="50" w:type="pct"/>
            <w:vAlign w:val="center"/>
            <w:hideMark/>
          </w:tcPr>
          <w:p w14:paraId="469DDBC8" w14:textId="77777777" w:rsidR="00000000" w:rsidRDefault="00E614A4">
            <w:pPr>
              <w:rPr>
                <w:rFonts w:eastAsia="Times New Roman"/>
                <w:sz w:val="20"/>
                <w:szCs w:val="20"/>
              </w:rPr>
            </w:pPr>
          </w:p>
        </w:tc>
        <w:tc>
          <w:tcPr>
            <w:tcW w:w="4479" w:type="pct"/>
            <w:vAlign w:val="center"/>
            <w:hideMark/>
          </w:tcPr>
          <w:p w14:paraId="31054F70" w14:textId="77777777" w:rsidR="00000000" w:rsidRDefault="00E614A4">
            <w:pPr>
              <w:rPr>
                <w:rFonts w:eastAsia="Times New Roman"/>
                <w:sz w:val="20"/>
                <w:szCs w:val="20"/>
              </w:rPr>
            </w:pPr>
          </w:p>
        </w:tc>
        <w:tc>
          <w:tcPr>
            <w:tcW w:w="5" w:type="pct"/>
            <w:vAlign w:val="center"/>
            <w:hideMark/>
          </w:tcPr>
          <w:p w14:paraId="33C555FA" w14:textId="77777777" w:rsidR="00000000" w:rsidRDefault="00E614A4">
            <w:pPr>
              <w:rPr>
                <w:rFonts w:eastAsia="Times New Roman"/>
                <w:sz w:val="20"/>
                <w:szCs w:val="20"/>
              </w:rPr>
            </w:pPr>
          </w:p>
        </w:tc>
      </w:tr>
      <w:tr w:rsidR="00000000" w14:paraId="5102D86C" w14:textId="77777777">
        <w:trPr>
          <w:divId w:val="1426223885"/>
          <w:jc w:val="center"/>
        </w:trPr>
        <w:tc>
          <w:tcPr>
            <w:tcW w:w="0" w:type="auto"/>
            <w:gridSpan w:val="3"/>
            <w:tcMar>
              <w:top w:w="30" w:type="dxa"/>
              <w:left w:w="20" w:type="dxa"/>
              <w:bottom w:w="30" w:type="dxa"/>
              <w:right w:w="20" w:type="dxa"/>
            </w:tcMar>
            <w:hideMark/>
          </w:tcPr>
          <w:p w14:paraId="3448DA37" w14:textId="77777777" w:rsidR="00000000" w:rsidRDefault="00E614A4">
            <w:pPr>
              <w:rPr>
                <w:rFonts w:eastAsia="Times New Roman"/>
              </w:rPr>
            </w:pPr>
            <w:r>
              <w:rPr>
                <w:rFonts w:eastAsia="Times New Roman"/>
                <w:color w:val="000000"/>
                <w:sz w:val="20"/>
                <w:szCs w:val="20"/>
              </w:rPr>
              <w:t>4.15</w:t>
            </w:r>
          </w:p>
        </w:tc>
        <w:tc>
          <w:tcPr>
            <w:tcW w:w="0" w:type="auto"/>
            <w:gridSpan w:val="3"/>
            <w:tcMar>
              <w:top w:w="0" w:type="dxa"/>
              <w:left w:w="20" w:type="dxa"/>
              <w:bottom w:w="0" w:type="dxa"/>
              <w:right w:w="20" w:type="dxa"/>
            </w:tcMar>
            <w:vAlign w:val="center"/>
            <w:hideMark/>
          </w:tcPr>
          <w:p w14:paraId="69E84074"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0DFD7F21" w14:textId="77777777" w:rsidR="00000000" w:rsidRDefault="00E614A4">
            <w:pPr>
              <w:jc w:val="both"/>
              <w:rPr>
                <w:rFonts w:eastAsia="Times New Roman"/>
              </w:rPr>
            </w:pPr>
            <w:hyperlink r:id="rId35" w:history="1">
              <w:r>
                <w:rPr>
                  <w:rStyle w:val="a3"/>
                  <w:rFonts w:eastAsia="Times New Roman"/>
                  <w:sz w:val="20"/>
                  <w:szCs w:val="20"/>
                </w:rPr>
                <w:t>Second Amendment to Senior Secured Convertible Notes, dated as of August 8, 2018, by and between comScore, Inc., Starboard Value and Opportunity</w:t>
              </w:r>
              <w:r>
                <w:rPr>
                  <w:rStyle w:val="a3"/>
                  <w:rFonts w:eastAsia="Times New Roman"/>
                  <w:sz w:val="20"/>
                  <w:szCs w:val="20"/>
                </w:rPr>
                <w:t xml:space="preserve"> Master Fund Ltd. and each of the other investors listed on the signature pages attached thereto (incorporated by reference to Exhibit 10.1 to the Registrant's Current Report on Form 8-K, filed August 9, 2018) (File No. 001-33520)</w:t>
              </w:r>
            </w:hyperlink>
          </w:p>
        </w:tc>
      </w:tr>
      <w:tr w:rsidR="00000000" w14:paraId="587ACA30" w14:textId="77777777">
        <w:trPr>
          <w:divId w:val="1426223885"/>
          <w:trHeight w:val="60"/>
          <w:jc w:val="center"/>
        </w:trPr>
        <w:tc>
          <w:tcPr>
            <w:tcW w:w="0" w:type="auto"/>
            <w:gridSpan w:val="3"/>
            <w:tcMar>
              <w:top w:w="0" w:type="dxa"/>
              <w:left w:w="20" w:type="dxa"/>
              <w:bottom w:w="0" w:type="dxa"/>
              <w:right w:w="20" w:type="dxa"/>
            </w:tcMar>
            <w:vAlign w:val="center"/>
            <w:hideMark/>
          </w:tcPr>
          <w:p w14:paraId="7535935A"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2362E80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46BD944" w14:textId="77777777" w:rsidR="00000000" w:rsidRDefault="00E614A4">
            <w:pPr>
              <w:rPr>
                <w:rFonts w:eastAsia="Times New Roman"/>
                <w:sz w:val="20"/>
                <w:szCs w:val="20"/>
              </w:rPr>
            </w:pPr>
          </w:p>
        </w:tc>
      </w:tr>
      <w:tr w:rsidR="00000000" w14:paraId="2A65F804" w14:textId="77777777">
        <w:trPr>
          <w:divId w:val="1426223885"/>
          <w:jc w:val="center"/>
        </w:trPr>
        <w:tc>
          <w:tcPr>
            <w:tcW w:w="0" w:type="auto"/>
            <w:gridSpan w:val="3"/>
            <w:tcMar>
              <w:top w:w="30" w:type="dxa"/>
              <w:left w:w="20" w:type="dxa"/>
              <w:bottom w:w="30" w:type="dxa"/>
              <w:right w:w="20" w:type="dxa"/>
            </w:tcMar>
            <w:hideMark/>
          </w:tcPr>
          <w:p w14:paraId="79AB6E06" w14:textId="77777777" w:rsidR="00000000" w:rsidRDefault="00E614A4">
            <w:pPr>
              <w:rPr>
                <w:rFonts w:eastAsia="Times New Roman"/>
              </w:rPr>
            </w:pPr>
            <w:r>
              <w:rPr>
                <w:rFonts w:eastAsia="Times New Roman"/>
                <w:color w:val="000000"/>
                <w:sz w:val="20"/>
                <w:szCs w:val="20"/>
              </w:rPr>
              <w:t>4.16</w:t>
            </w:r>
          </w:p>
        </w:tc>
        <w:tc>
          <w:tcPr>
            <w:tcW w:w="0" w:type="auto"/>
            <w:gridSpan w:val="3"/>
            <w:tcMar>
              <w:top w:w="0" w:type="dxa"/>
              <w:left w:w="20" w:type="dxa"/>
              <w:bottom w:w="0" w:type="dxa"/>
              <w:right w:w="20" w:type="dxa"/>
            </w:tcMar>
            <w:vAlign w:val="center"/>
            <w:hideMark/>
          </w:tcPr>
          <w:p w14:paraId="40A8CD2C"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26D3E787" w14:textId="77777777" w:rsidR="00000000" w:rsidRDefault="00E614A4">
            <w:pPr>
              <w:jc w:val="both"/>
              <w:rPr>
                <w:rFonts w:eastAsia="Times New Roman"/>
              </w:rPr>
            </w:pPr>
            <w:hyperlink r:id="rId36" w:history="1">
              <w:r>
                <w:rPr>
                  <w:rStyle w:val="a3"/>
                  <w:rFonts w:eastAsia="Times New Roman"/>
                  <w:sz w:val="20"/>
                  <w:szCs w:val="20"/>
                </w:rPr>
                <w:t>Agreement, dated as of November 13, 2018, by and between comScore, Inc., Starboard Value and Opportunity Master Fund Ltd. and each of the other</w:t>
              </w:r>
              <w:r>
                <w:rPr>
                  <w:rStyle w:val="a3"/>
                  <w:rFonts w:eastAsia="Times New Roman"/>
                  <w:sz w:val="20"/>
                  <w:szCs w:val="20"/>
                </w:rPr>
                <w:t xml:space="preserve"> investors listed on the signature pages attached thereto (incorporated by reference to Exhibit 10.1 to the Registrant's Current Report on Form 8-K, filed on November 13, 2018) (File No. 001-33520)</w:t>
              </w:r>
            </w:hyperlink>
          </w:p>
        </w:tc>
      </w:tr>
      <w:tr w:rsidR="00000000" w14:paraId="2CD5CE76" w14:textId="77777777">
        <w:trPr>
          <w:divId w:val="1426223885"/>
          <w:trHeight w:val="60"/>
          <w:jc w:val="center"/>
        </w:trPr>
        <w:tc>
          <w:tcPr>
            <w:tcW w:w="0" w:type="auto"/>
            <w:gridSpan w:val="3"/>
            <w:tcMar>
              <w:top w:w="0" w:type="dxa"/>
              <w:left w:w="20" w:type="dxa"/>
              <w:bottom w:w="0" w:type="dxa"/>
              <w:right w:w="20" w:type="dxa"/>
            </w:tcMar>
            <w:vAlign w:val="center"/>
            <w:hideMark/>
          </w:tcPr>
          <w:p w14:paraId="24E8805B"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690E0C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F0CE5B8" w14:textId="77777777" w:rsidR="00000000" w:rsidRDefault="00E614A4">
            <w:pPr>
              <w:rPr>
                <w:rFonts w:eastAsia="Times New Roman"/>
                <w:sz w:val="20"/>
                <w:szCs w:val="20"/>
              </w:rPr>
            </w:pPr>
          </w:p>
        </w:tc>
      </w:tr>
      <w:tr w:rsidR="00000000" w14:paraId="0427C132" w14:textId="77777777">
        <w:trPr>
          <w:divId w:val="1426223885"/>
          <w:jc w:val="center"/>
        </w:trPr>
        <w:tc>
          <w:tcPr>
            <w:tcW w:w="0" w:type="auto"/>
            <w:gridSpan w:val="3"/>
            <w:tcMar>
              <w:top w:w="30" w:type="dxa"/>
              <w:left w:w="20" w:type="dxa"/>
              <w:bottom w:w="30" w:type="dxa"/>
              <w:right w:w="20" w:type="dxa"/>
            </w:tcMar>
            <w:hideMark/>
          </w:tcPr>
          <w:p w14:paraId="215E6035" w14:textId="77777777" w:rsidR="00000000" w:rsidRDefault="00E614A4">
            <w:pPr>
              <w:rPr>
                <w:rFonts w:eastAsia="Times New Roman"/>
              </w:rPr>
            </w:pPr>
            <w:r>
              <w:rPr>
                <w:rFonts w:eastAsia="Times New Roman"/>
                <w:color w:val="000000"/>
                <w:sz w:val="20"/>
                <w:szCs w:val="20"/>
              </w:rPr>
              <w:t>4.17</w:t>
            </w:r>
          </w:p>
        </w:tc>
        <w:tc>
          <w:tcPr>
            <w:tcW w:w="0" w:type="auto"/>
            <w:gridSpan w:val="3"/>
            <w:tcMar>
              <w:top w:w="0" w:type="dxa"/>
              <w:left w:w="20" w:type="dxa"/>
              <w:bottom w:w="0" w:type="dxa"/>
              <w:right w:w="20" w:type="dxa"/>
            </w:tcMar>
            <w:vAlign w:val="center"/>
            <w:hideMark/>
          </w:tcPr>
          <w:p w14:paraId="3C9D94D7"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0463CFCE" w14:textId="77777777" w:rsidR="00000000" w:rsidRDefault="00E614A4">
            <w:pPr>
              <w:jc w:val="both"/>
              <w:rPr>
                <w:rFonts w:eastAsia="Times New Roman"/>
              </w:rPr>
            </w:pPr>
            <w:hyperlink r:id="rId37" w:history="1">
              <w:r>
                <w:rPr>
                  <w:rStyle w:val="a3"/>
                  <w:rFonts w:eastAsia="Times New Roman"/>
                  <w:sz w:val="20"/>
                  <w:szCs w:val="20"/>
                </w:rPr>
                <w:t>Amendment Agreement, dated November 6, 2019, by and among comScore, Inc., Starboard Value LP and certain affiliates of Starboard Value LP (incorporated by reference to Exhibit 10.1 to the Registrant's Current Report on Form 8-K, filed November 6, 2019) (Fi</w:t>
              </w:r>
              <w:r>
                <w:rPr>
                  <w:rStyle w:val="a3"/>
                  <w:rFonts w:eastAsia="Times New Roman"/>
                  <w:sz w:val="20"/>
                  <w:szCs w:val="20"/>
                </w:rPr>
                <w:t>le No. 001-33520)</w:t>
              </w:r>
            </w:hyperlink>
          </w:p>
        </w:tc>
      </w:tr>
      <w:tr w:rsidR="00000000" w14:paraId="6AA14FB7" w14:textId="77777777">
        <w:trPr>
          <w:divId w:val="1426223885"/>
          <w:trHeight w:val="60"/>
          <w:jc w:val="center"/>
        </w:trPr>
        <w:tc>
          <w:tcPr>
            <w:tcW w:w="0" w:type="auto"/>
            <w:gridSpan w:val="3"/>
            <w:tcMar>
              <w:top w:w="0" w:type="dxa"/>
              <w:left w:w="20" w:type="dxa"/>
              <w:bottom w:w="0" w:type="dxa"/>
              <w:right w:w="20" w:type="dxa"/>
            </w:tcMar>
            <w:vAlign w:val="center"/>
            <w:hideMark/>
          </w:tcPr>
          <w:p w14:paraId="042B46DA"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B49C8B4"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8A55B03" w14:textId="77777777" w:rsidR="00000000" w:rsidRDefault="00E614A4">
            <w:pPr>
              <w:rPr>
                <w:rFonts w:eastAsia="Times New Roman"/>
                <w:sz w:val="20"/>
                <w:szCs w:val="20"/>
              </w:rPr>
            </w:pPr>
          </w:p>
        </w:tc>
      </w:tr>
      <w:tr w:rsidR="00000000" w14:paraId="2663FCDC" w14:textId="77777777">
        <w:trPr>
          <w:divId w:val="1426223885"/>
          <w:jc w:val="center"/>
        </w:trPr>
        <w:tc>
          <w:tcPr>
            <w:tcW w:w="0" w:type="auto"/>
            <w:gridSpan w:val="3"/>
            <w:tcMar>
              <w:top w:w="30" w:type="dxa"/>
              <w:left w:w="20" w:type="dxa"/>
              <w:bottom w:w="30" w:type="dxa"/>
              <w:right w:w="20" w:type="dxa"/>
            </w:tcMar>
            <w:hideMark/>
          </w:tcPr>
          <w:p w14:paraId="497C0036" w14:textId="77777777" w:rsidR="00000000" w:rsidRDefault="00E614A4">
            <w:pPr>
              <w:rPr>
                <w:rFonts w:eastAsia="Times New Roman"/>
              </w:rPr>
            </w:pPr>
            <w:r>
              <w:rPr>
                <w:rFonts w:eastAsia="Times New Roman"/>
                <w:color w:val="000000"/>
                <w:sz w:val="20"/>
                <w:szCs w:val="20"/>
              </w:rPr>
              <w:t>4.18</w:t>
            </w:r>
          </w:p>
        </w:tc>
        <w:tc>
          <w:tcPr>
            <w:tcW w:w="0" w:type="auto"/>
            <w:gridSpan w:val="3"/>
            <w:tcMar>
              <w:top w:w="0" w:type="dxa"/>
              <w:left w:w="20" w:type="dxa"/>
              <w:bottom w:w="0" w:type="dxa"/>
              <w:right w:w="20" w:type="dxa"/>
            </w:tcMar>
            <w:vAlign w:val="center"/>
            <w:hideMark/>
          </w:tcPr>
          <w:p w14:paraId="35210490"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EB8E632" w14:textId="77777777" w:rsidR="00000000" w:rsidRDefault="00E614A4">
            <w:pPr>
              <w:divId w:val="257257287"/>
              <w:rPr>
                <w:rFonts w:eastAsia="Times New Roman"/>
              </w:rPr>
            </w:pPr>
            <w:hyperlink r:id="rId38" w:history="1">
              <w:r>
                <w:rPr>
                  <w:rStyle w:val="a3"/>
                  <w:rFonts w:eastAsia="Times New Roman"/>
                  <w:sz w:val="20"/>
                  <w:szCs w:val="20"/>
                </w:rPr>
                <w:t>Letter Agreement, dated December 26, 2020, by and among comScore, Inc., Starboard Value and Opportunity Master Fund Ltd. and the other investors listed on the signature pages attached thereto (incorporated by reference to Exhibit 10.1 to the Registrant's C</w:t>
              </w:r>
              <w:r>
                <w:rPr>
                  <w:rStyle w:val="a3"/>
                  <w:rFonts w:eastAsia="Times New Roman"/>
                  <w:sz w:val="20"/>
                  <w:szCs w:val="20"/>
                </w:rPr>
                <w:t>urrent Report on Form 8-K, filed December 31, 2020) (File No. 001-33520)</w:t>
              </w:r>
            </w:hyperlink>
          </w:p>
        </w:tc>
      </w:tr>
      <w:tr w:rsidR="00000000" w14:paraId="67AE140E" w14:textId="77777777">
        <w:trPr>
          <w:divId w:val="1426223885"/>
          <w:trHeight w:val="60"/>
          <w:jc w:val="center"/>
        </w:trPr>
        <w:tc>
          <w:tcPr>
            <w:tcW w:w="0" w:type="auto"/>
            <w:gridSpan w:val="3"/>
            <w:tcMar>
              <w:top w:w="0" w:type="dxa"/>
              <w:left w:w="20" w:type="dxa"/>
              <w:bottom w:w="0" w:type="dxa"/>
              <w:right w:w="20" w:type="dxa"/>
            </w:tcMar>
            <w:vAlign w:val="center"/>
            <w:hideMark/>
          </w:tcPr>
          <w:p w14:paraId="64E83E97"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3CB6095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E900F77" w14:textId="77777777" w:rsidR="00000000" w:rsidRDefault="00E614A4">
            <w:pPr>
              <w:rPr>
                <w:rFonts w:eastAsia="Times New Roman"/>
                <w:sz w:val="20"/>
                <w:szCs w:val="20"/>
              </w:rPr>
            </w:pPr>
          </w:p>
        </w:tc>
      </w:tr>
      <w:tr w:rsidR="00000000" w14:paraId="78F60B63" w14:textId="77777777">
        <w:trPr>
          <w:divId w:val="1426223885"/>
          <w:jc w:val="center"/>
        </w:trPr>
        <w:tc>
          <w:tcPr>
            <w:tcW w:w="0" w:type="auto"/>
            <w:gridSpan w:val="3"/>
            <w:tcMar>
              <w:top w:w="30" w:type="dxa"/>
              <w:left w:w="20" w:type="dxa"/>
              <w:bottom w:w="30" w:type="dxa"/>
              <w:right w:w="20" w:type="dxa"/>
            </w:tcMar>
            <w:hideMark/>
          </w:tcPr>
          <w:p w14:paraId="1C445666" w14:textId="77777777" w:rsidR="00000000" w:rsidRDefault="00E614A4">
            <w:pPr>
              <w:rPr>
                <w:rFonts w:eastAsia="Times New Roman"/>
              </w:rPr>
            </w:pPr>
            <w:r>
              <w:rPr>
                <w:rFonts w:eastAsia="Times New Roman"/>
                <w:color w:val="000000"/>
                <w:sz w:val="20"/>
                <w:szCs w:val="20"/>
              </w:rPr>
              <w:t>4.19</w:t>
            </w:r>
          </w:p>
        </w:tc>
        <w:tc>
          <w:tcPr>
            <w:tcW w:w="0" w:type="auto"/>
            <w:gridSpan w:val="3"/>
            <w:tcMar>
              <w:top w:w="0" w:type="dxa"/>
              <w:left w:w="20" w:type="dxa"/>
              <w:bottom w:w="0" w:type="dxa"/>
              <w:right w:w="20" w:type="dxa"/>
            </w:tcMar>
            <w:vAlign w:val="center"/>
            <w:hideMark/>
          </w:tcPr>
          <w:p w14:paraId="04B33D75"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B496008" w14:textId="77777777" w:rsidR="00000000" w:rsidRDefault="00E614A4">
            <w:pPr>
              <w:divId w:val="611397318"/>
              <w:rPr>
                <w:rFonts w:eastAsia="Times New Roman"/>
              </w:rPr>
            </w:pPr>
            <w:hyperlink r:id="rId39" w:history="1">
              <w:r>
                <w:rPr>
                  <w:rStyle w:val="a3"/>
                  <w:rFonts w:eastAsia="Times New Roman"/>
                  <w:sz w:val="20"/>
                  <w:szCs w:val="20"/>
                </w:rPr>
                <w:t>Agreement, dated as of January 7, 2021, by and among comScore, Inc. and certain funds affiliated with or managed by Starboard Value LP (incorporated by refe</w:t>
              </w:r>
              <w:r>
                <w:rPr>
                  <w:rStyle w:val="a3"/>
                  <w:rFonts w:eastAsia="Times New Roman"/>
                  <w:sz w:val="20"/>
                  <w:szCs w:val="20"/>
                </w:rPr>
                <w:t>rence to Exhibit 10.4 to the Registrant's Current Report on Form 8-K, filed January 8, 2021) (File No. 0001-33520)</w:t>
              </w:r>
            </w:hyperlink>
          </w:p>
        </w:tc>
      </w:tr>
      <w:tr w:rsidR="00000000" w14:paraId="37F9EF71" w14:textId="77777777">
        <w:trPr>
          <w:divId w:val="1426223885"/>
          <w:trHeight w:val="60"/>
          <w:jc w:val="center"/>
        </w:trPr>
        <w:tc>
          <w:tcPr>
            <w:tcW w:w="0" w:type="auto"/>
            <w:gridSpan w:val="3"/>
            <w:tcMar>
              <w:top w:w="0" w:type="dxa"/>
              <w:left w:w="20" w:type="dxa"/>
              <w:bottom w:w="0" w:type="dxa"/>
              <w:right w:w="20" w:type="dxa"/>
            </w:tcMar>
            <w:vAlign w:val="center"/>
            <w:hideMark/>
          </w:tcPr>
          <w:p w14:paraId="121FD82B"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6AB49F3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E4C1622" w14:textId="77777777" w:rsidR="00000000" w:rsidRDefault="00E614A4">
            <w:pPr>
              <w:rPr>
                <w:rFonts w:eastAsia="Times New Roman"/>
                <w:sz w:val="20"/>
                <w:szCs w:val="20"/>
              </w:rPr>
            </w:pPr>
          </w:p>
        </w:tc>
      </w:tr>
      <w:tr w:rsidR="00000000" w14:paraId="575CB403" w14:textId="77777777">
        <w:trPr>
          <w:divId w:val="1426223885"/>
          <w:jc w:val="center"/>
        </w:trPr>
        <w:tc>
          <w:tcPr>
            <w:tcW w:w="0" w:type="auto"/>
            <w:gridSpan w:val="3"/>
            <w:tcMar>
              <w:top w:w="30" w:type="dxa"/>
              <w:left w:w="20" w:type="dxa"/>
              <w:bottom w:w="30" w:type="dxa"/>
              <w:right w:w="20" w:type="dxa"/>
            </w:tcMar>
            <w:hideMark/>
          </w:tcPr>
          <w:p w14:paraId="0A639AC5" w14:textId="77777777" w:rsidR="00000000" w:rsidRDefault="00E614A4">
            <w:pP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2A352D71"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51D1287" w14:textId="77777777" w:rsidR="00000000" w:rsidRDefault="00E614A4">
            <w:pPr>
              <w:jc w:val="both"/>
              <w:rPr>
                <w:rFonts w:eastAsia="Times New Roman"/>
              </w:rPr>
            </w:pPr>
            <w:hyperlink r:id="rId40" w:history="1">
              <w:r>
                <w:rPr>
                  <w:rStyle w:val="a3"/>
                  <w:rFonts w:eastAsia="Times New Roman"/>
                  <w:sz w:val="20"/>
                  <w:szCs w:val="20"/>
                </w:rPr>
                <w:t>Patent Purchase, L</w:t>
              </w:r>
              <w:r>
                <w:rPr>
                  <w:rStyle w:val="a3"/>
                  <w:rFonts w:eastAsia="Times New Roman"/>
                  <w:sz w:val="20"/>
                  <w:szCs w:val="20"/>
                </w:rPr>
                <w:t>icense and Settlement Agreement, dated as of December 20, 2011, by and among comScore, Inc., The Nielsen Company (US) LLC and NetRatings LLC (incorporated by reference to Exhibit 10.1 to the Registrant's Current Report on Form 8-K, filed December 21, 2011)</w:t>
              </w:r>
              <w:r>
                <w:rPr>
                  <w:rStyle w:val="a3"/>
                  <w:rFonts w:eastAsia="Times New Roman"/>
                  <w:sz w:val="20"/>
                  <w:szCs w:val="20"/>
                </w:rPr>
                <w:t xml:space="preserve"> (File No. 001-33520)</w:t>
              </w:r>
            </w:hyperlink>
          </w:p>
        </w:tc>
      </w:tr>
      <w:tr w:rsidR="00000000" w14:paraId="014C3144" w14:textId="77777777">
        <w:trPr>
          <w:divId w:val="1426223885"/>
          <w:trHeight w:val="60"/>
          <w:jc w:val="center"/>
        </w:trPr>
        <w:tc>
          <w:tcPr>
            <w:tcW w:w="0" w:type="auto"/>
            <w:gridSpan w:val="3"/>
            <w:tcMar>
              <w:top w:w="0" w:type="dxa"/>
              <w:left w:w="20" w:type="dxa"/>
              <w:bottom w:w="0" w:type="dxa"/>
              <w:right w:w="20" w:type="dxa"/>
            </w:tcMar>
            <w:vAlign w:val="center"/>
            <w:hideMark/>
          </w:tcPr>
          <w:p w14:paraId="1A72B14E"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3D08CB7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5733F32" w14:textId="77777777" w:rsidR="00000000" w:rsidRDefault="00E614A4">
            <w:pPr>
              <w:rPr>
                <w:rFonts w:eastAsia="Times New Roman"/>
                <w:sz w:val="20"/>
                <w:szCs w:val="20"/>
              </w:rPr>
            </w:pPr>
          </w:p>
        </w:tc>
      </w:tr>
      <w:tr w:rsidR="00000000" w14:paraId="77F84FC1" w14:textId="77777777">
        <w:trPr>
          <w:divId w:val="1426223885"/>
          <w:jc w:val="center"/>
        </w:trPr>
        <w:tc>
          <w:tcPr>
            <w:tcW w:w="0" w:type="auto"/>
            <w:gridSpan w:val="3"/>
            <w:tcMar>
              <w:top w:w="30" w:type="dxa"/>
              <w:left w:w="20" w:type="dxa"/>
              <w:bottom w:w="30" w:type="dxa"/>
              <w:right w:w="20" w:type="dxa"/>
            </w:tcMar>
            <w:hideMark/>
          </w:tcPr>
          <w:p w14:paraId="630AB7D8" w14:textId="77777777" w:rsidR="00000000" w:rsidRDefault="00E614A4">
            <w:pP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2D3BD7E0"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BD57BB9" w14:textId="77777777" w:rsidR="00000000" w:rsidRDefault="00E614A4">
            <w:pPr>
              <w:jc w:val="both"/>
              <w:rPr>
                <w:rFonts w:eastAsia="Times New Roman"/>
              </w:rPr>
            </w:pPr>
            <w:hyperlink r:id="rId41" w:history="1">
              <w:r>
                <w:rPr>
                  <w:rStyle w:val="a3"/>
                  <w:rFonts w:eastAsia="Times New Roman"/>
                  <w:sz w:val="20"/>
                  <w:szCs w:val="20"/>
                </w:rPr>
                <w:t>Purchase Agreement, dated as of December 20, 2011, by and among comScore, Inc. and The Nielsen Company (US) LLC (incorporated by reference to Exhibit 10.2 to the Registrant's Current Report on Form 8-K, filed December 21, 2011) (File No. 001-33520)</w:t>
              </w:r>
            </w:hyperlink>
          </w:p>
        </w:tc>
      </w:tr>
      <w:tr w:rsidR="00000000" w14:paraId="0DEE0D52" w14:textId="77777777">
        <w:trPr>
          <w:divId w:val="1426223885"/>
          <w:trHeight w:val="60"/>
          <w:jc w:val="center"/>
        </w:trPr>
        <w:tc>
          <w:tcPr>
            <w:tcW w:w="0" w:type="auto"/>
            <w:gridSpan w:val="3"/>
            <w:tcMar>
              <w:top w:w="0" w:type="dxa"/>
              <w:left w:w="20" w:type="dxa"/>
              <w:bottom w:w="0" w:type="dxa"/>
              <w:right w:w="20" w:type="dxa"/>
            </w:tcMar>
            <w:vAlign w:val="center"/>
            <w:hideMark/>
          </w:tcPr>
          <w:p w14:paraId="0C18A085"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27D2B61B"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9A0EE97" w14:textId="77777777" w:rsidR="00000000" w:rsidRDefault="00E614A4">
            <w:pPr>
              <w:rPr>
                <w:rFonts w:eastAsia="Times New Roman"/>
                <w:sz w:val="20"/>
                <w:szCs w:val="20"/>
              </w:rPr>
            </w:pPr>
          </w:p>
        </w:tc>
      </w:tr>
      <w:tr w:rsidR="00000000" w14:paraId="3EAED87A" w14:textId="77777777">
        <w:trPr>
          <w:divId w:val="1426223885"/>
          <w:jc w:val="center"/>
        </w:trPr>
        <w:tc>
          <w:tcPr>
            <w:tcW w:w="0" w:type="auto"/>
            <w:gridSpan w:val="3"/>
            <w:tcMar>
              <w:top w:w="30" w:type="dxa"/>
              <w:left w:w="20" w:type="dxa"/>
              <w:bottom w:w="30" w:type="dxa"/>
              <w:right w:w="20" w:type="dxa"/>
            </w:tcMar>
            <w:hideMark/>
          </w:tcPr>
          <w:p w14:paraId="0081BCF0" w14:textId="77777777" w:rsidR="00000000" w:rsidRDefault="00E614A4">
            <w:pPr>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0C39F4DE"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2673AC89" w14:textId="77777777" w:rsidR="00000000" w:rsidRDefault="00E614A4">
            <w:pPr>
              <w:jc w:val="both"/>
              <w:rPr>
                <w:rFonts w:eastAsia="Times New Roman"/>
              </w:rPr>
            </w:pPr>
            <w:hyperlink r:id="rId42" w:history="1">
              <w:r>
                <w:rPr>
                  <w:rStyle w:val="a3"/>
                  <w:rFonts w:eastAsia="Times New Roman"/>
                  <w:sz w:val="20"/>
                  <w:szCs w:val="20"/>
                </w:rPr>
                <w:t>Stock Purchase Agreement, dated as of February 11, 2015, by and among Cavendish Square Holding B.V., WPP Group USA, Inc., CS Worldnet Holding B.V. and comScore, Inc. (incorporated by reference to Exhibit (d)(1) to Cavendish Square Holding B.V.'s and WPP pl</w:t>
              </w:r>
              <w:r>
                <w:rPr>
                  <w:rStyle w:val="a3"/>
                  <w:rFonts w:eastAsia="Times New Roman"/>
                  <w:sz w:val="20"/>
                  <w:szCs w:val="20"/>
                </w:rPr>
                <w:t>c's Tender Offer Statement on Schedule TO, filed February 20, 2015) (File No. 005-83687)</w:t>
              </w:r>
            </w:hyperlink>
          </w:p>
        </w:tc>
      </w:tr>
      <w:tr w:rsidR="00000000" w14:paraId="4C942956" w14:textId="77777777">
        <w:trPr>
          <w:divId w:val="1426223885"/>
          <w:trHeight w:val="60"/>
          <w:jc w:val="center"/>
        </w:trPr>
        <w:tc>
          <w:tcPr>
            <w:tcW w:w="0" w:type="auto"/>
            <w:gridSpan w:val="3"/>
            <w:tcMar>
              <w:top w:w="0" w:type="dxa"/>
              <w:left w:w="20" w:type="dxa"/>
              <w:bottom w:w="0" w:type="dxa"/>
              <w:right w:w="20" w:type="dxa"/>
            </w:tcMar>
            <w:vAlign w:val="center"/>
            <w:hideMark/>
          </w:tcPr>
          <w:p w14:paraId="54B39434"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84962D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26089D4" w14:textId="77777777" w:rsidR="00000000" w:rsidRDefault="00E614A4">
            <w:pPr>
              <w:rPr>
                <w:rFonts w:eastAsia="Times New Roman"/>
                <w:sz w:val="20"/>
                <w:szCs w:val="20"/>
              </w:rPr>
            </w:pPr>
          </w:p>
        </w:tc>
      </w:tr>
      <w:tr w:rsidR="00000000" w14:paraId="5049C29C" w14:textId="77777777">
        <w:trPr>
          <w:divId w:val="1426223885"/>
          <w:jc w:val="center"/>
        </w:trPr>
        <w:tc>
          <w:tcPr>
            <w:tcW w:w="0" w:type="auto"/>
            <w:gridSpan w:val="3"/>
            <w:tcMar>
              <w:top w:w="30" w:type="dxa"/>
              <w:left w:w="20" w:type="dxa"/>
              <w:bottom w:w="30" w:type="dxa"/>
              <w:right w:w="20" w:type="dxa"/>
            </w:tcMar>
            <w:hideMark/>
          </w:tcPr>
          <w:p w14:paraId="6B029F3C" w14:textId="77777777" w:rsidR="00000000" w:rsidRDefault="00E614A4">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5EA3AD37"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83910E3" w14:textId="77777777" w:rsidR="00000000" w:rsidRDefault="00E614A4">
            <w:pPr>
              <w:jc w:val="both"/>
              <w:rPr>
                <w:rFonts w:eastAsia="Times New Roman"/>
              </w:rPr>
            </w:pPr>
            <w:hyperlink r:id="rId43" w:history="1">
              <w:r>
                <w:rPr>
                  <w:rStyle w:val="a3"/>
                  <w:rFonts w:eastAsia="Times New Roman"/>
                  <w:sz w:val="20"/>
                  <w:szCs w:val="20"/>
                </w:rPr>
                <w:t>Strategic Alliance Agreement, dated February 11, 2015, by and between comScore, Inc. and WPP Group USA, Inc. (incorporated by reference to Exhibit (d)(5) to</w:t>
              </w:r>
              <w:r>
                <w:rPr>
                  <w:rStyle w:val="a3"/>
                  <w:rFonts w:eastAsia="Times New Roman"/>
                  <w:sz w:val="20"/>
                  <w:szCs w:val="20"/>
                </w:rPr>
                <w:t xml:space="preserve"> Cavendish Square Holding B.V.'s and WPP plc's Tender Offer Statement on Schedule TO, filed February 20, 2015) (File No. 005-83687)</w:t>
              </w:r>
            </w:hyperlink>
          </w:p>
        </w:tc>
      </w:tr>
      <w:tr w:rsidR="00000000" w14:paraId="16A0FB61" w14:textId="77777777">
        <w:trPr>
          <w:divId w:val="1426223885"/>
          <w:trHeight w:val="60"/>
          <w:jc w:val="center"/>
        </w:trPr>
        <w:tc>
          <w:tcPr>
            <w:tcW w:w="0" w:type="auto"/>
            <w:gridSpan w:val="3"/>
            <w:tcMar>
              <w:top w:w="0" w:type="dxa"/>
              <w:left w:w="20" w:type="dxa"/>
              <w:bottom w:w="0" w:type="dxa"/>
              <w:right w:w="20" w:type="dxa"/>
            </w:tcMar>
            <w:vAlign w:val="center"/>
            <w:hideMark/>
          </w:tcPr>
          <w:p w14:paraId="38BBB4F6"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141A167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7DD7A13" w14:textId="77777777" w:rsidR="00000000" w:rsidRDefault="00E614A4">
            <w:pPr>
              <w:rPr>
                <w:rFonts w:eastAsia="Times New Roman"/>
                <w:sz w:val="20"/>
                <w:szCs w:val="20"/>
              </w:rPr>
            </w:pPr>
          </w:p>
        </w:tc>
      </w:tr>
      <w:tr w:rsidR="00000000" w14:paraId="6CE876B0" w14:textId="77777777">
        <w:trPr>
          <w:divId w:val="1426223885"/>
          <w:jc w:val="center"/>
        </w:trPr>
        <w:tc>
          <w:tcPr>
            <w:tcW w:w="0" w:type="auto"/>
            <w:gridSpan w:val="3"/>
            <w:tcMar>
              <w:top w:w="30" w:type="dxa"/>
              <w:left w:w="20" w:type="dxa"/>
              <w:bottom w:w="30" w:type="dxa"/>
              <w:right w:w="20" w:type="dxa"/>
            </w:tcMar>
            <w:hideMark/>
          </w:tcPr>
          <w:p w14:paraId="38D86EDD" w14:textId="77777777" w:rsidR="00000000" w:rsidRDefault="00E614A4">
            <w:pPr>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14:paraId="6221D7B8"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75D99F7" w14:textId="77777777" w:rsidR="00000000" w:rsidRDefault="00E614A4">
            <w:pPr>
              <w:jc w:val="both"/>
              <w:rPr>
                <w:rFonts w:eastAsia="Times New Roman"/>
              </w:rPr>
            </w:pPr>
            <w:hyperlink r:id="rId44" w:history="1">
              <w:r>
                <w:rPr>
                  <w:rStyle w:val="a3"/>
                  <w:rFonts w:eastAsia="Times New Roman"/>
                  <w:sz w:val="20"/>
                  <w:szCs w:val="20"/>
                </w:rPr>
                <w:t>Purchase Agreement, dated as of April 1, 2015, by and between comScore, Inc. and Cavendish Square Holding B.V. (incorporated by reference to Ex</w:t>
              </w:r>
              <w:r>
                <w:rPr>
                  <w:rStyle w:val="a3"/>
                  <w:rFonts w:eastAsia="Times New Roman"/>
                  <w:sz w:val="20"/>
                  <w:szCs w:val="20"/>
                </w:rPr>
                <w:t>hibit 10.5 to the Registrant's Current Report on Form 8-K, filed April 3, 2015) (File No. 001-33520)</w:t>
              </w:r>
            </w:hyperlink>
          </w:p>
        </w:tc>
      </w:tr>
      <w:tr w:rsidR="00000000" w14:paraId="36474514" w14:textId="77777777">
        <w:trPr>
          <w:divId w:val="1426223885"/>
          <w:trHeight w:val="60"/>
          <w:jc w:val="center"/>
        </w:trPr>
        <w:tc>
          <w:tcPr>
            <w:tcW w:w="0" w:type="auto"/>
            <w:gridSpan w:val="3"/>
            <w:tcMar>
              <w:top w:w="0" w:type="dxa"/>
              <w:left w:w="20" w:type="dxa"/>
              <w:bottom w:w="0" w:type="dxa"/>
              <w:right w:w="20" w:type="dxa"/>
            </w:tcMar>
            <w:vAlign w:val="center"/>
            <w:hideMark/>
          </w:tcPr>
          <w:p w14:paraId="2D1E3599"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AFB0B9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BF7A37A" w14:textId="77777777" w:rsidR="00000000" w:rsidRDefault="00E614A4">
            <w:pPr>
              <w:rPr>
                <w:rFonts w:eastAsia="Times New Roman"/>
                <w:sz w:val="20"/>
                <w:szCs w:val="20"/>
              </w:rPr>
            </w:pPr>
          </w:p>
        </w:tc>
      </w:tr>
      <w:tr w:rsidR="00000000" w14:paraId="46B22148" w14:textId="77777777">
        <w:trPr>
          <w:divId w:val="1426223885"/>
          <w:jc w:val="center"/>
        </w:trPr>
        <w:tc>
          <w:tcPr>
            <w:tcW w:w="0" w:type="auto"/>
            <w:gridSpan w:val="3"/>
            <w:tcMar>
              <w:top w:w="30" w:type="dxa"/>
              <w:left w:w="20" w:type="dxa"/>
              <w:bottom w:w="30" w:type="dxa"/>
              <w:right w:w="20" w:type="dxa"/>
            </w:tcMar>
            <w:hideMark/>
          </w:tcPr>
          <w:p w14:paraId="6731EE39" w14:textId="77777777" w:rsidR="00000000" w:rsidRDefault="00E614A4">
            <w:pPr>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14:paraId="018CF85F"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18210B10" w14:textId="77777777" w:rsidR="00000000" w:rsidRDefault="00E614A4">
            <w:pPr>
              <w:jc w:val="both"/>
              <w:rPr>
                <w:rFonts w:eastAsia="Times New Roman"/>
              </w:rPr>
            </w:pPr>
            <w:hyperlink r:id="rId45" w:history="1">
              <w:r>
                <w:rPr>
                  <w:rStyle w:val="a3"/>
                  <w:rFonts w:eastAsia="Times New Roman"/>
                  <w:sz w:val="20"/>
                  <w:szCs w:val="20"/>
                </w:rPr>
                <w:t>Securities Purchase Agreement, dated as of January 16, 2018, by and among comScore, Inc. and the investors listed on the Schedule of Buyers attached thereto</w:t>
              </w:r>
              <w:r>
                <w:rPr>
                  <w:rStyle w:val="a3"/>
                  <w:rFonts w:eastAsia="Times New Roman"/>
                  <w:sz w:val="20"/>
                  <w:szCs w:val="20"/>
                </w:rPr>
                <w:t xml:space="preserve"> (incorporated by reference to Exhibit 10.1 to the Registrant's Current Report on Form 8-K, filed January 16, 2018) (File No. 001-33520)</w:t>
              </w:r>
            </w:hyperlink>
          </w:p>
        </w:tc>
      </w:tr>
      <w:tr w:rsidR="00000000" w14:paraId="3C43BF92" w14:textId="77777777">
        <w:trPr>
          <w:divId w:val="1426223885"/>
          <w:trHeight w:val="60"/>
          <w:jc w:val="center"/>
        </w:trPr>
        <w:tc>
          <w:tcPr>
            <w:tcW w:w="0" w:type="auto"/>
            <w:gridSpan w:val="3"/>
            <w:tcMar>
              <w:top w:w="0" w:type="dxa"/>
              <w:left w:w="20" w:type="dxa"/>
              <w:bottom w:w="0" w:type="dxa"/>
              <w:right w:w="20" w:type="dxa"/>
            </w:tcMar>
            <w:vAlign w:val="center"/>
            <w:hideMark/>
          </w:tcPr>
          <w:p w14:paraId="3AB39C8A"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17891FF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29C2BAA" w14:textId="77777777" w:rsidR="00000000" w:rsidRDefault="00E614A4">
            <w:pPr>
              <w:rPr>
                <w:rFonts w:eastAsia="Times New Roman"/>
                <w:sz w:val="20"/>
                <w:szCs w:val="20"/>
              </w:rPr>
            </w:pPr>
          </w:p>
        </w:tc>
      </w:tr>
      <w:tr w:rsidR="00000000" w14:paraId="3E9CFEE8" w14:textId="77777777">
        <w:trPr>
          <w:divId w:val="1426223885"/>
          <w:jc w:val="center"/>
        </w:trPr>
        <w:tc>
          <w:tcPr>
            <w:tcW w:w="0" w:type="auto"/>
            <w:gridSpan w:val="3"/>
            <w:tcMar>
              <w:top w:w="30" w:type="dxa"/>
              <w:left w:w="20" w:type="dxa"/>
              <w:bottom w:w="30" w:type="dxa"/>
              <w:right w:w="20" w:type="dxa"/>
            </w:tcMar>
            <w:hideMark/>
          </w:tcPr>
          <w:p w14:paraId="0E192155" w14:textId="77777777" w:rsidR="00000000" w:rsidRDefault="00E614A4">
            <w:pPr>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14:paraId="75206376"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6949ECC" w14:textId="77777777" w:rsidR="00000000" w:rsidRDefault="00E614A4">
            <w:pPr>
              <w:jc w:val="both"/>
              <w:rPr>
                <w:rFonts w:eastAsia="Times New Roman"/>
              </w:rPr>
            </w:pPr>
            <w:hyperlink r:id="rId46" w:history="1">
              <w:r>
                <w:rPr>
                  <w:rStyle w:val="a3"/>
                  <w:rFonts w:eastAsia="Times New Roman"/>
                  <w:sz w:val="20"/>
                  <w:szCs w:val="20"/>
                </w:rPr>
                <w:t>Guaranty Agreement, dated as of January 16, 2018, made by the subsidiary guarantors signatory thereto (incorporated by reference to Exhibit 10.2 to the Regi</w:t>
              </w:r>
              <w:r>
                <w:rPr>
                  <w:rStyle w:val="a3"/>
                  <w:rFonts w:eastAsia="Times New Roman"/>
                  <w:sz w:val="20"/>
                  <w:szCs w:val="20"/>
                </w:rPr>
                <w:t>strant's Current Report on Form 8-K, filed January 16, 2018) (File No. 001-33520)</w:t>
              </w:r>
            </w:hyperlink>
          </w:p>
        </w:tc>
      </w:tr>
      <w:tr w:rsidR="00000000" w14:paraId="62F990AF" w14:textId="77777777">
        <w:trPr>
          <w:divId w:val="1426223885"/>
          <w:trHeight w:val="60"/>
          <w:jc w:val="center"/>
        </w:trPr>
        <w:tc>
          <w:tcPr>
            <w:tcW w:w="0" w:type="auto"/>
            <w:gridSpan w:val="3"/>
            <w:tcMar>
              <w:top w:w="0" w:type="dxa"/>
              <w:left w:w="20" w:type="dxa"/>
              <w:bottom w:w="0" w:type="dxa"/>
              <w:right w:w="20" w:type="dxa"/>
            </w:tcMar>
            <w:vAlign w:val="center"/>
            <w:hideMark/>
          </w:tcPr>
          <w:p w14:paraId="27EBDB6E"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1E4DD9F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BAE90E6" w14:textId="77777777" w:rsidR="00000000" w:rsidRDefault="00E614A4">
            <w:pPr>
              <w:rPr>
                <w:rFonts w:eastAsia="Times New Roman"/>
                <w:sz w:val="20"/>
                <w:szCs w:val="20"/>
              </w:rPr>
            </w:pPr>
          </w:p>
        </w:tc>
      </w:tr>
      <w:tr w:rsidR="00000000" w14:paraId="6F1519DE" w14:textId="77777777">
        <w:trPr>
          <w:divId w:val="1426223885"/>
          <w:jc w:val="center"/>
        </w:trPr>
        <w:tc>
          <w:tcPr>
            <w:tcW w:w="0" w:type="auto"/>
            <w:gridSpan w:val="3"/>
            <w:tcMar>
              <w:top w:w="30" w:type="dxa"/>
              <w:left w:w="20" w:type="dxa"/>
              <w:bottom w:w="30" w:type="dxa"/>
              <w:right w:w="20" w:type="dxa"/>
            </w:tcMar>
            <w:hideMark/>
          </w:tcPr>
          <w:p w14:paraId="1B306E35" w14:textId="77777777" w:rsidR="00000000" w:rsidRDefault="00E614A4">
            <w:pPr>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14:paraId="2C00988F"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2DE96D5B" w14:textId="77777777" w:rsidR="00000000" w:rsidRDefault="00E614A4">
            <w:pPr>
              <w:jc w:val="both"/>
              <w:rPr>
                <w:rFonts w:eastAsia="Times New Roman"/>
              </w:rPr>
            </w:pPr>
            <w:hyperlink r:id="rId47" w:history="1">
              <w:r>
                <w:rPr>
                  <w:rStyle w:val="a3"/>
                  <w:rFonts w:eastAsia="Times New Roman"/>
                  <w:sz w:val="20"/>
                  <w:szCs w:val="20"/>
                </w:rPr>
                <w:t xml:space="preserve">Pledge and Security Agreement, dated as of January 16, 2018, made by comScore, Inc., the subsidiaries signatory thereto and Starboard Value and Opportunity </w:t>
              </w:r>
              <w:r>
                <w:rPr>
                  <w:rStyle w:val="a3"/>
                  <w:rFonts w:eastAsia="Times New Roman"/>
                  <w:sz w:val="20"/>
                  <w:szCs w:val="20"/>
                </w:rPr>
                <w:t>Master Fund Ltd., as Collateral Agent (incorporated by reference to Exhibit 10.3 to the Registrant's Current Report on Form 8-K, filed January 16, 2018) (File No. 001-33520)</w:t>
              </w:r>
            </w:hyperlink>
          </w:p>
        </w:tc>
      </w:tr>
      <w:tr w:rsidR="00000000" w14:paraId="59ADB9EB" w14:textId="77777777">
        <w:trPr>
          <w:divId w:val="1426223885"/>
          <w:trHeight w:val="60"/>
          <w:jc w:val="center"/>
        </w:trPr>
        <w:tc>
          <w:tcPr>
            <w:tcW w:w="0" w:type="auto"/>
            <w:gridSpan w:val="3"/>
            <w:tcMar>
              <w:top w:w="0" w:type="dxa"/>
              <w:left w:w="20" w:type="dxa"/>
              <w:bottom w:w="0" w:type="dxa"/>
              <w:right w:w="20" w:type="dxa"/>
            </w:tcMar>
            <w:vAlign w:val="center"/>
            <w:hideMark/>
          </w:tcPr>
          <w:p w14:paraId="178E4360"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47BB78B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E13D3B5" w14:textId="77777777" w:rsidR="00000000" w:rsidRDefault="00E614A4">
            <w:pPr>
              <w:rPr>
                <w:rFonts w:eastAsia="Times New Roman"/>
                <w:sz w:val="20"/>
                <w:szCs w:val="20"/>
              </w:rPr>
            </w:pPr>
          </w:p>
        </w:tc>
      </w:tr>
      <w:tr w:rsidR="00000000" w14:paraId="155A3DB8" w14:textId="77777777">
        <w:trPr>
          <w:divId w:val="1426223885"/>
          <w:jc w:val="center"/>
        </w:trPr>
        <w:tc>
          <w:tcPr>
            <w:tcW w:w="0" w:type="auto"/>
            <w:gridSpan w:val="3"/>
            <w:tcMar>
              <w:top w:w="30" w:type="dxa"/>
              <w:left w:w="20" w:type="dxa"/>
              <w:bottom w:w="30" w:type="dxa"/>
              <w:right w:w="20" w:type="dxa"/>
            </w:tcMar>
            <w:hideMark/>
          </w:tcPr>
          <w:p w14:paraId="78C24D40" w14:textId="77777777" w:rsidR="00000000" w:rsidRDefault="00E614A4">
            <w:pPr>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14:paraId="511A8B22"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02586D00" w14:textId="77777777" w:rsidR="00000000" w:rsidRDefault="00E614A4">
            <w:pPr>
              <w:jc w:val="both"/>
              <w:rPr>
                <w:rFonts w:eastAsia="Times New Roman"/>
              </w:rPr>
            </w:pPr>
            <w:hyperlink r:id="rId48" w:history="1">
              <w:r>
                <w:rPr>
                  <w:rStyle w:val="a3"/>
                  <w:rFonts w:eastAsia="Times New Roman"/>
                  <w:sz w:val="20"/>
                  <w:szCs w:val="20"/>
                </w:rPr>
                <w:t xml:space="preserve">Deed of Lease between South of Market LLC (as Landlord) and comScore, Inc. (as Tenant), dated December 21, 2007 (incorporated by reference to Exhibit 10.1 </w:t>
              </w:r>
              <w:r>
                <w:rPr>
                  <w:rStyle w:val="a3"/>
                  <w:rFonts w:eastAsia="Times New Roman"/>
                  <w:sz w:val="20"/>
                  <w:szCs w:val="20"/>
                </w:rPr>
                <w:t>to the Registrant's Current Report on Form 8-K, filed February 5, 2008) (File No. 001-33520)</w:t>
              </w:r>
            </w:hyperlink>
          </w:p>
        </w:tc>
      </w:tr>
      <w:tr w:rsidR="00000000" w14:paraId="44BD150A" w14:textId="77777777">
        <w:trPr>
          <w:divId w:val="1426223885"/>
          <w:trHeight w:val="60"/>
          <w:jc w:val="center"/>
        </w:trPr>
        <w:tc>
          <w:tcPr>
            <w:tcW w:w="0" w:type="auto"/>
            <w:gridSpan w:val="3"/>
            <w:tcMar>
              <w:top w:w="0" w:type="dxa"/>
              <w:left w:w="20" w:type="dxa"/>
              <w:bottom w:w="0" w:type="dxa"/>
              <w:right w:w="20" w:type="dxa"/>
            </w:tcMar>
            <w:vAlign w:val="center"/>
            <w:hideMark/>
          </w:tcPr>
          <w:p w14:paraId="41FE6F79"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59074534"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6F6CA57" w14:textId="77777777" w:rsidR="00000000" w:rsidRDefault="00E614A4">
            <w:pPr>
              <w:rPr>
                <w:rFonts w:eastAsia="Times New Roman"/>
                <w:sz w:val="20"/>
                <w:szCs w:val="20"/>
              </w:rPr>
            </w:pPr>
          </w:p>
        </w:tc>
      </w:tr>
      <w:tr w:rsidR="00000000" w14:paraId="432B6666" w14:textId="77777777">
        <w:trPr>
          <w:divId w:val="1426223885"/>
          <w:jc w:val="center"/>
        </w:trPr>
        <w:tc>
          <w:tcPr>
            <w:tcW w:w="0" w:type="auto"/>
            <w:gridSpan w:val="3"/>
            <w:tcMar>
              <w:top w:w="30" w:type="dxa"/>
              <w:left w:w="20" w:type="dxa"/>
              <w:bottom w:w="30" w:type="dxa"/>
              <w:right w:w="20" w:type="dxa"/>
            </w:tcMar>
            <w:hideMark/>
          </w:tcPr>
          <w:p w14:paraId="24DD0BA2" w14:textId="77777777" w:rsidR="00000000" w:rsidRDefault="00E614A4">
            <w:pPr>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14:paraId="4F140803"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E8443D7" w14:textId="77777777" w:rsidR="00000000" w:rsidRDefault="00E614A4">
            <w:pPr>
              <w:jc w:val="both"/>
              <w:rPr>
                <w:rFonts w:eastAsia="Times New Roman"/>
              </w:rPr>
            </w:pPr>
            <w:hyperlink r:id="rId49" w:history="1">
              <w:r>
                <w:rPr>
                  <w:rStyle w:val="a3"/>
                  <w:rFonts w:eastAsia="Times New Roman"/>
                  <w:sz w:val="20"/>
                  <w:szCs w:val="20"/>
                </w:rPr>
                <w:t>Amendment No. 6 to Deed of Lease, dated as of May 30, 2018, by and between South of Market LLC and comScore, Inc. (incorporated by reference to Exhibi</w:t>
              </w:r>
              <w:r>
                <w:rPr>
                  <w:rStyle w:val="a3"/>
                  <w:rFonts w:eastAsia="Times New Roman"/>
                  <w:sz w:val="20"/>
                  <w:szCs w:val="20"/>
                </w:rPr>
                <w:t>t 10.1 to the Registrant's Current Report on Form 8-K, filed June 5, 2018) (File No. 001-33520)</w:t>
              </w:r>
            </w:hyperlink>
          </w:p>
        </w:tc>
      </w:tr>
      <w:tr w:rsidR="00000000" w14:paraId="53E49F98" w14:textId="77777777">
        <w:trPr>
          <w:divId w:val="1426223885"/>
          <w:trHeight w:val="60"/>
          <w:jc w:val="center"/>
        </w:trPr>
        <w:tc>
          <w:tcPr>
            <w:tcW w:w="0" w:type="auto"/>
            <w:gridSpan w:val="3"/>
            <w:tcMar>
              <w:top w:w="0" w:type="dxa"/>
              <w:left w:w="20" w:type="dxa"/>
              <w:bottom w:w="0" w:type="dxa"/>
              <w:right w:w="20" w:type="dxa"/>
            </w:tcMar>
            <w:vAlign w:val="center"/>
            <w:hideMark/>
          </w:tcPr>
          <w:p w14:paraId="730421FB"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0988C9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756B181" w14:textId="77777777" w:rsidR="00000000" w:rsidRDefault="00E614A4">
            <w:pPr>
              <w:rPr>
                <w:rFonts w:eastAsia="Times New Roman"/>
                <w:sz w:val="20"/>
                <w:szCs w:val="20"/>
              </w:rPr>
            </w:pPr>
          </w:p>
        </w:tc>
      </w:tr>
      <w:tr w:rsidR="00000000" w14:paraId="1EFDF1A1" w14:textId="77777777">
        <w:trPr>
          <w:divId w:val="1426223885"/>
          <w:jc w:val="center"/>
        </w:trPr>
        <w:tc>
          <w:tcPr>
            <w:tcW w:w="0" w:type="auto"/>
            <w:gridSpan w:val="3"/>
            <w:tcMar>
              <w:top w:w="30" w:type="dxa"/>
              <w:left w:w="20" w:type="dxa"/>
              <w:bottom w:w="30" w:type="dxa"/>
              <w:right w:w="20" w:type="dxa"/>
            </w:tcMar>
            <w:hideMark/>
          </w:tcPr>
          <w:p w14:paraId="04CB67A9" w14:textId="77777777" w:rsidR="00000000" w:rsidRDefault="00E614A4">
            <w:pPr>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14:paraId="0A545EEB"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1CA0A67" w14:textId="77777777" w:rsidR="00000000" w:rsidRDefault="00E614A4">
            <w:pPr>
              <w:jc w:val="both"/>
              <w:rPr>
                <w:rFonts w:eastAsia="Times New Roman"/>
              </w:rPr>
            </w:pPr>
            <w:hyperlink r:id="rId50" w:history="1">
              <w:r>
                <w:rPr>
                  <w:rStyle w:val="a3"/>
                  <w:rFonts w:eastAsia="Times New Roman"/>
                  <w:sz w:val="20"/>
                  <w:szCs w:val="20"/>
                </w:rPr>
                <w:t>2007 Equity Incentive Plan, as amended</w:t>
              </w:r>
              <w:r>
                <w:rPr>
                  <w:rStyle w:val="a3"/>
                  <w:rFonts w:eastAsia="Times New Roman"/>
                  <w:sz w:val="20"/>
                  <w:szCs w:val="20"/>
                </w:rPr>
                <w:t xml:space="preserve"> and restated September 8, 2014 (incorporated by reference to Exhibit 10.2 to the Registrant's Quarterly Report on Form 10-Q, filed October 29, 2014) (File No. 001-33520)</w:t>
              </w:r>
            </w:hyperlink>
          </w:p>
        </w:tc>
      </w:tr>
      <w:tr w:rsidR="00000000" w14:paraId="03F06FF3" w14:textId="77777777">
        <w:trPr>
          <w:divId w:val="1426223885"/>
          <w:trHeight w:val="60"/>
          <w:jc w:val="center"/>
        </w:trPr>
        <w:tc>
          <w:tcPr>
            <w:tcW w:w="0" w:type="auto"/>
            <w:gridSpan w:val="3"/>
            <w:tcMar>
              <w:top w:w="0" w:type="dxa"/>
              <w:left w:w="20" w:type="dxa"/>
              <w:bottom w:w="0" w:type="dxa"/>
              <w:right w:w="20" w:type="dxa"/>
            </w:tcMar>
            <w:vAlign w:val="center"/>
            <w:hideMark/>
          </w:tcPr>
          <w:p w14:paraId="0F2B69A9"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F812667"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8AB051F" w14:textId="77777777" w:rsidR="00000000" w:rsidRDefault="00E614A4">
            <w:pPr>
              <w:rPr>
                <w:rFonts w:eastAsia="Times New Roman"/>
                <w:sz w:val="20"/>
                <w:szCs w:val="20"/>
              </w:rPr>
            </w:pPr>
          </w:p>
        </w:tc>
      </w:tr>
      <w:tr w:rsidR="00000000" w14:paraId="0905B5C0" w14:textId="77777777">
        <w:trPr>
          <w:divId w:val="1426223885"/>
          <w:jc w:val="center"/>
        </w:trPr>
        <w:tc>
          <w:tcPr>
            <w:tcW w:w="0" w:type="auto"/>
            <w:gridSpan w:val="3"/>
            <w:tcMar>
              <w:top w:w="30" w:type="dxa"/>
              <w:left w:w="20" w:type="dxa"/>
              <w:bottom w:w="30" w:type="dxa"/>
              <w:right w:w="20" w:type="dxa"/>
            </w:tcMar>
            <w:hideMark/>
          </w:tcPr>
          <w:p w14:paraId="3A037028" w14:textId="77777777" w:rsidR="00000000" w:rsidRDefault="00E614A4">
            <w:pPr>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14:paraId="30F26ED2"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F924248" w14:textId="77777777" w:rsidR="00000000" w:rsidRDefault="00E614A4">
            <w:pPr>
              <w:jc w:val="both"/>
              <w:rPr>
                <w:rFonts w:eastAsia="Times New Roman"/>
              </w:rPr>
            </w:pPr>
            <w:hyperlink r:id="rId51" w:history="1">
              <w:r>
                <w:rPr>
                  <w:rStyle w:val="a3"/>
                  <w:rFonts w:eastAsia="Times New Roman"/>
                  <w:sz w:val="20"/>
                  <w:szCs w:val="20"/>
                </w:rPr>
                <w:t>Form of Notice of Grant of Stock Option under 2007 Equity Incentive Plan (incorporated by reference to Exhibit 10.7 to the Registrant's Registration Stateme</w:t>
              </w:r>
              <w:r>
                <w:rPr>
                  <w:rStyle w:val="a3"/>
                  <w:rFonts w:eastAsia="Times New Roman"/>
                  <w:sz w:val="20"/>
                  <w:szCs w:val="20"/>
                </w:rPr>
                <w:t>nt on Form S-1, filed April 2, 2007) (File No. 333-141740)</w:t>
              </w:r>
            </w:hyperlink>
          </w:p>
        </w:tc>
      </w:tr>
      <w:tr w:rsidR="00000000" w14:paraId="1D0694EE" w14:textId="77777777">
        <w:trPr>
          <w:divId w:val="1426223885"/>
          <w:trHeight w:val="60"/>
          <w:jc w:val="center"/>
        </w:trPr>
        <w:tc>
          <w:tcPr>
            <w:tcW w:w="0" w:type="auto"/>
            <w:gridSpan w:val="3"/>
            <w:tcMar>
              <w:top w:w="0" w:type="dxa"/>
              <w:left w:w="20" w:type="dxa"/>
              <w:bottom w:w="0" w:type="dxa"/>
              <w:right w:w="20" w:type="dxa"/>
            </w:tcMar>
            <w:vAlign w:val="center"/>
            <w:hideMark/>
          </w:tcPr>
          <w:p w14:paraId="3B1A4850"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A54FC6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964D9DC" w14:textId="77777777" w:rsidR="00000000" w:rsidRDefault="00E614A4">
            <w:pPr>
              <w:rPr>
                <w:rFonts w:eastAsia="Times New Roman"/>
                <w:sz w:val="20"/>
                <w:szCs w:val="20"/>
              </w:rPr>
            </w:pPr>
          </w:p>
        </w:tc>
      </w:tr>
      <w:tr w:rsidR="00000000" w14:paraId="5832AF13" w14:textId="77777777">
        <w:trPr>
          <w:divId w:val="1426223885"/>
          <w:jc w:val="center"/>
        </w:trPr>
        <w:tc>
          <w:tcPr>
            <w:tcW w:w="0" w:type="auto"/>
            <w:gridSpan w:val="3"/>
            <w:tcMar>
              <w:top w:w="30" w:type="dxa"/>
              <w:left w:w="20" w:type="dxa"/>
              <w:bottom w:w="30" w:type="dxa"/>
              <w:right w:w="20" w:type="dxa"/>
            </w:tcMar>
            <w:hideMark/>
          </w:tcPr>
          <w:p w14:paraId="208C374B" w14:textId="77777777" w:rsidR="00000000" w:rsidRDefault="00E614A4">
            <w:pPr>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14:paraId="3E320100"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1F5D4527" w14:textId="77777777" w:rsidR="00000000" w:rsidRDefault="00E614A4">
            <w:pPr>
              <w:jc w:val="both"/>
              <w:rPr>
                <w:rFonts w:eastAsia="Times New Roman"/>
              </w:rPr>
            </w:pPr>
            <w:hyperlink r:id="rId52" w:history="1">
              <w:r>
                <w:rPr>
                  <w:rStyle w:val="a3"/>
                  <w:rFonts w:eastAsia="Times New Roman"/>
                  <w:sz w:val="20"/>
                  <w:szCs w:val="20"/>
                </w:rPr>
                <w:t>Form of Notice of Grant of Restricted Stock Units under 2007 Equity Incentive Plan (incorporated by reference to Exhibit 10.9 to the Registrant's Registrati</w:t>
              </w:r>
              <w:r>
                <w:rPr>
                  <w:rStyle w:val="a3"/>
                  <w:rFonts w:eastAsia="Times New Roman"/>
                  <w:sz w:val="20"/>
                  <w:szCs w:val="20"/>
                </w:rPr>
                <w:t>on Statement on Form S-1, filed April 2, 2007) (File No. 333-141740)</w:t>
              </w:r>
            </w:hyperlink>
          </w:p>
        </w:tc>
      </w:tr>
      <w:tr w:rsidR="00000000" w14:paraId="3C5B892E" w14:textId="77777777">
        <w:trPr>
          <w:divId w:val="1426223885"/>
          <w:trHeight w:val="60"/>
          <w:jc w:val="center"/>
        </w:trPr>
        <w:tc>
          <w:tcPr>
            <w:tcW w:w="0" w:type="auto"/>
            <w:gridSpan w:val="3"/>
            <w:tcMar>
              <w:top w:w="0" w:type="dxa"/>
              <w:left w:w="20" w:type="dxa"/>
              <w:bottom w:w="0" w:type="dxa"/>
              <w:right w:w="20" w:type="dxa"/>
            </w:tcMar>
            <w:vAlign w:val="center"/>
            <w:hideMark/>
          </w:tcPr>
          <w:p w14:paraId="2B7357CD"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2FC1C8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CDF44B5" w14:textId="77777777" w:rsidR="00000000" w:rsidRDefault="00E614A4">
            <w:pPr>
              <w:rPr>
                <w:rFonts w:eastAsia="Times New Roman"/>
                <w:sz w:val="20"/>
                <w:szCs w:val="20"/>
              </w:rPr>
            </w:pPr>
          </w:p>
        </w:tc>
      </w:tr>
      <w:tr w:rsidR="00000000" w14:paraId="683080B5" w14:textId="77777777">
        <w:trPr>
          <w:divId w:val="1426223885"/>
          <w:jc w:val="center"/>
        </w:trPr>
        <w:tc>
          <w:tcPr>
            <w:tcW w:w="0" w:type="auto"/>
            <w:gridSpan w:val="3"/>
            <w:tcMar>
              <w:top w:w="30" w:type="dxa"/>
              <w:left w:w="20" w:type="dxa"/>
              <w:bottom w:w="30" w:type="dxa"/>
              <w:right w:w="20" w:type="dxa"/>
            </w:tcMar>
            <w:hideMark/>
          </w:tcPr>
          <w:p w14:paraId="1EAA87C0" w14:textId="77777777" w:rsidR="00000000" w:rsidRDefault="00E614A4">
            <w:pPr>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14:paraId="0F2682A8"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36F1975" w14:textId="77777777" w:rsidR="00000000" w:rsidRDefault="00E614A4">
            <w:pPr>
              <w:jc w:val="both"/>
              <w:rPr>
                <w:rFonts w:eastAsia="Times New Roman"/>
              </w:rPr>
            </w:pPr>
            <w:hyperlink r:id="rId53" w:history="1">
              <w:r>
                <w:rPr>
                  <w:rStyle w:val="a3"/>
                  <w:rFonts w:eastAsia="Times New Roman"/>
                  <w:sz w:val="20"/>
                  <w:szCs w:val="20"/>
                </w:rPr>
                <w:t>comScore, Inc. 2018 Equity and Incentive Compensation Plan (as Amended and Rest</w:t>
              </w:r>
            </w:hyperlink>
            <w:hyperlink r:id="rId54" w:history="1">
              <w:r>
                <w:rPr>
                  <w:rStyle w:val="a3"/>
                  <w:rFonts w:eastAsia="Times New Roman"/>
                  <w:sz w:val="20"/>
                  <w:szCs w:val="20"/>
                </w:rPr>
                <w:t>ated Effective as of July 9, 2020) (incorporated by reference to Exhibit 10.1 to the Registrant's Current Report on Form 8-K, filed July 15, 2020) (File No. 001-33520)</w:t>
              </w:r>
            </w:hyperlink>
          </w:p>
        </w:tc>
      </w:tr>
      <w:tr w:rsidR="00000000" w14:paraId="43734EAB" w14:textId="77777777">
        <w:trPr>
          <w:divId w:val="1426223885"/>
          <w:trHeight w:val="60"/>
          <w:jc w:val="center"/>
        </w:trPr>
        <w:tc>
          <w:tcPr>
            <w:tcW w:w="0" w:type="auto"/>
            <w:gridSpan w:val="3"/>
            <w:tcMar>
              <w:top w:w="0" w:type="dxa"/>
              <w:left w:w="20" w:type="dxa"/>
              <w:bottom w:w="0" w:type="dxa"/>
              <w:right w:w="20" w:type="dxa"/>
            </w:tcMar>
            <w:vAlign w:val="center"/>
            <w:hideMark/>
          </w:tcPr>
          <w:p w14:paraId="27C68C7A"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707ED4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62779AA" w14:textId="77777777" w:rsidR="00000000" w:rsidRDefault="00E614A4">
            <w:pPr>
              <w:rPr>
                <w:rFonts w:eastAsia="Times New Roman"/>
                <w:sz w:val="20"/>
                <w:szCs w:val="20"/>
              </w:rPr>
            </w:pPr>
          </w:p>
        </w:tc>
      </w:tr>
    </w:tbl>
    <w:p w14:paraId="399DBCC7" w14:textId="77777777" w:rsidR="00000000" w:rsidRDefault="00E614A4">
      <w:pPr>
        <w:jc w:val="center"/>
        <w:divId w:val="1805468618"/>
        <w:rPr>
          <w:rFonts w:eastAsia="Times New Roman"/>
        </w:rPr>
      </w:pPr>
      <w:r>
        <w:rPr>
          <w:rFonts w:eastAsia="Times New Roman"/>
          <w:color w:val="000000"/>
          <w:sz w:val="20"/>
          <w:szCs w:val="20"/>
        </w:rPr>
        <w:t>108</w:t>
      </w:r>
    </w:p>
    <w:p w14:paraId="73600325" w14:textId="77777777" w:rsidR="00000000" w:rsidRDefault="00E614A4">
      <w:pPr>
        <w:rPr>
          <w:rFonts w:eastAsia="Times New Roman"/>
        </w:rPr>
      </w:pPr>
      <w:r>
        <w:rPr>
          <w:rFonts w:eastAsia="Times New Roman"/>
        </w:rPr>
        <w:pict w14:anchorId="3B94EC1B">
          <v:rect id="_x0000_i1136" style="width:0;height:1.5pt" o:hralign="center" o:hrstd="t" o:hr="t" fillcolor="#a0a0a0" stroked="f"/>
        </w:pict>
      </w:r>
    </w:p>
    <w:p w14:paraId="45658F03" w14:textId="77777777" w:rsidR="00000000" w:rsidRDefault="00E614A4">
      <w:pPr>
        <w:divId w:val="2030140319"/>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42C4792" w14:textId="77777777" w:rsidR="00000000" w:rsidRDefault="00E614A4">
      <w:pPr>
        <w:divId w:val="107493464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89"/>
        <w:gridCol w:w="36"/>
        <w:gridCol w:w="36"/>
        <w:gridCol w:w="36"/>
        <w:gridCol w:w="36"/>
        <w:gridCol w:w="53"/>
        <w:gridCol w:w="7414"/>
        <w:gridCol w:w="38"/>
      </w:tblGrid>
      <w:tr w:rsidR="00000000" w14:paraId="1F676464" w14:textId="77777777">
        <w:trPr>
          <w:divId w:val="814420858"/>
          <w:jc w:val="center"/>
        </w:trPr>
        <w:tc>
          <w:tcPr>
            <w:tcW w:w="50" w:type="pct"/>
            <w:vAlign w:val="center"/>
            <w:hideMark/>
          </w:tcPr>
          <w:p w14:paraId="11C291F2" w14:textId="77777777" w:rsidR="00000000" w:rsidRDefault="00E614A4">
            <w:pPr>
              <w:rPr>
                <w:rFonts w:eastAsia="Times New Roman"/>
              </w:rPr>
            </w:pPr>
          </w:p>
        </w:tc>
        <w:tc>
          <w:tcPr>
            <w:tcW w:w="382" w:type="pct"/>
            <w:vAlign w:val="center"/>
            <w:hideMark/>
          </w:tcPr>
          <w:p w14:paraId="7065A596" w14:textId="77777777" w:rsidR="00000000" w:rsidRDefault="00E614A4">
            <w:pPr>
              <w:rPr>
                <w:rFonts w:eastAsia="Times New Roman"/>
                <w:sz w:val="20"/>
                <w:szCs w:val="20"/>
              </w:rPr>
            </w:pPr>
          </w:p>
        </w:tc>
        <w:tc>
          <w:tcPr>
            <w:tcW w:w="5" w:type="pct"/>
            <w:vAlign w:val="center"/>
            <w:hideMark/>
          </w:tcPr>
          <w:p w14:paraId="068E5FEF" w14:textId="77777777" w:rsidR="00000000" w:rsidRDefault="00E614A4">
            <w:pPr>
              <w:rPr>
                <w:rFonts w:eastAsia="Times New Roman"/>
                <w:sz w:val="20"/>
                <w:szCs w:val="20"/>
              </w:rPr>
            </w:pPr>
          </w:p>
        </w:tc>
        <w:tc>
          <w:tcPr>
            <w:tcW w:w="5" w:type="pct"/>
            <w:vAlign w:val="center"/>
            <w:hideMark/>
          </w:tcPr>
          <w:p w14:paraId="1F0311CB" w14:textId="77777777" w:rsidR="00000000" w:rsidRDefault="00E614A4">
            <w:pPr>
              <w:rPr>
                <w:rFonts w:eastAsia="Times New Roman"/>
                <w:sz w:val="20"/>
                <w:szCs w:val="20"/>
              </w:rPr>
            </w:pPr>
          </w:p>
        </w:tc>
        <w:tc>
          <w:tcPr>
            <w:tcW w:w="17" w:type="pct"/>
            <w:vAlign w:val="center"/>
            <w:hideMark/>
          </w:tcPr>
          <w:p w14:paraId="53CE548A" w14:textId="77777777" w:rsidR="00000000" w:rsidRDefault="00E614A4">
            <w:pPr>
              <w:rPr>
                <w:rFonts w:eastAsia="Times New Roman"/>
                <w:sz w:val="20"/>
                <w:szCs w:val="20"/>
              </w:rPr>
            </w:pPr>
          </w:p>
        </w:tc>
        <w:tc>
          <w:tcPr>
            <w:tcW w:w="5" w:type="pct"/>
            <w:vAlign w:val="center"/>
            <w:hideMark/>
          </w:tcPr>
          <w:p w14:paraId="2D8E0A06" w14:textId="77777777" w:rsidR="00000000" w:rsidRDefault="00E614A4">
            <w:pPr>
              <w:rPr>
                <w:rFonts w:eastAsia="Times New Roman"/>
                <w:sz w:val="20"/>
                <w:szCs w:val="20"/>
              </w:rPr>
            </w:pPr>
          </w:p>
        </w:tc>
        <w:tc>
          <w:tcPr>
            <w:tcW w:w="50" w:type="pct"/>
            <w:vAlign w:val="center"/>
            <w:hideMark/>
          </w:tcPr>
          <w:p w14:paraId="3D23647E" w14:textId="77777777" w:rsidR="00000000" w:rsidRDefault="00E614A4">
            <w:pPr>
              <w:rPr>
                <w:rFonts w:eastAsia="Times New Roman"/>
                <w:sz w:val="20"/>
                <w:szCs w:val="20"/>
              </w:rPr>
            </w:pPr>
          </w:p>
        </w:tc>
        <w:tc>
          <w:tcPr>
            <w:tcW w:w="4479" w:type="pct"/>
            <w:vAlign w:val="center"/>
            <w:hideMark/>
          </w:tcPr>
          <w:p w14:paraId="11D30739" w14:textId="77777777" w:rsidR="00000000" w:rsidRDefault="00E614A4">
            <w:pPr>
              <w:rPr>
                <w:rFonts w:eastAsia="Times New Roman"/>
                <w:sz w:val="20"/>
                <w:szCs w:val="20"/>
              </w:rPr>
            </w:pPr>
          </w:p>
        </w:tc>
        <w:tc>
          <w:tcPr>
            <w:tcW w:w="5" w:type="pct"/>
            <w:vAlign w:val="center"/>
            <w:hideMark/>
          </w:tcPr>
          <w:p w14:paraId="67C8DA30" w14:textId="77777777" w:rsidR="00000000" w:rsidRDefault="00E614A4">
            <w:pPr>
              <w:rPr>
                <w:rFonts w:eastAsia="Times New Roman"/>
                <w:sz w:val="20"/>
                <w:szCs w:val="20"/>
              </w:rPr>
            </w:pPr>
          </w:p>
        </w:tc>
      </w:tr>
      <w:tr w:rsidR="00000000" w14:paraId="459C0D47" w14:textId="77777777">
        <w:trPr>
          <w:divId w:val="814420858"/>
          <w:jc w:val="center"/>
        </w:trPr>
        <w:tc>
          <w:tcPr>
            <w:tcW w:w="0" w:type="auto"/>
            <w:gridSpan w:val="3"/>
            <w:tcMar>
              <w:top w:w="30" w:type="dxa"/>
              <w:left w:w="20" w:type="dxa"/>
              <w:bottom w:w="30" w:type="dxa"/>
              <w:right w:w="20" w:type="dxa"/>
            </w:tcMar>
            <w:hideMark/>
          </w:tcPr>
          <w:p w14:paraId="5C831AF5" w14:textId="77777777" w:rsidR="00000000" w:rsidRDefault="00E614A4">
            <w:pPr>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14:paraId="2CADFF8C"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2A316FD5" w14:textId="77777777" w:rsidR="00000000" w:rsidRDefault="00E614A4">
            <w:pPr>
              <w:jc w:val="both"/>
              <w:rPr>
                <w:rFonts w:eastAsia="Times New Roman"/>
              </w:rPr>
            </w:pPr>
            <w:hyperlink r:id="rId55" w:history="1">
              <w:r>
                <w:rPr>
                  <w:rStyle w:val="a3"/>
                  <w:rFonts w:eastAsia="Times New Roman"/>
                  <w:sz w:val="20"/>
                  <w:szCs w:val="20"/>
                </w:rPr>
                <w:t>Form of Restricted Stock Units Award Notice for Employees (incorporated by reference to Exhibit 10.3 to the Registrant's Current Report on Form 8-K, filed June 5, 2018) (File No. 001-33520)</w:t>
              </w:r>
            </w:hyperlink>
          </w:p>
        </w:tc>
      </w:tr>
      <w:tr w:rsidR="00000000" w14:paraId="5DC7C88B" w14:textId="77777777">
        <w:trPr>
          <w:divId w:val="814420858"/>
          <w:trHeight w:val="60"/>
          <w:jc w:val="center"/>
        </w:trPr>
        <w:tc>
          <w:tcPr>
            <w:tcW w:w="0" w:type="auto"/>
            <w:gridSpan w:val="3"/>
            <w:tcMar>
              <w:top w:w="0" w:type="dxa"/>
              <w:left w:w="20" w:type="dxa"/>
              <w:bottom w:w="0" w:type="dxa"/>
              <w:right w:w="20" w:type="dxa"/>
            </w:tcMar>
            <w:vAlign w:val="center"/>
            <w:hideMark/>
          </w:tcPr>
          <w:p w14:paraId="0EB640E7"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0E484C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9C7B717" w14:textId="77777777" w:rsidR="00000000" w:rsidRDefault="00E614A4">
            <w:pPr>
              <w:rPr>
                <w:rFonts w:eastAsia="Times New Roman"/>
                <w:sz w:val="20"/>
                <w:szCs w:val="20"/>
              </w:rPr>
            </w:pPr>
          </w:p>
        </w:tc>
      </w:tr>
      <w:tr w:rsidR="00000000" w14:paraId="30BE202F" w14:textId="77777777">
        <w:trPr>
          <w:divId w:val="814420858"/>
          <w:jc w:val="center"/>
        </w:trPr>
        <w:tc>
          <w:tcPr>
            <w:tcW w:w="0" w:type="auto"/>
            <w:gridSpan w:val="3"/>
            <w:tcMar>
              <w:top w:w="30" w:type="dxa"/>
              <w:left w:w="20" w:type="dxa"/>
              <w:bottom w:w="30" w:type="dxa"/>
              <w:right w:w="20" w:type="dxa"/>
            </w:tcMar>
            <w:hideMark/>
          </w:tcPr>
          <w:p w14:paraId="546563F9" w14:textId="77777777" w:rsidR="00000000" w:rsidRDefault="00E614A4">
            <w:pPr>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14:paraId="50B91B60"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85C1C7F" w14:textId="77777777" w:rsidR="00000000" w:rsidRDefault="00E614A4">
            <w:pPr>
              <w:jc w:val="both"/>
              <w:rPr>
                <w:rFonts w:eastAsia="Times New Roman"/>
              </w:rPr>
            </w:pPr>
            <w:hyperlink r:id="rId56" w:history="1">
              <w:r>
                <w:rPr>
                  <w:rStyle w:val="a3"/>
                  <w:rFonts w:eastAsia="Times New Roman"/>
                  <w:sz w:val="20"/>
                  <w:szCs w:val="20"/>
                </w:rPr>
                <w:t>Form of Restricted Stock Units and Common Stock Award Notice for Employees (incorporated by reference to Exhibit 10.4 to the Registr</w:t>
              </w:r>
              <w:r>
                <w:rPr>
                  <w:rStyle w:val="a3"/>
                  <w:rFonts w:eastAsia="Times New Roman"/>
                  <w:sz w:val="20"/>
                  <w:szCs w:val="20"/>
                </w:rPr>
                <w:t>ant's Current Report on Form 8-K, filed June 5, 2018) (File No. 001-33520)</w:t>
              </w:r>
            </w:hyperlink>
          </w:p>
        </w:tc>
      </w:tr>
      <w:tr w:rsidR="00000000" w14:paraId="5A09BC77" w14:textId="77777777">
        <w:trPr>
          <w:divId w:val="814420858"/>
          <w:trHeight w:val="60"/>
          <w:jc w:val="center"/>
        </w:trPr>
        <w:tc>
          <w:tcPr>
            <w:tcW w:w="0" w:type="auto"/>
            <w:gridSpan w:val="3"/>
            <w:tcMar>
              <w:top w:w="0" w:type="dxa"/>
              <w:left w:w="20" w:type="dxa"/>
              <w:bottom w:w="0" w:type="dxa"/>
              <w:right w:w="20" w:type="dxa"/>
            </w:tcMar>
            <w:vAlign w:val="center"/>
            <w:hideMark/>
          </w:tcPr>
          <w:p w14:paraId="08E58212"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67BB9B9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34CF2C2" w14:textId="77777777" w:rsidR="00000000" w:rsidRDefault="00E614A4">
            <w:pPr>
              <w:rPr>
                <w:rFonts w:eastAsia="Times New Roman"/>
                <w:sz w:val="20"/>
                <w:szCs w:val="20"/>
              </w:rPr>
            </w:pPr>
          </w:p>
        </w:tc>
      </w:tr>
      <w:tr w:rsidR="00000000" w14:paraId="33749F86" w14:textId="77777777">
        <w:trPr>
          <w:divId w:val="814420858"/>
          <w:jc w:val="center"/>
        </w:trPr>
        <w:tc>
          <w:tcPr>
            <w:tcW w:w="0" w:type="auto"/>
            <w:gridSpan w:val="3"/>
            <w:tcMar>
              <w:top w:w="30" w:type="dxa"/>
              <w:left w:w="20" w:type="dxa"/>
              <w:bottom w:w="30" w:type="dxa"/>
              <w:right w:w="20" w:type="dxa"/>
            </w:tcMar>
            <w:hideMark/>
          </w:tcPr>
          <w:p w14:paraId="428FFFB7" w14:textId="77777777" w:rsidR="00000000" w:rsidRDefault="00E614A4">
            <w:pPr>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14:paraId="2951EB32"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6B89D3A" w14:textId="77777777" w:rsidR="00000000" w:rsidRDefault="00E614A4">
            <w:pPr>
              <w:jc w:val="both"/>
              <w:rPr>
                <w:rFonts w:eastAsia="Times New Roman"/>
              </w:rPr>
            </w:pPr>
            <w:hyperlink r:id="rId57" w:history="1">
              <w:r>
                <w:rPr>
                  <w:rStyle w:val="a3"/>
                  <w:rFonts w:eastAsia="Times New Roman"/>
                  <w:sz w:val="20"/>
                  <w:szCs w:val="20"/>
                </w:rPr>
                <w:t>Form of Restricted Stock Units Award Notice for Directors (incorporated by reference to Exhibit 10.5 to the Registrant's Current Report on Form 8-K</w:t>
              </w:r>
              <w:r>
                <w:rPr>
                  <w:rStyle w:val="a3"/>
                  <w:rFonts w:eastAsia="Times New Roman"/>
                  <w:sz w:val="20"/>
                  <w:szCs w:val="20"/>
                </w:rPr>
                <w:t>, filed June 5, 2018) (File No. 001-33520)</w:t>
              </w:r>
            </w:hyperlink>
          </w:p>
        </w:tc>
      </w:tr>
      <w:tr w:rsidR="00000000" w14:paraId="57063530" w14:textId="77777777">
        <w:trPr>
          <w:divId w:val="814420858"/>
          <w:trHeight w:val="60"/>
          <w:jc w:val="center"/>
        </w:trPr>
        <w:tc>
          <w:tcPr>
            <w:tcW w:w="0" w:type="auto"/>
            <w:gridSpan w:val="3"/>
            <w:tcMar>
              <w:top w:w="0" w:type="dxa"/>
              <w:left w:w="20" w:type="dxa"/>
              <w:bottom w:w="0" w:type="dxa"/>
              <w:right w:w="20" w:type="dxa"/>
            </w:tcMar>
            <w:vAlign w:val="center"/>
            <w:hideMark/>
          </w:tcPr>
          <w:p w14:paraId="1C18AF46"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A08D0D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F41B695" w14:textId="77777777" w:rsidR="00000000" w:rsidRDefault="00E614A4">
            <w:pPr>
              <w:rPr>
                <w:rFonts w:eastAsia="Times New Roman"/>
                <w:sz w:val="20"/>
                <w:szCs w:val="20"/>
              </w:rPr>
            </w:pPr>
          </w:p>
        </w:tc>
      </w:tr>
      <w:tr w:rsidR="00000000" w14:paraId="11095BFF" w14:textId="77777777">
        <w:trPr>
          <w:divId w:val="814420858"/>
          <w:jc w:val="center"/>
        </w:trPr>
        <w:tc>
          <w:tcPr>
            <w:tcW w:w="0" w:type="auto"/>
            <w:gridSpan w:val="3"/>
            <w:tcMar>
              <w:top w:w="30" w:type="dxa"/>
              <w:left w:w="20" w:type="dxa"/>
              <w:bottom w:w="30" w:type="dxa"/>
              <w:right w:w="20" w:type="dxa"/>
            </w:tcMar>
            <w:hideMark/>
          </w:tcPr>
          <w:p w14:paraId="24336215" w14:textId="77777777" w:rsidR="00000000" w:rsidRDefault="00E614A4">
            <w:pPr>
              <w:rPr>
                <w:rFonts w:eastAsia="Times New Roman"/>
              </w:rPr>
            </w:pPr>
            <w:r>
              <w:rPr>
                <w:rFonts w:eastAsia="Times New Roman"/>
                <w:color w:val="000000"/>
                <w:sz w:val="20"/>
                <w:szCs w:val="20"/>
              </w:rPr>
              <w:t>10.18*</w:t>
            </w:r>
          </w:p>
        </w:tc>
        <w:tc>
          <w:tcPr>
            <w:tcW w:w="0" w:type="auto"/>
            <w:gridSpan w:val="3"/>
            <w:tcMar>
              <w:top w:w="0" w:type="dxa"/>
              <w:left w:w="20" w:type="dxa"/>
              <w:bottom w:w="0" w:type="dxa"/>
              <w:right w:w="20" w:type="dxa"/>
            </w:tcMar>
            <w:vAlign w:val="center"/>
            <w:hideMark/>
          </w:tcPr>
          <w:p w14:paraId="62468BD4"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76F39CE" w14:textId="77777777" w:rsidR="00000000" w:rsidRDefault="00E614A4">
            <w:pPr>
              <w:jc w:val="both"/>
              <w:rPr>
                <w:rFonts w:eastAsia="Times New Roman"/>
              </w:rPr>
            </w:pPr>
            <w:hyperlink r:id="rId58" w:history="1">
              <w:r>
                <w:rPr>
                  <w:rStyle w:val="a3"/>
                  <w:rFonts w:eastAsia="Times New Roman"/>
                  <w:sz w:val="20"/>
                  <w:szCs w:val="20"/>
                </w:rPr>
                <w:t>Form of Common Stock Award Notice for Employees (incorporated by reference to Exhibit 10.6 to the Registrant's Current Report on Form 8-K, file</w:t>
              </w:r>
              <w:r>
                <w:rPr>
                  <w:rStyle w:val="a3"/>
                  <w:rFonts w:eastAsia="Times New Roman"/>
                  <w:sz w:val="20"/>
                  <w:szCs w:val="20"/>
                </w:rPr>
                <w:t>d June 5, 2018) (File No. 001-33520)</w:t>
              </w:r>
            </w:hyperlink>
          </w:p>
        </w:tc>
      </w:tr>
      <w:tr w:rsidR="00000000" w14:paraId="7C00E8DA" w14:textId="77777777">
        <w:trPr>
          <w:divId w:val="814420858"/>
          <w:trHeight w:val="60"/>
          <w:jc w:val="center"/>
        </w:trPr>
        <w:tc>
          <w:tcPr>
            <w:tcW w:w="0" w:type="auto"/>
            <w:gridSpan w:val="3"/>
            <w:tcMar>
              <w:top w:w="0" w:type="dxa"/>
              <w:left w:w="20" w:type="dxa"/>
              <w:bottom w:w="0" w:type="dxa"/>
              <w:right w:w="20" w:type="dxa"/>
            </w:tcMar>
            <w:vAlign w:val="center"/>
            <w:hideMark/>
          </w:tcPr>
          <w:p w14:paraId="2F1AF60B"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385DC48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0489821" w14:textId="77777777" w:rsidR="00000000" w:rsidRDefault="00E614A4">
            <w:pPr>
              <w:rPr>
                <w:rFonts w:eastAsia="Times New Roman"/>
                <w:sz w:val="20"/>
                <w:szCs w:val="20"/>
              </w:rPr>
            </w:pPr>
          </w:p>
        </w:tc>
      </w:tr>
      <w:tr w:rsidR="00000000" w14:paraId="6CD348F1" w14:textId="77777777">
        <w:trPr>
          <w:divId w:val="814420858"/>
          <w:jc w:val="center"/>
        </w:trPr>
        <w:tc>
          <w:tcPr>
            <w:tcW w:w="0" w:type="auto"/>
            <w:gridSpan w:val="3"/>
            <w:tcMar>
              <w:top w:w="30" w:type="dxa"/>
              <w:left w:w="20" w:type="dxa"/>
              <w:bottom w:w="30" w:type="dxa"/>
              <w:right w:w="20" w:type="dxa"/>
            </w:tcMar>
            <w:hideMark/>
          </w:tcPr>
          <w:p w14:paraId="49F1DC3F" w14:textId="77777777" w:rsidR="00000000" w:rsidRDefault="00E614A4">
            <w:pPr>
              <w:rPr>
                <w:rFonts w:eastAsia="Times New Roman"/>
              </w:rPr>
            </w:pPr>
            <w:r>
              <w:rPr>
                <w:rFonts w:eastAsia="Times New Roman"/>
                <w:color w:val="000000"/>
                <w:sz w:val="20"/>
                <w:szCs w:val="20"/>
              </w:rPr>
              <w:t>10.19*</w:t>
            </w:r>
          </w:p>
        </w:tc>
        <w:tc>
          <w:tcPr>
            <w:tcW w:w="0" w:type="auto"/>
            <w:gridSpan w:val="3"/>
            <w:tcMar>
              <w:top w:w="0" w:type="dxa"/>
              <w:left w:w="20" w:type="dxa"/>
              <w:bottom w:w="0" w:type="dxa"/>
              <w:right w:w="20" w:type="dxa"/>
            </w:tcMar>
            <w:vAlign w:val="center"/>
            <w:hideMark/>
          </w:tcPr>
          <w:p w14:paraId="5E9B3813"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03C30CEB" w14:textId="77777777" w:rsidR="00000000" w:rsidRDefault="00E614A4">
            <w:pPr>
              <w:jc w:val="both"/>
              <w:rPr>
                <w:rFonts w:eastAsia="Times New Roman"/>
              </w:rPr>
            </w:pPr>
            <w:hyperlink r:id="rId59" w:history="1">
              <w:r>
                <w:rPr>
                  <w:rStyle w:val="a3"/>
                  <w:rFonts w:eastAsia="Times New Roman"/>
                  <w:sz w:val="20"/>
                  <w:szCs w:val="20"/>
                </w:rPr>
                <w:t>Form of Performance Restricted Stock Units Award Agreement for CEO/President (incorporated by reference to Exhibit 10.2 to the Registrant's Qua</w:t>
              </w:r>
              <w:r>
                <w:rPr>
                  <w:rStyle w:val="a3"/>
                  <w:rFonts w:eastAsia="Times New Roman"/>
                  <w:sz w:val="20"/>
                  <w:szCs w:val="20"/>
                </w:rPr>
                <w:t>rterly Report on Form 10-Q for the period ended September 30, 2018, filed November 9, 2018) (File No. 001-33520)</w:t>
              </w:r>
            </w:hyperlink>
          </w:p>
        </w:tc>
      </w:tr>
      <w:tr w:rsidR="00000000" w14:paraId="3016E283" w14:textId="77777777">
        <w:trPr>
          <w:divId w:val="814420858"/>
          <w:trHeight w:val="60"/>
          <w:jc w:val="center"/>
        </w:trPr>
        <w:tc>
          <w:tcPr>
            <w:tcW w:w="0" w:type="auto"/>
            <w:gridSpan w:val="3"/>
            <w:tcMar>
              <w:top w:w="0" w:type="dxa"/>
              <w:left w:w="20" w:type="dxa"/>
              <w:bottom w:w="0" w:type="dxa"/>
              <w:right w:w="20" w:type="dxa"/>
            </w:tcMar>
            <w:vAlign w:val="center"/>
            <w:hideMark/>
          </w:tcPr>
          <w:p w14:paraId="00A240E3"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6B9FF757"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2E0AB41" w14:textId="77777777" w:rsidR="00000000" w:rsidRDefault="00E614A4">
            <w:pPr>
              <w:rPr>
                <w:rFonts w:eastAsia="Times New Roman"/>
                <w:sz w:val="20"/>
                <w:szCs w:val="20"/>
              </w:rPr>
            </w:pPr>
          </w:p>
        </w:tc>
      </w:tr>
      <w:tr w:rsidR="00000000" w14:paraId="2B88AC51" w14:textId="77777777">
        <w:trPr>
          <w:divId w:val="814420858"/>
          <w:jc w:val="center"/>
        </w:trPr>
        <w:tc>
          <w:tcPr>
            <w:tcW w:w="0" w:type="auto"/>
            <w:gridSpan w:val="3"/>
            <w:tcMar>
              <w:top w:w="30" w:type="dxa"/>
              <w:left w:w="20" w:type="dxa"/>
              <w:bottom w:w="30" w:type="dxa"/>
              <w:right w:w="20" w:type="dxa"/>
            </w:tcMar>
            <w:hideMark/>
          </w:tcPr>
          <w:p w14:paraId="78FC85D7" w14:textId="77777777" w:rsidR="00000000" w:rsidRDefault="00E614A4">
            <w:pPr>
              <w:rPr>
                <w:rFonts w:eastAsia="Times New Roman"/>
              </w:rPr>
            </w:pPr>
            <w:r>
              <w:rPr>
                <w:rFonts w:eastAsia="Times New Roman"/>
                <w:color w:val="000000"/>
                <w:sz w:val="20"/>
                <w:szCs w:val="20"/>
              </w:rPr>
              <w:t>10.20*</w:t>
            </w:r>
          </w:p>
        </w:tc>
        <w:tc>
          <w:tcPr>
            <w:tcW w:w="0" w:type="auto"/>
            <w:gridSpan w:val="3"/>
            <w:tcMar>
              <w:top w:w="0" w:type="dxa"/>
              <w:left w:w="20" w:type="dxa"/>
              <w:bottom w:w="0" w:type="dxa"/>
              <w:right w:w="20" w:type="dxa"/>
            </w:tcMar>
            <w:vAlign w:val="center"/>
            <w:hideMark/>
          </w:tcPr>
          <w:p w14:paraId="0AA78989"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8540D22" w14:textId="77777777" w:rsidR="00000000" w:rsidRDefault="00E614A4">
            <w:pPr>
              <w:jc w:val="both"/>
              <w:rPr>
                <w:rFonts w:eastAsia="Times New Roman"/>
              </w:rPr>
            </w:pPr>
            <w:hyperlink r:id="rId60" w:history="1">
              <w:r>
                <w:rPr>
                  <w:rStyle w:val="a3"/>
                  <w:rFonts w:eastAsia="Times New Roman"/>
                  <w:sz w:val="20"/>
                  <w:szCs w:val="20"/>
                </w:rPr>
                <w:t xml:space="preserve">Form </w:t>
              </w:r>
              <w:r>
                <w:rPr>
                  <w:rStyle w:val="a3"/>
                  <w:rFonts w:eastAsia="Times New Roman"/>
                  <w:sz w:val="20"/>
                  <w:szCs w:val="20"/>
                </w:rPr>
                <w:t>of Performance Restricted Stock Units Award Agreement for Employees (incorporated by reference to Exhibit 10.4 to the Registrant's Quarterly Report on Form 10-Q for the period ended September 30, 2018, filed November 9, 2018) (File No. 001-33520)</w:t>
              </w:r>
            </w:hyperlink>
          </w:p>
        </w:tc>
      </w:tr>
      <w:tr w:rsidR="00000000" w14:paraId="21D5673D" w14:textId="77777777">
        <w:trPr>
          <w:divId w:val="814420858"/>
          <w:trHeight w:val="60"/>
          <w:jc w:val="center"/>
        </w:trPr>
        <w:tc>
          <w:tcPr>
            <w:tcW w:w="0" w:type="auto"/>
            <w:gridSpan w:val="3"/>
            <w:tcMar>
              <w:top w:w="0" w:type="dxa"/>
              <w:left w:w="20" w:type="dxa"/>
              <w:bottom w:w="0" w:type="dxa"/>
              <w:right w:w="20" w:type="dxa"/>
            </w:tcMar>
            <w:vAlign w:val="center"/>
            <w:hideMark/>
          </w:tcPr>
          <w:p w14:paraId="35476689"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F3557B6"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C728E9A" w14:textId="77777777" w:rsidR="00000000" w:rsidRDefault="00E614A4">
            <w:pPr>
              <w:rPr>
                <w:rFonts w:eastAsia="Times New Roman"/>
                <w:sz w:val="20"/>
                <w:szCs w:val="20"/>
              </w:rPr>
            </w:pPr>
          </w:p>
        </w:tc>
      </w:tr>
      <w:tr w:rsidR="00000000" w14:paraId="7FEA3D34" w14:textId="77777777">
        <w:trPr>
          <w:divId w:val="814420858"/>
          <w:jc w:val="center"/>
        </w:trPr>
        <w:tc>
          <w:tcPr>
            <w:tcW w:w="0" w:type="auto"/>
            <w:gridSpan w:val="3"/>
            <w:tcMar>
              <w:top w:w="30" w:type="dxa"/>
              <w:left w:w="20" w:type="dxa"/>
              <w:bottom w:w="30" w:type="dxa"/>
              <w:right w:w="20" w:type="dxa"/>
            </w:tcMar>
            <w:hideMark/>
          </w:tcPr>
          <w:p w14:paraId="12E658F8" w14:textId="77777777" w:rsidR="00000000" w:rsidRDefault="00E614A4">
            <w:pPr>
              <w:rPr>
                <w:rFonts w:eastAsia="Times New Roman"/>
              </w:rPr>
            </w:pPr>
            <w:r>
              <w:rPr>
                <w:rFonts w:eastAsia="Times New Roman"/>
                <w:color w:val="000000"/>
                <w:sz w:val="20"/>
                <w:szCs w:val="20"/>
              </w:rPr>
              <w:t>10.21*</w:t>
            </w:r>
          </w:p>
        </w:tc>
        <w:tc>
          <w:tcPr>
            <w:tcW w:w="0" w:type="auto"/>
            <w:gridSpan w:val="3"/>
            <w:tcMar>
              <w:top w:w="0" w:type="dxa"/>
              <w:left w:w="20" w:type="dxa"/>
              <w:bottom w:w="0" w:type="dxa"/>
              <w:right w:w="20" w:type="dxa"/>
            </w:tcMar>
            <w:vAlign w:val="center"/>
            <w:hideMark/>
          </w:tcPr>
          <w:p w14:paraId="29EFD259"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0657945" w14:textId="77777777" w:rsidR="00000000" w:rsidRDefault="00E614A4">
            <w:pPr>
              <w:jc w:val="both"/>
              <w:rPr>
                <w:rFonts w:eastAsia="Times New Roman"/>
              </w:rPr>
            </w:pPr>
            <w:hyperlink r:id="rId61" w:history="1">
              <w:r>
                <w:rPr>
                  <w:rStyle w:val="a3"/>
                  <w:rFonts w:eastAsia="Times New Roman"/>
                  <w:sz w:val="20"/>
                  <w:szCs w:val="20"/>
                </w:rPr>
                <w:t>Form of Restricted Stock Units Award Agreement for Employees (incorporated by reference to Exhibit 10.5 to the Registrant's Qu</w:t>
              </w:r>
              <w:r>
                <w:rPr>
                  <w:rStyle w:val="a3"/>
                  <w:rFonts w:eastAsia="Times New Roman"/>
                  <w:sz w:val="20"/>
                  <w:szCs w:val="20"/>
                </w:rPr>
                <w:t>arterly Report on Form 10-Q for the period ended September 30, 2018, filed November 9, 2018) (File No. 001-33520)</w:t>
              </w:r>
            </w:hyperlink>
          </w:p>
        </w:tc>
      </w:tr>
      <w:tr w:rsidR="00000000" w14:paraId="37024729" w14:textId="77777777">
        <w:trPr>
          <w:divId w:val="814420858"/>
          <w:trHeight w:val="60"/>
          <w:jc w:val="center"/>
        </w:trPr>
        <w:tc>
          <w:tcPr>
            <w:tcW w:w="0" w:type="auto"/>
            <w:gridSpan w:val="3"/>
            <w:tcMar>
              <w:top w:w="0" w:type="dxa"/>
              <w:left w:w="20" w:type="dxa"/>
              <w:bottom w:w="0" w:type="dxa"/>
              <w:right w:w="20" w:type="dxa"/>
            </w:tcMar>
            <w:vAlign w:val="center"/>
            <w:hideMark/>
          </w:tcPr>
          <w:p w14:paraId="583AFEE2"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6A50FBD7"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FDA5BD8" w14:textId="77777777" w:rsidR="00000000" w:rsidRDefault="00E614A4">
            <w:pPr>
              <w:rPr>
                <w:rFonts w:eastAsia="Times New Roman"/>
                <w:sz w:val="20"/>
                <w:szCs w:val="20"/>
              </w:rPr>
            </w:pPr>
          </w:p>
        </w:tc>
      </w:tr>
      <w:tr w:rsidR="00000000" w14:paraId="60028053" w14:textId="77777777">
        <w:trPr>
          <w:divId w:val="814420858"/>
          <w:jc w:val="center"/>
        </w:trPr>
        <w:tc>
          <w:tcPr>
            <w:tcW w:w="0" w:type="auto"/>
            <w:gridSpan w:val="3"/>
            <w:tcMar>
              <w:top w:w="30" w:type="dxa"/>
              <w:left w:w="20" w:type="dxa"/>
              <w:bottom w:w="30" w:type="dxa"/>
              <w:right w:w="20" w:type="dxa"/>
            </w:tcMar>
            <w:hideMark/>
          </w:tcPr>
          <w:p w14:paraId="6D70B3A1" w14:textId="77777777" w:rsidR="00000000" w:rsidRDefault="00E614A4">
            <w:pPr>
              <w:rPr>
                <w:rFonts w:eastAsia="Times New Roman"/>
              </w:rPr>
            </w:pPr>
            <w:r>
              <w:rPr>
                <w:rFonts w:eastAsia="Times New Roman"/>
                <w:color w:val="000000"/>
                <w:sz w:val="20"/>
                <w:szCs w:val="20"/>
              </w:rPr>
              <w:t>10.22*</w:t>
            </w:r>
          </w:p>
        </w:tc>
        <w:tc>
          <w:tcPr>
            <w:tcW w:w="0" w:type="auto"/>
            <w:gridSpan w:val="3"/>
            <w:tcMar>
              <w:top w:w="0" w:type="dxa"/>
              <w:left w:w="20" w:type="dxa"/>
              <w:bottom w:w="0" w:type="dxa"/>
              <w:right w:w="20" w:type="dxa"/>
            </w:tcMar>
            <w:vAlign w:val="center"/>
            <w:hideMark/>
          </w:tcPr>
          <w:p w14:paraId="17A8091F"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2472B7D1" w14:textId="77777777" w:rsidR="00000000" w:rsidRDefault="00E614A4">
            <w:pPr>
              <w:jc w:val="both"/>
              <w:rPr>
                <w:rFonts w:eastAsia="Times New Roman"/>
              </w:rPr>
            </w:pPr>
            <w:hyperlink r:id="rId62" w:history="1">
              <w:r>
                <w:rPr>
                  <w:rStyle w:val="a3"/>
                  <w:rFonts w:eastAsia="Times New Roman"/>
                  <w:sz w:val="20"/>
                  <w:szCs w:val="20"/>
                </w:rPr>
                <w:t>Form of Change of Control and Severance Agreement (CFO) (incorporated by reference to Exhibit 10.2 to the Registrant's Current Report on Form 8</w:t>
              </w:r>
              <w:r>
                <w:rPr>
                  <w:rStyle w:val="a3"/>
                  <w:rFonts w:eastAsia="Times New Roman"/>
                  <w:sz w:val="20"/>
                  <w:szCs w:val="20"/>
                </w:rPr>
                <w:t>-K, filed on September 10, 2018) (File No. 001-33520)</w:t>
              </w:r>
            </w:hyperlink>
          </w:p>
        </w:tc>
      </w:tr>
      <w:tr w:rsidR="00000000" w14:paraId="65C7BC7E" w14:textId="77777777">
        <w:trPr>
          <w:divId w:val="814420858"/>
          <w:trHeight w:val="60"/>
          <w:jc w:val="center"/>
        </w:trPr>
        <w:tc>
          <w:tcPr>
            <w:tcW w:w="0" w:type="auto"/>
            <w:gridSpan w:val="3"/>
            <w:tcMar>
              <w:top w:w="0" w:type="dxa"/>
              <w:left w:w="20" w:type="dxa"/>
              <w:bottom w:w="0" w:type="dxa"/>
              <w:right w:w="20" w:type="dxa"/>
            </w:tcMar>
            <w:vAlign w:val="center"/>
            <w:hideMark/>
          </w:tcPr>
          <w:p w14:paraId="5B01E138"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229FED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022E569" w14:textId="77777777" w:rsidR="00000000" w:rsidRDefault="00E614A4">
            <w:pPr>
              <w:rPr>
                <w:rFonts w:eastAsia="Times New Roman"/>
                <w:sz w:val="20"/>
                <w:szCs w:val="20"/>
              </w:rPr>
            </w:pPr>
          </w:p>
        </w:tc>
      </w:tr>
      <w:tr w:rsidR="00000000" w14:paraId="77075EC5" w14:textId="77777777">
        <w:trPr>
          <w:divId w:val="814420858"/>
          <w:jc w:val="center"/>
        </w:trPr>
        <w:tc>
          <w:tcPr>
            <w:tcW w:w="0" w:type="auto"/>
            <w:gridSpan w:val="3"/>
            <w:tcMar>
              <w:top w:w="30" w:type="dxa"/>
              <w:left w:w="20" w:type="dxa"/>
              <w:bottom w:w="30" w:type="dxa"/>
              <w:right w:w="20" w:type="dxa"/>
            </w:tcMar>
            <w:hideMark/>
          </w:tcPr>
          <w:p w14:paraId="3A971553" w14:textId="77777777" w:rsidR="00000000" w:rsidRDefault="00E614A4">
            <w:pPr>
              <w:rPr>
                <w:rFonts w:eastAsia="Times New Roman"/>
              </w:rPr>
            </w:pPr>
            <w:r>
              <w:rPr>
                <w:rFonts w:eastAsia="Times New Roman"/>
                <w:color w:val="000000"/>
                <w:sz w:val="20"/>
                <w:szCs w:val="20"/>
              </w:rPr>
              <w:t>10.23*</w:t>
            </w:r>
          </w:p>
        </w:tc>
        <w:tc>
          <w:tcPr>
            <w:tcW w:w="0" w:type="auto"/>
            <w:gridSpan w:val="3"/>
            <w:tcMar>
              <w:top w:w="0" w:type="dxa"/>
              <w:left w:w="20" w:type="dxa"/>
              <w:bottom w:w="0" w:type="dxa"/>
              <w:right w:w="20" w:type="dxa"/>
            </w:tcMar>
            <w:vAlign w:val="center"/>
            <w:hideMark/>
          </w:tcPr>
          <w:p w14:paraId="5119EC0A"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A812222" w14:textId="77777777" w:rsidR="00000000" w:rsidRDefault="00E614A4">
            <w:pPr>
              <w:jc w:val="both"/>
              <w:rPr>
                <w:rFonts w:eastAsia="Times New Roman"/>
              </w:rPr>
            </w:pPr>
            <w:hyperlink r:id="rId63" w:history="1">
              <w:r>
                <w:rPr>
                  <w:rStyle w:val="a3"/>
                  <w:rFonts w:eastAsia="Times New Roman"/>
                  <w:sz w:val="20"/>
                  <w:szCs w:val="20"/>
                </w:rPr>
                <w:t>Form of Change of Control and Severance Agreement (Other Executive Officers) (incorporated by reference to Exhibit 10.3 to the Registrant's Cur</w:t>
              </w:r>
              <w:r>
                <w:rPr>
                  <w:rStyle w:val="a3"/>
                  <w:rFonts w:eastAsia="Times New Roman"/>
                  <w:sz w:val="20"/>
                  <w:szCs w:val="20"/>
                </w:rPr>
                <w:t>rent Report on Form 8-K, filed on September 10, 2018) (File No. 001-33520)</w:t>
              </w:r>
            </w:hyperlink>
          </w:p>
        </w:tc>
      </w:tr>
      <w:tr w:rsidR="00000000" w14:paraId="3BF190DD" w14:textId="77777777">
        <w:trPr>
          <w:divId w:val="814420858"/>
          <w:trHeight w:val="60"/>
          <w:jc w:val="center"/>
        </w:trPr>
        <w:tc>
          <w:tcPr>
            <w:tcW w:w="0" w:type="auto"/>
            <w:gridSpan w:val="3"/>
            <w:tcMar>
              <w:top w:w="0" w:type="dxa"/>
              <w:left w:w="20" w:type="dxa"/>
              <w:bottom w:w="0" w:type="dxa"/>
              <w:right w:w="20" w:type="dxa"/>
            </w:tcMar>
            <w:vAlign w:val="center"/>
            <w:hideMark/>
          </w:tcPr>
          <w:p w14:paraId="70CBA566"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4F95216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72E72A9" w14:textId="77777777" w:rsidR="00000000" w:rsidRDefault="00E614A4">
            <w:pPr>
              <w:rPr>
                <w:rFonts w:eastAsia="Times New Roman"/>
                <w:sz w:val="20"/>
                <w:szCs w:val="20"/>
              </w:rPr>
            </w:pPr>
          </w:p>
        </w:tc>
      </w:tr>
      <w:tr w:rsidR="00000000" w14:paraId="36826852" w14:textId="77777777">
        <w:trPr>
          <w:divId w:val="814420858"/>
          <w:jc w:val="center"/>
        </w:trPr>
        <w:tc>
          <w:tcPr>
            <w:tcW w:w="0" w:type="auto"/>
            <w:gridSpan w:val="3"/>
            <w:tcMar>
              <w:top w:w="30" w:type="dxa"/>
              <w:left w:w="20" w:type="dxa"/>
              <w:bottom w:w="30" w:type="dxa"/>
              <w:right w:w="20" w:type="dxa"/>
            </w:tcMar>
            <w:hideMark/>
          </w:tcPr>
          <w:p w14:paraId="3D4F5576" w14:textId="77777777" w:rsidR="00000000" w:rsidRDefault="00E614A4">
            <w:pPr>
              <w:rPr>
                <w:rFonts w:eastAsia="Times New Roman"/>
              </w:rPr>
            </w:pPr>
            <w:r>
              <w:rPr>
                <w:rFonts w:eastAsia="Times New Roman"/>
                <w:color w:val="000000"/>
                <w:sz w:val="20"/>
                <w:szCs w:val="20"/>
              </w:rPr>
              <w:t>10.24</w:t>
            </w:r>
          </w:p>
        </w:tc>
        <w:tc>
          <w:tcPr>
            <w:tcW w:w="0" w:type="auto"/>
            <w:gridSpan w:val="3"/>
            <w:tcMar>
              <w:top w:w="0" w:type="dxa"/>
              <w:left w:w="20" w:type="dxa"/>
              <w:bottom w:w="0" w:type="dxa"/>
              <w:right w:w="20" w:type="dxa"/>
            </w:tcMar>
            <w:vAlign w:val="center"/>
            <w:hideMark/>
          </w:tcPr>
          <w:p w14:paraId="278E6E47"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1E296E8A" w14:textId="77777777" w:rsidR="00000000" w:rsidRDefault="00E614A4">
            <w:pPr>
              <w:jc w:val="both"/>
              <w:rPr>
                <w:rFonts w:eastAsia="Times New Roman"/>
              </w:rPr>
            </w:pPr>
            <w:hyperlink r:id="rId64" w:history="1">
              <w:r>
                <w:rPr>
                  <w:rStyle w:val="a3"/>
                  <w:rFonts w:eastAsia="Times New Roman"/>
                  <w:sz w:val="20"/>
                  <w:szCs w:val="20"/>
                </w:rPr>
                <w:t>Form of Indemnification Agreement for directors and executive officers (incorporated by reference to Exhibit 10.2 to the Registrant's Current Report on Form</w:t>
              </w:r>
              <w:r>
                <w:rPr>
                  <w:rStyle w:val="a3"/>
                  <w:rFonts w:eastAsia="Times New Roman"/>
                  <w:sz w:val="20"/>
                  <w:szCs w:val="20"/>
                </w:rPr>
                <w:t xml:space="preserve"> 8-K, filed October 4, 2017) (File No. 001-33520)</w:t>
              </w:r>
            </w:hyperlink>
          </w:p>
        </w:tc>
      </w:tr>
      <w:tr w:rsidR="00000000" w14:paraId="39993458" w14:textId="77777777">
        <w:trPr>
          <w:divId w:val="814420858"/>
          <w:trHeight w:val="60"/>
          <w:jc w:val="center"/>
        </w:trPr>
        <w:tc>
          <w:tcPr>
            <w:tcW w:w="0" w:type="auto"/>
            <w:gridSpan w:val="3"/>
            <w:tcMar>
              <w:top w:w="0" w:type="dxa"/>
              <w:left w:w="20" w:type="dxa"/>
              <w:bottom w:w="0" w:type="dxa"/>
              <w:right w:w="20" w:type="dxa"/>
            </w:tcMar>
            <w:vAlign w:val="center"/>
            <w:hideMark/>
          </w:tcPr>
          <w:p w14:paraId="43E8D081"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5593BFF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038AEDE" w14:textId="77777777" w:rsidR="00000000" w:rsidRDefault="00E614A4">
            <w:pPr>
              <w:rPr>
                <w:rFonts w:eastAsia="Times New Roman"/>
                <w:sz w:val="20"/>
                <w:szCs w:val="20"/>
              </w:rPr>
            </w:pPr>
          </w:p>
        </w:tc>
      </w:tr>
      <w:tr w:rsidR="00000000" w14:paraId="4217AA86" w14:textId="77777777">
        <w:trPr>
          <w:divId w:val="814420858"/>
          <w:jc w:val="center"/>
        </w:trPr>
        <w:tc>
          <w:tcPr>
            <w:tcW w:w="0" w:type="auto"/>
            <w:gridSpan w:val="3"/>
            <w:tcMar>
              <w:top w:w="30" w:type="dxa"/>
              <w:left w:w="20" w:type="dxa"/>
              <w:bottom w:w="30" w:type="dxa"/>
              <w:right w:w="20" w:type="dxa"/>
            </w:tcMar>
            <w:hideMark/>
          </w:tcPr>
          <w:p w14:paraId="4579E890" w14:textId="77777777" w:rsidR="00000000" w:rsidRDefault="00E614A4">
            <w:pPr>
              <w:rPr>
                <w:rFonts w:eastAsia="Times New Roman"/>
              </w:rPr>
            </w:pPr>
            <w:r>
              <w:rPr>
                <w:rFonts w:eastAsia="Times New Roman"/>
                <w:color w:val="000000"/>
                <w:sz w:val="20"/>
                <w:szCs w:val="20"/>
              </w:rPr>
              <w:t>10.25*</w:t>
            </w:r>
          </w:p>
        </w:tc>
        <w:tc>
          <w:tcPr>
            <w:tcW w:w="0" w:type="auto"/>
            <w:gridSpan w:val="3"/>
            <w:tcMar>
              <w:top w:w="0" w:type="dxa"/>
              <w:left w:w="20" w:type="dxa"/>
              <w:bottom w:w="0" w:type="dxa"/>
              <w:right w:w="20" w:type="dxa"/>
            </w:tcMar>
            <w:vAlign w:val="center"/>
            <w:hideMark/>
          </w:tcPr>
          <w:p w14:paraId="70DBB8EC"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3852230E" w14:textId="77777777" w:rsidR="00000000" w:rsidRDefault="00E614A4">
            <w:pPr>
              <w:jc w:val="both"/>
              <w:rPr>
                <w:rFonts w:eastAsia="Times New Roman"/>
              </w:rPr>
            </w:pPr>
            <w:hyperlink r:id="rId65" w:history="1">
              <w:r>
                <w:rPr>
                  <w:rStyle w:val="a3"/>
                  <w:rFonts w:eastAsia="Times New Roman"/>
                  <w:sz w:val="20"/>
                  <w:szCs w:val="20"/>
                </w:rPr>
                <w:t>Separation Agreement, dated as of March 31, 2019, by and between comScore, Inc. and Bryan Wiener (incorporated by reference to Exhibit 10.2 to the Registran</w:t>
              </w:r>
              <w:r>
                <w:rPr>
                  <w:rStyle w:val="a3"/>
                  <w:rFonts w:eastAsia="Times New Roman"/>
                  <w:sz w:val="20"/>
                  <w:szCs w:val="20"/>
                </w:rPr>
                <w:t>t's Current Report on Form 8-K, filed April 1, 2019) (File No. 001-33520)</w:t>
              </w:r>
            </w:hyperlink>
          </w:p>
        </w:tc>
      </w:tr>
      <w:tr w:rsidR="00000000" w14:paraId="3C2B1F23" w14:textId="77777777">
        <w:trPr>
          <w:divId w:val="814420858"/>
          <w:trHeight w:val="60"/>
          <w:jc w:val="center"/>
        </w:trPr>
        <w:tc>
          <w:tcPr>
            <w:tcW w:w="0" w:type="auto"/>
            <w:gridSpan w:val="3"/>
            <w:tcMar>
              <w:top w:w="0" w:type="dxa"/>
              <w:left w:w="20" w:type="dxa"/>
              <w:bottom w:w="0" w:type="dxa"/>
              <w:right w:w="20" w:type="dxa"/>
            </w:tcMar>
            <w:vAlign w:val="center"/>
            <w:hideMark/>
          </w:tcPr>
          <w:p w14:paraId="20F5B9BD"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DE34016"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21E36D9" w14:textId="77777777" w:rsidR="00000000" w:rsidRDefault="00E614A4">
            <w:pPr>
              <w:rPr>
                <w:rFonts w:eastAsia="Times New Roman"/>
                <w:sz w:val="20"/>
                <w:szCs w:val="20"/>
              </w:rPr>
            </w:pPr>
          </w:p>
        </w:tc>
      </w:tr>
      <w:tr w:rsidR="00000000" w14:paraId="7F98C8DB" w14:textId="77777777">
        <w:trPr>
          <w:divId w:val="814420858"/>
          <w:jc w:val="center"/>
        </w:trPr>
        <w:tc>
          <w:tcPr>
            <w:tcW w:w="0" w:type="auto"/>
            <w:gridSpan w:val="3"/>
            <w:tcMar>
              <w:top w:w="30" w:type="dxa"/>
              <w:left w:w="20" w:type="dxa"/>
              <w:bottom w:w="30" w:type="dxa"/>
              <w:right w:w="20" w:type="dxa"/>
            </w:tcMar>
            <w:hideMark/>
          </w:tcPr>
          <w:p w14:paraId="5D5668AA" w14:textId="77777777" w:rsidR="00000000" w:rsidRDefault="00E614A4">
            <w:pPr>
              <w:rPr>
                <w:rFonts w:eastAsia="Times New Roman"/>
              </w:rPr>
            </w:pPr>
            <w:r>
              <w:rPr>
                <w:rFonts w:eastAsia="Times New Roman"/>
                <w:color w:val="000000"/>
                <w:sz w:val="20"/>
                <w:szCs w:val="20"/>
              </w:rPr>
              <w:t>10.26*</w:t>
            </w:r>
          </w:p>
        </w:tc>
        <w:tc>
          <w:tcPr>
            <w:tcW w:w="0" w:type="auto"/>
            <w:gridSpan w:val="3"/>
            <w:tcMar>
              <w:top w:w="0" w:type="dxa"/>
              <w:left w:w="20" w:type="dxa"/>
              <w:bottom w:w="0" w:type="dxa"/>
              <w:right w:w="20" w:type="dxa"/>
            </w:tcMar>
            <w:vAlign w:val="center"/>
            <w:hideMark/>
          </w:tcPr>
          <w:p w14:paraId="56FA31A0"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74EA83B" w14:textId="77777777" w:rsidR="00000000" w:rsidRDefault="00E614A4">
            <w:pPr>
              <w:jc w:val="both"/>
              <w:rPr>
                <w:rFonts w:eastAsia="Times New Roman"/>
              </w:rPr>
            </w:pPr>
            <w:hyperlink r:id="rId66" w:history="1">
              <w:r>
                <w:rPr>
                  <w:rStyle w:val="a3"/>
                  <w:rFonts w:eastAsia="Times New Roman"/>
                  <w:sz w:val="20"/>
                  <w:szCs w:val="20"/>
                </w:rPr>
                <w:t>Separation Agreement, dated as of March 31, 2019, by and between comScore, Inc. and Sarah Hofstetter (incorporated by reference to Exhibit 10.3 to the Regis</w:t>
              </w:r>
              <w:r>
                <w:rPr>
                  <w:rStyle w:val="a3"/>
                  <w:rFonts w:eastAsia="Times New Roman"/>
                  <w:sz w:val="20"/>
                  <w:szCs w:val="20"/>
                </w:rPr>
                <w:t>trant's Current Report on Form 8-K, filed April 1, 2019) (File No. 001-33520)</w:t>
              </w:r>
            </w:hyperlink>
          </w:p>
        </w:tc>
      </w:tr>
      <w:tr w:rsidR="00000000" w14:paraId="598A8B87" w14:textId="77777777">
        <w:trPr>
          <w:divId w:val="814420858"/>
          <w:trHeight w:val="60"/>
          <w:jc w:val="center"/>
        </w:trPr>
        <w:tc>
          <w:tcPr>
            <w:tcW w:w="0" w:type="auto"/>
            <w:gridSpan w:val="3"/>
            <w:tcMar>
              <w:top w:w="0" w:type="dxa"/>
              <w:left w:w="20" w:type="dxa"/>
              <w:bottom w:w="0" w:type="dxa"/>
              <w:right w:w="20" w:type="dxa"/>
            </w:tcMar>
            <w:vAlign w:val="center"/>
            <w:hideMark/>
          </w:tcPr>
          <w:p w14:paraId="235E6934"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7F6BC3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FA073E2" w14:textId="77777777" w:rsidR="00000000" w:rsidRDefault="00E614A4">
            <w:pPr>
              <w:rPr>
                <w:rFonts w:eastAsia="Times New Roman"/>
                <w:sz w:val="20"/>
                <w:szCs w:val="20"/>
              </w:rPr>
            </w:pPr>
          </w:p>
        </w:tc>
      </w:tr>
      <w:tr w:rsidR="00000000" w14:paraId="3BA63E72" w14:textId="77777777">
        <w:trPr>
          <w:divId w:val="814420858"/>
          <w:jc w:val="center"/>
        </w:trPr>
        <w:tc>
          <w:tcPr>
            <w:tcW w:w="0" w:type="auto"/>
            <w:gridSpan w:val="3"/>
            <w:tcMar>
              <w:top w:w="30" w:type="dxa"/>
              <w:left w:w="20" w:type="dxa"/>
              <w:bottom w:w="30" w:type="dxa"/>
              <w:right w:w="20" w:type="dxa"/>
            </w:tcMar>
            <w:hideMark/>
          </w:tcPr>
          <w:p w14:paraId="33179F7F" w14:textId="77777777" w:rsidR="00000000" w:rsidRDefault="00E614A4">
            <w:pPr>
              <w:rPr>
                <w:rFonts w:eastAsia="Times New Roman"/>
              </w:rPr>
            </w:pPr>
            <w:r>
              <w:rPr>
                <w:rFonts w:eastAsia="Times New Roman"/>
                <w:color w:val="000000"/>
                <w:sz w:val="20"/>
                <w:szCs w:val="20"/>
              </w:rPr>
              <w:t>10.27</w:t>
            </w:r>
          </w:p>
        </w:tc>
        <w:tc>
          <w:tcPr>
            <w:tcW w:w="0" w:type="auto"/>
            <w:gridSpan w:val="3"/>
            <w:tcMar>
              <w:top w:w="0" w:type="dxa"/>
              <w:left w:w="20" w:type="dxa"/>
              <w:bottom w:w="0" w:type="dxa"/>
              <w:right w:w="20" w:type="dxa"/>
            </w:tcMar>
            <w:vAlign w:val="center"/>
            <w:hideMark/>
          </w:tcPr>
          <w:p w14:paraId="2C4EA2BB"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FC5A05F" w14:textId="77777777" w:rsidR="00000000" w:rsidRDefault="00E614A4">
            <w:pPr>
              <w:jc w:val="both"/>
              <w:rPr>
                <w:rFonts w:eastAsia="Times New Roman"/>
              </w:rPr>
            </w:pPr>
            <w:hyperlink r:id="rId67" w:history="1">
              <w:r>
                <w:rPr>
                  <w:rStyle w:val="a3"/>
                  <w:rFonts w:eastAsia="Times New Roman"/>
                  <w:sz w:val="20"/>
                  <w:szCs w:val="20"/>
                </w:rPr>
                <w:t>Securities Purchase Agreement, dated as of June 23, 2019, by and among comScore, Inc. and CVI Investments, Inc. (incorporated by reference to Exhibit 10.1 t</w:t>
              </w:r>
              <w:r>
                <w:rPr>
                  <w:rStyle w:val="a3"/>
                  <w:rFonts w:eastAsia="Times New Roman"/>
                  <w:sz w:val="20"/>
                  <w:szCs w:val="20"/>
                </w:rPr>
                <w:t>o the Registrant's Current Report on Form 8-K, filed June 24, 2019) (File No. 001-33520)</w:t>
              </w:r>
            </w:hyperlink>
          </w:p>
        </w:tc>
      </w:tr>
      <w:tr w:rsidR="00000000" w14:paraId="67029FE5" w14:textId="77777777">
        <w:trPr>
          <w:divId w:val="814420858"/>
          <w:trHeight w:val="60"/>
          <w:jc w:val="center"/>
        </w:trPr>
        <w:tc>
          <w:tcPr>
            <w:tcW w:w="0" w:type="auto"/>
            <w:gridSpan w:val="3"/>
            <w:tcMar>
              <w:top w:w="0" w:type="dxa"/>
              <w:left w:w="20" w:type="dxa"/>
              <w:bottom w:w="0" w:type="dxa"/>
              <w:right w:w="20" w:type="dxa"/>
            </w:tcMar>
            <w:vAlign w:val="center"/>
            <w:hideMark/>
          </w:tcPr>
          <w:p w14:paraId="73B65E66"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365057BB"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3427155" w14:textId="77777777" w:rsidR="00000000" w:rsidRDefault="00E614A4">
            <w:pPr>
              <w:rPr>
                <w:rFonts w:eastAsia="Times New Roman"/>
                <w:sz w:val="20"/>
                <w:szCs w:val="20"/>
              </w:rPr>
            </w:pPr>
          </w:p>
        </w:tc>
      </w:tr>
      <w:tr w:rsidR="00000000" w14:paraId="0A50182D" w14:textId="77777777">
        <w:trPr>
          <w:divId w:val="814420858"/>
          <w:jc w:val="center"/>
        </w:trPr>
        <w:tc>
          <w:tcPr>
            <w:tcW w:w="0" w:type="auto"/>
            <w:gridSpan w:val="3"/>
            <w:tcMar>
              <w:top w:w="30" w:type="dxa"/>
              <w:left w:w="20" w:type="dxa"/>
              <w:bottom w:w="30" w:type="dxa"/>
              <w:right w:w="20" w:type="dxa"/>
            </w:tcMar>
            <w:hideMark/>
          </w:tcPr>
          <w:p w14:paraId="6ABD021C" w14:textId="77777777" w:rsidR="00000000" w:rsidRDefault="00E614A4">
            <w:pPr>
              <w:rPr>
                <w:rFonts w:eastAsia="Times New Roman"/>
              </w:rPr>
            </w:pPr>
            <w:r>
              <w:rPr>
                <w:rFonts w:eastAsia="Times New Roman"/>
                <w:color w:val="000000"/>
                <w:sz w:val="20"/>
                <w:szCs w:val="20"/>
              </w:rPr>
              <w:t>10.28*</w:t>
            </w:r>
          </w:p>
        </w:tc>
        <w:tc>
          <w:tcPr>
            <w:tcW w:w="0" w:type="auto"/>
            <w:gridSpan w:val="3"/>
            <w:tcMar>
              <w:top w:w="0" w:type="dxa"/>
              <w:left w:w="20" w:type="dxa"/>
              <w:bottom w:w="0" w:type="dxa"/>
              <w:right w:w="20" w:type="dxa"/>
            </w:tcMar>
            <w:vAlign w:val="center"/>
            <w:hideMark/>
          </w:tcPr>
          <w:p w14:paraId="7006D7EB"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19633DA" w14:textId="77777777" w:rsidR="00000000" w:rsidRDefault="00E614A4">
            <w:pPr>
              <w:jc w:val="both"/>
              <w:rPr>
                <w:rFonts w:eastAsia="Times New Roman"/>
              </w:rPr>
            </w:pPr>
            <w:hyperlink r:id="rId68" w:history="1">
              <w:r>
                <w:rPr>
                  <w:rStyle w:val="a3"/>
                  <w:rFonts w:eastAsia="Times New Roman"/>
                  <w:sz w:val="20"/>
                  <w:szCs w:val="20"/>
                </w:rPr>
                <w:t>Letter Agreement, dated November 4, 2019, between comScore, Inc. and William Livek (incorporated by reference to Exhibit 10.1 to the Registrant's Q</w:t>
              </w:r>
              <w:r>
                <w:rPr>
                  <w:rStyle w:val="a3"/>
                  <w:rFonts w:eastAsia="Times New Roman"/>
                  <w:sz w:val="20"/>
                  <w:szCs w:val="20"/>
                </w:rPr>
                <w:t>uarterly Report on Form 10-Q, filed November 6, 2019) (File No. 001-33520)</w:t>
              </w:r>
            </w:hyperlink>
          </w:p>
        </w:tc>
      </w:tr>
      <w:tr w:rsidR="00000000" w14:paraId="4FEE0AF9" w14:textId="77777777">
        <w:trPr>
          <w:divId w:val="814420858"/>
          <w:trHeight w:val="60"/>
          <w:jc w:val="center"/>
        </w:trPr>
        <w:tc>
          <w:tcPr>
            <w:tcW w:w="0" w:type="auto"/>
            <w:gridSpan w:val="3"/>
            <w:tcMar>
              <w:top w:w="0" w:type="dxa"/>
              <w:left w:w="20" w:type="dxa"/>
              <w:bottom w:w="0" w:type="dxa"/>
              <w:right w:w="20" w:type="dxa"/>
            </w:tcMar>
            <w:vAlign w:val="center"/>
            <w:hideMark/>
          </w:tcPr>
          <w:p w14:paraId="3DBC31FE"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7D6A73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0DA40A1" w14:textId="77777777" w:rsidR="00000000" w:rsidRDefault="00E614A4">
            <w:pPr>
              <w:rPr>
                <w:rFonts w:eastAsia="Times New Roman"/>
                <w:sz w:val="20"/>
                <w:szCs w:val="20"/>
              </w:rPr>
            </w:pPr>
          </w:p>
        </w:tc>
      </w:tr>
      <w:tr w:rsidR="00000000" w14:paraId="1AD11116" w14:textId="77777777">
        <w:trPr>
          <w:divId w:val="814420858"/>
          <w:jc w:val="center"/>
        </w:trPr>
        <w:tc>
          <w:tcPr>
            <w:tcW w:w="0" w:type="auto"/>
            <w:gridSpan w:val="3"/>
            <w:tcMar>
              <w:top w:w="30" w:type="dxa"/>
              <w:left w:w="20" w:type="dxa"/>
              <w:bottom w:w="30" w:type="dxa"/>
              <w:right w:w="20" w:type="dxa"/>
            </w:tcMar>
            <w:hideMark/>
          </w:tcPr>
          <w:p w14:paraId="7A27CBEB" w14:textId="77777777" w:rsidR="00000000" w:rsidRDefault="00E614A4">
            <w:pPr>
              <w:rPr>
                <w:rFonts w:eastAsia="Times New Roman"/>
              </w:rPr>
            </w:pPr>
            <w:r>
              <w:rPr>
                <w:rFonts w:eastAsia="Times New Roman"/>
                <w:color w:val="000000"/>
                <w:sz w:val="20"/>
                <w:szCs w:val="20"/>
              </w:rPr>
              <w:t>10.29*</w:t>
            </w:r>
          </w:p>
        </w:tc>
        <w:tc>
          <w:tcPr>
            <w:tcW w:w="0" w:type="auto"/>
            <w:gridSpan w:val="3"/>
            <w:tcMar>
              <w:top w:w="0" w:type="dxa"/>
              <w:left w:w="20" w:type="dxa"/>
              <w:bottom w:w="0" w:type="dxa"/>
              <w:right w:w="20" w:type="dxa"/>
            </w:tcMar>
            <w:vAlign w:val="center"/>
            <w:hideMark/>
          </w:tcPr>
          <w:p w14:paraId="63C6FD64"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3F3CB74" w14:textId="77777777" w:rsidR="00000000" w:rsidRDefault="00E614A4">
            <w:pPr>
              <w:jc w:val="both"/>
              <w:rPr>
                <w:rFonts w:eastAsia="Times New Roman"/>
              </w:rPr>
            </w:pPr>
            <w:hyperlink r:id="rId69" w:history="1">
              <w:r>
                <w:rPr>
                  <w:rStyle w:val="a3"/>
                  <w:rFonts w:eastAsia="Times New Roman"/>
                  <w:sz w:val="20"/>
                  <w:szCs w:val="20"/>
                </w:rPr>
                <w:t>Separation and General Release Agreement, dated as of November 5, 2019, by and between comScore, Inc. and Joseph Rostock (incorporated by reference</w:t>
              </w:r>
              <w:r>
                <w:rPr>
                  <w:rStyle w:val="a3"/>
                  <w:rFonts w:eastAsia="Times New Roman"/>
                  <w:sz w:val="20"/>
                  <w:szCs w:val="20"/>
                </w:rPr>
                <w:t xml:space="preserve"> to Exhibit 10.31 to the Registrant's Annual Report on Form 10-K for the period ended December 31, 2019, filed February 28, 2020) (File No. 001-33520)</w:t>
              </w:r>
            </w:hyperlink>
          </w:p>
        </w:tc>
      </w:tr>
      <w:tr w:rsidR="00000000" w14:paraId="22246079" w14:textId="77777777">
        <w:trPr>
          <w:divId w:val="814420858"/>
          <w:trHeight w:val="60"/>
          <w:jc w:val="center"/>
        </w:trPr>
        <w:tc>
          <w:tcPr>
            <w:tcW w:w="0" w:type="auto"/>
            <w:gridSpan w:val="3"/>
            <w:tcMar>
              <w:top w:w="0" w:type="dxa"/>
              <w:left w:w="20" w:type="dxa"/>
              <w:bottom w:w="0" w:type="dxa"/>
              <w:right w:w="20" w:type="dxa"/>
            </w:tcMar>
            <w:vAlign w:val="center"/>
            <w:hideMark/>
          </w:tcPr>
          <w:p w14:paraId="61893AB4"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689DF0B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E27A652" w14:textId="77777777" w:rsidR="00000000" w:rsidRDefault="00E614A4">
            <w:pPr>
              <w:rPr>
                <w:rFonts w:eastAsia="Times New Roman"/>
                <w:sz w:val="20"/>
                <w:szCs w:val="20"/>
              </w:rPr>
            </w:pPr>
          </w:p>
        </w:tc>
      </w:tr>
      <w:tr w:rsidR="00000000" w14:paraId="588C32A3" w14:textId="77777777">
        <w:trPr>
          <w:divId w:val="814420858"/>
          <w:jc w:val="center"/>
        </w:trPr>
        <w:tc>
          <w:tcPr>
            <w:tcW w:w="0" w:type="auto"/>
            <w:gridSpan w:val="3"/>
            <w:tcMar>
              <w:top w:w="30" w:type="dxa"/>
              <w:left w:w="20" w:type="dxa"/>
              <w:bottom w:w="30" w:type="dxa"/>
              <w:right w:w="20" w:type="dxa"/>
            </w:tcMar>
            <w:hideMark/>
          </w:tcPr>
          <w:p w14:paraId="6895BCC6" w14:textId="77777777" w:rsidR="00000000" w:rsidRDefault="00E614A4">
            <w:pPr>
              <w:rPr>
                <w:rFonts w:eastAsia="Times New Roman"/>
              </w:rPr>
            </w:pPr>
            <w:r>
              <w:rPr>
                <w:rFonts w:eastAsia="Times New Roman"/>
                <w:color w:val="000000"/>
                <w:sz w:val="20"/>
                <w:szCs w:val="20"/>
              </w:rPr>
              <w:t>10.30*</w:t>
            </w:r>
          </w:p>
        </w:tc>
        <w:tc>
          <w:tcPr>
            <w:tcW w:w="0" w:type="auto"/>
            <w:gridSpan w:val="3"/>
            <w:tcMar>
              <w:top w:w="0" w:type="dxa"/>
              <w:left w:w="20" w:type="dxa"/>
              <w:bottom w:w="0" w:type="dxa"/>
              <w:right w:w="20" w:type="dxa"/>
            </w:tcMar>
            <w:vAlign w:val="center"/>
            <w:hideMark/>
          </w:tcPr>
          <w:p w14:paraId="5377E852"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3A187D50" w14:textId="77777777" w:rsidR="00000000" w:rsidRDefault="00E614A4">
            <w:pPr>
              <w:jc w:val="both"/>
              <w:rPr>
                <w:rFonts w:eastAsia="Times New Roman"/>
              </w:rPr>
            </w:pPr>
            <w:hyperlink r:id="rId70" w:history="1">
              <w:r>
                <w:rPr>
                  <w:rStyle w:val="a3"/>
                  <w:rFonts w:eastAsia="Times New Roman"/>
                  <w:sz w:val="20"/>
                  <w:szCs w:val="20"/>
                </w:rPr>
                <w:t>Change of Control and Severance Agreement, executed on September 28, 2015, by and between comScore, Inc. and William Livek (incorporated by reference to Exhibit 10.32 to the Registrant's Annual Report on Form 10-K for the perio</w:t>
              </w:r>
              <w:r>
                <w:rPr>
                  <w:rStyle w:val="a3"/>
                  <w:rFonts w:eastAsia="Times New Roman"/>
                  <w:sz w:val="20"/>
                  <w:szCs w:val="20"/>
                </w:rPr>
                <w:t>d ended December 31, 2019, filed February 28, 2020) (File No. 001-33520)</w:t>
              </w:r>
            </w:hyperlink>
          </w:p>
        </w:tc>
      </w:tr>
      <w:tr w:rsidR="00000000" w14:paraId="5BB582F9" w14:textId="77777777">
        <w:trPr>
          <w:divId w:val="814420858"/>
          <w:trHeight w:val="60"/>
          <w:jc w:val="center"/>
        </w:trPr>
        <w:tc>
          <w:tcPr>
            <w:tcW w:w="0" w:type="auto"/>
            <w:gridSpan w:val="3"/>
            <w:tcMar>
              <w:top w:w="0" w:type="dxa"/>
              <w:left w:w="20" w:type="dxa"/>
              <w:bottom w:w="0" w:type="dxa"/>
              <w:right w:w="20" w:type="dxa"/>
            </w:tcMar>
            <w:vAlign w:val="center"/>
            <w:hideMark/>
          </w:tcPr>
          <w:p w14:paraId="157F897C"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58CA0D9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A787F39" w14:textId="77777777" w:rsidR="00000000" w:rsidRDefault="00E614A4">
            <w:pPr>
              <w:rPr>
                <w:rFonts w:eastAsia="Times New Roman"/>
                <w:sz w:val="20"/>
                <w:szCs w:val="20"/>
              </w:rPr>
            </w:pPr>
          </w:p>
        </w:tc>
      </w:tr>
      <w:tr w:rsidR="00000000" w14:paraId="4C3DFA8F" w14:textId="77777777">
        <w:trPr>
          <w:divId w:val="814420858"/>
          <w:jc w:val="center"/>
        </w:trPr>
        <w:tc>
          <w:tcPr>
            <w:tcW w:w="0" w:type="auto"/>
            <w:gridSpan w:val="3"/>
            <w:tcMar>
              <w:top w:w="30" w:type="dxa"/>
              <w:left w:w="20" w:type="dxa"/>
              <w:bottom w:w="30" w:type="dxa"/>
              <w:right w:w="20" w:type="dxa"/>
            </w:tcMar>
            <w:hideMark/>
          </w:tcPr>
          <w:p w14:paraId="5D6E7F6B" w14:textId="77777777" w:rsidR="00000000" w:rsidRDefault="00E614A4">
            <w:pPr>
              <w:rPr>
                <w:rFonts w:eastAsia="Times New Roman"/>
              </w:rPr>
            </w:pPr>
            <w:r>
              <w:rPr>
                <w:rFonts w:eastAsia="Times New Roman"/>
                <w:color w:val="000000"/>
                <w:sz w:val="20"/>
                <w:szCs w:val="20"/>
              </w:rPr>
              <w:t>10.31*</w:t>
            </w:r>
          </w:p>
        </w:tc>
        <w:tc>
          <w:tcPr>
            <w:tcW w:w="0" w:type="auto"/>
            <w:gridSpan w:val="3"/>
            <w:tcMar>
              <w:top w:w="0" w:type="dxa"/>
              <w:left w:w="20" w:type="dxa"/>
              <w:bottom w:w="0" w:type="dxa"/>
              <w:right w:w="20" w:type="dxa"/>
            </w:tcMar>
            <w:vAlign w:val="center"/>
            <w:hideMark/>
          </w:tcPr>
          <w:p w14:paraId="731B1A76"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1D324F7" w14:textId="77777777" w:rsidR="00000000" w:rsidRDefault="00E614A4">
            <w:pPr>
              <w:jc w:val="both"/>
              <w:rPr>
                <w:rFonts w:eastAsia="Times New Roman"/>
              </w:rPr>
            </w:pPr>
            <w:hyperlink r:id="rId71" w:history="1">
              <w:r>
                <w:rPr>
                  <w:rStyle w:val="a3"/>
                  <w:rFonts w:eastAsia="Times New Roman"/>
                  <w:sz w:val="20"/>
                  <w:szCs w:val="20"/>
                </w:rPr>
                <w:t>Form of Stock Option Grant Notice and Stock Option Agreement under 2018 Equity and Incentive Compensation Plan (incorporated by reference to Exhibi</w:t>
              </w:r>
              <w:r>
                <w:rPr>
                  <w:rStyle w:val="a3"/>
                  <w:rFonts w:eastAsia="Times New Roman"/>
                  <w:sz w:val="20"/>
                  <w:szCs w:val="20"/>
                </w:rPr>
                <w:t>t 10.33 to the Registrant's Annual Report on Form 10-K for the period ended December 31, 2019, filed February 28, 2020) (File No. 001-33520)</w:t>
              </w:r>
            </w:hyperlink>
          </w:p>
        </w:tc>
      </w:tr>
      <w:tr w:rsidR="00000000" w14:paraId="150994E1" w14:textId="77777777">
        <w:trPr>
          <w:divId w:val="814420858"/>
          <w:trHeight w:val="60"/>
          <w:jc w:val="center"/>
        </w:trPr>
        <w:tc>
          <w:tcPr>
            <w:tcW w:w="0" w:type="auto"/>
            <w:gridSpan w:val="3"/>
            <w:tcMar>
              <w:top w:w="0" w:type="dxa"/>
              <w:left w:w="20" w:type="dxa"/>
              <w:bottom w:w="0" w:type="dxa"/>
              <w:right w:w="20" w:type="dxa"/>
            </w:tcMar>
            <w:vAlign w:val="center"/>
            <w:hideMark/>
          </w:tcPr>
          <w:p w14:paraId="00C23045"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34C2854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57F05AD" w14:textId="77777777" w:rsidR="00000000" w:rsidRDefault="00E614A4">
            <w:pPr>
              <w:rPr>
                <w:rFonts w:eastAsia="Times New Roman"/>
                <w:sz w:val="20"/>
                <w:szCs w:val="20"/>
              </w:rPr>
            </w:pPr>
          </w:p>
        </w:tc>
      </w:tr>
      <w:tr w:rsidR="00000000" w14:paraId="7EA16915" w14:textId="77777777">
        <w:trPr>
          <w:divId w:val="814420858"/>
          <w:jc w:val="center"/>
        </w:trPr>
        <w:tc>
          <w:tcPr>
            <w:tcW w:w="0" w:type="auto"/>
            <w:gridSpan w:val="3"/>
            <w:tcMar>
              <w:top w:w="30" w:type="dxa"/>
              <w:left w:w="20" w:type="dxa"/>
              <w:bottom w:w="30" w:type="dxa"/>
              <w:right w:w="20" w:type="dxa"/>
            </w:tcMar>
            <w:hideMark/>
          </w:tcPr>
          <w:p w14:paraId="2BA14176" w14:textId="77777777" w:rsidR="00000000" w:rsidRDefault="00E614A4">
            <w:pPr>
              <w:rPr>
                <w:rFonts w:eastAsia="Times New Roman"/>
              </w:rPr>
            </w:pPr>
            <w:r>
              <w:rPr>
                <w:rFonts w:eastAsia="Times New Roman"/>
                <w:color w:val="000000"/>
                <w:sz w:val="20"/>
                <w:szCs w:val="20"/>
              </w:rPr>
              <w:t>10.32*</w:t>
            </w:r>
          </w:p>
        </w:tc>
        <w:tc>
          <w:tcPr>
            <w:tcW w:w="0" w:type="auto"/>
            <w:gridSpan w:val="3"/>
            <w:tcMar>
              <w:top w:w="0" w:type="dxa"/>
              <w:left w:w="20" w:type="dxa"/>
              <w:bottom w:w="0" w:type="dxa"/>
              <w:right w:w="20" w:type="dxa"/>
            </w:tcMar>
            <w:vAlign w:val="center"/>
            <w:hideMark/>
          </w:tcPr>
          <w:p w14:paraId="64591329"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840F26F" w14:textId="77777777" w:rsidR="00000000" w:rsidRDefault="00E614A4">
            <w:pPr>
              <w:jc w:val="both"/>
              <w:rPr>
                <w:rFonts w:eastAsia="Times New Roman"/>
              </w:rPr>
            </w:pPr>
            <w:hyperlink r:id="rId72" w:history="1">
              <w:r>
                <w:rPr>
                  <w:rStyle w:val="a3"/>
                  <w:rFonts w:eastAsia="Times New Roman"/>
                  <w:sz w:val="20"/>
                  <w:szCs w:val="20"/>
                </w:rPr>
                <w:t>Form of Deferred Stock Units Award Agreement under 2018 Equity and Incentive Compensation Plan (incorporated by reference to Exhibit 10.34 to the Registrant's Annual Report on Form 10-K for the period ended December 31, 2019, filed February 28, 2020) (File</w:t>
              </w:r>
              <w:r>
                <w:rPr>
                  <w:rStyle w:val="a3"/>
                  <w:rFonts w:eastAsia="Times New Roman"/>
                  <w:sz w:val="20"/>
                  <w:szCs w:val="20"/>
                </w:rPr>
                <w:t xml:space="preserve"> No. 001-33520)</w:t>
              </w:r>
            </w:hyperlink>
          </w:p>
        </w:tc>
      </w:tr>
      <w:tr w:rsidR="00000000" w14:paraId="2D3AD645" w14:textId="77777777">
        <w:trPr>
          <w:divId w:val="814420858"/>
          <w:trHeight w:val="60"/>
          <w:jc w:val="center"/>
        </w:trPr>
        <w:tc>
          <w:tcPr>
            <w:tcW w:w="0" w:type="auto"/>
            <w:gridSpan w:val="3"/>
            <w:tcMar>
              <w:top w:w="0" w:type="dxa"/>
              <w:left w:w="20" w:type="dxa"/>
              <w:bottom w:w="0" w:type="dxa"/>
              <w:right w:w="20" w:type="dxa"/>
            </w:tcMar>
            <w:vAlign w:val="center"/>
            <w:hideMark/>
          </w:tcPr>
          <w:p w14:paraId="114945E4"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430AE7A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4662234" w14:textId="77777777" w:rsidR="00000000" w:rsidRDefault="00E614A4">
            <w:pPr>
              <w:rPr>
                <w:rFonts w:eastAsia="Times New Roman"/>
                <w:sz w:val="20"/>
                <w:szCs w:val="20"/>
              </w:rPr>
            </w:pPr>
          </w:p>
        </w:tc>
      </w:tr>
      <w:tr w:rsidR="00000000" w14:paraId="0B95371D" w14:textId="77777777">
        <w:trPr>
          <w:divId w:val="814420858"/>
          <w:jc w:val="center"/>
        </w:trPr>
        <w:tc>
          <w:tcPr>
            <w:tcW w:w="0" w:type="auto"/>
            <w:gridSpan w:val="3"/>
            <w:tcMar>
              <w:top w:w="30" w:type="dxa"/>
              <w:left w:w="20" w:type="dxa"/>
              <w:bottom w:w="30" w:type="dxa"/>
              <w:right w:w="20" w:type="dxa"/>
            </w:tcMar>
            <w:hideMark/>
          </w:tcPr>
          <w:p w14:paraId="453AE371" w14:textId="77777777" w:rsidR="00000000" w:rsidRDefault="00E614A4">
            <w:pPr>
              <w:rPr>
                <w:rFonts w:eastAsia="Times New Roman"/>
              </w:rPr>
            </w:pPr>
            <w:r>
              <w:rPr>
                <w:rFonts w:eastAsia="Times New Roman"/>
                <w:color w:val="000000"/>
                <w:sz w:val="20"/>
                <w:szCs w:val="20"/>
              </w:rPr>
              <w:t>10.33*</w:t>
            </w:r>
          </w:p>
        </w:tc>
        <w:tc>
          <w:tcPr>
            <w:tcW w:w="0" w:type="auto"/>
            <w:gridSpan w:val="3"/>
            <w:tcMar>
              <w:top w:w="0" w:type="dxa"/>
              <w:left w:w="20" w:type="dxa"/>
              <w:bottom w:w="0" w:type="dxa"/>
              <w:right w:w="20" w:type="dxa"/>
            </w:tcMar>
            <w:vAlign w:val="center"/>
            <w:hideMark/>
          </w:tcPr>
          <w:p w14:paraId="7F343FBD"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127E1FC3" w14:textId="77777777" w:rsidR="00000000" w:rsidRDefault="00E614A4">
            <w:pPr>
              <w:jc w:val="both"/>
              <w:rPr>
                <w:rFonts w:eastAsia="Times New Roman"/>
              </w:rPr>
            </w:pPr>
            <w:hyperlink r:id="rId73" w:history="1">
              <w:r>
                <w:rPr>
                  <w:rStyle w:val="a3"/>
                  <w:rFonts w:eastAsia="Times New Roman"/>
                  <w:sz w:val="20"/>
                  <w:szCs w:val="20"/>
                </w:rPr>
                <w:t>Form of Performance Restricted Stock Units Award Agreement under 2018 Equity and Incentive Compensation Plan (incorporated by reference to Exhibit 10.35 to the Registrant's Annual Report on Form 10-K for the period ended December 31, 2019, filed February 2</w:t>
              </w:r>
              <w:r>
                <w:rPr>
                  <w:rStyle w:val="a3"/>
                  <w:rFonts w:eastAsia="Times New Roman"/>
                  <w:sz w:val="20"/>
                  <w:szCs w:val="20"/>
                </w:rPr>
                <w:t>8, 2020) (File No. 001-33520)</w:t>
              </w:r>
            </w:hyperlink>
          </w:p>
        </w:tc>
      </w:tr>
      <w:tr w:rsidR="00000000" w14:paraId="7723E512" w14:textId="77777777">
        <w:trPr>
          <w:divId w:val="814420858"/>
          <w:trHeight w:val="60"/>
          <w:jc w:val="center"/>
        </w:trPr>
        <w:tc>
          <w:tcPr>
            <w:tcW w:w="0" w:type="auto"/>
            <w:gridSpan w:val="3"/>
            <w:tcMar>
              <w:top w:w="0" w:type="dxa"/>
              <w:left w:w="20" w:type="dxa"/>
              <w:bottom w:w="0" w:type="dxa"/>
              <w:right w:w="20" w:type="dxa"/>
            </w:tcMar>
            <w:vAlign w:val="center"/>
            <w:hideMark/>
          </w:tcPr>
          <w:p w14:paraId="766FFAA5"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40EF851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FD20558" w14:textId="77777777" w:rsidR="00000000" w:rsidRDefault="00E614A4">
            <w:pPr>
              <w:rPr>
                <w:rFonts w:eastAsia="Times New Roman"/>
                <w:sz w:val="20"/>
                <w:szCs w:val="20"/>
              </w:rPr>
            </w:pPr>
          </w:p>
        </w:tc>
      </w:tr>
      <w:tr w:rsidR="00000000" w14:paraId="755CE622" w14:textId="77777777">
        <w:trPr>
          <w:divId w:val="814420858"/>
          <w:jc w:val="center"/>
        </w:trPr>
        <w:tc>
          <w:tcPr>
            <w:tcW w:w="0" w:type="auto"/>
            <w:gridSpan w:val="3"/>
            <w:tcMar>
              <w:top w:w="30" w:type="dxa"/>
              <w:left w:w="20" w:type="dxa"/>
              <w:bottom w:w="30" w:type="dxa"/>
              <w:right w:w="20" w:type="dxa"/>
            </w:tcMar>
            <w:hideMark/>
          </w:tcPr>
          <w:p w14:paraId="3717D727" w14:textId="77777777" w:rsidR="00000000" w:rsidRDefault="00E614A4">
            <w:pPr>
              <w:rPr>
                <w:rFonts w:eastAsia="Times New Roman"/>
              </w:rPr>
            </w:pPr>
            <w:r>
              <w:rPr>
                <w:rFonts w:eastAsia="Times New Roman"/>
                <w:color w:val="000000"/>
                <w:sz w:val="20"/>
                <w:szCs w:val="20"/>
              </w:rPr>
              <w:t>10.34*</w:t>
            </w:r>
          </w:p>
        </w:tc>
        <w:tc>
          <w:tcPr>
            <w:tcW w:w="0" w:type="auto"/>
            <w:gridSpan w:val="3"/>
            <w:tcMar>
              <w:top w:w="0" w:type="dxa"/>
              <w:left w:w="20" w:type="dxa"/>
              <w:bottom w:w="0" w:type="dxa"/>
              <w:right w:w="20" w:type="dxa"/>
            </w:tcMar>
            <w:vAlign w:val="center"/>
            <w:hideMark/>
          </w:tcPr>
          <w:p w14:paraId="28A5D780"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D49054A" w14:textId="77777777" w:rsidR="00000000" w:rsidRDefault="00E614A4">
            <w:pPr>
              <w:jc w:val="both"/>
              <w:rPr>
                <w:rFonts w:eastAsia="Times New Roman"/>
              </w:rPr>
            </w:pPr>
            <w:hyperlink r:id="rId74" w:history="1">
              <w:r>
                <w:rPr>
                  <w:rStyle w:val="a3"/>
                  <w:rFonts w:eastAsia="Times New Roman"/>
                  <w:sz w:val="20"/>
                  <w:szCs w:val="20"/>
                </w:rPr>
                <w:t>Form of Restricted Stock Units Award Agreement under 2018 Equity and Incentive Compensation Plan (incorporated by reference to Exhibit 10.36 to the</w:t>
              </w:r>
              <w:r>
                <w:rPr>
                  <w:rStyle w:val="a3"/>
                  <w:rFonts w:eastAsia="Times New Roman"/>
                  <w:sz w:val="20"/>
                  <w:szCs w:val="20"/>
                </w:rPr>
                <w:t xml:space="preserve"> Registrant's Annual Report on Form 10-K for the period ended December 31, 2019, filed February 28, 2020) (File No. 001-33520)</w:t>
              </w:r>
            </w:hyperlink>
          </w:p>
        </w:tc>
      </w:tr>
      <w:tr w:rsidR="00000000" w14:paraId="358B7D29" w14:textId="77777777">
        <w:trPr>
          <w:divId w:val="814420858"/>
          <w:trHeight w:val="60"/>
          <w:jc w:val="center"/>
        </w:trPr>
        <w:tc>
          <w:tcPr>
            <w:tcW w:w="0" w:type="auto"/>
            <w:gridSpan w:val="3"/>
            <w:tcMar>
              <w:top w:w="0" w:type="dxa"/>
              <w:left w:w="20" w:type="dxa"/>
              <w:bottom w:w="0" w:type="dxa"/>
              <w:right w:w="20" w:type="dxa"/>
            </w:tcMar>
            <w:vAlign w:val="center"/>
            <w:hideMark/>
          </w:tcPr>
          <w:p w14:paraId="07F5A91B"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66522E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0FA1885" w14:textId="77777777" w:rsidR="00000000" w:rsidRDefault="00E614A4">
            <w:pPr>
              <w:rPr>
                <w:rFonts w:eastAsia="Times New Roman"/>
                <w:sz w:val="20"/>
                <w:szCs w:val="20"/>
              </w:rPr>
            </w:pPr>
          </w:p>
        </w:tc>
      </w:tr>
      <w:tr w:rsidR="00000000" w14:paraId="47A66098" w14:textId="77777777">
        <w:trPr>
          <w:divId w:val="814420858"/>
          <w:jc w:val="center"/>
        </w:trPr>
        <w:tc>
          <w:tcPr>
            <w:tcW w:w="0" w:type="auto"/>
            <w:gridSpan w:val="3"/>
            <w:tcMar>
              <w:top w:w="30" w:type="dxa"/>
              <w:left w:w="20" w:type="dxa"/>
              <w:bottom w:w="30" w:type="dxa"/>
              <w:right w:w="20" w:type="dxa"/>
            </w:tcMar>
            <w:hideMark/>
          </w:tcPr>
          <w:p w14:paraId="434D5560" w14:textId="77777777" w:rsidR="00000000" w:rsidRDefault="00E614A4">
            <w:pPr>
              <w:rPr>
                <w:rFonts w:eastAsia="Times New Roman"/>
              </w:rPr>
            </w:pPr>
            <w:r>
              <w:rPr>
                <w:rFonts w:eastAsia="Times New Roman"/>
                <w:color w:val="000000"/>
                <w:sz w:val="20"/>
                <w:szCs w:val="20"/>
              </w:rPr>
              <w:t>10.35*</w:t>
            </w:r>
          </w:p>
        </w:tc>
        <w:tc>
          <w:tcPr>
            <w:tcW w:w="0" w:type="auto"/>
            <w:gridSpan w:val="3"/>
            <w:tcMar>
              <w:top w:w="0" w:type="dxa"/>
              <w:left w:w="20" w:type="dxa"/>
              <w:bottom w:w="0" w:type="dxa"/>
              <w:right w:w="20" w:type="dxa"/>
            </w:tcMar>
            <w:vAlign w:val="center"/>
            <w:hideMark/>
          </w:tcPr>
          <w:p w14:paraId="08D128A8"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5B117445" w14:textId="77777777" w:rsidR="00000000" w:rsidRDefault="00E614A4">
            <w:pPr>
              <w:divId w:val="1711762861"/>
              <w:rPr>
                <w:rFonts w:eastAsia="Times New Roman"/>
              </w:rPr>
            </w:pPr>
            <w:hyperlink r:id="rId75" w:history="1">
              <w:r>
                <w:rPr>
                  <w:rStyle w:val="a3"/>
                  <w:rFonts w:eastAsia="Times New Roman"/>
                  <w:sz w:val="20"/>
                  <w:szCs w:val="20"/>
                </w:rPr>
                <w:t>Separation and Release Agreement, dated as of May 7, 2020, by and between comScore, Inc. and Carol DiBattiste (incorporated by reference to Exhibit 10.1 to the Registrant's Quarterly Report on Form 10-Q for the period ended June 30, 2020, filed August</w:t>
              </w:r>
              <w:r>
                <w:rPr>
                  <w:rStyle w:val="a3"/>
                  <w:rFonts w:eastAsia="Times New Roman"/>
                  <w:sz w:val="20"/>
                  <w:szCs w:val="20"/>
                </w:rPr>
                <w:t xml:space="preserve"> 10, 2020) (File No. 001-3520)</w:t>
              </w:r>
            </w:hyperlink>
          </w:p>
        </w:tc>
      </w:tr>
      <w:tr w:rsidR="00000000" w14:paraId="664C35AA" w14:textId="77777777">
        <w:trPr>
          <w:divId w:val="814420858"/>
          <w:trHeight w:val="60"/>
          <w:jc w:val="center"/>
        </w:trPr>
        <w:tc>
          <w:tcPr>
            <w:tcW w:w="0" w:type="auto"/>
            <w:gridSpan w:val="3"/>
            <w:tcMar>
              <w:top w:w="0" w:type="dxa"/>
              <w:left w:w="20" w:type="dxa"/>
              <w:bottom w:w="0" w:type="dxa"/>
              <w:right w:w="20" w:type="dxa"/>
            </w:tcMar>
            <w:vAlign w:val="center"/>
            <w:hideMark/>
          </w:tcPr>
          <w:p w14:paraId="54D485C7"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781D05F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C7B03C4" w14:textId="77777777" w:rsidR="00000000" w:rsidRDefault="00E614A4">
            <w:pPr>
              <w:rPr>
                <w:rFonts w:eastAsia="Times New Roman"/>
                <w:sz w:val="20"/>
                <w:szCs w:val="20"/>
              </w:rPr>
            </w:pPr>
          </w:p>
        </w:tc>
      </w:tr>
    </w:tbl>
    <w:p w14:paraId="14B3B532" w14:textId="77777777" w:rsidR="00000000" w:rsidRDefault="00E614A4">
      <w:pPr>
        <w:jc w:val="center"/>
        <w:divId w:val="1091242545"/>
        <w:rPr>
          <w:rFonts w:eastAsia="Times New Roman"/>
        </w:rPr>
      </w:pPr>
      <w:r>
        <w:rPr>
          <w:rFonts w:eastAsia="Times New Roman"/>
          <w:color w:val="000000"/>
          <w:sz w:val="20"/>
          <w:szCs w:val="20"/>
        </w:rPr>
        <w:t>109</w:t>
      </w:r>
    </w:p>
    <w:p w14:paraId="4D3AEAFF" w14:textId="77777777" w:rsidR="00000000" w:rsidRDefault="00E614A4">
      <w:pPr>
        <w:rPr>
          <w:rFonts w:eastAsia="Times New Roman"/>
        </w:rPr>
      </w:pPr>
      <w:r>
        <w:rPr>
          <w:rFonts w:eastAsia="Times New Roman"/>
        </w:rPr>
        <w:pict w14:anchorId="5B329E6D">
          <v:rect id="_x0000_i1137" style="width:0;height:1.5pt" o:hralign="center" o:hrstd="t" o:hr="t" fillcolor="#a0a0a0" stroked="f"/>
        </w:pict>
      </w:r>
    </w:p>
    <w:p w14:paraId="68561C70" w14:textId="77777777" w:rsidR="00000000" w:rsidRDefault="00E614A4">
      <w:pPr>
        <w:divId w:val="664288825"/>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4A8DF2CB" w14:textId="77777777" w:rsidR="00000000" w:rsidRDefault="00E614A4">
      <w:pPr>
        <w:divId w:val="67800131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0"/>
        <w:gridCol w:w="682"/>
        <w:gridCol w:w="36"/>
        <w:gridCol w:w="37"/>
        <w:gridCol w:w="89"/>
        <w:gridCol w:w="36"/>
        <w:gridCol w:w="38"/>
        <w:gridCol w:w="7261"/>
        <w:gridCol w:w="37"/>
      </w:tblGrid>
      <w:tr w:rsidR="00000000" w14:paraId="4A136C2E" w14:textId="77777777">
        <w:trPr>
          <w:divId w:val="1355956153"/>
          <w:jc w:val="center"/>
        </w:trPr>
        <w:tc>
          <w:tcPr>
            <w:tcW w:w="50" w:type="pct"/>
            <w:vAlign w:val="center"/>
            <w:hideMark/>
          </w:tcPr>
          <w:p w14:paraId="42A8241F" w14:textId="77777777" w:rsidR="00000000" w:rsidRDefault="00E614A4">
            <w:pPr>
              <w:rPr>
                <w:rFonts w:eastAsia="Times New Roman"/>
              </w:rPr>
            </w:pPr>
          </w:p>
        </w:tc>
        <w:tc>
          <w:tcPr>
            <w:tcW w:w="382" w:type="pct"/>
            <w:vAlign w:val="center"/>
            <w:hideMark/>
          </w:tcPr>
          <w:p w14:paraId="477E92F3" w14:textId="77777777" w:rsidR="00000000" w:rsidRDefault="00E614A4">
            <w:pPr>
              <w:rPr>
                <w:rFonts w:eastAsia="Times New Roman"/>
                <w:sz w:val="20"/>
                <w:szCs w:val="20"/>
              </w:rPr>
            </w:pPr>
          </w:p>
        </w:tc>
        <w:tc>
          <w:tcPr>
            <w:tcW w:w="5" w:type="pct"/>
            <w:vAlign w:val="center"/>
            <w:hideMark/>
          </w:tcPr>
          <w:p w14:paraId="5DD85E60" w14:textId="77777777" w:rsidR="00000000" w:rsidRDefault="00E614A4">
            <w:pPr>
              <w:rPr>
                <w:rFonts w:eastAsia="Times New Roman"/>
                <w:sz w:val="20"/>
                <w:szCs w:val="20"/>
              </w:rPr>
            </w:pPr>
          </w:p>
        </w:tc>
        <w:tc>
          <w:tcPr>
            <w:tcW w:w="5" w:type="pct"/>
            <w:vAlign w:val="center"/>
            <w:hideMark/>
          </w:tcPr>
          <w:p w14:paraId="50A96A82" w14:textId="77777777" w:rsidR="00000000" w:rsidRDefault="00E614A4">
            <w:pPr>
              <w:rPr>
                <w:rFonts w:eastAsia="Times New Roman"/>
                <w:sz w:val="20"/>
                <w:szCs w:val="20"/>
              </w:rPr>
            </w:pPr>
          </w:p>
        </w:tc>
        <w:tc>
          <w:tcPr>
            <w:tcW w:w="17" w:type="pct"/>
            <w:vAlign w:val="center"/>
            <w:hideMark/>
          </w:tcPr>
          <w:p w14:paraId="0E67CAB5" w14:textId="77777777" w:rsidR="00000000" w:rsidRDefault="00E614A4">
            <w:pPr>
              <w:rPr>
                <w:rFonts w:eastAsia="Times New Roman"/>
                <w:sz w:val="20"/>
                <w:szCs w:val="20"/>
              </w:rPr>
            </w:pPr>
          </w:p>
        </w:tc>
        <w:tc>
          <w:tcPr>
            <w:tcW w:w="5" w:type="pct"/>
            <w:vAlign w:val="center"/>
            <w:hideMark/>
          </w:tcPr>
          <w:p w14:paraId="3ED82E30" w14:textId="77777777" w:rsidR="00000000" w:rsidRDefault="00E614A4">
            <w:pPr>
              <w:rPr>
                <w:rFonts w:eastAsia="Times New Roman"/>
                <w:sz w:val="20"/>
                <w:szCs w:val="20"/>
              </w:rPr>
            </w:pPr>
          </w:p>
        </w:tc>
        <w:tc>
          <w:tcPr>
            <w:tcW w:w="50" w:type="pct"/>
            <w:vAlign w:val="center"/>
            <w:hideMark/>
          </w:tcPr>
          <w:p w14:paraId="0670B644" w14:textId="77777777" w:rsidR="00000000" w:rsidRDefault="00E614A4">
            <w:pPr>
              <w:rPr>
                <w:rFonts w:eastAsia="Times New Roman"/>
                <w:sz w:val="20"/>
                <w:szCs w:val="20"/>
              </w:rPr>
            </w:pPr>
          </w:p>
        </w:tc>
        <w:tc>
          <w:tcPr>
            <w:tcW w:w="4479" w:type="pct"/>
            <w:vAlign w:val="center"/>
            <w:hideMark/>
          </w:tcPr>
          <w:p w14:paraId="2D0D057A" w14:textId="77777777" w:rsidR="00000000" w:rsidRDefault="00E614A4">
            <w:pPr>
              <w:rPr>
                <w:rFonts w:eastAsia="Times New Roman"/>
                <w:sz w:val="20"/>
                <w:szCs w:val="20"/>
              </w:rPr>
            </w:pPr>
          </w:p>
        </w:tc>
        <w:tc>
          <w:tcPr>
            <w:tcW w:w="5" w:type="pct"/>
            <w:vAlign w:val="center"/>
            <w:hideMark/>
          </w:tcPr>
          <w:p w14:paraId="6797EAB1" w14:textId="77777777" w:rsidR="00000000" w:rsidRDefault="00E614A4">
            <w:pPr>
              <w:rPr>
                <w:rFonts w:eastAsia="Times New Roman"/>
                <w:sz w:val="20"/>
                <w:szCs w:val="20"/>
              </w:rPr>
            </w:pPr>
          </w:p>
        </w:tc>
      </w:tr>
      <w:tr w:rsidR="00000000" w14:paraId="1554A5B0" w14:textId="77777777">
        <w:trPr>
          <w:divId w:val="1355956153"/>
          <w:jc w:val="center"/>
        </w:trPr>
        <w:tc>
          <w:tcPr>
            <w:tcW w:w="0" w:type="auto"/>
            <w:gridSpan w:val="3"/>
            <w:tcMar>
              <w:top w:w="30" w:type="dxa"/>
              <w:left w:w="20" w:type="dxa"/>
              <w:bottom w:w="30" w:type="dxa"/>
              <w:right w:w="20" w:type="dxa"/>
            </w:tcMar>
            <w:hideMark/>
          </w:tcPr>
          <w:p w14:paraId="6629FF6B" w14:textId="77777777" w:rsidR="00000000" w:rsidRDefault="00E614A4">
            <w:pPr>
              <w:rPr>
                <w:rFonts w:eastAsia="Times New Roman"/>
              </w:rPr>
            </w:pPr>
            <w:r>
              <w:rPr>
                <w:rFonts w:eastAsia="Times New Roman"/>
                <w:color w:val="000000"/>
                <w:sz w:val="20"/>
                <w:szCs w:val="20"/>
              </w:rPr>
              <w:t>10.36*</w:t>
            </w:r>
          </w:p>
        </w:tc>
        <w:tc>
          <w:tcPr>
            <w:tcW w:w="0" w:type="auto"/>
            <w:gridSpan w:val="3"/>
            <w:tcMar>
              <w:top w:w="0" w:type="dxa"/>
              <w:left w:w="20" w:type="dxa"/>
              <w:bottom w:w="0" w:type="dxa"/>
              <w:right w:w="20" w:type="dxa"/>
            </w:tcMar>
            <w:vAlign w:val="center"/>
            <w:hideMark/>
          </w:tcPr>
          <w:p w14:paraId="74389C7C"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3AD8417A" w14:textId="77777777" w:rsidR="00000000" w:rsidRDefault="00E614A4">
            <w:pPr>
              <w:divId w:val="1657340876"/>
              <w:rPr>
                <w:rFonts w:eastAsia="Times New Roman"/>
              </w:rPr>
            </w:pPr>
            <w:hyperlink r:id="rId76" w:history="1">
              <w:r>
                <w:rPr>
                  <w:rStyle w:val="a3"/>
                  <w:rFonts w:eastAsia="Times New Roman"/>
                  <w:sz w:val="20"/>
                  <w:szCs w:val="20"/>
                </w:rPr>
                <w:t>Form of Compensation Reduction Letter for Executiv</w:t>
              </w:r>
            </w:hyperlink>
            <w:hyperlink r:id="rId77" w:history="1">
              <w:r>
                <w:rPr>
                  <w:rStyle w:val="a3"/>
                  <w:rFonts w:eastAsia="Times New Roman"/>
                  <w:sz w:val="20"/>
                  <w:szCs w:val="20"/>
                </w:rPr>
                <w:t xml:space="preserve">e </w:t>
              </w:r>
            </w:hyperlink>
            <w:hyperlink r:id="rId78" w:history="1">
              <w:r>
                <w:rPr>
                  <w:rStyle w:val="a3"/>
                  <w:rFonts w:eastAsia="Times New Roman"/>
                  <w:sz w:val="20"/>
                  <w:szCs w:val="20"/>
                </w:rPr>
                <w:t xml:space="preserve">Officers (incorporated by reference </w:t>
              </w:r>
              <w:r>
                <w:rPr>
                  <w:rStyle w:val="a3"/>
                  <w:rFonts w:eastAsia="Times New Roman"/>
                  <w:sz w:val="20"/>
                  <w:szCs w:val="20"/>
                </w:rPr>
                <w:t>to Exhibit 10.2 to the Registrant's Quarterl</w:t>
              </w:r>
            </w:hyperlink>
            <w:hyperlink r:id="rId79" w:history="1">
              <w:r>
                <w:rPr>
                  <w:rStyle w:val="a3"/>
                  <w:rFonts w:eastAsia="Times New Roman"/>
                  <w:sz w:val="20"/>
                  <w:szCs w:val="20"/>
                </w:rPr>
                <w:t xml:space="preserve">y </w:t>
              </w:r>
            </w:hyperlink>
            <w:hyperlink r:id="rId80" w:history="1">
              <w:r>
                <w:rPr>
                  <w:rStyle w:val="a3"/>
                  <w:rFonts w:eastAsia="Times New Roman"/>
                  <w:sz w:val="20"/>
                  <w:szCs w:val="20"/>
                </w:rPr>
                <w:t>Report</w:t>
              </w:r>
            </w:hyperlink>
            <w:hyperlink r:id="rId81" w:history="1">
              <w:r>
                <w:rPr>
                  <w:rStyle w:val="a3"/>
                  <w:rFonts w:eastAsia="Times New Roman"/>
                  <w:sz w:val="20"/>
                  <w:szCs w:val="20"/>
                </w:rPr>
                <w:t xml:space="preserve"> on Form 10-Q for the period ended June 30, 2020, filed August 10, 2020) (File No. 001-33520)</w:t>
              </w:r>
            </w:hyperlink>
          </w:p>
        </w:tc>
      </w:tr>
      <w:tr w:rsidR="00000000" w14:paraId="2772B496" w14:textId="77777777">
        <w:trPr>
          <w:divId w:val="1355956153"/>
          <w:trHeight w:val="60"/>
          <w:jc w:val="center"/>
        </w:trPr>
        <w:tc>
          <w:tcPr>
            <w:tcW w:w="0" w:type="auto"/>
            <w:gridSpan w:val="3"/>
            <w:tcMar>
              <w:top w:w="0" w:type="dxa"/>
              <w:left w:w="20" w:type="dxa"/>
              <w:bottom w:w="0" w:type="dxa"/>
              <w:right w:w="20" w:type="dxa"/>
            </w:tcMar>
            <w:vAlign w:val="center"/>
            <w:hideMark/>
          </w:tcPr>
          <w:p w14:paraId="6B650589"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1D92463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F9D7A8A" w14:textId="77777777" w:rsidR="00000000" w:rsidRDefault="00E614A4">
            <w:pPr>
              <w:rPr>
                <w:rFonts w:eastAsia="Times New Roman"/>
                <w:sz w:val="20"/>
                <w:szCs w:val="20"/>
              </w:rPr>
            </w:pPr>
          </w:p>
        </w:tc>
      </w:tr>
      <w:tr w:rsidR="00000000" w14:paraId="32ED6499" w14:textId="77777777">
        <w:trPr>
          <w:divId w:val="1355956153"/>
          <w:jc w:val="center"/>
        </w:trPr>
        <w:tc>
          <w:tcPr>
            <w:tcW w:w="0" w:type="auto"/>
            <w:gridSpan w:val="3"/>
            <w:tcMar>
              <w:top w:w="30" w:type="dxa"/>
              <w:left w:w="20" w:type="dxa"/>
              <w:bottom w:w="30" w:type="dxa"/>
              <w:right w:w="20" w:type="dxa"/>
            </w:tcMar>
            <w:hideMark/>
          </w:tcPr>
          <w:p w14:paraId="768697A9" w14:textId="77777777" w:rsidR="00000000" w:rsidRDefault="00E614A4">
            <w:pPr>
              <w:rPr>
                <w:rFonts w:eastAsia="Times New Roman"/>
              </w:rPr>
            </w:pPr>
            <w:r>
              <w:rPr>
                <w:rFonts w:eastAsia="Times New Roman"/>
                <w:color w:val="000000"/>
                <w:sz w:val="20"/>
                <w:szCs w:val="20"/>
              </w:rPr>
              <w:t>10.37</w:t>
            </w:r>
          </w:p>
        </w:tc>
        <w:tc>
          <w:tcPr>
            <w:tcW w:w="0" w:type="auto"/>
            <w:gridSpan w:val="3"/>
            <w:tcMar>
              <w:top w:w="0" w:type="dxa"/>
              <w:left w:w="20" w:type="dxa"/>
              <w:bottom w:w="0" w:type="dxa"/>
              <w:right w:w="20" w:type="dxa"/>
            </w:tcMar>
            <w:vAlign w:val="center"/>
            <w:hideMark/>
          </w:tcPr>
          <w:p w14:paraId="24751EF0"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3C30B06F" w14:textId="77777777" w:rsidR="00000000" w:rsidRDefault="00E614A4">
            <w:pPr>
              <w:divId w:val="652875161"/>
              <w:rPr>
                <w:rFonts w:eastAsia="Times New Roman"/>
              </w:rPr>
            </w:pPr>
            <w:hyperlink r:id="rId82" w:history="1">
              <w:r>
                <w:rPr>
                  <w:rStyle w:val="a3"/>
                  <w:rFonts w:eastAsia="Times New Roman"/>
                  <w:sz w:val="20"/>
                  <w:szCs w:val="20"/>
                </w:rPr>
                <w:t>Series B Convertible Preferred Stock Purchase Agreement, dated as of January 7, 2021, by and between comScore, Inc. and Charter Communications Holding Compa</w:t>
              </w:r>
              <w:r>
                <w:rPr>
                  <w:rStyle w:val="a3"/>
                  <w:rFonts w:eastAsia="Times New Roman"/>
                  <w:sz w:val="20"/>
                  <w:szCs w:val="20"/>
                </w:rPr>
                <w:t>ny, LLC (incorporated by reference to Exhibit 10.1 to the Registrant's Current Report on Form 8-K, filed January 8, 2021) (File No. 001-33520)</w:t>
              </w:r>
            </w:hyperlink>
          </w:p>
        </w:tc>
      </w:tr>
      <w:tr w:rsidR="00000000" w14:paraId="27798AB8" w14:textId="77777777">
        <w:trPr>
          <w:divId w:val="1355956153"/>
          <w:trHeight w:val="60"/>
          <w:jc w:val="center"/>
        </w:trPr>
        <w:tc>
          <w:tcPr>
            <w:tcW w:w="0" w:type="auto"/>
            <w:gridSpan w:val="3"/>
            <w:tcMar>
              <w:top w:w="0" w:type="dxa"/>
              <w:left w:w="20" w:type="dxa"/>
              <w:bottom w:w="0" w:type="dxa"/>
              <w:right w:w="20" w:type="dxa"/>
            </w:tcMar>
            <w:vAlign w:val="center"/>
            <w:hideMark/>
          </w:tcPr>
          <w:p w14:paraId="583905FE"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1EA7B4E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2D383F1" w14:textId="77777777" w:rsidR="00000000" w:rsidRDefault="00E614A4">
            <w:pPr>
              <w:rPr>
                <w:rFonts w:eastAsia="Times New Roman"/>
                <w:sz w:val="20"/>
                <w:szCs w:val="20"/>
              </w:rPr>
            </w:pPr>
          </w:p>
        </w:tc>
      </w:tr>
      <w:tr w:rsidR="00000000" w14:paraId="5C929142" w14:textId="77777777">
        <w:trPr>
          <w:divId w:val="1355956153"/>
          <w:jc w:val="center"/>
        </w:trPr>
        <w:tc>
          <w:tcPr>
            <w:tcW w:w="0" w:type="auto"/>
            <w:gridSpan w:val="3"/>
            <w:tcMar>
              <w:top w:w="30" w:type="dxa"/>
              <w:left w:w="20" w:type="dxa"/>
              <w:bottom w:w="30" w:type="dxa"/>
              <w:right w:w="20" w:type="dxa"/>
            </w:tcMar>
            <w:hideMark/>
          </w:tcPr>
          <w:p w14:paraId="7CCB8A55" w14:textId="77777777" w:rsidR="00000000" w:rsidRDefault="00E614A4">
            <w:pPr>
              <w:rPr>
                <w:rFonts w:eastAsia="Times New Roman"/>
              </w:rPr>
            </w:pPr>
            <w:r>
              <w:rPr>
                <w:rFonts w:eastAsia="Times New Roman"/>
                <w:color w:val="000000"/>
                <w:sz w:val="20"/>
                <w:szCs w:val="20"/>
              </w:rPr>
              <w:t>10.38</w:t>
            </w:r>
          </w:p>
        </w:tc>
        <w:tc>
          <w:tcPr>
            <w:tcW w:w="0" w:type="auto"/>
            <w:gridSpan w:val="3"/>
            <w:tcMar>
              <w:top w:w="0" w:type="dxa"/>
              <w:left w:w="20" w:type="dxa"/>
              <w:bottom w:w="0" w:type="dxa"/>
              <w:right w:w="20" w:type="dxa"/>
            </w:tcMar>
            <w:vAlign w:val="center"/>
            <w:hideMark/>
          </w:tcPr>
          <w:p w14:paraId="2786E8C0"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D9BC99D" w14:textId="77777777" w:rsidR="00000000" w:rsidRDefault="00E614A4">
            <w:pPr>
              <w:divId w:val="393283629"/>
              <w:rPr>
                <w:rFonts w:eastAsia="Times New Roman"/>
              </w:rPr>
            </w:pPr>
            <w:hyperlink r:id="rId83" w:history="1">
              <w:r>
                <w:rPr>
                  <w:rStyle w:val="a3"/>
                  <w:rFonts w:eastAsia="Times New Roman"/>
                  <w:sz w:val="20"/>
                  <w:szCs w:val="20"/>
                </w:rPr>
                <w:t>Series B Convertible Preferred Stock Purchase Agreement, dated as of January 7, 2021, by and between comScore, Inc. and Qurate Retail, Inc. (incorporated by</w:t>
              </w:r>
              <w:r>
                <w:rPr>
                  <w:rStyle w:val="a3"/>
                  <w:rFonts w:eastAsia="Times New Roman"/>
                  <w:sz w:val="20"/>
                  <w:szCs w:val="20"/>
                </w:rPr>
                <w:t xml:space="preserve"> reference to Exhibit 10.2 to the Registrant's Current Report on Form 8-K, filed January 8, 2021) (File No. 001-33520)</w:t>
              </w:r>
            </w:hyperlink>
          </w:p>
        </w:tc>
      </w:tr>
      <w:tr w:rsidR="00000000" w14:paraId="4B3C155E" w14:textId="77777777">
        <w:trPr>
          <w:divId w:val="1355956153"/>
          <w:trHeight w:val="60"/>
          <w:jc w:val="center"/>
        </w:trPr>
        <w:tc>
          <w:tcPr>
            <w:tcW w:w="0" w:type="auto"/>
            <w:gridSpan w:val="3"/>
            <w:tcMar>
              <w:top w:w="0" w:type="dxa"/>
              <w:left w:w="20" w:type="dxa"/>
              <w:bottom w:w="0" w:type="dxa"/>
              <w:right w:w="20" w:type="dxa"/>
            </w:tcMar>
            <w:vAlign w:val="center"/>
            <w:hideMark/>
          </w:tcPr>
          <w:p w14:paraId="7DDB6950"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6564282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E66724F" w14:textId="77777777" w:rsidR="00000000" w:rsidRDefault="00E614A4">
            <w:pPr>
              <w:rPr>
                <w:rFonts w:eastAsia="Times New Roman"/>
                <w:sz w:val="20"/>
                <w:szCs w:val="20"/>
              </w:rPr>
            </w:pPr>
          </w:p>
        </w:tc>
      </w:tr>
      <w:tr w:rsidR="00000000" w14:paraId="77F972E6" w14:textId="77777777">
        <w:trPr>
          <w:divId w:val="1355956153"/>
          <w:jc w:val="center"/>
        </w:trPr>
        <w:tc>
          <w:tcPr>
            <w:tcW w:w="0" w:type="auto"/>
            <w:gridSpan w:val="3"/>
            <w:tcMar>
              <w:top w:w="30" w:type="dxa"/>
              <w:left w:w="20" w:type="dxa"/>
              <w:bottom w:w="30" w:type="dxa"/>
              <w:right w:w="20" w:type="dxa"/>
            </w:tcMar>
            <w:hideMark/>
          </w:tcPr>
          <w:p w14:paraId="5B0C9ABA" w14:textId="77777777" w:rsidR="00000000" w:rsidRDefault="00E614A4">
            <w:pPr>
              <w:rPr>
                <w:rFonts w:eastAsia="Times New Roman"/>
              </w:rPr>
            </w:pPr>
            <w:r>
              <w:rPr>
                <w:rFonts w:eastAsia="Times New Roman"/>
                <w:color w:val="000000"/>
                <w:sz w:val="20"/>
                <w:szCs w:val="20"/>
              </w:rPr>
              <w:t>10.39</w:t>
            </w:r>
          </w:p>
        </w:tc>
        <w:tc>
          <w:tcPr>
            <w:tcW w:w="0" w:type="auto"/>
            <w:gridSpan w:val="3"/>
            <w:tcMar>
              <w:top w:w="0" w:type="dxa"/>
              <w:left w:w="20" w:type="dxa"/>
              <w:bottom w:w="0" w:type="dxa"/>
              <w:right w:w="20" w:type="dxa"/>
            </w:tcMar>
            <w:vAlign w:val="center"/>
            <w:hideMark/>
          </w:tcPr>
          <w:p w14:paraId="0D98BAC6"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3741F24E" w14:textId="77777777" w:rsidR="00000000" w:rsidRDefault="00E614A4">
            <w:pPr>
              <w:divId w:val="691802258"/>
              <w:rPr>
                <w:rFonts w:eastAsia="Times New Roman"/>
              </w:rPr>
            </w:pPr>
            <w:hyperlink r:id="rId84" w:history="1">
              <w:r>
                <w:rPr>
                  <w:rStyle w:val="a3"/>
                  <w:rFonts w:eastAsia="Times New Roman"/>
                  <w:sz w:val="20"/>
                  <w:szCs w:val="20"/>
                </w:rPr>
                <w:t>Series B Conv</w:t>
              </w:r>
              <w:r>
                <w:rPr>
                  <w:rStyle w:val="a3"/>
                  <w:rFonts w:eastAsia="Times New Roman"/>
                  <w:sz w:val="20"/>
                  <w:szCs w:val="20"/>
                </w:rPr>
                <w:t>ertible Preferred Stock Purchase Agreement, dated as of January 7, 2021, by and between comScore, Inc. and Pine Investor, LLC (incorporated by reference to Exhibit 10.3 to the Registrant's Current Report on Form 8-K</w:t>
              </w:r>
            </w:hyperlink>
            <w:hyperlink r:id="rId85" w:history="1">
              <w:r>
                <w:rPr>
                  <w:rStyle w:val="a3"/>
                  <w:rFonts w:eastAsia="Times New Roman"/>
                  <w:sz w:val="20"/>
                  <w:szCs w:val="20"/>
                </w:rPr>
                <w:t>, filed January 8, 2021) (File No. 001-33520)</w:t>
              </w:r>
            </w:hyperlink>
          </w:p>
        </w:tc>
      </w:tr>
      <w:tr w:rsidR="00000000" w14:paraId="42725F0E" w14:textId="77777777">
        <w:trPr>
          <w:divId w:val="1355956153"/>
          <w:trHeight w:val="60"/>
          <w:jc w:val="center"/>
        </w:trPr>
        <w:tc>
          <w:tcPr>
            <w:tcW w:w="0" w:type="auto"/>
            <w:gridSpan w:val="3"/>
            <w:tcMar>
              <w:top w:w="0" w:type="dxa"/>
              <w:left w:w="20" w:type="dxa"/>
              <w:bottom w:w="0" w:type="dxa"/>
              <w:right w:w="20" w:type="dxa"/>
            </w:tcMar>
            <w:vAlign w:val="center"/>
            <w:hideMark/>
          </w:tcPr>
          <w:p w14:paraId="37B9D638"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6F5BF52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5D834E7" w14:textId="77777777" w:rsidR="00000000" w:rsidRDefault="00E614A4">
            <w:pPr>
              <w:rPr>
                <w:rFonts w:eastAsia="Times New Roman"/>
                <w:sz w:val="20"/>
                <w:szCs w:val="20"/>
              </w:rPr>
            </w:pPr>
          </w:p>
        </w:tc>
      </w:tr>
      <w:tr w:rsidR="00000000" w14:paraId="0F814A52" w14:textId="77777777">
        <w:trPr>
          <w:divId w:val="1355956153"/>
          <w:jc w:val="center"/>
        </w:trPr>
        <w:tc>
          <w:tcPr>
            <w:tcW w:w="0" w:type="auto"/>
            <w:gridSpan w:val="3"/>
            <w:tcMar>
              <w:top w:w="30" w:type="dxa"/>
              <w:left w:w="20" w:type="dxa"/>
              <w:bottom w:w="30" w:type="dxa"/>
              <w:right w:w="20" w:type="dxa"/>
            </w:tcMar>
            <w:hideMark/>
          </w:tcPr>
          <w:p w14:paraId="38B56D75" w14:textId="77777777" w:rsidR="00000000" w:rsidRDefault="00E614A4">
            <w:pPr>
              <w:rPr>
                <w:rFonts w:eastAsia="Times New Roman"/>
              </w:rPr>
            </w:pPr>
            <w:r>
              <w:rPr>
                <w:rFonts w:eastAsia="Times New Roman"/>
                <w:color w:val="000000"/>
                <w:sz w:val="20"/>
                <w:szCs w:val="20"/>
              </w:rPr>
              <w:t>21.1+</w:t>
            </w:r>
          </w:p>
        </w:tc>
        <w:tc>
          <w:tcPr>
            <w:tcW w:w="0" w:type="auto"/>
            <w:gridSpan w:val="3"/>
            <w:tcMar>
              <w:top w:w="0" w:type="dxa"/>
              <w:left w:w="20" w:type="dxa"/>
              <w:bottom w:w="0" w:type="dxa"/>
              <w:right w:w="20" w:type="dxa"/>
            </w:tcMar>
            <w:vAlign w:val="center"/>
            <w:hideMark/>
          </w:tcPr>
          <w:p w14:paraId="23350563"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41C5F50" w14:textId="77777777" w:rsidR="00000000" w:rsidRDefault="00E614A4">
            <w:pPr>
              <w:jc w:val="both"/>
              <w:rPr>
                <w:rFonts w:eastAsia="Times New Roman"/>
              </w:rPr>
            </w:pPr>
            <w:hyperlink r:id="rId86" w:history="1">
              <w:r>
                <w:rPr>
                  <w:rStyle w:val="a3"/>
                  <w:rFonts w:eastAsia="Times New Roman"/>
                  <w:sz w:val="20"/>
                  <w:szCs w:val="20"/>
                </w:rPr>
                <w:t>List of Subsidiaries</w:t>
              </w:r>
            </w:hyperlink>
          </w:p>
        </w:tc>
      </w:tr>
      <w:tr w:rsidR="00000000" w14:paraId="49CE887B" w14:textId="77777777">
        <w:trPr>
          <w:divId w:val="1355956153"/>
          <w:trHeight w:val="60"/>
          <w:jc w:val="center"/>
        </w:trPr>
        <w:tc>
          <w:tcPr>
            <w:tcW w:w="0" w:type="auto"/>
            <w:gridSpan w:val="3"/>
            <w:tcMar>
              <w:top w:w="0" w:type="dxa"/>
              <w:left w:w="20" w:type="dxa"/>
              <w:bottom w:w="0" w:type="dxa"/>
              <w:right w:w="20" w:type="dxa"/>
            </w:tcMar>
            <w:vAlign w:val="center"/>
            <w:hideMark/>
          </w:tcPr>
          <w:p w14:paraId="6E0CDF7D"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EE6A4FC"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1544B02" w14:textId="77777777" w:rsidR="00000000" w:rsidRDefault="00E614A4">
            <w:pPr>
              <w:rPr>
                <w:rFonts w:eastAsia="Times New Roman"/>
                <w:sz w:val="20"/>
                <w:szCs w:val="20"/>
              </w:rPr>
            </w:pPr>
          </w:p>
        </w:tc>
      </w:tr>
      <w:tr w:rsidR="00000000" w14:paraId="1366EB3D" w14:textId="77777777">
        <w:trPr>
          <w:divId w:val="1355956153"/>
          <w:jc w:val="center"/>
        </w:trPr>
        <w:tc>
          <w:tcPr>
            <w:tcW w:w="0" w:type="auto"/>
            <w:gridSpan w:val="3"/>
            <w:tcMar>
              <w:top w:w="30" w:type="dxa"/>
              <w:left w:w="20" w:type="dxa"/>
              <w:bottom w:w="30" w:type="dxa"/>
              <w:right w:w="20" w:type="dxa"/>
            </w:tcMar>
            <w:hideMark/>
          </w:tcPr>
          <w:p w14:paraId="1356C129" w14:textId="77777777" w:rsidR="00000000" w:rsidRDefault="00E614A4">
            <w:pPr>
              <w:rPr>
                <w:rFonts w:eastAsia="Times New Roman"/>
              </w:rPr>
            </w:pPr>
            <w:r>
              <w:rPr>
                <w:rFonts w:eastAsia="Times New Roman"/>
                <w:color w:val="000000"/>
                <w:sz w:val="20"/>
                <w:szCs w:val="20"/>
              </w:rPr>
              <w:t>23.1+</w:t>
            </w:r>
          </w:p>
        </w:tc>
        <w:tc>
          <w:tcPr>
            <w:tcW w:w="0" w:type="auto"/>
            <w:gridSpan w:val="3"/>
            <w:tcMar>
              <w:top w:w="0" w:type="dxa"/>
              <w:left w:w="20" w:type="dxa"/>
              <w:bottom w:w="0" w:type="dxa"/>
              <w:right w:w="20" w:type="dxa"/>
            </w:tcMar>
            <w:vAlign w:val="center"/>
            <w:hideMark/>
          </w:tcPr>
          <w:p w14:paraId="023CF9A5"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7841E7CF" w14:textId="77777777" w:rsidR="00000000" w:rsidRDefault="00E614A4">
            <w:pPr>
              <w:jc w:val="both"/>
              <w:rPr>
                <w:rFonts w:eastAsia="Times New Roman"/>
              </w:rPr>
            </w:pPr>
            <w:hyperlink r:id="rId87" w:history="1">
              <w:r>
                <w:rPr>
                  <w:rStyle w:val="a3"/>
                  <w:rFonts w:eastAsia="Times New Roman"/>
                  <w:sz w:val="20"/>
                  <w:szCs w:val="20"/>
                </w:rPr>
                <w:t>Consent of Deloitte &amp; Touche LLP</w:t>
              </w:r>
            </w:hyperlink>
          </w:p>
        </w:tc>
      </w:tr>
      <w:tr w:rsidR="00000000" w14:paraId="78EE75C7" w14:textId="77777777">
        <w:trPr>
          <w:divId w:val="1355956153"/>
          <w:trHeight w:val="60"/>
          <w:jc w:val="center"/>
        </w:trPr>
        <w:tc>
          <w:tcPr>
            <w:tcW w:w="0" w:type="auto"/>
            <w:gridSpan w:val="3"/>
            <w:tcMar>
              <w:top w:w="0" w:type="dxa"/>
              <w:left w:w="20" w:type="dxa"/>
              <w:bottom w:w="0" w:type="dxa"/>
              <w:right w:w="20" w:type="dxa"/>
            </w:tcMar>
            <w:vAlign w:val="center"/>
            <w:hideMark/>
          </w:tcPr>
          <w:p w14:paraId="6E5B3117"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3B77267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50B2DF1" w14:textId="77777777" w:rsidR="00000000" w:rsidRDefault="00E614A4">
            <w:pPr>
              <w:rPr>
                <w:rFonts w:eastAsia="Times New Roman"/>
                <w:sz w:val="20"/>
                <w:szCs w:val="20"/>
              </w:rPr>
            </w:pPr>
          </w:p>
        </w:tc>
      </w:tr>
      <w:tr w:rsidR="00000000" w14:paraId="3589433B" w14:textId="77777777">
        <w:trPr>
          <w:divId w:val="1355956153"/>
          <w:jc w:val="center"/>
        </w:trPr>
        <w:tc>
          <w:tcPr>
            <w:tcW w:w="0" w:type="auto"/>
            <w:gridSpan w:val="3"/>
            <w:tcMar>
              <w:top w:w="30" w:type="dxa"/>
              <w:left w:w="20" w:type="dxa"/>
              <w:bottom w:w="30" w:type="dxa"/>
              <w:right w:w="20" w:type="dxa"/>
            </w:tcMar>
            <w:hideMark/>
          </w:tcPr>
          <w:p w14:paraId="6F293D77" w14:textId="77777777" w:rsidR="00000000" w:rsidRDefault="00E614A4">
            <w:pP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1C27E6E8"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1D222AE" w14:textId="77777777" w:rsidR="00000000" w:rsidRDefault="00E614A4">
            <w:pPr>
              <w:jc w:val="both"/>
              <w:rPr>
                <w:rFonts w:eastAsia="Times New Roman"/>
              </w:rPr>
            </w:pPr>
            <w:hyperlink r:id="rId88" w:history="1">
              <w:r>
                <w:rPr>
                  <w:rStyle w:val="a3"/>
                  <w:rFonts w:eastAsia="Times New Roman"/>
                  <w:sz w:val="20"/>
                  <w:szCs w:val="20"/>
                </w:rPr>
                <w:t>Certification of Principal Executive Officer pursuant to Rule 13a-14(a) and Rule 15d-14(a) of the Securities Exchange Act of 1934, as adopted pursuant to Section 302 of the Sarbanes-Oxley Act of 2002</w:t>
              </w:r>
            </w:hyperlink>
          </w:p>
        </w:tc>
      </w:tr>
      <w:tr w:rsidR="00000000" w14:paraId="5F18633B" w14:textId="77777777">
        <w:trPr>
          <w:divId w:val="1355956153"/>
          <w:trHeight w:val="60"/>
          <w:jc w:val="center"/>
        </w:trPr>
        <w:tc>
          <w:tcPr>
            <w:tcW w:w="0" w:type="auto"/>
            <w:gridSpan w:val="3"/>
            <w:tcMar>
              <w:top w:w="0" w:type="dxa"/>
              <w:left w:w="20" w:type="dxa"/>
              <w:bottom w:w="0" w:type="dxa"/>
              <w:right w:w="20" w:type="dxa"/>
            </w:tcMar>
            <w:vAlign w:val="center"/>
            <w:hideMark/>
          </w:tcPr>
          <w:p w14:paraId="6DE4F5FD"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03BDD6A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4E0CCAA" w14:textId="77777777" w:rsidR="00000000" w:rsidRDefault="00E614A4">
            <w:pPr>
              <w:rPr>
                <w:rFonts w:eastAsia="Times New Roman"/>
                <w:sz w:val="20"/>
                <w:szCs w:val="20"/>
              </w:rPr>
            </w:pPr>
          </w:p>
        </w:tc>
      </w:tr>
      <w:tr w:rsidR="00000000" w14:paraId="6A2329B9" w14:textId="77777777">
        <w:trPr>
          <w:divId w:val="1355956153"/>
          <w:jc w:val="center"/>
        </w:trPr>
        <w:tc>
          <w:tcPr>
            <w:tcW w:w="0" w:type="auto"/>
            <w:gridSpan w:val="3"/>
            <w:tcMar>
              <w:top w:w="30" w:type="dxa"/>
              <w:left w:w="20" w:type="dxa"/>
              <w:bottom w:w="30" w:type="dxa"/>
              <w:right w:w="20" w:type="dxa"/>
            </w:tcMar>
            <w:hideMark/>
          </w:tcPr>
          <w:p w14:paraId="45A3C798" w14:textId="77777777" w:rsidR="00000000" w:rsidRDefault="00E614A4">
            <w:pP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372CE10B"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FC24022" w14:textId="77777777" w:rsidR="00000000" w:rsidRDefault="00E614A4">
            <w:pPr>
              <w:jc w:val="both"/>
              <w:rPr>
                <w:rFonts w:eastAsia="Times New Roman"/>
              </w:rPr>
            </w:pPr>
            <w:hyperlink r:id="rId89" w:history="1">
              <w:r>
                <w:rPr>
                  <w:rStyle w:val="a3"/>
                  <w:rFonts w:eastAsia="Times New Roman"/>
                  <w:sz w:val="20"/>
                  <w:szCs w:val="20"/>
                </w:rPr>
                <w:t>Certification of Principal Financial Officer pursuant to Rule 13a-14(a) and Rule 15d-14(a) of the Securities Exchange Act of 1934, as adopted pursuant to Section 302 of the Sarbanes-Oxley Act of 2002</w:t>
              </w:r>
            </w:hyperlink>
          </w:p>
        </w:tc>
      </w:tr>
      <w:tr w:rsidR="00000000" w14:paraId="79E2EF01" w14:textId="77777777">
        <w:trPr>
          <w:divId w:val="1355956153"/>
          <w:trHeight w:val="60"/>
          <w:jc w:val="center"/>
        </w:trPr>
        <w:tc>
          <w:tcPr>
            <w:tcW w:w="0" w:type="auto"/>
            <w:gridSpan w:val="3"/>
            <w:tcMar>
              <w:top w:w="0" w:type="dxa"/>
              <w:left w:w="20" w:type="dxa"/>
              <w:bottom w:w="0" w:type="dxa"/>
              <w:right w:w="20" w:type="dxa"/>
            </w:tcMar>
            <w:vAlign w:val="center"/>
            <w:hideMark/>
          </w:tcPr>
          <w:p w14:paraId="62048216"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61FF64B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DC717A6" w14:textId="77777777" w:rsidR="00000000" w:rsidRDefault="00E614A4">
            <w:pPr>
              <w:rPr>
                <w:rFonts w:eastAsia="Times New Roman"/>
                <w:sz w:val="20"/>
                <w:szCs w:val="20"/>
              </w:rPr>
            </w:pPr>
          </w:p>
        </w:tc>
      </w:tr>
      <w:tr w:rsidR="00000000" w14:paraId="6FD4A7F9" w14:textId="77777777">
        <w:trPr>
          <w:divId w:val="1355956153"/>
          <w:jc w:val="center"/>
        </w:trPr>
        <w:tc>
          <w:tcPr>
            <w:tcW w:w="0" w:type="auto"/>
            <w:gridSpan w:val="3"/>
            <w:tcMar>
              <w:top w:w="30" w:type="dxa"/>
              <w:left w:w="20" w:type="dxa"/>
              <w:bottom w:w="30" w:type="dxa"/>
              <w:right w:w="20" w:type="dxa"/>
            </w:tcMar>
            <w:hideMark/>
          </w:tcPr>
          <w:p w14:paraId="11F7DFF1" w14:textId="77777777" w:rsidR="00000000" w:rsidRDefault="00E614A4">
            <w:pP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6D56EDA6"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3AE7F5FC" w14:textId="77777777" w:rsidR="00000000" w:rsidRDefault="00E614A4">
            <w:pPr>
              <w:jc w:val="both"/>
              <w:rPr>
                <w:rFonts w:eastAsia="Times New Roman"/>
              </w:rPr>
            </w:pPr>
            <w:hyperlink r:id="rId90"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14:paraId="6B7BF588" w14:textId="77777777">
        <w:trPr>
          <w:divId w:val="1355956153"/>
          <w:trHeight w:val="60"/>
          <w:jc w:val="center"/>
        </w:trPr>
        <w:tc>
          <w:tcPr>
            <w:tcW w:w="0" w:type="auto"/>
            <w:gridSpan w:val="3"/>
            <w:tcMar>
              <w:top w:w="0" w:type="dxa"/>
              <w:left w:w="20" w:type="dxa"/>
              <w:bottom w:w="0" w:type="dxa"/>
              <w:right w:w="20" w:type="dxa"/>
            </w:tcMar>
            <w:vAlign w:val="center"/>
            <w:hideMark/>
          </w:tcPr>
          <w:p w14:paraId="4C3CFD15"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5AC5F1C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6D8853A" w14:textId="77777777" w:rsidR="00000000" w:rsidRDefault="00E614A4">
            <w:pPr>
              <w:rPr>
                <w:rFonts w:eastAsia="Times New Roman"/>
                <w:sz w:val="20"/>
                <w:szCs w:val="20"/>
              </w:rPr>
            </w:pPr>
          </w:p>
        </w:tc>
      </w:tr>
      <w:tr w:rsidR="00000000" w14:paraId="4C000936" w14:textId="77777777">
        <w:trPr>
          <w:divId w:val="1355956153"/>
          <w:jc w:val="center"/>
        </w:trPr>
        <w:tc>
          <w:tcPr>
            <w:tcW w:w="0" w:type="auto"/>
            <w:gridSpan w:val="3"/>
            <w:tcMar>
              <w:top w:w="30" w:type="dxa"/>
              <w:left w:w="20" w:type="dxa"/>
              <w:bottom w:w="30" w:type="dxa"/>
              <w:right w:w="20" w:type="dxa"/>
            </w:tcMar>
            <w:hideMark/>
          </w:tcPr>
          <w:p w14:paraId="0D875F2A" w14:textId="77777777" w:rsidR="00000000" w:rsidRDefault="00E614A4">
            <w:pPr>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1D5A925F"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36ADFE42" w14:textId="77777777" w:rsidR="00000000" w:rsidRDefault="00E614A4">
            <w:pPr>
              <w:jc w:val="both"/>
              <w:rPr>
                <w:rFonts w:eastAsia="Times New Roman"/>
              </w:rPr>
            </w:pPr>
            <w:hyperlink r:id="rId91"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14:paraId="05BD15E6" w14:textId="77777777">
        <w:trPr>
          <w:divId w:val="1355956153"/>
          <w:trHeight w:val="60"/>
          <w:jc w:val="center"/>
        </w:trPr>
        <w:tc>
          <w:tcPr>
            <w:tcW w:w="0" w:type="auto"/>
            <w:gridSpan w:val="3"/>
            <w:tcMar>
              <w:top w:w="0" w:type="dxa"/>
              <w:left w:w="20" w:type="dxa"/>
              <w:bottom w:w="0" w:type="dxa"/>
              <w:right w:w="20" w:type="dxa"/>
            </w:tcMar>
            <w:vAlign w:val="center"/>
            <w:hideMark/>
          </w:tcPr>
          <w:p w14:paraId="386E3149" w14:textId="77777777" w:rsidR="00000000" w:rsidRDefault="00E614A4">
            <w:pPr>
              <w:jc w:val="both"/>
              <w:rPr>
                <w:rFonts w:eastAsia="Times New Roman"/>
              </w:rPr>
            </w:pPr>
          </w:p>
        </w:tc>
        <w:tc>
          <w:tcPr>
            <w:tcW w:w="0" w:type="auto"/>
            <w:gridSpan w:val="3"/>
            <w:tcMar>
              <w:top w:w="0" w:type="dxa"/>
              <w:left w:w="20" w:type="dxa"/>
              <w:bottom w:w="0" w:type="dxa"/>
              <w:right w:w="20" w:type="dxa"/>
            </w:tcMar>
            <w:vAlign w:val="center"/>
            <w:hideMark/>
          </w:tcPr>
          <w:p w14:paraId="7665A11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3E22548" w14:textId="77777777" w:rsidR="00000000" w:rsidRDefault="00E614A4">
            <w:pPr>
              <w:rPr>
                <w:rFonts w:eastAsia="Times New Roman"/>
                <w:sz w:val="20"/>
                <w:szCs w:val="20"/>
              </w:rPr>
            </w:pPr>
          </w:p>
        </w:tc>
      </w:tr>
      <w:tr w:rsidR="00000000" w14:paraId="3A0F244F" w14:textId="77777777">
        <w:trPr>
          <w:divId w:val="1355956153"/>
          <w:jc w:val="center"/>
        </w:trPr>
        <w:tc>
          <w:tcPr>
            <w:tcW w:w="0" w:type="auto"/>
            <w:gridSpan w:val="3"/>
            <w:tcMar>
              <w:top w:w="30" w:type="dxa"/>
              <w:left w:w="20" w:type="dxa"/>
              <w:bottom w:w="30" w:type="dxa"/>
              <w:right w:w="20" w:type="dxa"/>
            </w:tcMar>
            <w:hideMark/>
          </w:tcPr>
          <w:p w14:paraId="41FDCAC2" w14:textId="77777777" w:rsidR="00000000" w:rsidRDefault="00E614A4">
            <w:pP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405842C7"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15069F04" w14:textId="77777777" w:rsidR="00000000" w:rsidRDefault="00E614A4">
            <w:pPr>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14:paraId="65B0C63D" w14:textId="77777777">
        <w:trPr>
          <w:divId w:val="1355956153"/>
          <w:trHeight w:val="60"/>
          <w:jc w:val="center"/>
        </w:trPr>
        <w:tc>
          <w:tcPr>
            <w:tcW w:w="0" w:type="auto"/>
            <w:gridSpan w:val="3"/>
            <w:tcMar>
              <w:top w:w="0" w:type="dxa"/>
              <w:left w:w="20" w:type="dxa"/>
              <w:bottom w:w="0" w:type="dxa"/>
              <w:right w:w="20" w:type="dxa"/>
            </w:tcMar>
            <w:vAlign w:val="center"/>
            <w:hideMark/>
          </w:tcPr>
          <w:p w14:paraId="71F0CBF4"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3DCD470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729B27B" w14:textId="77777777" w:rsidR="00000000" w:rsidRDefault="00E614A4">
            <w:pPr>
              <w:rPr>
                <w:rFonts w:eastAsia="Times New Roman"/>
                <w:sz w:val="20"/>
                <w:szCs w:val="20"/>
              </w:rPr>
            </w:pPr>
          </w:p>
        </w:tc>
      </w:tr>
      <w:tr w:rsidR="00000000" w14:paraId="2DCD0505" w14:textId="77777777">
        <w:trPr>
          <w:divId w:val="1355956153"/>
          <w:jc w:val="center"/>
        </w:trPr>
        <w:tc>
          <w:tcPr>
            <w:tcW w:w="0" w:type="auto"/>
            <w:gridSpan w:val="3"/>
            <w:tcMar>
              <w:top w:w="30" w:type="dxa"/>
              <w:left w:w="20" w:type="dxa"/>
              <w:bottom w:w="30" w:type="dxa"/>
              <w:right w:w="20" w:type="dxa"/>
            </w:tcMar>
            <w:hideMark/>
          </w:tcPr>
          <w:p w14:paraId="49B1FCC8" w14:textId="77777777" w:rsidR="00000000" w:rsidRDefault="00E614A4">
            <w:pP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4C3B70B4"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1F5F8062" w14:textId="77777777" w:rsidR="00000000" w:rsidRDefault="00E614A4">
            <w:pPr>
              <w:rPr>
                <w:rFonts w:eastAsia="Times New Roman"/>
              </w:rPr>
            </w:pPr>
            <w:r>
              <w:rPr>
                <w:rFonts w:eastAsia="Times New Roman"/>
                <w:color w:val="000000"/>
                <w:sz w:val="20"/>
                <w:szCs w:val="20"/>
              </w:rPr>
              <w:t>XBRL Taxonomy Extension Schema Document.</w:t>
            </w:r>
          </w:p>
        </w:tc>
      </w:tr>
      <w:tr w:rsidR="00000000" w14:paraId="7B13D82E" w14:textId="77777777">
        <w:trPr>
          <w:divId w:val="1355956153"/>
          <w:trHeight w:val="60"/>
          <w:jc w:val="center"/>
        </w:trPr>
        <w:tc>
          <w:tcPr>
            <w:tcW w:w="0" w:type="auto"/>
            <w:gridSpan w:val="3"/>
            <w:tcMar>
              <w:top w:w="0" w:type="dxa"/>
              <w:left w:w="20" w:type="dxa"/>
              <w:bottom w:w="0" w:type="dxa"/>
              <w:right w:w="20" w:type="dxa"/>
            </w:tcMar>
            <w:vAlign w:val="center"/>
            <w:hideMark/>
          </w:tcPr>
          <w:p w14:paraId="2D466D5B"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01DDFC0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C1B36D8" w14:textId="77777777" w:rsidR="00000000" w:rsidRDefault="00E614A4">
            <w:pPr>
              <w:rPr>
                <w:rFonts w:eastAsia="Times New Roman"/>
                <w:sz w:val="20"/>
                <w:szCs w:val="20"/>
              </w:rPr>
            </w:pPr>
          </w:p>
        </w:tc>
      </w:tr>
      <w:tr w:rsidR="00000000" w14:paraId="66E61873" w14:textId="77777777">
        <w:trPr>
          <w:divId w:val="1355956153"/>
          <w:jc w:val="center"/>
        </w:trPr>
        <w:tc>
          <w:tcPr>
            <w:tcW w:w="0" w:type="auto"/>
            <w:gridSpan w:val="3"/>
            <w:tcMar>
              <w:top w:w="30" w:type="dxa"/>
              <w:left w:w="20" w:type="dxa"/>
              <w:bottom w:w="30" w:type="dxa"/>
              <w:right w:w="20" w:type="dxa"/>
            </w:tcMar>
            <w:hideMark/>
          </w:tcPr>
          <w:p w14:paraId="43595A24" w14:textId="77777777" w:rsidR="00000000" w:rsidRDefault="00E614A4">
            <w:pP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55E3F39D"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2505B464" w14:textId="77777777" w:rsidR="00000000" w:rsidRDefault="00E614A4">
            <w:pPr>
              <w:rPr>
                <w:rFonts w:eastAsia="Times New Roman"/>
              </w:rPr>
            </w:pPr>
            <w:r>
              <w:rPr>
                <w:rFonts w:eastAsia="Times New Roman"/>
                <w:color w:val="000000"/>
                <w:sz w:val="20"/>
                <w:szCs w:val="20"/>
              </w:rPr>
              <w:t>XBRL Taxonomy Extension Calculation Linkbase Document.</w:t>
            </w:r>
          </w:p>
        </w:tc>
      </w:tr>
      <w:tr w:rsidR="00000000" w14:paraId="7FD684E7" w14:textId="77777777">
        <w:trPr>
          <w:divId w:val="1355956153"/>
          <w:trHeight w:val="60"/>
          <w:jc w:val="center"/>
        </w:trPr>
        <w:tc>
          <w:tcPr>
            <w:tcW w:w="0" w:type="auto"/>
            <w:gridSpan w:val="3"/>
            <w:tcMar>
              <w:top w:w="0" w:type="dxa"/>
              <w:left w:w="20" w:type="dxa"/>
              <w:bottom w:w="0" w:type="dxa"/>
              <w:right w:w="20" w:type="dxa"/>
            </w:tcMar>
            <w:vAlign w:val="center"/>
            <w:hideMark/>
          </w:tcPr>
          <w:p w14:paraId="2444CF7E"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7ED8D4D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F69FB32" w14:textId="77777777" w:rsidR="00000000" w:rsidRDefault="00E614A4">
            <w:pPr>
              <w:rPr>
                <w:rFonts w:eastAsia="Times New Roman"/>
                <w:sz w:val="20"/>
                <w:szCs w:val="20"/>
              </w:rPr>
            </w:pPr>
          </w:p>
        </w:tc>
      </w:tr>
      <w:tr w:rsidR="00000000" w14:paraId="6A5F32F6" w14:textId="77777777">
        <w:trPr>
          <w:divId w:val="1355956153"/>
          <w:jc w:val="center"/>
        </w:trPr>
        <w:tc>
          <w:tcPr>
            <w:tcW w:w="0" w:type="auto"/>
            <w:gridSpan w:val="3"/>
            <w:tcMar>
              <w:top w:w="30" w:type="dxa"/>
              <w:left w:w="20" w:type="dxa"/>
              <w:bottom w:w="30" w:type="dxa"/>
              <w:right w:w="20" w:type="dxa"/>
            </w:tcMar>
            <w:hideMark/>
          </w:tcPr>
          <w:p w14:paraId="63B586A8" w14:textId="77777777" w:rsidR="00000000" w:rsidRDefault="00E614A4">
            <w:pP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45FBB4DF"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456A0AF" w14:textId="77777777" w:rsidR="00000000" w:rsidRDefault="00E614A4">
            <w:pPr>
              <w:rPr>
                <w:rFonts w:eastAsia="Times New Roman"/>
              </w:rPr>
            </w:pPr>
            <w:r>
              <w:rPr>
                <w:rFonts w:eastAsia="Times New Roman"/>
                <w:color w:val="000000"/>
                <w:sz w:val="20"/>
                <w:szCs w:val="20"/>
              </w:rPr>
              <w:t>XBRL Taxonomy Extension Definition Linkbase Document.</w:t>
            </w:r>
          </w:p>
        </w:tc>
      </w:tr>
      <w:tr w:rsidR="00000000" w14:paraId="3037E22D" w14:textId="77777777">
        <w:trPr>
          <w:divId w:val="1355956153"/>
          <w:trHeight w:val="60"/>
          <w:jc w:val="center"/>
        </w:trPr>
        <w:tc>
          <w:tcPr>
            <w:tcW w:w="0" w:type="auto"/>
            <w:gridSpan w:val="3"/>
            <w:tcMar>
              <w:top w:w="0" w:type="dxa"/>
              <w:left w:w="20" w:type="dxa"/>
              <w:bottom w:w="0" w:type="dxa"/>
              <w:right w:w="20" w:type="dxa"/>
            </w:tcMar>
            <w:vAlign w:val="center"/>
            <w:hideMark/>
          </w:tcPr>
          <w:p w14:paraId="6132FBF4"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7BF8B1C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EC82B75" w14:textId="77777777" w:rsidR="00000000" w:rsidRDefault="00E614A4">
            <w:pPr>
              <w:rPr>
                <w:rFonts w:eastAsia="Times New Roman"/>
                <w:sz w:val="20"/>
                <w:szCs w:val="20"/>
              </w:rPr>
            </w:pPr>
          </w:p>
        </w:tc>
      </w:tr>
      <w:tr w:rsidR="00000000" w14:paraId="583CB5E9" w14:textId="77777777">
        <w:trPr>
          <w:divId w:val="1355956153"/>
          <w:jc w:val="center"/>
        </w:trPr>
        <w:tc>
          <w:tcPr>
            <w:tcW w:w="0" w:type="auto"/>
            <w:gridSpan w:val="3"/>
            <w:tcMar>
              <w:top w:w="30" w:type="dxa"/>
              <w:left w:w="20" w:type="dxa"/>
              <w:bottom w:w="30" w:type="dxa"/>
              <w:right w:w="20" w:type="dxa"/>
            </w:tcMar>
            <w:hideMark/>
          </w:tcPr>
          <w:p w14:paraId="6AEC9470" w14:textId="77777777" w:rsidR="00000000" w:rsidRDefault="00E614A4">
            <w:pP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11078074"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67D7AE0A" w14:textId="77777777" w:rsidR="00000000" w:rsidRDefault="00E614A4">
            <w:pPr>
              <w:rPr>
                <w:rFonts w:eastAsia="Times New Roman"/>
              </w:rPr>
            </w:pPr>
            <w:r>
              <w:rPr>
                <w:rFonts w:eastAsia="Times New Roman"/>
                <w:color w:val="000000"/>
                <w:sz w:val="20"/>
                <w:szCs w:val="20"/>
              </w:rPr>
              <w:t>XBRL Taxonomy Extension Label Linkbase Document.</w:t>
            </w:r>
          </w:p>
        </w:tc>
      </w:tr>
      <w:tr w:rsidR="00000000" w14:paraId="536EB3C7" w14:textId="77777777">
        <w:trPr>
          <w:divId w:val="1355956153"/>
          <w:trHeight w:val="60"/>
          <w:jc w:val="center"/>
        </w:trPr>
        <w:tc>
          <w:tcPr>
            <w:tcW w:w="0" w:type="auto"/>
            <w:gridSpan w:val="3"/>
            <w:tcMar>
              <w:top w:w="0" w:type="dxa"/>
              <w:left w:w="20" w:type="dxa"/>
              <w:bottom w:w="0" w:type="dxa"/>
              <w:right w:w="20" w:type="dxa"/>
            </w:tcMar>
            <w:vAlign w:val="center"/>
            <w:hideMark/>
          </w:tcPr>
          <w:p w14:paraId="2C1B8449"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36AEB9C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81A48FB" w14:textId="77777777" w:rsidR="00000000" w:rsidRDefault="00E614A4">
            <w:pPr>
              <w:rPr>
                <w:rFonts w:eastAsia="Times New Roman"/>
                <w:sz w:val="20"/>
                <w:szCs w:val="20"/>
              </w:rPr>
            </w:pPr>
          </w:p>
        </w:tc>
      </w:tr>
      <w:tr w:rsidR="00000000" w14:paraId="5F6895CE" w14:textId="77777777">
        <w:trPr>
          <w:divId w:val="1355956153"/>
          <w:jc w:val="center"/>
        </w:trPr>
        <w:tc>
          <w:tcPr>
            <w:tcW w:w="0" w:type="auto"/>
            <w:gridSpan w:val="3"/>
            <w:tcMar>
              <w:top w:w="30" w:type="dxa"/>
              <w:left w:w="20" w:type="dxa"/>
              <w:bottom w:w="30" w:type="dxa"/>
              <w:right w:w="20" w:type="dxa"/>
            </w:tcMar>
            <w:hideMark/>
          </w:tcPr>
          <w:p w14:paraId="58F3B707" w14:textId="77777777" w:rsidR="00000000" w:rsidRDefault="00E614A4">
            <w:pP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18C16A4D"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F17CEE2" w14:textId="77777777" w:rsidR="00000000" w:rsidRDefault="00E614A4">
            <w:pPr>
              <w:rPr>
                <w:rFonts w:eastAsia="Times New Roman"/>
              </w:rPr>
            </w:pPr>
            <w:r>
              <w:rPr>
                <w:rFonts w:eastAsia="Times New Roman"/>
                <w:color w:val="000000"/>
                <w:sz w:val="20"/>
                <w:szCs w:val="20"/>
              </w:rPr>
              <w:t>XBRL Taxonomy Extension Presentation Linkbase Document.</w:t>
            </w:r>
          </w:p>
        </w:tc>
      </w:tr>
      <w:tr w:rsidR="00000000" w14:paraId="1C647D33" w14:textId="77777777">
        <w:trPr>
          <w:divId w:val="1355956153"/>
          <w:trHeight w:val="60"/>
          <w:jc w:val="center"/>
        </w:trPr>
        <w:tc>
          <w:tcPr>
            <w:tcW w:w="0" w:type="auto"/>
            <w:gridSpan w:val="3"/>
            <w:tcMar>
              <w:top w:w="0" w:type="dxa"/>
              <w:left w:w="20" w:type="dxa"/>
              <w:bottom w:w="0" w:type="dxa"/>
              <w:right w:w="20" w:type="dxa"/>
            </w:tcMar>
            <w:vAlign w:val="center"/>
            <w:hideMark/>
          </w:tcPr>
          <w:p w14:paraId="4A47FAA5"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46675A9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60C2E9A" w14:textId="77777777" w:rsidR="00000000" w:rsidRDefault="00E614A4">
            <w:pPr>
              <w:rPr>
                <w:rFonts w:eastAsia="Times New Roman"/>
                <w:sz w:val="20"/>
                <w:szCs w:val="20"/>
              </w:rPr>
            </w:pPr>
          </w:p>
        </w:tc>
      </w:tr>
      <w:tr w:rsidR="00000000" w14:paraId="2C72A1C4" w14:textId="77777777">
        <w:trPr>
          <w:divId w:val="1355956153"/>
          <w:jc w:val="center"/>
        </w:trPr>
        <w:tc>
          <w:tcPr>
            <w:tcW w:w="0" w:type="auto"/>
            <w:gridSpan w:val="3"/>
            <w:tcMar>
              <w:top w:w="30" w:type="dxa"/>
              <w:left w:w="20" w:type="dxa"/>
              <w:bottom w:w="30" w:type="dxa"/>
              <w:right w:w="20" w:type="dxa"/>
            </w:tcMar>
            <w:hideMark/>
          </w:tcPr>
          <w:p w14:paraId="5623CA4B" w14:textId="77777777" w:rsidR="00000000" w:rsidRDefault="00E614A4">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36148500" w14:textId="77777777" w:rsidR="00000000" w:rsidRDefault="00E614A4">
            <w:pPr>
              <w:rPr>
                <w:rFonts w:eastAsia="Times New Roman"/>
              </w:rPr>
            </w:pPr>
          </w:p>
        </w:tc>
        <w:tc>
          <w:tcPr>
            <w:tcW w:w="0" w:type="auto"/>
            <w:gridSpan w:val="3"/>
            <w:tcMar>
              <w:top w:w="30" w:type="dxa"/>
              <w:left w:w="20" w:type="dxa"/>
              <w:bottom w:w="30" w:type="dxa"/>
              <w:right w:w="20" w:type="dxa"/>
            </w:tcMar>
            <w:hideMark/>
          </w:tcPr>
          <w:p w14:paraId="4C3F1E1A" w14:textId="77777777" w:rsidR="00000000" w:rsidRDefault="00E614A4">
            <w:pPr>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14:paraId="788613F3" w14:textId="77777777">
        <w:trPr>
          <w:divId w:val="1355956153"/>
          <w:trHeight w:val="60"/>
          <w:jc w:val="center"/>
        </w:trPr>
        <w:tc>
          <w:tcPr>
            <w:tcW w:w="0" w:type="auto"/>
            <w:gridSpan w:val="3"/>
            <w:tcMar>
              <w:top w:w="0" w:type="dxa"/>
              <w:left w:w="20" w:type="dxa"/>
              <w:bottom w:w="0" w:type="dxa"/>
              <w:right w:w="20" w:type="dxa"/>
            </w:tcMar>
            <w:vAlign w:val="center"/>
            <w:hideMark/>
          </w:tcPr>
          <w:p w14:paraId="44B49945"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5F68C754"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1B3C47F" w14:textId="77777777" w:rsidR="00000000" w:rsidRDefault="00E614A4">
            <w:pPr>
              <w:rPr>
                <w:rFonts w:eastAsia="Times New Roman"/>
                <w:sz w:val="20"/>
                <w:szCs w:val="20"/>
              </w:rPr>
            </w:pPr>
          </w:p>
        </w:tc>
      </w:tr>
      <w:tr w:rsidR="00000000" w14:paraId="603388BA" w14:textId="77777777">
        <w:trPr>
          <w:divId w:val="1355956153"/>
          <w:jc w:val="center"/>
        </w:trPr>
        <w:tc>
          <w:tcPr>
            <w:tcW w:w="0" w:type="auto"/>
            <w:gridSpan w:val="3"/>
            <w:tcMar>
              <w:top w:w="30" w:type="dxa"/>
              <w:left w:w="20" w:type="dxa"/>
              <w:bottom w:w="30" w:type="dxa"/>
              <w:right w:w="20" w:type="dxa"/>
            </w:tcMar>
            <w:vAlign w:val="bottom"/>
            <w:hideMark/>
          </w:tcPr>
          <w:p w14:paraId="4AB84CFC" w14:textId="77777777" w:rsidR="00000000" w:rsidRDefault="00E614A4">
            <w:pPr>
              <w:jc w:val="right"/>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center"/>
            <w:hideMark/>
          </w:tcPr>
          <w:p w14:paraId="1B6E3531" w14:textId="77777777" w:rsidR="00000000" w:rsidRDefault="00E614A4">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6DFB63E0" w14:textId="77777777" w:rsidR="00000000" w:rsidRDefault="00E614A4">
            <w:pPr>
              <w:rPr>
                <w:rFonts w:eastAsia="Times New Roman"/>
              </w:rPr>
            </w:pPr>
            <w:r>
              <w:rPr>
                <w:rFonts w:eastAsia="Times New Roman"/>
                <w:color w:val="000000"/>
                <w:sz w:val="20"/>
                <w:szCs w:val="20"/>
              </w:rPr>
              <w:t>Management contract or compensatory plan or arrangement.</w:t>
            </w:r>
          </w:p>
        </w:tc>
      </w:tr>
      <w:tr w:rsidR="00000000" w14:paraId="33685A78" w14:textId="77777777">
        <w:trPr>
          <w:divId w:val="1355956153"/>
          <w:trHeight w:val="60"/>
          <w:jc w:val="center"/>
        </w:trPr>
        <w:tc>
          <w:tcPr>
            <w:tcW w:w="0" w:type="auto"/>
            <w:gridSpan w:val="3"/>
            <w:tcMar>
              <w:top w:w="0" w:type="dxa"/>
              <w:left w:w="20" w:type="dxa"/>
              <w:bottom w:w="0" w:type="dxa"/>
              <w:right w:w="20" w:type="dxa"/>
            </w:tcMar>
            <w:vAlign w:val="center"/>
            <w:hideMark/>
          </w:tcPr>
          <w:p w14:paraId="34112741"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111BC0BB"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0BD90C9" w14:textId="77777777" w:rsidR="00000000" w:rsidRDefault="00E614A4">
            <w:pPr>
              <w:rPr>
                <w:rFonts w:eastAsia="Times New Roman"/>
                <w:sz w:val="20"/>
                <w:szCs w:val="20"/>
              </w:rPr>
            </w:pPr>
          </w:p>
        </w:tc>
      </w:tr>
      <w:tr w:rsidR="00000000" w14:paraId="5386A26D" w14:textId="77777777">
        <w:trPr>
          <w:divId w:val="1355956153"/>
          <w:jc w:val="center"/>
        </w:trPr>
        <w:tc>
          <w:tcPr>
            <w:tcW w:w="0" w:type="auto"/>
            <w:gridSpan w:val="3"/>
            <w:tcMar>
              <w:top w:w="30" w:type="dxa"/>
              <w:left w:w="20" w:type="dxa"/>
              <w:bottom w:w="30" w:type="dxa"/>
              <w:right w:w="20" w:type="dxa"/>
            </w:tcMar>
            <w:vAlign w:val="bottom"/>
            <w:hideMark/>
          </w:tcPr>
          <w:p w14:paraId="4563735A" w14:textId="77777777" w:rsidR="00000000" w:rsidRDefault="00E614A4">
            <w:pPr>
              <w:jc w:val="right"/>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center"/>
            <w:hideMark/>
          </w:tcPr>
          <w:p w14:paraId="134D21A9" w14:textId="77777777" w:rsidR="00000000" w:rsidRDefault="00E614A4">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1110FB55" w14:textId="77777777" w:rsidR="00000000" w:rsidRDefault="00E614A4">
            <w:pPr>
              <w:rPr>
                <w:rFonts w:eastAsia="Times New Roman"/>
              </w:rPr>
            </w:pPr>
            <w:r>
              <w:rPr>
                <w:rFonts w:eastAsia="Times New Roman"/>
                <w:color w:val="000000"/>
                <w:sz w:val="20"/>
                <w:szCs w:val="20"/>
              </w:rPr>
              <w:t>Filed or furnished herewith</w:t>
            </w:r>
          </w:p>
        </w:tc>
      </w:tr>
    </w:tbl>
    <w:p w14:paraId="6F12126D" w14:textId="77777777" w:rsidR="00000000" w:rsidRDefault="00E614A4">
      <w:pPr>
        <w:divId w:val="672101459"/>
        <w:rPr>
          <w:rFonts w:eastAsia="Times New Roman"/>
        </w:rPr>
      </w:pPr>
    </w:p>
    <w:p w14:paraId="2359CFD8" w14:textId="77777777" w:rsidR="00000000" w:rsidRDefault="00E614A4">
      <w:pPr>
        <w:jc w:val="center"/>
        <w:divId w:val="1135369714"/>
        <w:rPr>
          <w:rFonts w:eastAsia="Times New Roman"/>
        </w:rPr>
      </w:pPr>
      <w:r>
        <w:rPr>
          <w:rFonts w:eastAsia="Times New Roman"/>
          <w:color w:val="000000"/>
          <w:sz w:val="20"/>
          <w:szCs w:val="20"/>
        </w:rPr>
        <w:t>110</w:t>
      </w:r>
    </w:p>
    <w:p w14:paraId="478748D7" w14:textId="77777777" w:rsidR="00000000" w:rsidRDefault="00E614A4">
      <w:pPr>
        <w:rPr>
          <w:rFonts w:eastAsia="Times New Roman"/>
        </w:rPr>
      </w:pPr>
      <w:r>
        <w:rPr>
          <w:rFonts w:eastAsia="Times New Roman"/>
        </w:rPr>
        <w:pict w14:anchorId="3FF4948A">
          <v:rect id="_x0000_i1138" style="width:0;height:1.5pt" o:hralign="center" o:hrstd="t" o:hr="t" fillcolor="#a0a0a0" stroked="f"/>
        </w:pict>
      </w:r>
    </w:p>
    <w:p w14:paraId="2C0242DD" w14:textId="77777777" w:rsidR="00000000" w:rsidRDefault="00E614A4">
      <w:pPr>
        <w:divId w:val="1389525348"/>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6DCBDB32" w14:textId="77777777" w:rsidR="00000000" w:rsidRDefault="00E614A4">
      <w:pPr>
        <w:divId w:val="366567456"/>
        <w:rPr>
          <w:rFonts w:eastAsia="Times New Roman"/>
        </w:rPr>
      </w:pPr>
    </w:p>
    <w:tbl>
      <w:tblPr>
        <w:tblW w:w="4722" w:type="pct"/>
        <w:jc w:val="center"/>
        <w:tblCellMar>
          <w:top w:w="15" w:type="dxa"/>
          <w:left w:w="15" w:type="dxa"/>
          <w:bottom w:w="15" w:type="dxa"/>
          <w:right w:w="15" w:type="dxa"/>
        </w:tblCellMar>
        <w:tblLook w:val="04A0" w:firstRow="1" w:lastRow="0" w:firstColumn="1" w:lastColumn="0" w:noHBand="0" w:noVBand="1"/>
      </w:tblPr>
      <w:tblGrid>
        <w:gridCol w:w="64"/>
        <w:gridCol w:w="741"/>
        <w:gridCol w:w="36"/>
        <w:gridCol w:w="64"/>
        <w:gridCol w:w="6903"/>
        <w:gridCol w:w="36"/>
      </w:tblGrid>
      <w:tr w:rsidR="00000000" w14:paraId="30ECA174" w14:textId="77777777">
        <w:trPr>
          <w:divId w:val="1086851549"/>
          <w:jc w:val="center"/>
        </w:trPr>
        <w:tc>
          <w:tcPr>
            <w:tcW w:w="50" w:type="pct"/>
            <w:vAlign w:val="center"/>
            <w:hideMark/>
          </w:tcPr>
          <w:p w14:paraId="40A4EEDF" w14:textId="77777777" w:rsidR="00000000" w:rsidRDefault="00E614A4">
            <w:pPr>
              <w:rPr>
                <w:rFonts w:eastAsia="Times New Roman"/>
              </w:rPr>
            </w:pPr>
          </w:p>
        </w:tc>
        <w:tc>
          <w:tcPr>
            <w:tcW w:w="481" w:type="pct"/>
            <w:vAlign w:val="center"/>
            <w:hideMark/>
          </w:tcPr>
          <w:p w14:paraId="126CB576" w14:textId="77777777" w:rsidR="00000000" w:rsidRDefault="00E614A4">
            <w:pPr>
              <w:rPr>
                <w:rFonts w:eastAsia="Times New Roman"/>
                <w:sz w:val="20"/>
                <w:szCs w:val="20"/>
              </w:rPr>
            </w:pPr>
          </w:p>
        </w:tc>
        <w:tc>
          <w:tcPr>
            <w:tcW w:w="5" w:type="pct"/>
            <w:vAlign w:val="center"/>
            <w:hideMark/>
          </w:tcPr>
          <w:p w14:paraId="6F7A182D" w14:textId="77777777" w:rsidR="00000000" w:rsidRDefault="00E614A4">
            <w:pPr>
              <w:rPr>
                <w:rFonts w:eastAsia="Times New Roman"/>
                <w:sz w:val="20"/>
                <w:szCs w:val="20"/>
              </w:rPr>
            </w:pPr>
          </w:p>
        </w:tc>
        <w:tc>
          <w:tcPr>
            <w:tcW w:w="50" w:type="pct"/>
            <w:vAlign w:val="center"/>
            <w:hideMark/>
          </w:tcPr>
          <w:p w14:paraId="39FE6BE9" w14:textId="77777777" w:rsidR="00000000" w:rsidRDefault="00E614A4">
            <w:pPr>
              <w:rPr>
                <w:rFonts w:eastAsia="Times New Roman"/>
                <w:sz w:val="20"/>
                <w:szCs w:val="20"/>
              </w:rPr>
            </w:pPr>
          </w:p>
        </w:tc>
        <w:tc>
          <w:tcPr>
            <w:tcW w:w="4408" w:type="pct"/>
            <w:vAlign w:val="center"/>
            <w:hideMark/>
          </w:tcPr>
          <w:p w14:paraId="707EA355" w14:textId="77777777" w:rsidR="00000000" w:rsidRDefault="00E614A4">
            <w:pPr>
              <w:rPr>
                <w:rFonts w:eastAsia="Times New Roman"/>
                <w:sz w:val="20"/>
                <w:szCs w:val="20"/>
              </w:rPr>
            </w:pPr>
          </w:p>
        </w:tc>
        <w:tc>
          <w:tcPr>
            <w:tcW w:w="5" w:type="pct"/>
            <w:vAlign w:val="center"/>
            <w:hideMark/>
          </w:tcPr>
          <w:p w14:paraId="454CDDFA" w14:textId="77777777" w:rsidR="00000000" w:rsidRDefault="00E614A4">
            <w:pPr>
              <w:rPr>
                <w:rFonts w:eastAsia="Times New Roman"/>
                <w:sz w:val="20"/>
                <w:szCs w:val="20"/>
              </w:rPr>
            </w:pPr>
          </w:p>
        </w:tc>
      </w:tr>
      <w:tr w:rsidR="00000000" w14:paraId="0C23D8FE" w14:textId="77777777">
        <w:trPr>
          <w:divId w:val="1086851549"/>
          <w:jc w:val="center"/>
        </w:trPr>
        <w:tc>
          <w:tcPr>
            <w:tcW w:w="0" w:type="auto"/>
            <w:gridSpan w:val="3"/>
            <w:tcMar>
              <w:top w:w="30" w:type="dxa"/>
              <w:left w:w="20" w:type="dxa"/>
              <w:bottom w:w="30" w:type="dxa"/>
              <w:right w:w="20" w:type="dxa"/>
            </w:tcMar>
            <w:hideMark/>
          </w:tcPr>
          <w:p w14:paraId="00FAAC9F" w14:textId="77777777" w:rsidR="00000000" w:rsidRDefault="00E614A4">
            <w:pPr>
              <w:rPr>
                <w:rFonts w:eastAsia="Times New Roman"/>
              </w:rPr>
            </w:pPr>
            <w:r>
              <w:rPr>
                <w:rFonts w:eastAsia="Times New Roman"/>
                <w:b/>
                <w:bCs/>
                <w:color w:val="000000"/>
                <w:sz w:val="20"/>
                <w:szCs w:val="20"/>
              </w:rPr>
              <w:t>ITEM 16.</w:t>
            </w:r>
          </w:p>
        </w:tc>
        <w:tc>
          <w:tcPr>
            <w:tcW w:w="0" w:type="auto"/>
            <w:gridSpan w:val="3"/>
            <w:tcMar>
              <w:top w:w="30" w:type="dxa"/>
              <w:left w:w="20" w:type="dxa"/>
              <w:bottom w:w="30" w:type="dxa"/>
              <w:right w:w="20" w:type="dxa"/>
            </w:tcMar>
            <w:hideMark/>
          </w:tcPr>
          <w:p w14:paraId="2BBCFC32" w14:textId="77777777" w:rsidR="00000000" w:rsidRDefault="00E614A4">
            <w:pPr>
              <w:rPr>
                <w:rFonts w:eastAsia="Times New Roman"/>
              </w:rPr>
            </w:pPr>
            <w:r>
              <w:rPr>
                <w:rFonts w:eastAsia="Times New Roman"/>
                <w:b/>
                <w:bCs/>
                <w:i/>
                <w:iCs/>
                <w:color w:val="000000"/>
                <w:sz w:val="20"/>
                <w:szCs w:val="20"/>
              </w:rPr>
              <w:t>FORM 10-K SUMMARY</w:t>
            </w:r>
          </w:p>
        </w:tc>
      </w:tr>
    </w:tbl>
    <w:p w14:paraId="56484A8C" w14:textId="77777777" w:rsidR="00000000" w:rsidRDefault="00E614A4">
      <w:pPr>
        <w:jc w:val="both"/>
        <w:divId w:val="2040625275"/>
        <w:rPr>
          <w:rFonts w:eastAsia="Times New Roman"/>
        </w:rPr>
      </w:pPr>
      <w:r>
        <w:rPr>
          <w:rFonts w:eastAsia="Times New Roman"/>
          <w:color w:val="000000"/>
          <w:sz w:val="20"/>
          <w:szCs w:val="20"/>
        </w:rPr>
        <w:t>    None.</w:t>
      </w:r>
    </w:p>
    <w:p w14:paraId="2E60BCE2" w14:textId="77777777" w:rsidR="00000000" w:rsidRDefault="00E614A4">
      <w:pPr>
        <w:divId w:val="614559556"/>
        <w:rPr>
          <w:rFonts w:eastAsia="Times New Roman"/>
        </w:rPr>
      </w:pPr>
    </w:p>
    <w:p w14:paraId="503AE7FE" w14:textId="77777777" w:rsidR="00000000" w:rsidRDefault="00E614A4">
      <w:pPr>
        <w:jc w:val="center"/>
        <w:divId w:val="981348019"/>
        <w:rPr>
          <w:rFonts w:eastAsia="Times New Roman"/>
        </w:rPr>
      </w:pPr>
      <w:r>
        <w:rPr>
          <w:rFonts w:eastAsia="Times New Roman"/>
          <w:color w:val="000000"/>
          <w:sz w:val="20"/>
          <w:szCs w:val="20"/>
        </w:rPr>
        <w:t>111</w:t>
      </w:r>
    </w:p>
    <w:p w14:paraId="7EE2D675" w14:textId="77777777" w:rsidR="00000000" w:rsidRDefault="00E614A4">
      <w:pPr>
        <w:rPr>
          <w:rFonts w:eastAsia="Times New Roman"/>
        </w:rPr>
      </w:pPr>
      <w:r>
        <w:rPr>
          <w:rFonts w:eastAsia="Times New Roman"/>
        </w:rPr>
        <w:pict w14:anchorId="24F33CEA">
          <v:rect id="_x0000_i1139" style="width:0;height:1.5pt" o:hralign="center" o:hrstd="t" o:hr="t" fillcolor="#a0a0a0" stroked="f"/>
        </w:pict>
      </w:r>
    </w:p>
    <w:p w14:paraId="5F4A48E1" w14:textId="77777777" w:rsidR="00000000" w:rsidRDefault="00E614A4">
      <w:pPr>
        <w:divId w:val="643966877"/>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3FDABBAD" w14:textId="77777777" w:rsidR="00000000" w:rsidRDefault="00E614A4">
      <w:pPr>
        <w:divId w:val="1394112693"/>
        <w:rPr>
          <w:rFonts w:eastAsia="Times New Roman"/>
        </w:rPr>
      </w:pPr>
    </w:p>
    <w:p w14:paraId="455EB0D1" w14:textId="77777777" w:rsidR="00000000" w:rsidRDefault="00E614A4">
      <w:pPr>
        <w:jc w:val="center"/>
        <w:rPr>
          <w:rFonts w:eastAsia="Times New Roman"/>
        </w:rPr>
      </w:pPr>
      <w:r>
        <w:rPr>
          <w:rFonts w:eastAsia="Times New Roman"/>
          <w:b/>
          <w:bCs/>
          <w:color w:val="000000"/>
          <w:sz w:val="20"/>
          <w:szCs w:val="20"/>
        </w:rPr>
        <w:t>SIGNATURES</w:t>
      </w:r>
    </w:p>
    <w:p w14:paraId="5CB21B04" w14:textId="77777777" w:rsidR="00000000" w:rsidRDefault="00E614A4">
      <w:pPr>
        <w:jc w:val="both"/>
        <w:divId w:val="150413536"/>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authorized.</w:t>
      </w:r>
    </w:p>
    <w:p w14:paraId="37C3412B" w14:textId="77777777" w:rsidR="00000000" w:rsidRDefault="00E614A4">
      <w:pPr>
        <w:divId w:val="1141725297"/>
        <w:rPr>
          <w:rFonts w:eastAsia="Times New Roman"/>
        </w:rPr>
      </w:pPr>
      <w:r>
        <w:rPr>
          <w:rFonts w:eastAsia="Times New Roman"/>
          <w:color w:val="000000"/>
          <w:sz w:val="18"/>
          <w:szCs w:val="18"/>
        </w:rPr>
        <w:t> </w:t>
      </w:r>
    </w:p>
    <w:tbl>
      <w:tblPr>
        <w:tblW w:w="4736" w:type="pct"/>
        <w:tblCellMar>
          <w:top w:w="15" w:type="dxa"/>
          <w:left w:w="15" w:type="dxa"/>
          <w:bottom w:w="15" w:type="dxa"/>
          <w:right w:w="15" w:type="dxa"/>
        </w:tblCellMar>
        <w:tblLook w:val="04A0" w:firstRow="1" w:lastRow="0" w:firstColumn="1" w:lastColumn="0" w:noHBand="0" w:noVBand="1"/>
      </w:tblPr>
      <w:tblGrid>
        <w:gridCol w:w="64"/>
        <w:gridCol w:w="4088"/>
        <w:gridCol w:w="36"/>
        <w:gridCol w:w="73"/>
        <w:gridCol w:w="249"/>
        <w:gridCol w:w="37"/>
        <w:gridCol w:w="62"/>
        <w:gridCol w:w="1005"/>
        <w:gridCol w:w="37"/>
        <w:gridCol w:w="65"/>
        <w:gridCol w:w="1006"/>
        <w:gridCol w:w="37"/>
        <w:gridCol w:w="65"/>
        <w:gridCol w:w="1006"/>
        <w:gridCol w:w="37"/>
      </w:tblGrid>
      <w:tr w:rsidR="00000000" w14:paraId="344809D7" w14:textId="77777777">
        <w:trPr>
          <w:divId w:val="54669564"/>
        </w:trPr>
        <w:tc>
          <w:tcPr>
            <w:tcW w:w="50" w:type="pct"/>
            <w:vAlign w:val="center"/>
            <w:hideMark/>
          </w:tcPr>
          <w:p w14:paraId="58A7EADB" w14:textId="77777777" w:rsidR="00000000" w:rsidRDefault="00E614A4">
            <w:pPr>
              <w:rPr>
                <w:rFonts w:eastAsia="Times New Roman"/>
              </w:rPr>
            </w:pPr>
          </w:p>
        </w:tc>
        <w:tc>
          <w:tcPr>
            <w:tcW w:w="2606" w:type="pct"/>
            <w:vAlign w:val="center"/>
            <w:hideMark/>
          </w:tcPr>
          <w:p w14:paraId="3CE9C467" w14:textId="77777777" w:rsidR="00000000" w:rsidRDefault="00E614A4">
            <w:pPr>
              <w:rPr>
                <w:rFonts w:eastAsia="Times New Roman"/>
                <w:sz w:val="20"/>
                <w:szCs w:val="20"/>
              </w:rPr>
            </w:pPr>
          </w:p>
        </w:tc>
        <w:tc>
          <w:tcPr>
            <w:tcW w:w="5" w:type="pct"/>
            <w:vAlign w:val="center"/>
            <w:hideMark/>
          </w:tcPr>
          <w:p w14:paraId="6F206C05" w14:textId="77777777" w:rsidR="00000000" w:rsidRDefault="00E614A4">
            <w:pPr>
              <w:rPr>
                <w:rFonts w:eastAsia="Times New Roman"/>
                <w:sz w:val="20"/>
                <w:szCs w:val="20"/>
              </w:rPr>
            </w:pPr>
          </w:p>
        </w:tc>
        <w:tc>
          <w:tcPr>
            <w:tcW w:w="50" w:type="pct"/>
            <w:vAlign w:val="center"/>
            <w:hideMark/>
          </w:tcPr>
          <w:p w14:paraId="49DCFC65" w14:textId="77777777" w:rsidR="00000000" w:rsidRDefault="00E614A4">
            <w:pPr>
              <w:rPr>
                <w:rFonts w:eastAsia="Times New Roman"/>
                <w:sz w:val="20"/>
                <w:szCs w:val="20"/>
              </w:rPr>
            </w:pPr>
          </w:p>
        </w:tc>
        <w:tc>
          <w:tcPr>
            <w:tcW w:w="172" w:type="pct"/>
            <w:vAlign w:val="center"/>
            <w:hideMark/>
          </w:tcPr>
          <w:p w14:paraId="3DCB7CD8" w14:textId="77777777" w:rsidR="00000000" w:rsidRDefault="00E614A4">
            <w:pPr>
              <w:rPr>
                <w:rFonts w:eastAsia="Times New Roman"/>
                <w:sz w:val="20"/>
                <w:szCs w:val="20"/>
              </w:rPr>
            </w:pPr>
          </w:p>
        </w:tc>
        <w:tc>
          <w:tcPr>
            <w:tcW w:w="5" w:type="pct"/>
            <w:vAlign w:val="center"/>
            <w:hideMark/>
          </w:tcPr>
          <w:p w14:paraId="42812F41" w14:textId="77777777" w:rsidR="00000000" w:rsidRDefault="00E614A4">
            <w:pPr>
              <w:rPr>
                <w:rFonts w:eastAsia="Times New Roman"/>
                <w:sz w:val="20"/>
                <w:szCs w:val="20"/>
              </w:rPr>
            </w:pPr>
          </w:p>
        </w:tc>
        <w:tc>
          <w:tcPr>
            <w:tcW w:w="50" w:type="pct"/>
            <w:vAlign w:val="center"/>
            <w:hideMark/>
          </w:tcPr>
          <w:p w14:paraId="70FEA0B5" w14:textId="77777777" w:rsidR="00000000" w:rsidRDefault="00E614A4">
            <w:pPr>
              <w:rPr>
                <w:rFonts w:eastAsia="Times New Roman"/>
                <w:sz w:val="20"/>
                <w:szCs w:val="20"/>
              </w:rPr>
            </w:pPr>
          </w:p>
        </w:tc>
        <w:tc>
          <w:tcPr>
            <w:tcW w:w="648" w:type="pct"/>
            <w:vAlign w:val="center"/>
            <w:hideMark/>
          </w:tcPr>
          <w:p w14:paraId="7368469F" w14:textId="77777777" w:rsidR="00000000" w:rsidRDefault="00E614A4">
            <w:pPr>
              <w:rPr>
                <w:rFonts w:eastAsia="Times New Roman"/>
                <w:sz w:val="20"/>
                <w:szCs w:val="20"/>
              </w:rPr>
            </w:pPr>
          </w:p>
        </w:tc>
        <w:tc>
          <w:tcPr>
            <w:tcW w:w="5" w:type="pct"/>
            <w:vAlign w:val="center"/>
            <w:hideMark/>
          </w:tcPr>
          <w:p w14:paraId="026A402B" w14:textId="77777777" w:rsidR="00000000" w:rsidRDefault="00E614A4">
            <w:pPr>
              <w:rPr>
                <w:rFonts w:eastAsia="Times New Roman"/>
                <w:sz w:val="20"/>
                <w:szCs w:val="20"/>
              </w:rPr>
            </w:pPr>
          </w:p>
        </w:tc>
        <w:tc>
          <w:tcPr>
            <w:tcW w:w="50" w:type="pct"/>
            <w:vAlign w:val="center"/>
            <w:hideMark/>
          </w:tcPr>
          <w:p w14:paraId="412C7595" w14:textId="77777777" w:rsidR="00000000" w:rsidRDefault="00E614A4">
            <w:pPr>
              <w:rPr>
                <w:rFonts w:eastAsia="Times New Roman"/>
                <w:sz w:val="20"/>
                <w:szCs w:val="20"/>
              </w:rPr>
            </w:pPr>
          </w:p>
        </w:tc>
        <w:tc>
          <w:tcPr>
            <w:tcW w:w="648" w:type="pct"/>
            <w:vAlign w:val="center"/>
            <w:hideMark/>
          </w:tcPr>
          <w:p w14:paraId="61A7A54E" w14:textId="77777777" w:rsidR="00000000" w:rsidRDefault="00E614A4">
            <w:pPr>
              <w:rPr>
                <w:rFonts w:eastAsia="Times New Roman"/>
                <w:sz w:val="20"/>
                <w:szCs w:val="20"/>
              </w:rPr>
            </w:pPr>
          </w:p>
        </w:tc>
        <w:tc>
          <w:tcPr>
            <w:tcW w:w="5" w:type="pct"/>
            <w:vAlign w:val="center"/>
            <w:hideMark/>
          </w:tcPr>
          <w:p w14:paraId="777D7973" w14:textId="77777777" w:rsidR="00000000" w:rsidRDefault="00E614A4">
            <w:pPr>
              <w:rPr>
                <w:rFonts w:eastAsia="Times New Roman"/>
                <w:sz w:val="20"/>
                <w:szCs w:val="20"/>
              </w:rPr>
            </w:pPr>
          </w:p>
        </w:tc>
        <w:tc>
          <w:tcPr>
            <w:tcW w:w="50" w:type="pct"/>
            <w:vAlign w:val="center"/>
            <w:hideMark/>
          </w:tcPr>
          <w:p w14:paraId="23A921FF" w14:textId="77777777" w:rsidR="00000000" w:rsidRDefault="00E614A4">
            <w:pPr>
              <w:rPr>
                <w:rFonts w:eastAsia="Times New Roman"/>
                <w:sz w:val="20"/>
                <w:szCs w:val="20"/>
              </w:rPr>
            </w:pPr>
          </w:p>
        </w:tc>
        <w:tc>
          <w:tcPr>
            <w:tcW w:w="648" w:type="pct"/>
            <w:vAlign w:val="center"/>
            <w:hideMark/>
          </w:tcPr>
          <w:p w14:paraId="2A89F8CC" w14:textId="77777777" w:rsidR="00000000" w:rsidRDefault="00E614A4">
            <w:pPr>
              <w:rPr>
                <w:rFonts w:eastAsia="Times New Roman"/>
                <w:sz w:val="20"/>
                <w:szCs w:val="20"/>
              </w:rPr>
            </w:pPr>
          </w:p>
        </w:tc>
        <w:tc>
          <w:tcPr>
            <w:tcW w:w="5" w:type="pct"/>
            <w:vAlign w:val="center"/>
            <w:hideMark/>
          </w:tcPr>
          <w:p w14:paraId="0A1A76B1" w14:textId="77777777" w:rsidR="00000000" w:rsidRDefault="00E614A4">
            <w:pPr>
              <w:rPr>
                <w:rFonts w:eastAsia="Times New Roman"/>
                <w:sz w:val="20"/>
                <w:szCs w:val="20"/>
              </w:rPr>
            </w:pPr>
          </w:p>
        </w:tc>
      </w:tr>
      <w:tr w:rsidR="00000000" w14:paraId="35BBE4C6" w14:textId="77777777">
        <w:trPr>
          <w:divId w:val="54669564"/>
        </w:trPr>
        <w:tc>
          <w:tcPr>
            <w:tcW w:w="0" w:type="auto"/>
            <w:gridSpan w:val="3"/>
            <w:tcMar>
              <w:top w:w="0" w:type="dxa"/>
              <w:left w:w="20" w:type="dxa"/>
              <w:bottom w:w="0" w:type="dxa"/>
              <w:right w:w="20" w:type="dxa"/>
            </w:tcMar>
            <w:vAlign w:val="center"/>
            <w:hideMark/>
          </w:tcPr>
          <w:p w14:paraId="4AAE5705" w14:textId="77777777" w:rsidR="00000000" w:rsidRDefault="00E614A4">
            <w:pPr>
              <w:rPr>
                <w:rFonts w:eastAsia="Times New Roman"/>
                <w:sz w:val="20"/>
                <w:szCs w:val="20"/>
              </w:rPr>
            </w:pPr>
          </w:p>
        </w:tc>
        <w:tc>
          <w:tcPr>
            <w:tcW w:w="0" w:type="auto"/>
            <w:gridSpan w:val="12"/>
            <w:tcMar>
              <w:top w:w="30" w:type="dxa"/>
              <w:left w:w="20" w:type="dxa"/>
              <w:bottom w:w="30" w:type="dxa"/>
              <w:right w:w="20" w:type="dxa"/>
            </w:tcMar>
            <w:vAlign w:val="bottom"/>
            <w:hideMark/>
          </w:tcPr>
          <w:p w14:paraId="1D4D3376" w14:textId="77777777" w:rsidR="00000000" w:rsidRDefault="00E614A4">
            <w:pPr>
              <w:divId w:val="36514986"/>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r>
      <w:tr w:rsidR="00000000" w14:paraId="1C4CE609" w14:textId="77777777">
        <w:trPr>
          <w:divId w:val="54669564"/>
          <w:trHeight w:val="300"/>
        </w:trPr>
        <w:tc>
          <w:tcPr>
            <w:tcW w:w="0" w:type="auto"/>
            <w:gridSpan w:val="3"/>
            <w:tcMar>
              <w:top w:w="0" w:type="dxa"/>
              <w:left w:w="20" w:type="dxa"/>
              <w:bottom w:w="0" w:type="dxa"/>
              <w:right w:w="20" w:type="dxa"/>
            </w:tcMar>
            <w:vAlign w:val="center"/>
            <w:hideMark/>
          </w:tcPr>
          <w:p w14:paraId="04444E89" w14:textId="77777777" w:rsidR="00000000" w:rsidRDefault="00E614A4">
            <w:pPr>
              <w:rPr>
                <w:rFonts w:eastAsia="Times New Roman"/>
              </w:rPr>
            </w:pPr>
          </w:p>
        </w:tc>
        <w:tc>
          <w:tcPr>
            <w:tcW w:w="0" w:type="auto"/>
            <w:gridSpan w:val="3"/>
            <w:tcMar>
              <w:top w:w="0" w:type="dxa"/>
              <w:left w:w="20" w:type="dxa"/>
              <w:bottom w:w="0" w:type="dxa"/>
              <w:right w:w="20" w:type="dxa"/>
            </w:tcMar>
            <w:vAlign w:val="center"/>
            <w:hideMark/>
          </w:tcPr>
          <w:p w14:paraId="4B857FA3" w14:textId="77777777" w:rsidR="00000000" w:rsidRDefault="00E614A4">
            <w:pPr>
              <w:rPr>
                <w:rFonts w:eastAsia="Times New Roman"/>
                <w:sz w:val="20"/>
                <w:szCs w:val="20"/>
              </w:rPr>
            </w:pPr>
          </w:p>
        </w:tc>
        <w:tc>
          <w:tcPr>
            <w:tcW w:w="0" w:type="auto"/>
            <w:gridSpan w:val="9"/>
            <w:tcMar>
              <w:top w:w="0" w:type="dxa"/>
              <w:left w:w="20" w:type="dxa"/>
              <w:bottom w:w="0" w:type="dxa"/>
              <w:right w:w="20" w:type="dxa"/>
            </w:tcMar>
            <w:vAlign w:val="center"/>
            <w:hideMark/>
          </w:tcPr>
          <w:p w14:paraId="5B7E6DF3" w14:textId="77777777" w:rsidR="00000000" w:rsidRDefault="00E614A4">
            <w:pPr>
              <w:rPr>
                <w:rFonts w:eastAsia="Times New Roman"/>
                <w:sz w:val="20"/>
                <w:szCs w:val="20"/>
              </w:rPr>
            </w:pPr>
          </w:p>
        </w:tc>
      </w:tr>
      <w:tr w:rsidR="00000000" w14:paraId="3F90031A" w14:textId="77777777">
        <w:trPr>
          <w:divId w:val="54669564"/>
        </w:trPr>
        <w:tc>
          <w:tcPr>
            <w:tcW w:w="0" w:type="auto"/>
            <w:gridSpan w:val="3"/>
            <w:tcMar>
              <w:top w:w="0" w:type="dxa"/>
              <w:left w:w="20" w:type="dxa"/>
              <w:bottom w:w="0" w:type="dxa"/>
              <w:right w:w="20" w:type="dxa"/>
            </w:tcMar>
            <w:vAlign w:val="center"/>
            <w:hideMark/>
          </w:tcPr>
          <w:p w14:paraId="4D21AA2E" w14:textId="77777777" w:rsidR="00000000" w:rsidRDefault="00E614A4">
            <w:pPr>
              <w:rPr>
                <w:rFonts w:eastAsia="Times New Roman"/>
                <w:sz w:val="20"/>
                <w:szCs w:val="20"/>
              </w:rPr>
            </w:pPr>
          </w:p>
        </w:tc>
        <w:tc>
          <w:tcPr>
            <w:tcW w:w="0" w:type="auto"/>
            <w:gridSpan w:val="3"/>
            <w:tcMar>
              <w:top w:w="30" w:type="dxa"/>
              <w:left w:w="20" w:type="dxa"/>
              <w:bottom w:w="30" w:type="dxa"/>
              <w:right w:w="20" w:type="dxa"/>
            </w:tcMar>
            <w:vAlign w:val="bottom"/>
            <w:hideMark/>
          </w:tcPr>
          <w:p w14:paraId="1F8A886B" w14:textId="77777777" w:rsidR="00000000" w:rsidRDefault="00E614A4">
            <w:pPr>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vAlign w:val="bottom"/>
            <w:hideMark/>
          </w:tcPr>
          <w:p w14:paraId="20A04551" w14:textId="77777777" w:rsidR="00000000" w:rsidRDefault="00E614A4">
            <w:pPr>
              <w:jc w:val="center"/>
              <w:rPr>
                <w:rFonts w:eastAsia="Times New Roman"/>
              </w:rPr>
            </w:pPr>
            <w:r>
              <w:rPr>
                <w:rFonts w:eastAsia="Times New Roman"/>
                <w:color w:val="000000"/>
                <w:sz w:val="20"/>
                <w:szCs w:val="20"/>
              </w:rPr>
              <w:t>/s/ William P. Livek</w:t>
            </w:r>
          </w:p>
        </w:tc>
      </w:tr>
      <w:tr w:rsidR="00000000" w14:paraId="698FF63B" w14:textId="77777777">
        <w:trPr>
          <w:divId w:val="54669564"/>
        </w:trPr>
        <w:tc>
          <w:tcPr>
            <w:tcW w:w="0" w:type="auto"/>
            <w:gridSpan w:val="3"/>
            <w:tcMar>
              <w:top w:w="0" w:type="dxa"/>
              <w:left w:w="20" w:type="dxa"/>
              <w:bottom w:w="0" w:type="dxa"/>
              <w:right w:w="20" w:type="dxa"/>
            </w:tcMar>
            <w:vAlign w:val="center"/>
            <w:hideMark/>
          </w:tcPr>
          <w:p w14:paraId="12D3CBA6"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6238528E" w14:textId="77777777" w:rsidR="00000000" w:rsidRDefault="00E614A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5C3F4B8" w14:textId="77777777" w:rsidR="00000000" w:rsidRDefault="00E614A4">
            <w:pPr>
              <w:jc w:val="center"/>
              <w:rPr>
                <w:rFonts w:eastAsia="Times New Roman"/>
              </w:rPr>
            </w:pPr>
            <w:r>
              <w:rPr>
                <w:rFonts w:eastAsia="Times New Roman"/>
                <w:color w:val="000000"/>
                <w:sz w:val="20"/>
                <w:szCs w:val="20"/>
              </w:rPr>
              <w:t>William P. Livek</w:t>
            </w:r>
          </w:p>
        </w:tc>
      </w:tr>
      <w:tr w:rsidR="00000000" w14:paraId="773F5D4F" w14:textId="77777777">
        <w:trPr>
          <w:divId w:val="54669564"/>
        </w:trPr>
        <w:tc>
          <w:tcPr>
            <w:tcW w:w="0" w:type="auto"/>
            <w:gridSpan w:val="3"/>
            <w:tcMar>
              <w:top w:w="0" w:type="dxa"/>
              <w:left w:w="20" w:type="dxa"/>
              <w:bottom w:w="0" w:type="dxa"/>
              <w:right w:w="20" w:type="dxa"/>
            </w:tcMar>
            <w:vAlign w:val="center"/>
            <w:hideMark/>
          </w:tcPr>
          <w:p w14:paraId="52E628E6"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62BBD5DF"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5B08AF71" w14:textId="77777777" w:rsidR="00000000" w:rsidRDefault="00E614A4">
            <w:pPr>
              <w:jc w:val="center"/>
              <w:rPr>
                <w:rFonts w:eastAsia="Times New Roman"/>
              </w:rPr>
            </w:pPr>
            <w:r>
              <w:rPr>
                <w:rFonts w:eastAsia="Times New Roman"/>
                <w:color w:val="000000"/>
                <w:sz w:val="20"/>
                <w:szCs w:val="20"/>
              </w:rPr>
              <w:t>Chief Executive Officer and Executive Vice Chairman</w:t>
            </w:r>
          </w:p>
        </w:tc>
      </w:tr>
      <w:tr w:rsidR="00000000" w14:paraId="33BD75BE" w14:textId="77777777">
        <w:trPr>
          <w:divId w:val="54669564"/>
        </w:trPr>
        <w:tc>
          <w:tcPr>
            <w:tcW w:w="0" w:type="auto"/>
            <w:gridSpan w:val="3"/>
            <w:tcMar>
              <w:top w:w="0" w:type="dxa"/>
              <w:left w:w="20" w:type="dxa"/>
              <w:bottom w:w="0" w:type="dxa"/>
              <w:right w:w="20" w:type="dxa"/>
            </w:tcMar>
            <w:vAlign w:val="center"/>
            <w:hideMark/>
          </w:tcPr>
          <w:p w14:paraId="54EBA90B"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6FC0E2E2"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hideMark/>
          </w:tcPr>
          <w:p w14:paraId="55CCFAC7" w14:textId="77777777" w:rsidR="00000000" w:rsidRDefault="00E614A4">
            <w:pPr>
              <w:jc w:val="center"/>
              <w:rPr>
                <w:rFonts w:eastAsia="Times New Roman"/>
              </w:rPr>
            </w:pPr>
            <w:r>
              <w:rPr>
                <w:rFonts w:eastAsia="Times New Roman"/>
                <w:color w:val="000000"/>
                <w:sz w:val="20"/>
                <w:szCs w:val="20"/>
              </w:rPr>
              <w:t>(Principal Executive Officer)</w:t>
            </w:r>
          </w:p>
        </w:tc>
      </w:tr>
      <w:tr w:rsidR="00000000" w14:paraId="7665F5E7" w14:textId="77777777">
        <w:trPr>
          <w:divId w:val="54669564"/>
          <w:trHeight w:val="480"/>
        </w:trPr>
        <w:tc>
          <w:tcPr>
            <w:tcW w:w="0" w:type="auto"/>
            <w:gridSpan w:val="3"/>
            <w:tcMar>
              <w:top w:w="0" w:type="dxa"/>
              <w:left w:w="20" w:type="dxa"/>
              <w:bottom w:w="0" w:type="dxa"/>
              <w:right w:w="20" w:type="dxa"/>
            </w:tcMar>
            <w:vAlign w:val="center"/>
            <w:hideMark/>
          </w:tcPr>
          <w:p w14:paraId="065ABE83"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624B5BD0"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00E2B8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AA9BD2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CC96CF7" w14:textId="77777777" w:rsidR="00000000" w:rsidRDefault="00E614A4">
            <w:pPr>
              <w:rPr>
                <w:rFonts w:eastAsia="Times New Roman"/>
                <w:sz w:val="20"/>
                <w:szCs w:val="20"/>
              </w:rPr>
            </w:pPr>
          </w:p>
        </w:tc>
      </w:tr>
      <w:tr w:rsidR="00000000" w14:paraId="12B54D09" w14:textId="77777777">
        <w:trPr>
          <w:divId w:val="54669564"/>
        </w:trPr>
        <w:tc>
          <w:tcPr>
            <w:tcW w:w="0" w:type="auto"/>
            <w:gridSpan w:val="3"/>
            <w:tcMar>
              <w:top w:w="0" w:type="dxa"/>
              <w:left w:w="20" w:type="dxa"/>
              <w:bottom w:w="0" w:type="dxa"/>
              <w:right w:w="20" w:type="dxa"/>
            </w:tcMar>
            <w:vAlign w:val="center"/>
            <w:hideMark/>
          </w:tcPr>
          <w:p w14:paraId="40978545" w14:textId="77777777" w:rsidR="00000000" w:rsidRDefault="00E614A4">
            <w:pPr>
              <w:rPr>
                <w:rFonts w:eastAsia="Times New Roman"/>
                <w:sz w:val="20"/>
                <w:szCs w:val="20"/>
              </w:rPr>
            </w:pPr>
          </w:p>
        </w:tc>
        <w:tc>
          <w:tcPr>
            <w:tcW w:w="0" w:type="auto"/>
            <w:gridSpan w:val="3"/>
            <w:tcMar>
              <w:top w:w="30" w:type="dxa"/>
              <w:left w:w="20" w:type="dxa"/>
              <w:bottom w:w="30" w:type="dxa"/>
              <w:right w:w="20" w:type="dxa"/>
            </w:tcMar>
            <w:vAlign w:val="bottom"/>
            <w:hideMark/>
          </w:tcPr>
          <w:p w14:paraId="0FE086B4" w14:textId="77777777" w:rsidR="00000000" w:rsidRDefault="00E614A4">
            <w:pPr>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vAlign w:val="bottom"/>
            <w:hideMark/>
          </w:tcPr>
          <w:p w14:paraId="339C6AAD" w14:textId="77777777" w:rsidR="00000000" w:rsidRDefault="00E614A4">
            <w:pPr>
              <w:jc w:val="center"/>
              <w:rPr>
                <w:rFonts w:eastAsia="Times New Roman"/>
              </w:rPr>
            </w:pPr>
            <w:r>
              <w:rPr>
                <w:rFonts w:eastAsia="Times New Roman"/>
                <w:color w:val="000000"/>
                <w:sz w:val="20"/>
                <w:szCs w:val="20"/>
              </w:rPr>
              <w:t>/s/ Gregory A. Fink</w:t>
            </w:r>
          </w:p>
        </w:tc>
      </w:tr>
      <w:tr w:rsidR="00000000" w14:paraId="450441C9" w14:textId="77777777">
        <w:trPr>
          <w:divId w:val="54669564"/>
        </w:trPr>
        <w:tc>
          <w:tcPr>
            <w:tcW w:w="0" w:type="auto"/>
            <w:gridSpan w:val="3"/>
            <w:tcMar>
              <w:top w:w="0" w:type="dxa"/>
              <w:left w:w="20" w:type="dxa"/>
              <w:bottom w:w="0" w:type="dxa"/>
              <w:right w:w="20" w:type="dxa"/>
            </w:tcMar>
            <w:vAlign w:val="center"/>
            <w:hideMark/>
          </w:tcPr>
          <w:p w14:paraId="5059121C"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04188CB9" w14:textId="77777777" w:rsidR="00000000" w:rsidRDefault="00E614A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CDB52CC" w14:textId="77777777" w:rsidR="00000000" w:rsidRDefault="00E614A4">
            <w:pPr>
              <w:jc w:val="center"/>
              <w:rPr>
                <w:rFonts w:eastAsia="Times New Roman"/>
              </w:rPr>
            </w:pPr>
            <w:r>
              <w:rPr>
                <w:rFonts w:eastAsia="Times New Roman"/>
                <w:color w:val="000000"/>
                <w:sz w:val="20"/>
                <w:szCs w:val="20"/>
              </w:rPr>
              <w:t>Gregory A. Fink</w:t>
            </w:r>
          </w:p>
        </w:tc>
      </w:tr>
      <w:tr w:rsidR="00000000" w14:paraId="419E0B63" w14:textId="77777777">
        <w:trPr>
          <w:divId w:val="54669564"/>
        </w:trPr>
        <w:tc>
          <w:tcPr>
            <w:tcW w:w="0" w:type="auto"/>
            <w:gridSpan w:val="3"/>
            <w:tcMar>
              <w:top w:w="0" w:type="dxa"/>
              <w:left w:w="20" w:type="dxa"/>
              <w:bottom w:w="0" w:type="dxa"/>
              <w:right w:w="20" w:type="dxa"/>
            </w:tcMar>
            <w:vAlign w:val="center"/>
            <w:hideMark/>
          </w:tcPr>
          <w:p w14:paraId="4F5CA884"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30B9AA65"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vAlign w:val="bottom"/>
            <w:hideMark/>
          </w:tcPr>
          <w:p w14:paraId="5DCAA162" w14:textId="77777777" w:rsidR="00000000" w:rsidRDefault="00E614A4">
            <w:pPr>
              <w:jc w:val="center"/>
              <w:rPr>
                <w:rFonts w:eastAsia="Times New Roman"/>
              </w:rPr>
            </w:pPr>
            <w:r>
              <w:rPr>
                <w:rFonts w:eastAsia="Times New Roman"/>
                <w:color w:val="000000"/>
                <w:sz w:val="20"/>
                <w:szCs w:val="20"/>
              </w:rPr>
              <w:t>Chief Financial Officer and Treasurer</w:t>
            </w:r>
          </w:p>
        </w:tc>
      </w:tr>
      <w:tr w:rsidR="00000000" w14:paraId="1B068E75" w14:textId="77777777">
        <w:trPr>
          <w:divId w:val="54669564"/>
        </w:trPr>
        <w:tc>
          <w:tcPr>
            <w:tcW w:w="0" w:type="auto"/>
            <w:gridSpan w:val="3"/>
            <w:tcMar>
              <w:top w:w="0" w:type="dxa"/>
              <w:left w:w="20" w:type="dxa"/>
              <w:bottom w:w="0" w:type="dxa"/>
              <w:right w:w="20" w:type="dxa"/>
            </w:tcMar>
            <w:vAlign w:val="center"/>
            <w:hideMark/>
          </w:tcPr>
          <w:p w14:paraId="6727A62F"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771F5561" w14:textId="77777777" w:rsidR="00000000" w:rsidRDefault="00E614A4">
            <w:pPr>
              <w:rPr>
                <w:rFonts w:eastAsia="Times New Roman"/>
                <w:sz w:val="20"/>
                <w:szCs w:val="20"/>
              </w:rPr>
            </w:pPr>
          </w:p>
        </w:tc>
        <w:tc>
          <w:tcPr>
            <w:tcW w:w="0" w:type="auto"/>
            <w:gridSpan w:val="9"/>
            <w:tcMar>
              <w:top w:w="30" w:type="dxa"/>
              <w:left w:w="20" w:type="dxa"/>
              <w:bottom w:w="30" w:type="dxa"/>
              <w:right w:w="20" w:type="dxa"/>
            </w:tcMar>
            <w:hideMark/>
          </w:tcPr>
          <w:p w14:paraId="081B5132" w14:textId="77777777" w:rsidR="00000000" w:rsidRDefault="00E614A4">
            <w:pPr>
              <w:jc w:val="center"/>
              <w:rPr>
                <w:rFonts w:eastAsia="Times New Roman"/>
              </w:rPr>
            </w:pPr>
            <w:r>
              <w:rPr>
                <w:rFonts w:eastAsia="Times New Roman"/>
                <w:color w:val="000000"/>
                <w:sz w:val="20"/>
                <w:szCs w:val="20"/>
              </w:rPr>
              <w:t xml:space="preserve">(Principal Financial Officer and </w:t>
            </w:r>
            <w:r>
              <w:rPr>
                <w:rFonts w:eastAsia="Times New Roman"/>
                <w:color w:val="000000"/>
                <w:sz w:val="20"/>
                <w:szCs w:val="20"/>
              </w:rPr>
              <w:br/>
              <w:t>Principal Accounting Officer)</w:t>
            </w:r>
          </w:p>
        </w:tc>
      </w:tr>
    </w:tbl>
    <w:p w14:paraId="6593E72F" w14:textId="77777777" w:rsidR="00000000" w:rsidRDefault="00E614A4">
      <w:pPr>
        <w:divId w:val="1563248719"/>
        <w:rPr>
          <w:rFonts w:eastAsia="Times New Roman"/>
        </w:rPr>
      </w:pPr>
      <w:r>
        <w:rPr>
          <w:rFonts w:eastAsia="Times New Roman"/>
          <w:color w:val="000000"/>
          <w:sz w:val="20"/>
          <w:szCs w:val="20"/>
        </w:rPr>
        <w:t>March 9, 2021</w:t>
      </w:r>
    </w:p>
    <w:p w14:paraId="7618D741" w14:textId="77777777" w:rsidR="00000000" w:rsidRDefault="00E614A4">
      <w:pPr>
        <w:jc w:val="center"/>
        <w:divId w:val="324284478"/>
        <w:rPr>
          <w:rFonts w:eastAsia="Times New Roman"/>
        </w:rPr>
      </w:pPr>
      <w:r>
        <w:rPr>
          <w:rFonts w:eastAsia="Times New Roman"/>
          <w:color w:val="000000"/>
          <w:sz w:val="20"/>
          <w:szCs w:val="20"/>
        </w:rPr>
        <w:t>112</w:t>
      </w:r>
    </w:p>
    <w:p w14:paraId="3206C902" w14:textId="77777777" w:rsidR="00000000" w:rsidRDefault="00E614A4">
      <w:pPr>
        <w:rPr>
          <w:rFonts w:eastAsia="Times New Roman"/>
        </w:rPr>
      </w:pPr>
      <w:r>
        <w:rPr>
          <w:rFonts w:eastAsia="Times New Roman"/>
        </w:rPr>
        <w:pict w14:anchorId="22749B20">
          <v:rect id="_x0000_i1140" style="width:0;height:1.5pt" o:hralign="center" o:hrstd="t" o:hr="t" fillcolor="#a0a0a0" stroked="f"/>
        </w:pict>
      </w:r>
    </w:p>
    <w:p w14:paraId="495A16E3" w14:textId="77777777" w:rsidR="00000000" w:rsidRDefault="00E614A4">
      <w:pPr>
        <w:divId w:val="1414859394"/>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02CCF0B" w14:textId="77777777" w:rsidR="00000000" w:rsidRDefault="00E614A4">
      <w:pPr>
        <w:divId w:val="836770634"/>
        <w:rPr>
          <w:rFonts w:eastAsia="Times New Roman"/>
        </w:rPr>
      </w:pPr>
    </w:p>
    <w:p w14:paraId="720FA4E5" w14:textId="77777777" w:rsidR="00000000" w:rsidRDefault="00E614A4">
      <w:pPr>
        <w:jc w:val="both"/>
        <w:divId w:val="1550529471"/>
        <w:rPr>
          <w:rFonts w:eastAsia="Times New Roman"/>
        </w:rPr>
      </w:pPr>
      <w:r>
        <w:rPr>
          <w:rFonts w:eastAsia="Times New Roman"/>
          <w:color w:val="000000"/>
          <w:sz w:val="20"/>
          <w:szCs w:val="20"/>
        </w:rPr>
        <w:t>Pursuant to the requirements of the Securities Exchange Act of 1934, this report has</w:t>
      </w:r>
      <w:r>
        <w:rPr>
          <w:rFonts w:eastAsia="Times New Roman"/>
          <w:color w:val="000000"/>
          <w:sz w:val="20"/>
          <w:szCs w:val="20"/>
        </w:rPr>
        <w:t xml:space="preserve"> been signed below by the following persons on behalf of the registrant and in the capacities and on the dates indicated.</w:t>
      </w:r>
    </w:p>
    <w:p w14:paraId="5D35E578" w14:textId="77777777" w:rsidR="00000000" w:rsidRDefault="00E614A4">
      <w:pPr>
        <w:divId w:val="826676463"/>
        <w:rPr>
          <w:rFonts w:eastAsia="Times New Roman"/>
        </w:rPr>
      </w:pPr>
      <w:r>
        <w:rPr>
          <w:rFonts w:eastAsia="Times New Roman"/>
          <w:color w:val="000000"/>
          <w:sz w:val="18"/>
          <w:szCs w:val="18"/>
        </w:rPr>
        <w:t> </w:t>
      </w:r>
    </w:p>
    <w:tbl>
      <w:tblPr>
        <w:tblW w:w="4743" w:type="pct"/>
        <w:tblCellMar>
          <w:top w:w="15" w:type="dxa"/>
          <w:left w:w="15" w:type="dxa"/>
          <w:bottom w:w="15" w:type="dxa"/>
          <w:right w:w="15" w:type="dxa"/>
        </w:tblCellMar>
        <w:tblLook w:val="04A0" w:firstRow="1" w:lastRow="0" w:firstColumn="1" w:lastColumn="0" w:noHBand="0" w:noVBand="1"/>
      </w:tblPr>
      <w:tblGrid>
        <w:gridCol w:w="58"/>
        <w:gridCol w:w="2754"/>
        <w:gridCol w:w="37"/>
        <w:gridCol w:w="36"/>
        <w:gridCol w:w="182"/>
        <w:gridCol w:w="36"/>
        <w:gridCol w:w="59"/>
        <w:gridCol w:w="3447"/>
        <w:gridCol w:w="37"/>
        <w:gridCol w:w="59"/>
        <w:gridCol w:w="1138"/>
        <w:gridCol w:w="36"/>
      </w:tblGrid>
      <w:tr w:rsidR="00000000" w14:paraId="3E682D92" w14:textId="77777777">
        <w:trPr>
          <w:divId w:val="1481967750"/>
        </w:trPr>
        <w:tc>
          <w:tcPr>
            <w:tcW w:w="50" w:type="pct"/>
            <w:vAlign w:val="center"/>
            <w:hideMark/>
          </w:tcPr>
          <w:p w14:paraId="77B1053B" w14:textId="77777777" w:rsidR="00000000" w:rsidRDefault="00E614A4">
            <w:pPr>
              <w:rPr>
                <w:rFonts w:eastAsia="Times New Roman"/>
              </w:rPr>
            </w:pPr>
          </w:p>
        </w:tc>
        <w:tc>
          <w:tcPr>
            <w:tcW w:w="1760" w:type="pct"/>
            <w:vAlign w:val="center"/>
            <w:hideMark/>
          </w:tcPr>
          <w:p w14:paraId="5D22A410" w14:textId="77777777" w:rsidR="00000000" w:rsidRDefault="00E614A4">
            <w:pPr>
              <w:rPr>
                <w:rFonts w:eastAsia="Times New Roman"/>
                <w:sz w:val="20"/>
                <w:szCs w:val="20"/>
              </w:rPr>
            </w:pPr>
          </w:p>
        </w:tc>
        <w:tc>
          <w:tcPr>
            <w:tcW w:w="5" w:type="pct"/>
            <w:vAlign w:val="center"/>
            <w:hideMark/>
          </w:tcPr>
          <w:p w14:paraId="14FCEEEE" w14:textId="77777777" w:rsidR="00000000" w:rsidRDefault="00E614A4">
            <w:pPr>
              <w:rPr>
                <w:rFonts w:eastAsia="Times New Roman"/>
                <w:sz w:val="20"/>
                <w:szCs w:val="20"/>
              </w:rPr>
            </w:pPr>
          </w:p>
        </w:tc>
        <w:tc>
          <w:tcPr>
            <w:tcW w:w="5" w:type="pct"/>
            <w:vAlign w:val="center"/>
            <w:hideMark/>
          </w:tcPr>
          <w:p w14:paraId="4666D044" w14:textId="77777777" w:rsidR="00000000" w:rsidRDefault="00E614A4">
            <w:pPr>
              <w:rPr>
                <w:rFonts w:eastAsia="Times New Roman"/>
                <w:sz w:val="20"/>
                <w:szCs w:val="20"/>
              </w:rPr>
            </w:pPr>
          </w:p>
        </w:tc>
        <w:tc>
          <w:tcPr>
            <w:tcW w:w="129" w:type="pct"/>
            <w:vAlign w:val="center"/>
            <w:hideMark/>
          </w:tcPr>
          <w:p w14:paraId="71509632" w14:textId="77777777" w:rsidR="00000000" w:rsidRDefault="00E614A4">
            <w:pPr>
              <w:rPr>
                <w:rFonts w:eastAsia="Times New Roman"/>
                <w:sz w:val="20"/>
                <w:szCs w:val="20"/>
              </w:rPr>
            </w:pPr>
          </w:p>
        </w:tc>
        <w:tc>
          <w:tcPr>
            <w:tcW w:w="5" w:type="pct"/>
            <w:vAlign w:val="center"/>
            <w:hideMark/>
          </w:tcPr>
          <w:p w14:paraId="3B9EDFAB" w14:textId="77777777" w:rsidR="00000000" w:rsidRDefault="00E614A4">
            <w:pPr>
              <w:rPr>
                <w:rFonts w:eastAsia="Times New Roman"/>
                <w:sz w:val="20"/>
                <w:szCs w:val="20"/>
              </w:rPr>
            </w:pPr>
          </w:p>
        </w:tc>
        <w:tc>
          <w:tcPr>
            <w:tcW w:w="50" w:type="pct"/>
            <w:vAlign w:val="center"/>
            <w:hideMark/>
          </w:tcPr>
          <w:p w14:paraId="58F7855A" w14:textId="77777777" w:rsidR="00000000" w:rsidRDefault="00E614A4">
            <w:pPr>
              <w:rPr>
                <w:rFonts w:eastAsia="Times New Roman"/>
                <w:sz w:val="20"/>
                <w:szCs w:val="20"/>
              </w:rPr>
            </w:pPr>
          </w:p>
        </w:tc>
        <w:tc>
          <w:tcPr>
            <w:tcW w:w="2199" w:type="pct"/>
            <w:vAlign w:val="center"/>
            <w:hideMark/>
          </w:tcPr>
          <w:p w14:paraId="2AC3AC8E" w14:textId="77777777" w:rsidR="00000000" w:rsidRDefault="00E614A4">
            <w:pPr>
              <w:rPr>
                <w:rFonts w:eastAsia="Times New Roman"/>
                <w:sz w:val="20"/>
                <w:szCs w:val="20"/>
              </w:rPr>
            </w:pPr>
          </w:p>
        </w:tc>
        <w:tc>
          <w:tcPr>
            <w:tcW w:w="5" w:type="pct"/>
            <w:vAlign w:val="center"/>
            <w:hideMark/>
          </w:tcPr>
          <w:p w14:paraId="2FBF9BC7" w14:textId="77777777" w:rsidR="00000000" w:rsidRDefault="00E614A4">
            <w:pPr>
              <w:rPr>
                <w:rFonts w:eastAsia="Times New Roman"/>
                <w:sz w:val="20"/>
                <w:szCs w:val="20"/>
              </w:rPr>
            </w:pPr>
          </w:p>
        </w:tc>
        <w:tc>
          <w:tcPr>
            <w:tcW w:w="50" w:type="pct"/>
            <w:vAlign w:val="center"/>
            <w:hideMark/>
          </w:tcPr>
          <w:p w14:paraId="64C7F31D" w14:textId="77777777" w:rsidR="00000000" w:rsidRDefault="00E614A4">
            <w:pPr>
              <w:rPr>
                <w:rFonts w:eastAsia="Times New Roman"/>
                <w:sz w:val="20"/>
                <w:szCs w:val="20"/>
              </w:rPr>
            </w:pPr>
          </w:p>
        </w:tc>
        <w:tc>
          <w:tcPr>
            <w:tcW w:w="735" w:type="pct"/>
            <w:vAlign w:val="center"/>
            <w:hideMark/>
          </w:tcPr>
          <w:p w14:paraId="65C686DC" w14:textId="77777777" w:rsidR="00000000" w:rsidRDefault="00E614A4">
            <w:pPr>
              <w:rPr>
                <w:rFonts w:eastAsia="Times New Roman"/>
                <w:sz w:val="20"/>
                <w:szCs w:val="20"/>
              </w:rPr>
            </w:pPr>
          </w:p>
        </w:tc>
        <w:tc>
          <w:tcPr>
            <w:tcW w:w="5" w:type="pct"/>
            <w:vAlign w:val="center"/>
            <w:hideMark/>
          </w:tcPr>
          <w:p w14:paraId="0C309246" w14:textId="77777777" w:rsidR="00000000" w:rsidRDefault="00E614A4">
            <w:pPr>
              <w:rPr>
                <w:rFonts w:eastAsia="Times New Roman"/>
                <w:sz w:val="20"/>
                <w:szCs w:val="20"/>
              </w:rPr>
            </w:pPr>
          </w:p>
        </w:tc>
      </w:tr>
      <w:tr w:rsidR="00000000" w14:paraId="49B25870" w14:textId="77777777">
        <w:trPr>
          <w:divId w:val="1481967750"/>
        </w:trPr>
        <w:tc>
          <w:tcPr>
            <w:tcW w:w="0" w:type="auto"/>
            <w:gridSpan w:val="3"/>
            <w:tcMar>
              <w:top w:w="30" w:type="dxa"/>
              <w:left w:w="20" w:type="dxa"/>
              <w:bottom w:w="30" w:type="dxa"/>
              <w:right w:w="20" w:type="dxa"/>
            </w:tcMar>
            <w:vAlign w:val="bottom"/>
            <w:hideMark/>
          </w:tcPr>
          <w:p w14:paraId="3DA8FEF9" w14:textId="77777777" w:rsidR="00000000" w:rsidRDefault="00E614A4">
            <w:pPr>
              <w:jc w:val="center"/>
              <w:rPr>
                <w:rFonts w:eastAsia="Times New Roman"/>
              </w:rPr>
            </w:pPr>
            <w:r>
              <w:rPr>
                <w:rFonts w:eastAsia="Times New Roman"/>
                <w:b/>
                <w:bCs/>
                <w:color w:val="000000"/>
                <w:sz w:val="16"/>
                <w:szCs w:val="16"/>
                <w:u w:val="single"/>
              </w:rPr>
              <w:t>Signature</w:t>
            </w:r>
          </w:p>
        </w:tc>
        <w:tc>
          <w:tcPr>
            <w:tcW w:w="0" w:type="auto"/>
            <w:gridSpan w:val="3"/>
            <w:tcMar>
              <w:top w:w="30" w:type="dxa"/>
              <w:left w:w="20" w:type="dxa"/>
              <w:bottom w:w="30" w:type="dxa"/>
              <w:right w:w="20" w:type="dxa"/>
            </w:tcMar>
            <w:vAlign w:val="bottom"/>
            <w:hideMark/>
          </w:tcPr>
          <w:p w14:paraId="174A747F"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E63DE0B" w14:textId="77777777" w:rsidR="00000000" w:rsidRDefault="00E614A4">
            <w:pPr>
              <w:jc w:val="center"/>
              <w:rPr>
                <w:rFonts w:eastAsia="Times New Roman"/>
              </w:rPr>
            </w:pPr>
            <w:r>
              <w:rPr>
                <w:rFonts w:eastAsia="Times New Roman"/>
                <w:b/>
                <w:bCs/>
                <w:color w:val="000000"/>
                <w:sz w:val="16"/>
                <w:szCs w:val="16"/>
                <w:u w:val="single"/>
              </w:rPr>
              <w:t>Title</w:t>
            </w:r>
          </w:p>
        </w:tc>
        <w:tc>
          <w:tcPr>
            <w:tcW w:w="0" w:type="auto"/>
            <w:gridSpan w:val="3"/>
            <w:tcMar>
              <w:top w:w="30" w:type="dxa"/>
              <w:left w:w="20" w:type="dxa"/>
              <w:bottom w:w="30" w:type="dxa"/>
              <w:right w:w="20" w:type="dxa"/>
            </w:tcMar>
            <w:vAlign w:val="bottom"/>
            <w:hideMark/>
          </w:tcPr>
          <w:p w14:paraId="7849FE6B" w14:textId="77777777" w:rsidR="00000000" w:rsidRDefault="00E614A4">
            <w:pPr>
              <w:jc w:val="center"/>
              <w:rPr>
                <w:rFonts w:eastAsia="Times New Roman"/>
              </w:rPr>
            </w:pPr>
            <w:r>
              <w:rPr>
                <w:rFonts w:eastAsia="Times New Roman"/>
                <w:b/>
                <w:bCs/>
                <w:color w:val="000000"/>
                <w:sz w:val="16"/>
                <w:szCs w:val="16"/>
                <w:u w:val="single"/>
              </w:rPr>
              <w:t>Date</w:t>
            </w:r>
          </w:p>
        </w:tc>
      </w:tr>
      <w:tr w:rsidR="00000000" w14:paraId="7920AB55" w14:textId="77777777">
        <w:trPr>
          <w:divId w:val="1481967750"/>
          <w:trHeight w:val="60"/>
        </w:trPr>
        <w:tc>
          <w:tcPr>
            <w:tcW w:w="0" w:type="auto"/>
            <w:gridSpan w:val="3"/>
            <w:tcMar>
              <w:top w:w="0" w:type="dxa"/>
              <w:left w:w="20" w:type="dxa"/>
              <w:bottom w:w="0" w:type="dxa"/>
              <w:right w:w="20" w:type="dxa"/>
            </w:tcMar>
            <w:vAlign w:val="center"/>
            <w:hideMark/>
          </w:tcPr>
          <w:p w14:paraId="59F7AD68" w14:textId="77777777" w:rsidR="00000000" w:rsidRDefault="00E614A4">
            <w:pPr>
              <w:jc w:val="center"/>
              <w:rPr>
                <w:rFonts w:eastAsia="Times New Roman"/>
              </w:rPr>
            </w:pPr>
          </w:p>
        </w:tc>
        <w:tc>
          <w:tcPr>
            <w:tcW w:w="0" w:type="auto"/>
            <w:gridSpan w:val="6"/>
            <w:tcMar>
              <w:top w:w="0" w:type="dxa"/>
              <w:left w:w="20" w:type="dxa"/>
              <w:bottom w:w="0" w:type="dxa"/>
              <w:right w:w="20" w:type="dxa"/>
            </w:tcMar>
            <w:vAlign w:val="center"/>
            <w:hideMark/>
          </w:tcPr>
          <w:p w14:paraId="0DC45E2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15BC851" w14:textId="77777777" w:rsidR="00000000" w:rsidRDefault="00E614A4">
            <w:pPr>
              <w:rPr>
                <w:rFonts w:eastAsia="Times New Roman"/>
                <w:sz w:val="20"/>
                <w:szCs w:val="20"/>
              </w:rPr>
            </w:pPr>
          </w:p>
        </w:tc>
      </w:tr>
      <w:tr w:rsidR="00000000" w14:paraId="6C18CA78" w14:textId="77777777">
        <w:trPr>
          <w:divId w:val="1481967750"/>
        </w:trPr>
        <w:tc>
          <w:tcPr>
            <w:tcW w:w="0" w:type="auto"/>
            <w:gridSpan w:val="3"/>
            <w:tcMar>
              <w:top w:w="30" w:type="dxa"/>
              <w:left w:w="20" w:type="dxa"/>
              <w:bottom w:w="30" w:type="dxa"/>
              <w:right w:w="20" w:type="dxa"/>
            </w:tcMar>
            <w:vAlign w:val="bottom"/>
            <w:hideMark/>
          </w:tcPr>
          <w:p w14:paraId="7559C8E6" w14:textId="77777777" w:rsidR="00000000" w:rsidRDefault="00E614A4">
            <w:pPr>
              <w:jc w:val="center"/>
              <w:rPr>
                <w:rFonts w:eastAsia="Times New Roman"/>
              </w:rPr>
            </w:pPr>
            <w:r>
              <w:rPr>
                <w:rFonts w:eastAsia="Times New Roman"/>
                <w:color w:val="000000"/>
                <w:sz w:val="20"/>
                <w:szCs w:val="20"/>
              </w:rPr>
              <w:t>/s/ William P. Livek</w:t>
            </w:r>
          </w:p>
        </w:tc>
        <w:tc>
          <w:tcPr>
            <w:tcW w:w="0" w:type="auto"/>
            <w:gridSpan w:val="3"/>
            <w:tcMar>
              <w:top w:w="30" w:type="dxa"/>
              <w:left w:w="20" w:type="dxa"/>
              <w:bottom w:w="30" w:type="dxa"/>
              <w:right w:w="20" w:type="dxa"/>
            </w:tcMar>
            <w:hideMark/>
          </w:tcPr>
          <w:p w14:paraId="107D047D"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721D64D" w14:textId="77777777" w:rsidR="00000000" w:rsidRDefault="00E614A4">
            <w:pPr>
              <w:jc w:val="center"/>
              <w:rPr>
                <w:rFonts w:eastAsia="Times New Roman"/>
              </w:rPr>
            </w:pPr>
            <w:r>
              <w:rPr>
                <w:rFonts w:eastAsia="Times New Roman"/>
                <w:color w:val="000000"/>
                <w:sz w:val="20"/>
                <w:szCs w:val="20"/>
              </w:rPr>
              <w:t>Chief Executive Officer and Executive Vice Chairman</w:t>
            </w:r>
          </w:p>
        </w:tc>
        <w:tc>
          <w:tcPr>
            <w:tcW w:w="0" w:type="auto"/>
            <w:gridSpan w:val="3"/>
            <w:tcMar>
              <w:top w:w="30" w:type="dxa"/>
              <w:left w:w="20" w:type="dxa"/>
              <w:bottom w:w="30" w:type="dxa"/>
              <w:right w:w="20" w:type="dxa"/>
            </w:tcMar>
            <w:vAlign w:val="bottom"/>
            <w:hideMark/>
          </w:tcPr>
          <w:p w14:paraId="582705DD" w14:textId="77777777" w:rsidR="00000000" w:rsidRDefault="00E614A4">
            <w:pPr>
              <w:jc w:val="center"/>
              <w:rPr>
                <w:rFonts w:eastAsia="Times New Roman"/>
              </w:rPr>
            </w:pPr>
            <w:r>
              <w:rPr>
                <w:rFonts w:eastAsia="Times New Roman"/>
                <w:color w:val="000000"/>
                <w:sz w:val="20"/>
                <w:szCs w:val="20"/>
              </w:rPr>
              <w:t>March 9, 2021</w:t>
            </w:r>
          </w:p>
        </w:tc>
      </w:tr>
      <w:tr w:rsidR="00000000" w14:paraId="0EF81BB1" w14:textId="77777777">
        <w:trPr>
          <w:divId w:val="1481967750"/>
        </w:trPr>
        <w:tc>
          <w:tcPr>
            <w:tcW w:w="0" w:type="auto"/>
            <w:gridSpan w:val="3"/>
            <w:tcBorders>
              <w:top w:val="single" w:sz="8" w:space="0" w:color="000000"/>
            </w:tcBorders>
            <w:tcMar>
              <w:top w:w="30" w:type="dxa"/>
              <w:left w:w="20" w:type="dxa"/>
              <w:bottom w:w="30" w:type="dxa"/>
              <w:right w:w="20" w:type="dxa"/>
            </w:tcMar>
            <w:vAlign w:val="bottom"/>
            <w:hideMark/>
          </w:tcPr>
          <w:p w14:paraId="0E1C5FF9" w14:textId="77777777" w:rsidR="00000000" w:rsidRDefault="00E614A4">
            <w:pPr>
              <w:jc w:val="center"/>
              <w:rPr>
                <w:rFonts w:eastAsia="Times New Roman"/>
              </w:rPr>
            </w:pPr>
            <w:r>
              <w:rPr>
                <w:rFonts w:eastAsia="Times New Roman"/>
                <w:color w:val="000000"/>
                <w:sz w:val="20"/>
                <w:szCs w:val="20"/>
              </w:rPr>
              <w:t>William P. Livek</w:t>
            </w:r>
          </w:p>
        </w:tc>
        <w:tc>
          <w:tcPr>
            <w:tcW w:w="0" w:type="auto"/>
            <w:gridSpan w:val="3"/>
            <w:tcMar>
              <w:top w:w="0" w:type="dxa"/>
              <w:left w:w="20" w:type="dxa"/>
              <w:bottom w:w="0" w:type="dxa"/>
              <w:right w:w="20" w:type="dxa"/>
            </w:tcMar>
            <w:vAlign w:val="center"/>
            <w:hideMark/>
          </w:tcPr>
          <w:p w14:paraId="719A8907"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5087CCE0" w14:textId="77777777" w:rsidR="00000000" w:rsidRDefault="00E614A4">
            <w:pPr>
              <w:jc w:val="center"/>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14:paraId="04CB869E" w14:textId="77777777" w:rsidR="00000000" w:rsidRDefault="00E614A4">
            <w:pPr>
              <w:jc w:val="center"/>
              <w:rPr>
                <w:rFonts w:eastAsia="Times New Roman"/>
              </w:rPr>
            </w:pPr>
          </w:p>
        </w:tc>
      </w:tr>
      <w:tr w:rsidR="00000000" w14:paraId="3C7CEB62" w14:textId="77777777">
        <w:trPr>
          <w:divId w:val="1481967750"/>
          <w:trHeight w:val="60"/>
        </w:trPr>
        <w:tc>
          <w:tcPr>
            <w:tcW w:w="0" w:type="auto"/>
            <w:gridSpan w:val="3"/>
            <w:tcMar>
              <w:top w:w="0" w:type="dxa"/>
              <w:left w:w="20" w:type="dxa"/>
              <w:bottom w:w="0" w:type="dxa"/>
              <w:right w:w="20" w:type="dxa"/>
            </w:tcMar>
            <w:vAlign w:val="center"/>
            <w:hideMark/>
          </w:tcPr>
          <w:p w14:paraId="5F4B02E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BBC560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33E18A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0446FAB" w14:textId="77777777" w:rsidR="00000000" w:rsidRDefault="00E614A4">
            <w:pPr>
              <w:rPr>
                <w:rFonts w:eastAsia="Times New Roman"/>
                <w:sz w:val="20"/>
                <w:szCs w:val="20"/>
              </w:rPr>
            </w:pPr>
          </w:p>
        </w:tc>
      </w:tr>
      <w:tr w:rsidR="00000000" w14:paraId="1ACC78C4" w14:textId="77777777">
        <w:trPr>
          <w:divId w:val="1481967750"/>
        </w:trPr>
        <w:tc>
          <w:tcPr>
            <w:tcW w:w="0" w:type="auto"/>
            <w:gridSpan w:val="3"/>
            <w:tcMar>
              <w:top w:w="30" w:type="dxa"/>
              <w:left w:w="20" w:type="dxa"/>
              <w:bottom w:w="30" w:type="dxa"/>
              <w:right w:w="20" w:type="dxa"/>
            </w:tcMar>
            <w:vAlign w:val="bottom"/>
            <w:hideMark/>
          </w:tcPr>
          <w:p w14:paraId="1F5ED689" w14:textId="77777777" w:rsidR="00000000" w:rsidRDefault="00E614A4">
            <w:pPr>
              <w:jc w:val="center"/>
              <w:rPr>
                <w:rFonts w:eastAsia="Times New Roman"/>
              </w:rPr>
            </w:pPr>
            <w:r>
              <w:rPr>
                <w:rFonts w:eastAsia="Times New Roman"/>
                <w:color w:val="000000"/>
                <w:sz w:val="20"/>
                <w:szCs w:val="20"/>
              </w:rPr>
              <w:t>/s/ Gregory A. Fink</w:t>
            </w:r>
          </w:p>
        </w:tc>
        <w:tc>
          <w:tcPr>
            <w:tcW w:w="0" w:type="auto"/>
            <w:gridSpan w:val="3"/>
            <w:tcMar>
              <w:top w:w="30" w:type="dxa"/>
              <w:left w:w="20" w:type="dxa"/>
              <w:bottom w:w="30" w:type="dxa"/>
              <w:right w:w="20" w:type="dxa"/>
            </w:tcMar>
            <w:vAlign w:val="bottom"/>
            <w:hideMark/>
          </w:tcPr>
          <w:p w14:paraId="145907A2"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6869EBB" w14:textId="77777777" w:rsidR="00000000" w:rsidRDefault="00E614A4">
            <w:pPr>
              <w:jc w:val="center"/>
              <w:rPr>
                <w:rFonts w:eastAsia="Times New Roman"/>
              </w:rPr>
            </w:pPr>
            <w:r>
              <w:rPr>
                <w:rFonts w:eastAsia="Times New Roman"/>
                <w:color w:val="000000"/>
                <w:sz w:val="20"/>
                <w:szCs w:val="20"/>
              </w:rPr>
              <w:t>Chief Financial Officer and Treasurer</w:t>
            </w:r>
          </w:p>
        </w:tc>
        <w:tc>
          <w:tcPr>
            <w:tcW w:w="0" w:type="auto"/>
            <w:gridSpan w:val="3"/>
            <w:tcMar>
              <w:top w:w="30" w:type="dxa"/>
              <w:left w:w="20" w:type="dxa"/>
              <w:bottom w:w="30" w:type="dxa"/>
              <w:right w:w="20" w:type="dxa"/>
            </w:tcMar>
            <w:vAlign w:val="bottom"/>
            <w:hideMark/>
          </w:tcPr>
          <w:p w14:paraId="65842D58" w14:textId="77777777" w:rsidR="00000000" w:rsidRDefault="00E614A4">
            <w:pPr>
              <w:jc w:val="center"/>
              <w:rPr>
                <w:rFonts w:eastAsia="Times New Roman"/>
              </w:rPr>
            </w:pPr>
            <w:r>
              <w:rPr>
                <w:rFonts w:eastAsia="Times New Roman"/>
                <w:color w:val="000000"/>
                <w:sz w:val="20"/>
                <w:szCs w:val="20"/>
              </w:rPr>
              <w:t>March 9, 2021</w:t>
            </w:r>
          </w:p>
        </w:tc>
      </w:tr>
      <w:tr w:rsidR="00000000" w14:paraId="59E0063A" w14:textId="77777777">
        <w:trPr>
          <w:divId w:val="1481967750"/>
        </w:trPr>
        <w:tc>
          <w:tcPr>
            <w:tcW w:w="0" w:type="auto"/>
            <w:gridSpan w:val="3"/>
            <w:tcBorders>
              <w:top w:val="single" w:sz="8" w:space="0" w:color="000000"/>
            </w:tcBorders>
            <w:tcMar>
              <w:top w:w="30" w:type="dxa"/>
              <w:left w:w="20" w:type="dxa"/>
              <w:bottom w:w="30" w:type="dxa"/>
              <w:right w:w="20" w:type="dxa"/>
            </w:tcMar>
            <w:hideMark/>
          </w:tcPr>
          <w:p w14:paraId="3141AAFB" w14:textId="77777777" w:rsidR="00000000" w:rsidRDefault="00E614A4">
            <w:pPr>
              <w:jc w:val="center"/>
              <w:rPr>
                <w:rFonts w:eastAsia="Times New Roman"/>
              </w:rPr>
            </w:pPr>
            <w:r>
              <w:rPr>
                <w:rFonts w:eastAsia="Times New Roman"/>
                <w:color w:val="000000"/>
                <w:sz w:val="20"/>
                <w:szCs w:val="20"/>
              </w:rPr>
              <w:t>Gregory A. Fink</w:t>
            </w:r>
          </w:p>
        </w:tc>
        <w:tc>
          <w:tcPr>
            <w:tcW w:w="0" w:type="auto"/>
            <w:gridSpan w:val="3"/>
            <w:tcMar>
              <w:top w:w="0" w:type="dxa"/>
              <w:left w:w="20" w:type="dxa"/>
              <w:bottom w:w="0" w:type="dxa"/>
              <w:right w:w="20" w:type="dxa"/>
            </w:tcMar>
            <w:vAlign w:val="center"/>
            <w:hideMark/>
          </w:tcPr>
          <w:p w14:paraId="3F49265E"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7451AD0D" w14:textId="77777777" w:rsidR="00000000" w:rsidRDefault="00E614A4">
            <w:pPr>
              <w:jc w:val="center"/>
              <w:rPr>
                <w:rFonts w:eastAsia="Times New Roman"/>
              </w:rPr>
            </w:pPr>
            <w:r>
              <w:rPr>
                <w:rFonts w:eastAsia="Times New Roman"/>
                <w:color w:val="000000"/>
                <w:sz w:val="20"/>
                <w:szCs w:val="20"/>
              </w:rPr>
              <w:t xml:space="preserve">(Principal Financial Officer and </w:t>
            </w:r>
            <w:r>
              <w:rPr>
                <w:rFonts w:eastAsia="Times New Roman"/>
                <w:color w:val="000000"/>
                <w:sz w:val="20"/>
                <w:szCs w:val="20"/>
              </w:rPr>
              <w:br/>
              <w:t>Principal Accounting Officer)</w:t>
            </w:r>
          </w:p>
        </w:tc>
        <w:tc>
          <w:tcPr>
            <w:tcW w:w="0" w:type="auto"/>
            <w:gridSpan w:val="3"/>
            <w:tcMar>
              <w:top w:w="0" w:type="dxa"/>
              <w:left w:w="20" w:type="dxa"/>
              <w:bottom w:w="0" w:type="dxa"/>
              <w:right w:w="20" w:type="dxa"/>
            </w:tcMar>
            <w:vAlign w:val="center"/>
            <w:hideMark/>
          </w:tcPr>
          <w:p w14:paraId="7C68C1CE" w14:textId="77777777" w:rsidR="00000000" w:rsidRDefault="00E614A4">
            <w:pPr>
              <w:jc w:val="center"/>
              <w:rPr>
                <w:rFonts w:eastAsia="Times New Roman"/>
              </w:rPr>
            </w:pPr>
          </w:p>
        </w:tc>
      </w:tr>
      <w:tr w:rsidR="00000000" w14:paraId="68027D47" w14:textId="77777777">
        <w:trPr>
          <w:divId w:val="1481967750"/>
          <w:trHeight w:val="60"/>
        </w:trPr>
        <w:tc>
          <w:tcPr>
            <w:tcW w:w="0" w:type="auto"/>
            <w:gridSpan w:val="3"/>
            <w:tcMar>
              <w:top w:w="0" w:type="dxa"/>
              <w:left w:w="20" w:type="dxa"/>
              <w:bottom w:w="0" w:type="dxa"/>
              <w:right w:w="20" w:type="dxa"/>
            </w:tcMar>
            <w:vAlign w:val="center"/>
            <w:hideMark/>
          </w:tcPr>
          <w:p w14:paraId="025BCBCC"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6A5F3BB"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783FD4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D97EA41" w14:textId="77777777" w:rsidR="00000000" w:rsidRDefault="00E614A4">
            <w:pPr>
              <w:rPr>
                <w:rFonts w:eastAsia="Times New Roman"/>
                <w:sz w:val="20"/>
                <w:szCs w:val="20"/>
              </w:rPr>
            </w:pPr>
          </w:p>
        </w:tc>
      </w:tr>
      <w:tr w:rsidR="00000000" w14:paraId="7B1AF0A5" w14:textId="77777777">
        <w:trPr>
          <w:divId w:val="1481967750"/>
        </w:trPr>
        <w:tc>
          <w:tcPr>
            <w:tcW w:w="0" w:type="auto"/>
            <w:gridSpan w:val="3"/>
            <w:tcMar>
              <w:top w:w="30" w:type="dxa"/>
              <w:left w:w="20" w:type="dxa"/>
              <w:bottom w:w="30" w:type="dxa"/>
              <w:right w:w="20" w:type="dxa"/>
            </w:tcMar>
            <w:vAlign w:val="bottom"/>
            <w:hideMark/>
          </w:tcPr>
          <w:p w14:paraId="428CF970" w14:textId="77777777" w:rsidR="00000000" w:rsidRDefault="00E614A4">
            <w:pPr>
              <w:jc w:val="center"/>
              <w:rPr>
                <w:rFonts w:eastAsia="Times New Roman"/>
              </w:rPr>
            </w:pPr>
            <w:r>
              <w:rPr>
                <w:rFonts w:eastAsia="Times New Roman"/>
                <w:color w:val="000000"/>
                <w:sz w:val="20"/>
                <w:szCs w:val="20"/>
              </w:rPr>
              <w:t>/s/ Brent D. Rosenthal</w:t>
            </w:r>
          </w:p>
        </w:tc>
        <w:tc>
          <w:tcPr>
            <w:tcW w:w="0" w:type="auto"/>
            <w:gridSpan w:val="3"/>
            <w:tcMar>
              <w:top w:w="0" w:type="dxa"/>
              <w:left w:w="20" w:type="dxa"/>
              <w:bottom w:w="0" w:type="dxa"/>
              <w:right w:w="20" w:type="dxa"/>
            </w:tcMar>
            <w:vAlign w:val="center"/>
            <w:hideMark/>
          </w:tcPr>
          <w:p w14:paraId="354A2610"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78A30E9F" w14:textId="77777777" w:rsidR="00000000" w:rsidRDefault="00E614A4">
            <w:pPr>
              <w:jc w:val="center"/>
              <w:rPr>
                <w:rFonts w:eastAsia="Times New Roman"/>
              </w:rPr>
            </w:pPr>
            <w:r>
              <w:rPr>
                <w:rFonts w:eastAsia="Times New Roman"/>
                <w:color w:val="000000"/>
                <w:sz w:val="20"/>
                <w:szCs w:val="20"/>
              </w:rPr>
              <w:t>Non-Executive Chairman</w:t>
            </w:r>
          </w:p>
        </w:tc>
        <w:tc>
          <w:tcPr>
            <w:tcW w:w="0" w:type="auto"/>
            <w:gridSpan w:val="3"/>
            <w:tcMar>
              <w:top w:w="30" w:type="dxa"/>
              <w:left w:w="20" w:type="dxa"/>
              <w:bottom w:w="30" w:type="dxa"/>
              <w:right w:w="20" w:type="dxa"/>
            </w:tcMar>
            <w:vAlign w:val="bottom"/>
            <w:hideMark/>
          </w:tcPr>
          <w:p w14:paraId="2274EFA9" w14:textId="77777777" w:rsidR="00000000" w:rsidRDefault="00E614A4">
            <w:pPr>
              <w:jc w:val="center"/>
              <w:rPr>
                <w:rFonts w:eastAsia="Times New Roman"/>
              </w:rPr>
            </w:pPr>
            <w:r>
              <w:rPr>
                <w:rFonts w:eastAsia="Times New Roman"/>
                <w:color w:val="000000"/>
                <w:sz w:val="20"/>
                <w:szCs w:val="20"/>
              </w:rPr>
              <w:t>March 9, 2021</w:t>
            </w:r>
          </w:p>
        </w:tc>
      </w:tr>
      <w:tr w:rsidR="00000000" w14:paraId="41D1806B" w14:textId="77777777">
        <w:trPr>
          <w:divId w:val="1481967750"/>
        </w:trPr>
        <w:tc>
          <w:tcPr>
            <w:tcW w:w="0" w:type="auto"/>
            <w:gridSpan w:val="3"/>
            <w:tcBorders>
              <w:top w:val="single" w:sz="8" w:space="0" w:color="000000"/>
            </w:tcBorders>
            <w:tcMar>
              <w:top w:w="30" w:type="dxa"/>
              <w:left w:w="20" w:type="dxa"/>
              <w:bottom w:w="30" w:type="dxa"/>
              <w:right w:w="20" w:type="dxa"/>
            </w:tcMar>
            <w:vAlign w:val="bottom"/>
            <w:hideMark/>
          </w:tcPr>
          <w:p w14:paraId="538EEA5E" w14:textId="77777777" w:rsidR="00000000" w:rsidRDefault="00E614A4">
            <w:pPr>
              <w:jc w:val="center"/>
              <w:rPr>
                <w:rFonts w:eastAsia="Times New Roman"/>
              </w:rPr>
            </w:pPr>
            <w:r>
              <w:rPr>
                <w:rFonts w:eastAsia="Times New Roman"/>
                <w:color w:val="000000"/>
                <w:sz w:val="20"/>
                <w:szCs w:val="20"/>
              </w:rPr>
              <w:t>Brent D. Rosenthal</w:t>
            </w:r>
          </w:p>
        </w:tc>
        <w:tc>
          <w:tcPr>
            <w:tcW w:w="0" w:type="auto"/>
            <w:gridSpan w:val="3"/>
            <w:tcMar>
              <w:top w:w="0" w:type="dxa"/>
              <w:left w:w="20" w:type="dxa"/>
              <w:bottom w:w="0" w:type="dxa"/>
              <w:right w:w="20" w:type="dxa"/>
            </w:tcMar>
            <w:vAlign w:val="center"/>
            <w:hideMark/>
          </w:tcPr>
          <w:p w14:paraId="2CC1FEE0"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295BB257"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DD57AB6" w14:textId="77777777" w:rsidR="00000000" w:rsidRDefault="00E614A4">
            <w:pPr>
              <w:rPr>
                <w:rFonts w:eastAsia="Times New Roman"/>
                <w:sz w:val="20"/>
                <w:szCs w:val="20"/>
              </w:rPr>
            </w:pPr>
          </w:p>
        </w:tc>
      </w:tr>
      <w:tr w:rsidR="00000000" w14:paraId="5A90D1C3" w14:textId="77777777">
        <w:trPr>
          <w:divId w:val="1481967750"/>
          <w:trHeight w:val="60"/>
        </w:trPr>
        <w:tc>
          <w:tcPr>
            <w:tcW w:w="0" w:type="auto"/>
            <w:gridSpan w:val="3"/>
            <w:tcMar>
              <w:top w:w="0" w:type="dxa"/>
              <w:left w:w="20" w:type="dxa"/>
              <w:bottom w:w="0" w:type="dxa"/>
              <w:right w:w="20" w:type="dxa"/>
            </w:tcMar>
            <w:vAlign w:val="center"/>
            <w:hideMark/>
          </w:tcPr>
          <w:p w14:paraId="1D385CB8"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649BC2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5C35485"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18E48EF" w14:textId="77777777" w:rsidR="00000000" w:rsidRDefault="00E614A4">
            <w:pPr>
              <w:rPr>
                <w:rFonts w:eastAsia="Times New Roman"/>
                <w:sz w:val="20"/>
                <w:szCs w:val="20"/>
              </w:rPr>
            </w:pPr>
          </w:p>
        </w:tc>
      </w:tr>
      <w:tr w:rsidR="00000000" w14:paraId="069DEDAA" w14:textId="77777777">
        <w:trPr>
          <w:divId w:val="1481967750"/>
        </w:trPr>
        <w:tc>
          <w:tcPr>
            <w:tcW w:w="0" w:type="auto"/>
            <w:gridSpan w:val="3"/>
            <w:tcMar>
              <w:top w:w="30" w:type="dxa"/>
              <w:left w:w="20" w:type="dxa"/>
              <w:bottom w:w="30" w:type="dxa"/>
              <w:right w:w="20" w:type="dxa"/>
            </w:tcMar>
            <w:vAlign w:val="bottom"/>
            <w:hideMark/>
          </w:tcPr>
          <w:p w14:paraId="00CC16FC" w14:textId="77777777" w:rsidR="00000000" w:rsidRDefault="00E614A4">
            <w:pPr>
              <w:jc w:val="center"/>
              <w:rPr>
                <w:rFonts w:eastAsia="Times New Roman"/>
              </w:rPr>
            </w:pPr>
            <w:r>
              <w:rPr>
                <w:rFonts w:eastAsia="Times New Roman"/>
                <w:color w:val="000000"/>
                <w:sz w:val="20"/>
                <w:szCs w:val="20"/>
              </w:rPr>
              <w:t>/s/ Irwin Gotlieb</w:t>
            </w:r>
          </w:p>
        </w:tc>
        <w:tc>
          <w:tcPr>
            <w:tcW w:w="0" w:type="auto"/>
            <w:gridSpan w:val="3"/>
            <w:tcMar>
              <w:top w:w="0" w:type="dxa"/>
              <w:left w:w="20" w:type="dxa"/>
              <w:bottom w:w="0" w:type="dxa"/>
              <w:right w:w="20" w:type="dxa"/>
            </w:tcMar>
            <w:vAlign w:val="center"/>
            <w:hideMark/>
          </w:tcPr>
          <w:p w14:paraId="309A7FAA"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3220667D" w14:textId="77777777" w:rsidR="00000000" w:rsidRDefault="00E614A4">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2008A490" w14:textId="77777777" w:rsidR="00000000" w:rsidRDefault="00E614A4">
            <w:pPr>
              <w:jc w:val="center"/>
              <w:rPr>
                <w:rFonts w:eastAsia="Times New Roman"/>
              </w:rPr>
            </w:pPr>
            <w:r>
              <w:rPr>
                <w:rFonts w:eastAsia="Times New Roman"/>
                <w:color w:val="000000"/>
                <w:sz w:val="20"/>
                <w:szCs w:val="20"/>
              </w:rPr>
              <w:t>March 9, 2021</w:t>
            </w:r>
          </w:p>
        </w:tc>
      </w:tr>
      <w:tr w:rsidR="00000000" w14:paraId="429D5125" w14:textId="77777777">
        <w:trPr>
          <w:divId w:val="1481967750"/>
        </w:trPr>
        <w:tc>
          <w:tcPr>
            <w:tcW w:w="0" w:type="auto"/>
            <w:gridSpan w:val="3"/>
            <w:tcBorders>
              <w:top w:val="single" w:sz="8" w:space="0" w:color="000000"/>
            </w:tcBorders>
            <w:tcMar>
              <w:top w:w="30" w:type="dxa"/>
              <w:left w:w="20" w:type="dxa"/>
              <w:bottom w:w="30" w:type="dxa"/>
              <w:right w:w="20" w:type="dxa"/>
            </w:tcMar>
            <w:vAlign w:val="bottom"/>
            <w:hideMark/>
          </w:tcPr>
          <w:p w14:paraId="73B33735" w14:textId="77777777" w:rsidR="00000000" w:rsidRDefault="00E614A4">
            <w:pPr>
              <w:jc w:val="center"/>
              <w:rPr>
                <w:rFonts w:eastAsia="Times New Roman"/>
              </w:rPr>
            </w:pPr>
            <w:r>
              <w:rPr>
                <w:rFonts w:eastAsia="Times New Roman"/>
                <w:color w:val="000000"/>
                <w:sz w:val="20"/>
                <w:szCs w:val="20"/>
              </w:rPr>
              <w:t>Irwin Gotlieb</w:t>
            </w:r>
          </w:p>
        </w:tc>
        <w:tc>
          <w:tcPr>
            <w:tcW w:w="0" w:type="auto"/>
            <w:gridSpan w:val="3"/>
            <w:tcMar>
              <w:top w:w="0" w:type="dxa"/>
              <w:left w:w="20" w:type="dxa"/>
              <w:bottom w:w="0" w:type="dxa"/>
              <w:right w:w="20" w:type="dxa"/>
            </w:tcMar>
            <w:vAlign w:val="center"/>
            <w:hideMark/>
          </w:tcPr>
          <w:p w14:paraId="3D59E766"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3D0F0EF1"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5BD1A0E" w14:textId="77777777" w:rsidR="00000000" w:rsidRDefault="00E614A4">
            <w:pPr>
              <w:rPr>
                <w:rFonts w:eastAsia="Times New Roman"/>
                <w:sz w:val="20"/>
                <w:szCs w:val="20"/>
              </w:rPr>
            </w:pPr>
          </w:p>
        </w:tc>
      </w:tr>
      <w:tr w:rsidR="00000000" w14:paraId="3BD17131" w14:textId="77777777">
        <w:trPr>
          <w:divId w:val="1481967750"/>
          <w:trHeight w:val="60"/>
        </w:trPr>
        <w:tc>
          <w:tcPr>
            <w:tcW w:w="0" w:type="auto"/>
            <w:gridSpan w:val="3"/>
            <w:tcMar>
              <w:top w:w="0" w:type="dxa"/>
              <w:left w:w="20" w:type="dxa"/>
              <w:bottom w:w="0" w:type="dxa"/>
              <w:right w:w="20" w:type="dxa"/>
            </w:tcMar>
            <w:vAlign w:val="center"/>
            <w:hideMark/>
          </w:tcPr>
          <w:p w14:paraId="283ECBE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0C2190D3"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EBDA6B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CB0F5C5" w14:textId="77777777" w:rsidR="00000000" w:rsidRDefault="00E614A4">
            <w:pPr>
              <w:rPr>
                <w:rFonts w:eastAsia="Times New Roman"/>
                <w:sz w:val="20"/>
                <w:szCs w:val="20"/>
              </w:rPr>
            </w:pPr>
          </w:p>
        </w:tc>
      </w:tr>
      <w:tr w:rsidR="00000000" w14:paraId="376F8A38" w14:textId="77777777">
        <w:trPr>
          <w:divId w:val="1481967750"/>
        </w:trPr>
        <w:tc>
          <w:tcPr>
            <w:tcW w:w="0" w:type="auto"/>
            <w:gridSpan w:val="3"/>
            <w:tcMar>
              <w:top w:w="30" w:type="dxa"/>
              <w:left w:w="20" w:type="dxa"/>
              <w:bottom w:w="30" w:type="dxa"/>
              <w:right w:w="20" w:type="dxa"/>
            </w:tcMar>
            <w:vAlign w:val="bottom"/>
            <w:hideMark/>
          </w:tcPr>
          <w:p w14:paraId="6CF02A7B" w14:textId="77777777" w:rsidR="00000000" w:rsidRDefault="00E614A4">
            <w:pPr>
              <w:jc w:val="center"/>
              <w:rPr>
                <w:rFonts w:eastAsia="Times New Roman"/>
              </w:rPr>
            </w:pPr>
            <w:r>
              <w:rPr>
                <w:rFonts w:eastAsia="Times New Roman"/>
                <w:color w:val="000000"/>
                <w:sz w:val="20"/>
                <w:szCs w:val="20"/>
              </w:rPr>
              <w:t>/s/ Jacques Kerrest</w:t>
            </w:r>
          </w:p>
        </w:tc>
        <w:tc>
          <w:tcPr>
            <w:tcW w:w="0" w:type="auto"/>
            <w:gridSpan w:val="3"/>
            <w:tcMar>
              <w:top w:w="30" w:type="dxa"/>
              <w:left w:w="20" w:type="dxa"/>
              <w:bottom w:w="30" w:type="dxa"/>
              <w:right w:w="20" w:type="dxa"/>
            </w:tcMar>
            <w:vAlign w:val="bottom"/>
            <w:hideMark/>
          </w:tcPr>
          <w:p w14:paraId="549AAE0A"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D138B20" w14:textId="77777777" w:rsidR="00000000" w:rsidRDefault="00E614A4">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01CD2E22" w14:textId="77777777" w:rsidR="00000000" w:rsidRDefault="00E614A4">
            <w:pPr>
              <w:jc w:val="center"/>
              <w:rPr>
                <w:rFonts w:eastAsia="Times New Roman"/>
              </w:rPr>
            </w:pPr>
            <w:r>
              <w:rPr>
                <w:rFonts w:eastAsia="Times New Roman"/>
                <w:color w:val="000000"/>
                <w:sz w:val="20"/>
                <w:szCs w:val="20"/>
              </w:rPr>
              <w:t>March 9, 2021</w:t>
            </w:r>
          </w:p>
        </w:tc>
      </w:tr>
      <w:tr w:rsidR="00000000" w14:paraId="464B29FD" w14:textId="77777777">
        <w:trPr>
          <w:divId w:val="1481967750"/>
        </w:trPr>
        <w:tc>
          <w:tcPr>
            <w:tcW w:w="0" w:type="auto"/>
            <w:gridSpan w:val="3"/>
            <w:tcBorders>
              <w:top w:val="single" w:sz="8" w:space="0" w:color="000000"/>
            </w:tcBorders>
            <w:tcMar>
              <w:top w:w="30" w:type="dxa"/>
              <w:left w:w="20" w:type="dxa"/>
              <w:bottom w:w="30" w:type="dxa"/>
              <w:right w:w="20" w:type="dxa"/>
            </w:tcMar>
            <w:hideMark/>
          </w:tcPr>
          <w:p w14:paraId="4D166534" w14:textId="77777777" w:rsidR="00000000" w:rsidRDefault="00E614A4">
            <w:pPr>
              <w:jc w:val="center"/>
              <w:rPr>
                <w:rFonts w:eastAsia="Times New Roman"/>
              </w:rPr>
            </w:pPr>
            <w:r>
              <w:rPr>
                <w:rFonts w:eastAsia="Times New Roman"/>
                <w:color w:val="000000"/>
                <w:sz w:val="20"/>
                <w:szCs w:val="20"/>
              </w:rPr>
              <w:t>Jacques Kerrest</w:t>
            </w:r>
          </w:p>
        </w:tc>
        <w:tc>
          <w:tcPr>
            <w:tcW w:w="0" w:type="auto"/>
            <w:gridSpan w:val="3"/>
            <w:tcMar>
              <w:top w:w="0" w:type="dxa"/>
              <w:left w:w="20" w:type="dxa"/>
              <w:bottom w:w="0" w:type="dxa"/>
              <w:right w:w="20" w:type="dxa"/>
            </w:tcMar>
            <w:vAlign w:val="center"/>
            <w:hideMark/>
          </w:tcPr>
          <w:p w14:paraId="6F356B15"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6F59F3BF"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68E8CE9C" w14:textId="77777777" w:rsidR="00000000" w:rsidRDefault="00E614A4">
            <w:pPr>
              <w:rPr>
                <w:rFonts w:eastAsia="Times New Roman"/>
                <w:sz w:val="20"/>
                <w:szCs w:val="20"/>
              </w:rPr>
            </w:pPr>
          </w:p>
        </w:tc>
      </w:tr>
      <w:tr w:rsidR="00000000" w14:paraId="34D54E8C" w14:textId="77777777">
        <w:trPr>
          <w:divId w:val="1481967750"/>
          <w:trHeight w:val="60"/>
        </w:trPr>
        <w:tc>
          <w:tcPr>
            <w:tcW w:w="0" w:type="auto"/>
            <w:gridSpan w:val="3"/>
            <w:tcMar>
              <w:top w:w="0" w:type="dxa"/>
              <w:left w:w="20" w:type="dxa"/>
              <w:bottom w:w="0" w:type="dxa"/>
              <w:right w:w="20" w:type="dxa"/>
            </w:tcMar>
            <w:vAlign w:val="center"/>
            <w:hideMark/>
          </w:tcPr>
          <w:p w14:paraId="4C96974A"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4836DD8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BDE6B19"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EBF881C" w14:textId="77777777" w:rsidR="00000000" w:rsidRDefault="00E614A4">
            <w:pPr>
              <w:rPr>
                <w:rFonts w:eastAsia="Times New Roman"/>
                <w:sz w:val="20"/>
                <w:szCs w:val="20"/>
              </w:rPr>
            </w:pPr>
          </w:p>
        </w:tc>
      </w:tr>
      <w:tr w:rsidR="00000000" w14:paraId="2BC04C74" w14:textId="77777777">
        <w:trPr>
          <w:divId w:val="1481967750"/>
        </w:trPr>
        <w:tc>
          <w:tcPr>
            <w:tcW w:w="0" w:type="auto"/>
            <w:gridSpan w:val="3"/>
            <w:tcMar>
              <w:top w:w="30" w:type="dxa"/>
              <w:left w:w="20" w:type="dxa"/>
              <w:bottom w:w="30" w:type="dxa"/>
              <w:right w:w="20" w:type="dxa"/>
            </w:tcMar>
            <w:vAlign w:val="bottom"/>
            <w:hideMark/>
          </w:tcPr>
          <w:p w14:paraId="7633296C" w14:textId="77777777" w:rsidR="00000000" w:rsidRDefault="00E614A4">
            <w:pPr>
              <w:jc w:val="center"/>
              <w:rPr>
                <w:rFonts w:eastAsia="Times New Roman"/>
              </w:rPr>
            </w:pPr>
            <w:r>
              <w:rPr>
                <w:rFonts w:eastAsia="Times New Roman"/>
                <w:color w:val="000000"/>
                <w:sz w:val="20"/>
                <w:szCs w:val="20"/>
              </w:rPr>
              <w:t>/s/ Kathleen Love</w:t>
            </w:r>
          </w:p>
        </w:tc>
        <w:tc>
          <w:tcPr>
            <w:tcW w:w="0" w:type="auto"/>
            <w:gridSpan w:val="3"/>
            <w:tcMar>
              <w:top w:w="0" w:type="dxa"/>
              <w:left w:w="20" w:type="dxa"/>
              <w:bottom w:w="0" w:type="dxa"/>
              <w:right w:w="20" w:type="dxa"/>
            </w:tcMar>
            <w:vAlign w:val="center"/>
            <w:hideMark/>
          </w:tcPr>
          <w:p w14:paraId="23C908E6" w14:textId="77777777" w:rsidR="00000000" w:rsidRDefault="00E614A4">
            <w:pPr>
              <w:jc w:val="center"/>
              <w:rPr>
                <w:rFonts w:eastAsia="Times New Roman"/>
              </w:rPr>
            </w:pPr>
          </w:p>
        </w:tc>
        <w:tc>
          <w:tcPr>
            <w:tcW w:w="0" w:type="auto"/>
            <w:gridSpan w:val="3"/>
            <w:tcMar>
              <w:top w:w="30" w:type="dxa"/>
              <w:left w:w="20" w:type="dxa"/>
              <w:bottom w:w="30" w:type="dxa"/>
              <w:right w:w="20" w:type="dxa"/>
            </w:tcMar>
            <w:vAlign w:val="bottom"/>
            <w:hideMark/>
          </w:tcPr>
          <w:p w14:paraId="72673259" w14:textId="77777777" w:rsidR="00000000" w:rsidRDefault="00E614A4">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7C037584" w14:textId="77777777" w:rsidR="00000000" w:rsidRDefault="00E614A4">
            <w:pPr>
              <w:jc w:val="center"/>
              <w:rPr>
                <w:rFonts w:eastAsia="Times New Roman"/>
              </w:rPr>
            </w:pPr>
            <w:r>
              <w:rPr>
                <w:rFonts w:eastAsia="Times New Roman"/>
                <w:color w:val="000000"/>
                <w:sz w:val="20"/>
                <w:szCs w:val="20"/>
              </w:rPr>
              <w:t>March 9, 2021</w:t>
            </w:r>
          </w:p>
        </w:tc>
      </w:tr>
      <w:tr w:rsidR="00000000" w14:paraId="6D804628" w14:textId="77777777">
        <w:trPr>
          <w:divId w:val="1481967750"/>
        </w:trPr>
        <w:tc>
          <w:tcPr>
            <w:tcW w:w="0" w:type="auto"/>
            <w:gridSpan w:val="3"/>
            <w:tcBorders>
              <w:top w:val="single" w:sz="8" w:space="0" w:color="000000"/>
            </w:tcBorders>
            <w:tcMar>
              <w:top w:w="30" w:type="dxa"/>
              <w:left w:w="20" w:type="dxa"/>
              <w:bottom w:w="30" w:type="dxa"/>
              <w:right w:w="20" w:type="dxa"/>
            </w:tcMar>
            <w:vAlign w:val="bottom"/>
            <w:hideMark/>
          </w:tcPr>
          <w:p w14:paraId="0B41CF97" w14:textId="77777777" w:rsidR="00000000" w:rsidRDefault="00E614A4">
            <w:pPr>
              <w:jc w:val="center"/>
              <w:rPr>
                <w:rFonts w:eastAsia="Times New Roman"/>
              </w:rPr>
            </w:pPr>
            <w:r>
              <w:rPr>
                <w:rFonts w:eastAsia="Times New Roman"/>
                <w:color w:val="000000"/>
                <w:sz w:val="20"/>
                <w:szCs w:val="20"/>
              </w:rPr>
              <w:t>Kathleen Love</w:t>
            </w:r>
          </w:p>
        </w:tc>
        <w:tc>
          <w:tcPr>
            <w:tcW w:w="0" w:type="auto"/>
            <w:gridSpan w:val="3"/>
            <w:tcMar>
              <w:top w:w="0" w:type="dxa"/>
              <w:left w:w="20" w:type="dxa"/>
              <w:bottom w:w="0" w:type="dxa"/>
              <w:right w:w="20" w:type="dxa"/>
            </w:tcMar>
            <w:vAlign w:val="center"/>
            <w:hideMark/>
          </w:tcPr>
          <w:p w14:paraId="76C59856"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15721C32"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55B074DE" w14:textId="77777777" w:rsidR="00000000" w:rsidRDefault="00E614A4">
            <w:pPr>
              <w:rPr>
                <w:rFonts w:eastAsia="Times New Roman"/>
                <w:sz w:val="20"/>
                <w:szCs w:val="20"/>
              </w:rPr>
            </w:pPr>
          </w:p>
        </w:tc>
      </w:tr>
      <w:tr w:rsidR="00000000" w14:paraId="2908D763" w14:textId="77777777">
        <w:trPr>
          <w:divId w:val="1481967750"/>
          <w:trHeight w:val="60"/>
        </w:trPr>
        <w:tc>
          <w:tcPr>
            <w:tcW w:w="0" w:type="auto"/>
            <w:gridSpan w:val="3"/>
            <w:tcMar>
              <w:top w:w="0" w:type="dxa"/>
              <w:left w:w="20" w:type="dxa"/>
              <w:bottom w:w="0" w:type="dxa"/>
              <w:right w:w="20" w:type="dxa"/>
            </w:tcMar>
            <w:vAlign w:val="center"/>
            <w:hideMark/>
          </w:tcPr>
          <w:p w14:paraId="6D1060BE"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285C4EBD"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784569EB"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19FD6498" w14:textId="77777777" w:rsidR="00000000" w:rsidRDefault="00E614A4">
            <w:pPr>
              <w:rPr>
                <w:rFonts w:eastAsia="Times New Roman"/>
                <w:sz w:val="20"/>
                <w:szCs w:val="20"/>
              </w:rPr>
            </w:pPr>
          </w:p>
        </w:tc>
      </w:tr>
      <w:tr w:rsidR="00000000" w14:paraId="4FA058F1" w14:textId="77777777">
        <w:trPr>
          <w:divId w:val="1481967750"/>
        </w:trPr>
        <w:tc>
          <w:tcPr>
            <w:tcW w:w="0" w:type="auto"/>
            <w:gridSpan w:val="3"/>
            <w:tcMar>
              <w:top w:w="30" w:type="dxa"/>
              <w:left w:w="20" w:type="dxa"/>
              <w:bottom w:w="30" w:type="dxa"/>
              <w:right w:w="20" w:type="dxa"/>
            </w:tcMar>
            <w:vAlign w:val="bottom"/>
            <w:hideMark/>
          </w:tcPr>
          <w:p w14:paraId="533BC555" w14:textId="77777777" w:rsidR="00000000" w:rsidRDefault="00E614A4">
            <w:pPr>
              <w:jc w:val="center"/>
              <w:rPr>
                <w:rFonts w:eastAsia="Times New Roman"/>
              </w:rPr>
            </w:pPr>
            <w:r>
              <w:rPr>
                <w:rFonts w:eastAsia="Times New Roman"/>
                <w:color w:val="000000"/>
                <w:sz w:val="20"/>
                <w:szCs w:val="20"/>
              </w:rPr>
              <w:t>/s/ John K. Martin Jr.</w:t>
            </w:r>
          </w:p>
        </w:tc>
        <w:tc>
          <w:tcPr>
            <w:tcW w:w="0" w:type="auto"/>
            <w:gridSpan w:val="3"/>
            <w:tcMar>
              <w:top w:w="30" w:type="dxa"/>
              <w:left w:w="20" w:type="dxa"/>
              <w:bottom w:w="30" w:type="dxa"/>
              <w:right w:w="20" w:type="dxa"/>
            </w:tcMar>
            <w:vAlign w:val="bottom"/>
            <w:hideMark/>
          </w:tcPr>
          <w:p w14:paraId="370E3BF3" w14:textId="77777777" w:rsidR="00000000" w:rsidRDefault="00E614A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81EAC99" w14:textId="77777777" w:rsidR="00000000" w:rsidRDefault="00E614A4">
            <w:pPr>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0BD042D3" w14:textId="77777777" w:rsidR="00000000" w:rsidRDefault="00E614A4">
            <w:pPr>
              <w:jc w:val="center"/>
              <w:rPr>
                <w:rFonts w:eastAsia="Times New Roman"/>
              </w:rPr>
            </w:pPr>
            <w:r>
              <w:rPr>
                <w:rFonts w:eastAsia="Times New Roman"/>
                <w:color w:val="000000"/>
                <w:sz w:val="20"/>
                <w:szCs w:val="20"/>
              </w:rPr>
              <w:t>March 9, 2021</w:t>
            </w:r>
          </w:p>
        </w:tc>
      </w:tr>
      <w:tr w:rsidR="00000000" w14:paraId="48675C8E" w14:textId="77777777">
        <w:trPr>
          <w:divId w:val="1481967750"/>
        </w:trPr>
        <w:tc>
          <w:tcPr>
            <w:tcW w:w="0" w:type="auto"/>
            <w:gridSpan w:val="3"/>
            <w:tcBorders>
              <w:top w:val="single" w:sz="8" w:space="0" w:color="000000"/>
            </w:tcBorders>
            <w:tcMar>
              <w:top w:w="30" w:type="dxa"/>
              <w:left w:w="20" w:type="dxa"/>
              <w:bottom w:w="30" w:type="dxa"/>
              <w:right w:w="20" w:type="dxa"/>
            </w:tcMar>
            <w:vAlign w:val="bottom"/>
            <w:hideMark/>
          </w:tcPr>
          <w:p w14:paraId="5580E98B" w14:textId="77777777" w:rsidR="00000000" w:rsidRDefault="00E614A4">
            <w:pPr>
              <w:jc w:val="center"/>
              <w:rPr>
                <w:rFonts w:eastAsia="Times New Roman"/>
              </w:rPr>
            </w:pPr>
            <w:r>
              <w:rPr>
                <w:rFonts w:eastAsia="Times New Roman"/>
                <w:color w:val="000000"/>
                <w:sz w:val="20"/>
                <w:szCs w:val="20"/>
              </w:rPr>
              <w:t>John K. Martin Jr.</w:t>
            </w:r>
          </w:p>
        </w:tc>
        <w:tc>
          <w:tcPr>
            <w:tcW w:w="0" w:type="auto"/>
            <w:gridSpan w:val="3"/>
            <w:tcMar>
              <w:top w:w="0" w:type="dxa"/>
              <w:left w:w="20" w:type="dxa"/>
              <w:bottom w:w="0" w:type="dxa"/>
              <w:right w:w="20" w:type="dxa"/>
            </w:tcMar>
            <w:vAlign w:val="center"/>
            <w:hideMark/>
          </w:tcPr>
          <w:p w14:paraId="4D8C6B16" w14:textId="77777777" w:rsidR="00000000" w:rsidRDefault="00E614A4">
            <w:pPr>
              <w:jc w:val="center"/>
              <w:rPr>
                <w:rFonts w:eastAsia="Times New Roman"/>
              </w:rPr>
            </w:pPr>
          </w:p>
        </w:tc>
        <w:tc>
          <w:tcPr>
            <w:tcW w:w="0" w:type="auto"/>
            <w:gridSpan w:val="3"/>
            <w:tcMar>
              <w:top w:w="0" w:type="dxa"/>
              <w:left w:w="20" w:type="dxa"/>
              <w:bottom w:w="0" w:type="dxa"/>
              <w:right w:w="20" w:type="dxa"/>
            </w:tcMar>
            <w:vAlign w:val="center"/>
            <w:hideMark/>
          </w:tcPr>
          <w:p w14:paraId="1EF512EC" w14:textId="77777777" w:rsidR="00000000" w:rsidRDefault="00E614A4">
            <w:pPr>
              <w:rPr>
                <w:rFonts w:eastAsia="Times New Roman"/>
                <w:sz w:val="20"/>
                <w:szCs w:val="20"/>
              </w:rPr>
            </w:pPr>
          </w:p>
        </w:tc>
        <w:tc>
          <w:tcPr>
            <w:tcW w:w="0" w:type="auto"/>
            <w:gridSpan w:val="3"/>
            <w:tcMar>
              <w:top w:w="0" w:type="dxa"/>
              <w:left w:w="20" w:type="dxa"/>
              <w:bottom w:w="0" w:type="dxa"/>
              <w:right w:w="20" w:type="dxa"/>
            </w:tcMar>
            <w:vAlign w:val="center"/>
            <w:hideMark/>
          </w:tcPr>
          <w:p w14:paraId="3AE398BD" w14:textId="77777777" w:rsidR="00000000" w:rsidRDefault="00E614A4">
            <w:pPr>
              <w:rPr>
                <w:rFonts w:eastAsia="Times New Roman"/>
                <w:sz w:val="20"/>
                <w:szCs w:val="20"/>
              </w:rPr>
            </w:pPr>
          </w:p>
        </w:tc>
      </w:tr>
    </w:tbl>
    <w:p w14:paraId="4056A1E1" w14:textId="77777777" w:rsidR="00000000" w:rsidRDefault="00E614A4">
      <w:pPr>
        <w:divId w:val="130754864"/>
        <w:rPr>
          <w:rFonts w:eastAsia="Times New Roman"/>
        </w:rPr>
      </w:pPr>
    </w:p>
    <w:p w14:paraId="568D1CF6" w14:textId="77777777" w:rsidR="00000000" w:rsidRDefault="00E614A4">
      <w:pPr>
        <w:jc w:val="center"/>
        <w:divId w:val="667025523"/>
        <w:rPr>
          <w:rFonts w:eastAsia="Times New Roman"/>
        </w:rPr>
      </w:pPr>
      <w:r>
        <w:rPr>
          <w:rFonts w:eastAsia="Times New Roman"/>
          <w:color w:val="000000"/>
          <w:sz w:val="20"/>
          <w:szCs w:val="20"/>
        </w:rPr>
        <w:t>113</w:t>
      </w:r>
    </w:p>
    <w:p w14:paraId="7E9CFC9A" w14:textId="77777777" w:rsidR="00000000" w:rsidRDefault="00E614A4">
      <w:pPr>
        <w:rPr>
          <w:rFonts w:eastAsia="Times New Roman"/>
        </w:rPr>
      </w:pPr>
      <w:r>
        <w:rPr>
          <w:rFonts w:eastAsia="Times New Roman"/>
        </w:rPr>
        <w:pict w14:anchorId="6E6FE45A">
          <v:rect id="_x0000_i1141" style="width:0;height:1.5pt" o:hralign="center" o:hrstd="t" o:hr="t" fillcolor="#a0a0a0" stroked="f"/>
        </w:pict>
      </w:r>
    </w:p>
    <w:p w14:paraId="6793AE15" w14:textId="77777777" w:rsidR="00000000" w:rsidRDefault="00E614A4">
      <w:pPr>
        <w:divId w:val="480385817"/>
        <w:rPr>
          <w:rFonts w:eastAsia="Times New Roman"/>
        </w:rPr>
      </w:pPr>
      <w:hyperlink w:anchor="ided6989bcc374020961c421c465250ee_7" w:history="1">
        <w:r>
          <w:rPr>
            <w:rStyle w:val="a3"/>
            <w:rFonts w:eastAsia="Times New Roman"/>
            <w:sz w:val="20"/>
            <w:szCs w:val="20"/>
          </w:rPr>
          <w:t>Table of Conte</w:t>
        </w:r>
      </w:hyperlink>
      <w:hyperlink w:anchor="ided6989bcc374020961c421c465250ee_7" w:history="1">
        <w:r>
          <w:rPr>
            <w:rStyle w:val="a3"/>
            <w:rFonts w:eastAsia="Times New Roman"/>
            <w:color w:val="0019FF"/>
            <w:sz w:val="20"/>
            <w:szCs w:val="20"/>
          </w:rPr>
          <w:t>nt</w:t>
        </w:r>
      </w:hyperlink>
      <w:r>
        <w:rPr>
          <w:rFonts w:eastAsia="Times New Roman"/>
          <w:color w:val="0019FF"/>
          <w:sz w:val="20"/>
          <w:szCs w:val="20"/>
          <w:u w:val="single"/>
        </w:rPr>
        <w:t>s</w:t>
      </w:r>
    </w:p>
    <w:p w14:paraId="278A4B80" w14:textId="77777777" w:rsidR="00000000" w:rsidRDefault="00E614A4">
      <w:pPr>
        <w:divId w:val="518199834"/>
        <w:rPr>
          <w:rFonts w:eastAsia="Times New Roman"/>
        </w:rPr>
      </w:pPr>
    </w:p>
    <w:p w14:paraId="7F7F283E" w14:textId="77777777" w:rsidR="00000000" w:rsidRDefault="00E614A4">
      <w:pPr>
        <w:divId w:val="637147422"/>
        <w:rPr>
          <w:rFonts w:eastAsia="Times New Roman"/>
        </w:rPr>
      </w:pPr>
    </w:p>
    <w:p w14:paraId="4C37BBF2" w14:textId="77777777" w:rsidR="00000000" w:rsidRDefault="00E614A4">
      <w:pPr>
        <w:divId w:val="727269279"/>
        <w:rPr>
          <w:rFonts w:eastAsia="Times New Roman"/>
        </w:rPr>
      </w:pPr>
    </w:p>
    <w:p w14:paraId="113222A3" w14:textId="77777777" w:rsidR="00000000" w:rsidRDefault="00E614A4">
      <w:pPr>
        <w:divId w:val="1681616803"/>
        <w:rPr>
          <w:rFonts w:eastAsia="Times New Roman"/>
        </w:rPr>
      </w:pPr>
      <w:r>
        <w:rPr>
          <w:rFonts w:eastAsia="Times New Roman"/>
          <w:noProof/>
        </w:rPr>
        <w:drawing>
          <wp:inline distT="0" distB="0" distL="0" distR="0" wp14:anchorId="559846B5" wp14:editId="4DDD6AE4">
            <wp:extent cx="304800" cy="3048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B677406" w14:textId="77777777" w:rsidR="00E614A4" w:rsidRDefault="00E614A4">
      <w:pPr>
        <w:divId w:val="1575167796"/>
        <w:rPr>
          <w:rFonts w:eastAsia="Times New Roman"/>
        </w:rPr>
      </w:pPr>
    </w:p>
    <w:sectPr w:rsidR="00E614A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614A4"/>
    <w:rsid w:val="00E614A4"/>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xbrl.sec.gov/dei/2020-01-31"/>
  <w:attachedSchema w:val="http://www.xbrl.org/2009/utr"/>
  <w:attachedSchema w:val="http://www.xbrl.org/2013/inlineXBRL"/>
  <w:attachedSchema w:val="http://www.xbrl.org/2003/linkbase"/>
  <w:attachedSchema w:val="http://www.xbrl.org/2003/instance"/>
  <w:attachedSchema w:val="http://fasb.org/srt/2020-01-31"/>
  <w:attachedSchema w:val="http://www.w3.org/1999/xlink"/>
  <w:attachedSchema w:val="http://xbrl.org/2006/xbrldi"/>
  <w:attachedSchema w:val="http://www.xbrl.org/inlineXBRL/transformation/2015-02-26"/>
  <w:attachedSchema w:val="http://xbrl.sec.gov/country/2020-01-31"/>
  <w:attachedSchema w:val="http://www.comscore.com/20201231"/>
  <w:attachedSchema w:val="http://fasb.org/us-gaap/2020-01-31"/>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84E69"/>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83">
      <w:marLeft w:val="0"/>
      <w:marRight w:val="0"/>
      <w:marTop w:val="100"/>
      <w:marBottom w:val="0"/>
      <w:divBdr>
        <w:top w:val="none" w:sz="0" w:space="0" w:color="auto"/>
        <w:left w:val="none" w:sz="0" w:space="0" w:color="auto"/>
        <w:bottom w:val="none" w:sz="0" w:space="0" w:color="auto"/>
        <w:right w:val="none" w:sz="0" w:space="0" w:color="auto"/>
      </w:divBdr>
    </w:div>
    <w:div w:id="551456">
      <w:marLeft w:val="0"/>
      <w:marRight w:val="0"/>
      <w:marTop w:val="60"/>
      <w:marBottom w:val="0"/>
      <w:divBdr>
        <w:top w:val="none" w:sz="0" w:space="0" w:color="auto"/>
        <w:left w:val="none" w:sz="0" w:space="0" w:color="auto"/>
        <w:bottom w:val="none" w:sz="0" w:space="0" w:color="auto"/>
        <w:right w:val="none" w:sz="0" w:space="0" w:color="auto"/>
      </w:divBdr>
    </w:div>
    <w:div w:id="621511">
      <w:marLeft w:val="0"/>
      <w:marRight w:val="0"/>
      <w:marTop w:val="0"/>
      <w:marBottom w:val="0"/>
      <w:divBdr>
        <w:top w:val="none" w:sz="0" w:space="0" w:color="auto"/>
        <w:left w:val="none" w:sz="0" w:space="0" w:color="auto"/>
        <w:bottom w:val="none" w:sz="0" w:space="0" w:color="auto"/>
        <w:right w:val="none" w:sz="0" w:space="0" w:color="auto"/>
      </w:divBdr>
      <w:divsChild>
        <w:div w:id="1584099889">
          <w:marLeft w:val="0"/>
          <w:marRight w:val="0"/>
          <w:marTop w:val="0"/>
          <w:marBottom w:val="0"/>
          <w:divBdr>
            <w:top w:val="none" w:sz="0" w:space="0" w:color="auto"/>
            <w:left w:val="none" w:sz="0" w:space="0" w:color="auto"/>
            <w:bottom w:val="none" w:sz="0" w:space="0" w:color="auto"/>
            <w:right w:val="none" w:sz="0" w:space="0" w:color="auto"/>
          </w:divBdr>
        </w:div>
        <w:div w:id="1896963128">
          <w:marLeft w:val="0"/>
          <w:marRight w:val="0"/>
          <w:marTop w:val="0"/>
          <w:marBottom w:val="0"/>
          <w:divBdr>
            <w:top w:val="none" w:sz="0" w:space="0" w:color="auto"/>
            <w:left w:val="none" w:sz="0" w:space="0" w:color="auto"/>
            <w:bottom w:val="none" w:sz="0" w:space="0" w:color="auto"/>
            <w:right w:val="none" w:sz="0" w:space="0" w:color="auto"/>
          </w:divBdr>
        </w:div>
      </w:divsChild>
    </w:div>
    <w:div w:id="1208420">
      <w:marLeft w:val="0"/>
      <w:marRight w:val="0"/>
      <w:marTop w:val="100"/>
      <w:marBottom w:val="0"/>
      <w:divBdr>
        <w:top w:val="none" w:sz="0" w:space="0" w:color="auto"/>
        <w:left w:val="none" w:sz="0" w:space="0" w:color="auto"/>
        <w:bottom w:val="none" w:sz="0" w:space="0" w:color="auto"/>
        <w:right w:val="none" w:sz="0" w:space="0" w:color="auto"/>
      </w:divBdr>
    </w:div>
    <w:div w:id="1250011">
      <w:marLeft w:val="0"/>
      <w:marRight w:val="0"/>
      <w:marTop w:val="100"/>
      <w:marBottom w:val="0"/>
      <w:divBdr>
        <w:top w:val="none" w:sz="0" w:space="0" w:color="auto"/>
        <w:left w:val="none" w:sz="0" w:space="0" w:color="auto"/>
        <w:bottom w:val="none" w:sz="0" w:space="0" w:color="auto"/>
        <w:right w:val="none" w:sz="0" w:space="0" w:color="auto"/>
      </w:divBdr>
    </w:div>
    <w:div w:id="1979545">
      <w:marLeft w:val="0"/>
      <w:marRight w:val="0"/>
      <w:marTop w:val="40"/>
      <w:marBottom w:val="0"/>
      <w:divBdr>
        <w:top w:val="none" w:sz="0" w:space="0" w:color="auto"/>
        <w:left w:val="none" w:sz="0" w:space="0" w:color="auto"/>
        <w:bottom w:val="none" w:sz="0" w:space="0" w:color="auto"/>
        <w:right w:val="none" w:sz="0" w:space="0" w:color="auto"/>
      </w:divBdr>
    </w:div>
    <w:div w:id="5208452">
      <w:marLeft w:val="0"/>
      <w:marRight w:val="0"/>
      <w:marTop w:val="100"/>
      <w:marBottom w:val="0"/>
      <w:divBdr>
        <w:top w:val="none" w:sz="0" w:space="0" w:color="auto"/>
        <w:left w:val="none" w:sz="0" w:space="0" w:color="auto"/>
        <w:bottom w:val="none" w:sz="0" w:space="0" w:color="auto"/>
        <w:right w:val="none" w:sz="0" w:space="0" w:color="auto"/>
      </w:divBdr>
    </w:div>
    <w:div w:id="6372245">
      <w:marLeft w:val="0"/>
      <w:marRight w:val="0"/>
      <w:marTop w:val="100"/>
      <w:marBottom w:val="0"/>
      <w:divBdr>
        <w:top w:val="none" w:sz="0" w:space="0" w:color="auto"/>
        <w:left w:val="none" w:sz="0" w:space="0" w:color="auto"/>
        <w:bottom w:val="none" w:sz="0" w:space="0" w:color="auto"/>
        <w:right w:val="none" w:sz="0" w:space="0" w:color="auto"/>
      </w:divBdr>
    </w:div>
    <w:div w:id="6562417">
      <w:marLeft w:val="0"/>
      <w:marRight w:val="0"/>
      <w:marTop w:val="100"/>
      <w:marBottom w:val="0"/>
      <w:divBdr>
        <w:top w:val="none" w:sz="0" w:space="0" w:color="auto"/>
        <w:left w:val="none" w:sz="0" w:space="0" w:color="auto"/>
        <w:bottom w:val="none" w:sz="0" w:space="0" w:color="auto"/>
        <w:right w:val="none" w:sz="0" w:space="0" w:color="auto"/>
      </w:divBdr>
    </w:div>
    <w:div w:id="7561392">
      <w:marLeft w:val="0"/>
      <w:marRight w:val="0"/>
      <w:marTop w:val="280"/>
      <w:marBottom w:val="0"/>
      <w:divBdr>
        <w:top w:val="none" w:sz="0" w:space="0" w:color="auto"/>
        <w:left w:val="none" w:sz="0" w:space="0" w:color="auto"/>
        <w:bottom w:val="none" w:sz="0" w:space="0" w:color="auto"/>
        <w:right w:val="none" w:sz="0" w:space="0" w:color="auto"/>
      </w:divBdr>
    </w:div>
    <w:div w:id="7947159">
      <w:marLeft w:val="0"/>
      <w:marRight w:val="0"/>
      <w:marTop w:val="0"/>
      <w:marBottom w:val="0"/>
      <w:divBdr>
        <w:top w:val="none" w:sz="0" w:space="0" w:color="auto"/>
        <w:left w:val="none" w:sz="0" w:space="0" w:color="auto"/>
        <w:bottom w:val="none" w:sz="0" w:space="0" w:color="auto"/>
        <w:right w:val="none" w:sz="0" w:space="0" w:color="auto"/>
      </w:divBdr>
      <w:divsChild>
        <w:div w:id="964895239">
          <w:marLeft w:val="0"/>
          <w:marRight w:val="0"/>
          <w:marTop w:val="0"/>
          <w:marBottom w:val="0"/>
          <w:divBdr>
            <w:top w:val="none" w:sz="0" w:space="0" w:color="auto"/>
            <w:left w:val="none" w:sz="0" w:space="0" w:color="auto"/>
            <w:bottom w:val="none" w:sz="0" w:space="0" w:color="auto"/>
            <w:right w:val="none" w:sz="0" w:space="0" w:color="auto"/>
          </w:divBdr>
        </w:div>
        <w:div w:id="185945931">
          <w:marLeft w:val="0"/>
          <w:marRight w:val="0"/>
          <w:marTop w:val="0"/>
          <w:marBottom w:val="0"/>
          <w:divBdr>
            <w:top w:val="none" w:sz="0" w:space="0" w:color="auto"/>
            <w:left w:val="none" w:sz="0" w:space="0" w:color="auto"/>
            <w:bottom w:val="none" w:sz="0" w:space="0" w:color="auto"/>
            <w:right w:val="none" w:sz="0" w:space="0" w:color="auto"/>
          </w:divBdr>
        </w:div>
      </w:divsChild>
    </w:div>
    <w:div w:id="10766535">
      <w:marLeft w:val="0"/>
      <w:marRight w:val="0"/>
      <w:marTop w:val="100"/>
      <w:marBottom w:val="0"/>
      <w:divBdr>
        <w:top w:val="none" w:sz="0" w:space="0" w:color="auto"/>
        <w:left w:val="none" w:sz="0" w:space="0" w:color="auto"/>
        <w:bottom w:val="none" w:sz="0" w:space="0" w:color="auto"/>
        <w:right w:val="none" w:sz="0" w:space="0" w:color="auto"/>
      </w:divBdr>
    </w:div>
    <w:div w:id="13850912">
      <w:marLeft w:val="0"/>
      <w:marRight w:val="0"/>
      <w:marTop w:val="100"/>
      <w:marBottom w:val="0"/>
      <w:divBdr>
        <w:top w:val="none" w:sz="0" w:space="0" w:color="auto"/>
        <w:left w:val="none" w:sz="0" w:space="0" w:color="auto"/>
        <w:bottom w:val="none" w:sz="0" w:space="0" w:color="auto"/>
        <w:right w:val="none" w:sz="0" w:space="0" w:color="auto"/>
      </w:divBdr>
      <w:divsChild>
        <w:div w:id="930316032">
          <w:marLeft w:val="0"/>
          <w:marRight w:val="0"/>
          <w:marTop w:val="0"/>
          <w:marBottom w:val="0"/>
          <w:divBdr>
            <w:top w:val="none" w:sz="0" w:space="0" w:color="auto"/>
            <w:left w:val="none" w:sz="0" w:space="0" w:color="auto"/>
            <w:bottom w:val="none" w:sz="0" w:space="0" w:color="auto"/>
            <w:right w:val="none" w:sz="0" w:space="0" w:color="auto"/>
          </w:divBdr>
        </w:div>
        <w:div w:id="1305508074">
          <w:marLeft w:val="0"/>
          <w:marRight w:val="0"/>
          <w:marTop w:val="0"/>
          <w:marBottom w:val="0"/>
          <w:divBdr>
            <w:top w:val="none" w:sz="0" w:space="0" w:color="auto"/>
            <w:left w:val="none" w:sz="0" w:space="0" w:color="auto"/>
            <w:bottom w:val="none" w:sz="0" w:space="0" w:color="auto"/>
            <w:right w:val="none" w:sz="0" w:space="0" w:color="auto"/>
          </w:divBdr>
        </w:div>
        <w:div w:id="1315139136">
          <w:marLeft w:val="0"/>
          <w:marRight w:val="0"/>
          <w:marTop w:val="0"/>
          <w:marBottom w:val="0"/>
          <w:divBdr>
            <w:top w:val="none" w:sz="0" w:space="0" w:color="auto"/>
            <w:left w:val="none" w:sz="0" w:space="0" w:color="auto"/>
            <w:bottom w:val="none" w:sz="0" w:space="0" w:color="auto"/>
            <w:right w:val="none" w:sz="0" w:space="0" w:color="auto"/>
          </w:divBdr>
        </w:div>
        <w:div w:id="960305357">
          <w:marLeft w:val="0"/>
          <w:marRight w:val="0"/>
          <w:marTop w:val="0"/>
          <w:marBottom w:val="0"/>
          <w:divBdr>
            <w:top w:val="none" w:sz="0" w:space="0" w:color="auto"/>
            <w:left w:val="none" w:sz="0" w:space="0" w:color="auto"/>
            <w:bottom w:val="none" w:sz="0" w:space="0" w:color="auto"/>
            <w:right w:val="none" w:sz="0" w:space="0" w:color="auto"/>
          </w:divBdr>
        </w:div>
      </w:divsChild>
    </w:div>
    <w:div w:id="13920571">
      <w:marLeft w:val="0"/>
      <w:marRight w:val="0"/>
      <w:marTop w:val="100"/>
      <w:marBottom w:val="0"/>
      <w:divBdr>
        <w:top w:val="none" w:sz="0" w:space="0" w:color="auto"/>
        <w:left w:val="none" w:sz="0" w:space="0" w:color="auto"/>
        <w:bottom w:val="none" w:sz="0" w:space="0" w:color="auto"/>
        <w:right w:val="none" w:sz="0" w:space="0" w:color="auto"/>
      </w:divBdr>
    </w:div>
    <w:div w:id="17046661">
      <w:marLeft w:val="0"/>
      <w:marRight w:val="0"/>
      <w:marTop w:val="100"/>
      <w:marBottom w:val="0"/>
      <w:divBdr>
        <w:top w:val="none" w:sz="0" w:space="0" w:color="auto"/>
        <w:left w:val="none" w:sz="0" w:space="0" w:color="auto"/>
        <w:bottom w:val="none" w:sz="0" w:space="0" w:color="auto"/>
        <w:right w:val="none" w:sz="0" w:space="0" w:color="auto"/>
      </w:divBdr>
    </w:div>
    <w:div w:id="17318286">
      <w:marLeft w:val="0"/>
      <w:marRight w:val="0"/>
      <w:marTop w:val="60"/>
      <w:marBottom w:val="0"/>
      <w:divBdr>
        <w:top w:val="none" w:sz="0" w:space="0" w:color="auto"/>
        <w:left w:val="none" w:sz="0" w:space="0" w:color="auto"/>
        <w:bottom w:val="none" w:sz="0" w:space="0" w:color="auto"/>
        <w:right w:val="none" w:sz="0" w:space="0" w:color="auto"/>
      </w:divBdr>
    </w:div>
    <w:div w:id="18091266">
      <w:marLeft w:val="0"/>
      <w:marRight w:val="0"/>
      <w:marTop w:val="0"/>
      <w:marBottom w:val="120"/>
      <w:divBdr>
        <w:top w:val="none" w:sz="0" w:space="0" w:color="auto"/>
        <w:left w:val="none" w:sz="0" w:space="0" w:color="auto"/>
        <w:bottom w:val="none" w:sz="0" w:space="0" w:color="auto"/>
        <w:right w:val="none" w:sz="0" w:space="0" w:color="auto"/>
      </w:divBdr>
    </w:div>
    <w:div w:id="18433520">
      <w:marLeft w:val="0"/>
      <w:marRight w:val="0"/>
      <w:marTop w:val="100"/>
      <w:marBottom w:val="0"/>
      <w:divBdr>
        <w:top w:val="none" w:sz="0" w:space="0" w:color="auto"/>
        <w:left w:val="none" w:sz="0" w:space="0" w:color="auto"/>
        <w:bottom w:val="none" w:sz="0" w:space="0" w:color="auto"/>
        <w:right w:val="none" w:sz="0" w:space="0" w:color="auto"/>
      </w:divBdr>
    </w:div>
    <w:div w:id="21055204">
      <w:marLeft w:val="0"/>
      <w:marRight w:val="0"/>
      <w:marTop w:val="100"/>
      <w:marBottom w:val="0"/>
      <w:divBdr>
        <w:top w:val="none" w:sz="0" w:space="0" w:color="auto"/>
        <w:left w:val="none" w:sz="0" w:space="0" w:color="auto"/>
        <w:bottom w:val="none" w:sz="0" w:space="0" w:color="auto"/>
        <w:right w:val="none" w:sz="0" w:space="0" w:color="auto"/>
      </w:divBdr>
    </w:div>
    <w:div w:id="22291224">
      <w:marLeft w:val="0"/>
      <w:marRight w:val="0"/>
      <w:marTop w:val="0"/>
      <w:marBottom w:val="0"/>
      <w:divBdr>
        <w:top w:val="none" w:sz="0" w:space="0" w:color="auto"/>
        <w:left w:val="none" w:sz="0" w:space="0" w:color="auto"/>
        <w:bottom w:val="none" w:sz="0" w:space="0" w:color="auto"/>
        <w:right w:val="none" w:sz="0" w:space="0" w:color="auto"/>
      </w:divBdr>
      <w:divsChild>
        <w:div w:id="1301032360">
          <w:marLeft w:val="0"/>
          <w:marRight w:val="0"/>
          <w:marTop w:val="0"/>
          <w:marBottom w:val="0"/>
          <w:divBdr>
            <w:top w:val="none" w:sz="0" w:space="0" w:color="auto"/>
            <w:left w:val="none" w:sz="0" w:space="0" w:color="auto"/>
            <w:bottom w:val="none" w:sz="0" w:space="0" w:color="auto"/>
            <w:right w:val="none" w:sz="0" w:space="0" w:color="auto"/>
          </w:divBdr>
        </w:div>
        <w:div w:id="233509322">
          <w:marLeft w:val="0"/>
          <w:marRight w:val="0"/>
          <w:marTop w:val="0"/>
          <w:marBottom w:val="0"/>
          <w:divBdr>
            <w:top w:val="none" w:sz="0" w:space="0" w:color="auto"/>
            <w:left w:val="none" w:sz="0" w:space="0" w:color="auto"/>
            <w:bottom w:val="none" w:sz="0" w:space="0" w:color="auto"/>
            <w:right w:val="none" w:sz="0" w:space="0" w:color="auto"/>
          </w:divBdr>
        </w:div>
      </w:divsChild>
    </w:div>
    <w:div w:id="22440941">
      <w:marLeft w:val="0"/>
      <w:marRight w:val="0"/>
      <w:marTop w:val="0"/>
      <w:marBottom w:val="0"/>
      <w:divBdr>
        <w:top w:val="none" w:sz="0" w:space="0" w:color="auto"/>
        <w:left w:val="none" w:sz="0" w:space="0" w:color="auto"/>
        <w:bottom w:val="none" w:sz="0" w:space="0" w:color="auto"/>
        <w:right w:val="none" w:sz="0" w:space="0" w:color="auto"/>
      </w:divBdr>
      <w:divsChild>
        <w:div w:id="102502491">
          <w:marLeft w:val="0"/>
          <w:marRight w:val="0"/>
          <w:marTop w:val="0"/>
          <w:marBottom w:val="0"/>
          <w:divBdr>
            <w:top w:val="none" w:sz="0" w:space="0" w:color="auto"/>
            <w:left w:val="none" w:sz="0" w:space="0" w:color="auto"/>
            <w:bottom w:val="none" w:sz="0" w:space="0" w:color="auto"/>
            <w:right w:val="none" w:sz="0" w:space="0" w:color="auto"/>
          </w:divBdr>
        </w:div>
        <w:div w:id="1829862709">
          <w:marLeft w:val="0"/>
          <w:marRight w:val="0"/>
          <w:marTop w:val="0"/>
          <w:marBottom w:val="0"/>
          <w:divBdr>
            <w:top w:val="none" w:sz="0" w:space="0" w:color="auto"/>
            <w:left w:val="none" w:sz="0" w:space="0" w:color="auto"/>
            <w:bottom w:val="none" w:sz="0" w:space="0" w:color="auto"/>
            <w:right w:val="none" w:sz="0" w:space="0" w:color="auto"/>
          </w:divBdr>
        </w:div>
      </w:divsChild>
    </w:div>
    <w:div w:id="32198369">
      <w:marLeft w:val="0"/>
      <w:marRight w:val="0"/>
      <w:marTop w:val="100"/>
      <w:marBottom w:val="0"/>
      <w:divBdr>
        <w:top w:val="none" w:sz="0" w:space="0" w:color="auto"/>
        <w:left w:val="none" w:sz="0" w:space="0" w:color="auto"/>
        <w:bottom w:val="none" w:sz="0" w:space="0" w:color="auto"/>
        <w:right w:val="none" w:sz="0" w:space="0" w:color="auto"/>
      </w:divBdr>
    </w:div>
    <w:div w:id="32929446">
      <w:marLeft w:val="0"/>
      <w:marRight w:val="0"/>
      <w:marTop w:val="280"/>
      <w:marBottom w:val="0"/>
      <w:divBdr>
        <w:top w:val="none" w:sz="0" w:space="0" w:color="auto"/>
        <w:left w:val="none" w:sz="0" w:space="0" w:color="auto"/>
        <w:bottom w:val="none" w:sz="0" w:space="0" w:color="auto"/>
        <w:right w:val="none" w:sz="0" w:space="0" w:color="auto"/>
      </w:divBdr>
    </w:div>
    <w:div w:id="37555263">
      <w:marLeft w:val="0"/>
      <w:marRight w:val="0"/>
      <w:marTop w:val="100"/>
      <w:marBottom w:val="0"/>
      <w:divBdr>
        <w:top w:val="none" w:sz="0" w:space="0" w:color="auto"/>
        <w:left w:val="none" w:sz="0" w:space="0" w:color="auto"/>
        <w:bottom w:val="none" w:sz="0" w:space="0" w:color="auto"/>
        <w:right w:val="none" w:sz="0" w:space="0" w:color="auto"/>
      </w:divBdr>
    </w:div>
    <w:div w:id="41365142">
      <w:marLeft w:val="0"/>
      <w:marRight w:val="0"/>
      <w:marTop w:val="100"/>
      <w:marBottom w:val="0"/>
      <w:divBdr>
        <w:top w:val="none" w:sz="0" w:space="0" w:color="auto"/>
        <w:left w:val="none" w:sz="0" w:space="0" w:color="auto"/>
        <w:bottom w:val="none" w:sz="0" w:space="0" w:color="auto"/>
        <w:right w:val="none" w:sz="0" w:space="0" w:color="auto"/>
      </w:divBdr>
    </w:div>
    <w:div w:id="41561662">
      <w:marLeft w:val="0"/>
      <w:marRight w:val="0"/>
      <w:marTop w:val="60"/>
      <w:marBottom w:val="0"/>
      <w:divBdr>
        <w:top w:val="none" w:sz="0" w:space="0" w:color="auto"/>
        <w:left w:val="none" w:sz="0" w:space="0" w:color="auto"/>
        <w:bottom w:val="none" w:sz="0" w:space="0" w:color="auto"/>
        <w:right w:val="none" w:sz="0" w:space="0" w:color="auto"/>
      </w:divBdr>
    </w:div>
    <w:div w:id="41833106">
      <w:marLeft w:val="0"/>
      <w:marRight w:val="0"/>
      <w:marTop w:val="0"/>
      <w:marBottom w:val="0"/>
      <w:divBdr>
        <w:top w:val="none" w:sz="0" w:space="0" w:color="auto"/>
        <w:left w:val="none" w:sz="0" w:space="0" w:color="auto"/>
        <w:bottom w:val="none" w:sz="0" w:space="0" w:color="auto"/>
        <w:right w:val="none" w:sz="0" w:space="0" w:color="auto"/>
      </w:divBdr>
      <w:divsChild>
        <w:div w:id="1528568650">
          <w:marLeft w:val="0"/>
          <w:marRight w:val="0"/>
          <w:marTop w:val="0"/>
          <w:marBottom w:val="0"/>
          <w:divBdr>
            <w:top w:val="none" w:sz="0" w:space="0" w:color="auto"/>
            <w:left w:val="none" w:sz="0" w:space="0" w:color="auto"/>
            <w:bottom w:val="none" w:sz="0" w:space="0" w:color="auto"/>
            <w:right w:val="none" w:sz="0" w:space="0" w:color="auto"/>
          </w:divBdr>
        </w:div>
      </w:divsChild>
    </w:div>
    <w:div w:id="42216983">
      <w:marLeft w:val="0"/>
      <w:marRight w:val="0"/>
      <w:marTop w:val="0"/>
      <w:marBottom w:val="0"/>
      <w:divBdr>
        <w:top w:val="none" w:sz="0" w:space="0" w:color="auto"/>
        <w:left w:val="none" w:sz="0" w:space="0" w:color="auto"/>
        <w:bottom w:val="none" w:sz="0" w:space="0" w:color="auto"/>
        <w:right w:val="none" w:sz="0" w:space="0" w:color="auto"/>
      </w:divBdr>
      <w:divsChild>
        <w:div w:id="1151294577">
          <w:marLeft w:val="0"/>
          <w:marRight w:val="0"/>
          <w:marTop w:val="0"/>
          <w:marBottom w:val="0"/>
          <w:divBdr>
            <w:top w:val="none" w:sz="0" w:space="0" w:color="auto"/>
            <w:left w:val="none" w:sz="0" w:space="0" w:color="auto"/>
            <w:bottom w:val="none" w:sz="0" w:space="0" w:color="auto"/>
            <w:right w:val="none" w:sz="0" w:space="0" w:color="auto"/>
          </w:divBdr>
        </w:div>
      </w:divsChild>
    </w:div>
    <w:div w:id="43332551">
      <w:marLeft w:val="0"/>
      <w:marRight w:val="0"/>
      <w:marTop w:val="100"/>
      <w:marBottom w:val="0"/>
      <w:divBdr>
        <w:top w:val="none" w:sz="0" w:space="0" w:color="auto"/>
        <w:left w:val="none" w:sz="0" w:space="0" w:color="auto"/>
        <w:bottom w:val="none" w:sz="0" w:space="0" w:color="auto"/>
        <w:right w:val="none" w:sz="0" w:space="0" w:color="auto"/>
      </w:divBdr>
    </w:div>
    <w:div w:id="44187837">
      <w:marLeft w:val="0"/>
      <w:marRight w:val="0"/>
      <w:marTop w:val="280"/>
      <w:marBottom w:val="0"/>
      <w:divBdr>
        <w:top w:val="none" w:sz="0" w:space="0" w:color="auto"/>
        <w:left w:val="none" w:sz="0" w:space="0" w:color="auto"/>
        <w:bottom w:val="none" w:sz="0" w:space="0" w:color="auto"/>
        <w:right w:val="none" w:sz="0" w:space="0" w:color="auto"/>
      </w:divBdr>
    </w:div>
    <w:div w:id="45954594">
      <w:marLeft w:val="0"/>
      <w:marRight w:val="0"/>
      <w:marTop w:val="100"/>
      <w:marBottom w:val="0"/>
      <w:divBdr>
        <w:top w:val="none" w:sz="0" w:space="0" w:color="auto"/>
        <w:left w:val="none" w:sz="0" w:space="0" w:color="auto"/>
        <w:bottom w:val="none" w:sz="0" w:space="0" w:color="auto"/>
        <w:right w:val="none" w:sz="0" w:space="0" w:color="auto"/>
      </w:divBdr>
    </w:div>
    <w:div w:id="47387597">
      <w:marLeft w:val="0"/>
      <w:marRight w:val="0"/>
      <w:marTop w:val="100"/>
      <w:marBottom w:val="0"/>
      <w:divBdr>
        <w:top w:val="none" w:sz="0" w:space="0" w:color="auto"/>
        <w:left w:val="none" w:sz="0" w:space="0" w:color="auto"/>
        <w:bottom w:val="none" w:sz="0" w:space="0" w:color="auto"/>
        <w:right w:val="none" w:sz="0" w:space="0" w:color="auto"/>
      </w:divBdr>
    </w:div>
    <w:div w:id="48114786">
      <w:marLeft w:val="0"/>
      <w:marRight w:val="0"/>
      <w:marTop w:val="100"/>
      <w:marBottom w:val="0"/>
      <w:divBdr>
        <w:top w:val="none" w:sz="0" w:space="0" w:color="auto"/>
        <w:left w:val="none" w:sz="0" w:space="0" w:color="auto"/>
        <w:bottom w:val="none" w:sz="0" w:space="0" w:color="auto"/>
        <w:right w:val="none" w:sz="0" w:space="0" w:color="auto"/>
      </w:divBdr>
    </w:div>
    <w:div w:id="51856231">
      <w:marLeft w:val="0"/>
      <w:marRight w:val="0"/>
      <w:marTop w:val="100"/>
      <w:marBottom w:val="0"/>
      <w:divBdr>
        <w:top w:val="none" w:sz="0" w:space="0" w:color="auto"/>
        <w:left w:val="none" w:sz="0" w:space="0" w:color="auto"/>
        <w:bottom w:val="none" w:sz="0" w:space="0" w:color="auto"/>
        <w:right w:val="none" w:sz="0" w:space="0" w:color="auto"/>
      </w:divBdr>
    </w:div>
    <w:div w:id="53161811">
      <w:marLeft w:val="0"/>
      <w:marRight w:val="0"/>
      <w:marTop w:val="100"/>
      <w:marBottom w:val="0"/>
      <w:divBdr>
        <w:top w:val="none" w:sz="0" w:space="0" w:color="auto"/>
        <w:left w:val="none" w:sz="0" w:space="0" w:color="auto"/>
        <w:bottom w:val="none" w:sz="0" w:space="0" w:color="auto"/>
        <w:right w:val="none" w:sz="0" w:space="0" w:color="auto"/>
      </w:divBdr>
    </w:div>
    <w:div w:id="53429354">
      <w:marLeft w:val="0"/>
      <w:marRight w:val="0"/>
      <w:marTop w:val="40"/>
      <w:marBottom w:val="0"/>
      <w:divBdr>
        <w:top w:val="none" w:sz="0" w:space="0" w:color="auto"/>
        <w:left w:val="none" w:sz="0" w:space="0" w:color="auto"/>
        <w:bottom w:val="none" w:sz="0" w:space="0" w:color="auto"/>
        <w:right w:val="none" w:sz="0" w:space="0" w:color="auto"/>
      </w:divBdr>
    </w:div>
    <w:div w:id="54669564">
      <w:marLeft w:val="0"/>
      <w:marRight w:val="0"/>
      <w:marTop w:val="100"/>
      <w:marBottom w:val="100"/>
      <w:divBdr>
        <w:top w:val="none" w:sz="0" w:space="0" w:color="auto"/>
        <w:left w:val="none" w:sz="0" w:space="0" w:color="auto"/>
        <w:bottom w:val="none" w:sz="0" w:space="0" w:color="auto"/>
        <w:right w:val="none" w:sz="0" w:space="0" w:color="auto"/>
      </w:divBdr>
      <w:divsChild>
        <w:div w:id="36514986">
          <w:marLeft w:val="0"/>
          <w:marRight w:val="0"/>
          <w:marTop w:val="0"/>
          <w:marBottom w:val="0"/>
          <w:divBdr>
            <w:top w:val="none" w:sz="0" w:space="0" w:color="auto"/>
            <w:left w:val="none" w:sz="0" w:space="0" w:color="auto"/>
            <w:bottom w:val="none" w:sz="0" w:space="0" w:color="auto"/>
            <w:right w:val="none" w:sz="0" w:space="0" w:color="auto"/>
          </w:divBdr>
        </w:div>
      </w:divsChild>
    </w:div>
    <w:div w:id="55015226">
      <w:marLeft w:val="0"/>
      <w:marRight w:val="0"/>
      <w:marTop w:val="100"/>
      <w:marBottom w:val="0"/>
      <w:divBdr>
        <w:top w:val="none" w:sz="0" w:space="0" w:color="auto"/>
        <w:left w:val="none" w:sz="0" w:space="0" w:color="auto"/>
        <w:bottom w:val="none" w:sz="0" w:space="0" w:color="auto"/>
        <w:right w:val="none" w:sz="0" w:space="0" w:color="auto"/>
      </w:divBdr>
    </w:div>
    <w:div w:id="55708577">
      <w:marLeft w:val="0"/>
      <w:marRight w:val="0"/>
      <w:marTop w:val="280"/>
      <w:marBottom w:val="0"/>
      <w:divBdr>
        <w:top w:val="none" w:sz="0" w:space="0" w:color="auto"/>
        <w:left w:val="none" w:sz="0" w:space="0" w:color="auto"/>
        <w:bottom w:val="none" w:sz="0" w:space="0" w:color="auto"/>
        <w:right w:val="none" w:sz="0" w:space="0" w:color="auto"/>
      </w:divBdr>
    </w:div>
    <w:div w:id="56176134">
      <w:marLeft w:val="0"/>
      <w:marRight w:val="0"/>
      <w:marTop w:val="60"/>
      <w:marBottom w:val="0"/>
      <w:divBdr>
        <w:top w:val="none" w:sz="0" w:space="0" w:color="auto"/>
        <w:left w:val="none" w:sz="0" w:space="0" w:color="auto"/>
        <w:bottom w:val="none" w:sz="0" w:space="0" w:color="auto"/>
        <w:right w:val="none" w:sz="0" w:space="0" w:color="auto"/>
      </w:divBdr>
    </w:div>
    <w:div w:id="56588895">
      <w:marLeft w:val="0"/>
      <w:marRight w:val="0"/>
      <w:marTop w:val="280"/>
      <w:marBottom w:val="0"/>
      <w:divBdr>
        <w:top w:val="none" w:sz="0" w:space="0" w:color="auto"/>
        <w:left w:val="none" w:sz="0" w:space="0" w:color="auto"/>
        <w:bottom w:val="none" w:sz="0" w:space="0" w:color="auto"/>
        <w:right w:val="none" w:sz="0" w:space="0" w:color="auto"/>
      </w:divBdr>
    </w:div>
    <w:div w:id="58865964">
      <w:marLeft w:val="0"/>
      <w:marRight w:val="0"/>
      <w:marTop w:val="60"/>
      <w:marBottom w:val="0"/>
      <w:divBdr>
        <w:top w:val="none" w:sz="0" w:space="0" w:color="auto"/>
        <w:left w:val="none" w:sz="0" w:space="0" w:color="auto"/>
        <w:bottom w:val="none" w:sz="0" w:space="0" w:color="auto"/>
        <w:right w:val="none" w:sz="0" w:space="0" w:color="auto"/>
      </w:divBdr>
    </w:div>
    <w:div w:id="58866442">
      <w:marLeft w:val="0"/>
      <w:marRight w:val="0"/>
      <w:marTop w:val="280"/>
      <w:marBottom w:val="0"/>
      <w:divBdr>
        <w:top w:val="none" w:sz="0" w:space="0" w:color="auto"/>
        <w:left w:val="none" w:sz="0" w:space="0" w:color="auto"/>
        <w:bottom w:val="none" w:sz="0" w:space="0" w:color="auto"/>
        <w:right w:val="none" w:sz="0" w:space="0" w:color="auto"/>
      </w:divBdr>
    </w:div>
    <w:div w:id="60100382">
      <w:marLeft w:val="0"/>
      <w:marRight w:val="0"/>
      <w:marTop w:val="100"/>
      <w:marBottom w:val="0"/>
      <w:divBdr>
        <w:top w:val="none" w:sz="0" w:space="0" w:color="auto"/>
        <w:left w:val="none" w:sz="0" w:space="0" w:color="auto"/>
        <w:bottom w:val="none" w:sz="0" w:space="0" w:color="auto"/>
        <w:right w:val="none" w:sz="0" w:space="0" w:color="auto"/>
      </w:divBdr>
    </w:div>
    <w:div w:id="62488516">
      <w:marLeft w:val="0"/>
      <w:marRight w:val="0"/>
      <w:marTop w:val="100"/>
      <w:marBottom w:val="0"/>
      <w:divBdr>
        <w:top w:val="none" w:sz="0" w:space="0" w:color="auto"/>
        <w:left w:val="none" w:sz="0" w:space="0" w:color="auto"/>
        <w:bottom w:val="none" w:sz="0" w:space="0" w:color="auto"/>
        <w:right w:val="none" w:sz="0" w:space="0" w:color="auto"/>
      </w:divBdr>
    </w:div>
    <w:div w:id="65568148">
      <w:marLeft w:val="0"/>
      <w:marRight w:val="0"/>
      <w:marTop w:val="280"/>
      <w:marBottom w:val="0"/>
      <w:divBdr>
        <w:top w:val="none" w:sz="0" w:space="0" w:color="auto"/>
        <w:left w:val="none" w:sz="0" w:space="0" w:color="auto"/>
        <w:bottom w:val="none" w:sz="0" w:space="0" w:color="auto"/>
        <w:right w:val="none" w:sz="0" w:space="0" w:color="auto"/>
      </w:divBdr>
    </w:div>
    <w:div w:id="67312436">
      <w:marLeft w:val="0"/>
      <w:marRight w:val="0"/>
      <w:marTop w:val="100"/>
      <w:marBottom w:val="0"/>
      <w:divBdr>
        <w:top w:val="none" w:sz="0" w:space="0" w:color="auto"/>
        <w:left w:val="none" w:sz="0" w:space="0" w:color="auto"/>
        <w:bottom w:val="none" w:sz="0" w:space="0" w:color="auto"/>
        <w:right w:val="none" w:sz="0" w:space="0" w:color="auto"/>
      </w:divBdr>
    </w:div>
    <w:div w:id="67967528">
      <w:marLeft w:val="0"/>
      <w:marRight w:val="0"/>
      <w:marTop w:val="100"/>
      <w:marBottom w:val="0"/>
      <w:divBdr>
        <w:top w:val="none" w:sz="0" w:space="0" w:color="auto"/>
        <w:left w:val="none" w:sz="0" w:space="0" w:color="auto"/>
        <w:bottom w:val="none" w:sz="0" w:space="0" w:color="auto"/>
        <w:right w:val="none" w:sz="0" w:space="0" w:color="auto"/>
      </w:divBdr>
    </w:div>
    <w:div w:id="69927639">
      <w:marLeft w:val="0"/>
      <w:marRight w:val="0"/>
      <w:marTop w:val="100"/>
      <w:marBottom w:val="0"/>
      <w:divBdr>
        <w:top w:val="none" w:sz="0" w:space="0" w:color="auto"/>
        <w:left w:val="none" w:sz="0" w:space="0" w:color="auto"/>
        <w:bottom w:val="none" w:sz="0" w:space="0" w:color="auto"/>
        <w:right w:val="none" w:sz="0" w:space="0" w:color="auto"/>
      </w:divBdr>
    </w:div>
    <w:div w:id="70322001">
      <w:marLeft w:val="0"/>
      <w:marRight w:val="0"/>
      <w:marTop w:val="60"/>
      <w:marBottom w:val="0"/>
      <w:divBdr>
        <w:top w:val="none" w:sz="0" w:space="0" w:color="auto"/>
        <w:left w:val="none" w:sz="0" w:space="0" w:color="auto"/>
        <w:bottom w:val="none" w:sz="0" w:space="0" w:color="auto"/>
        <w:right w:val="none" w:sz="0" w:space="0" w:color="auto"/>
      </w:divBdr>
    </w:div>
    <w:div w:id="72625953">
      <w:marLeft w:val="0"/>
      <w:marRight w:val="0"/>
      <w:marTop w:val="100"/>
      <w:marBottom w:val="0"/>
      <w:divBdr>
        <w:top w:val="none" w:sz="0" w:space="0" w:color="auto"/>
        <w:left w:val="none" w:sz="0" w:space="0" w:color="auto"/>
        <w:bottom w:val="none" w:sz="0" w:space="0" w:color="auto"/>
        <w:right w:val="none" w:sz="0" w:space="0" w:color="auto"/>
      </w:divBdr>
    </w:div>
    <w:div w:id="73090907">
      <w:marLeft w:val="0"/>
      <w:marRight w:val="0"/>
      <w:marTop w:val="60"/>
      <w:marBottom w:val="0"/>
      <w:divBdr>
        <w:top w:val="none" w:sz="0" w:space="0" w:color="auto"/>
        <w:left w:val="none" w:sz="0" w:space="0" w:color="auto"/>
        <w:bottom w:val="none" w:sz="0" w:space="0" w:color="auto"/>
        <w:right w:val="none" w:sz="0" w:space="0" w:color="auto"/>
      </w:divBdr>
    </w:div>
    <w:div w:id="73817108">
      <w:marLeft w:val="0"/>
      <w:marRight w:val="0"/>
      <w:marTop w:val="0"/>
      <w:marBottom w:val="0"/>
      <w:divBdr>
        <w:top w:val="none" w:sz="0" w:space="0" w:color="auto"/>
        <w:left w:val="none" w:sz="0" w:space="0" w:color="auto"/>
        <w:bottom w:val="none" w:sz="0" w:space="0" w:color="auto"/>
        <w:right w:val="none" w:sz="0" w:space="0" w:color="auto"/>
      </w:divBdr>
      <w:divsChild>
        <w:div w:id="666834475">
          <w:marLeft w:val="0"/>
          <w:marRight w:val="0"/>
          <w:marTop w:val="0"/>
          <w:marBottom w:val="0"/>
          <w:divBdr>
            <w:top w:val="none" w:sz="0" w:space="0" w:color="auto"/>
            <w:left w:val="none" w:sz="0" w:space="0" w:color="auto"/>
            <w:bottom w:val="none" w:sz="0" w:space="0" w:color="auto"/>
            <w:right w:val="none" w:sz="0" w:space="0" w:color="auto"/>
          </w:divBdr>
        </w:div>
      </w:divsChild>
    </w:div>
    <w:div w:id="74860568">
      <w:marLeft w:val="0"/>
      <w:marRight w:val="0"/>
      <w:marTop w:val="100"/>
      <w:marBottom w:val="0"/>
      <w:divBdr>
        <w:top w:val="none" w:sz="0" w:space="0" w:color="auto"/>
        <w:left w:val="none" w:sz="0" w:space="0" w:color="auto"/>
        <w:bottom w:val="none" w:sz="0" w:space="0" w:color="auto"/>
        <w:right w:val="none" w:sz="0" w:space="0" w:color="auto"/>
      </w:divBdr>
      <w:divsChild>
        <w:div w:id="470908803">
          <w:marLeft w:val="0"/>
          <w:marRight w:val="0"/>
          <w:marTop w:val="0"/>
          <w:marBottom w:val="0"/>
          <w:divBdr>
            <w:top w:val="none" w:sz="0" w:space="0" w:color="auto"/>
            <w:left w:val="none" w:sz="0" w:space="0" w:color="auto"/>
            <w:bottom w:val="none" w:sz="0" w:space="0" w:color="auto"/>
            <w:right w:val="none" w:sz="0" w:space="0" w:color="auto"/>
          </w:divBdr>
        </w:div>
        <w:div w:id="1624577145">
          <w:marLeft w:val="0"/>
          <w:marRight w:val="0"/>
          <w:marTop w:val="0"/>
          <w:marBottom w:val="0"/>
          <w:divBdr>
            <w:top w:val="none" w:sz="0" w:space="0" w:color="auto"/>
            <w:left w:val="none" w:sz="0" w:space="0" w:color="auto"/>
            <w:bottom w:val="none" w:sz="0" w:space="0" w:color="auto"/>
            <w:right w:val="none" w:sz="0" w:space="0" w:color="auto"/>
          </w:divBdr>
        </w:div>
      </w:divsChild>
    </w:div>
    <w:div w:id="74981755">
      <w:marLeft w:val="0"/>
      <w:marRight w:val="0"/>
      <w:marTop w:val="280"/>
      <w:marBottom w:val="0"/>
      <w:divBdr>
        <w:top w:val="none" w:sz="0" w:space="0" w:color="auto"/>
        <w:left w:val="none" w:sz="0" w:space="0" w:color="auto"/>
        <w:bottom w:val="none" w:sz="0" w:space="0" w:color="auto"/>
        <w:right w:val="none" w:sz="0" w:space="0" w:color="auto"/>
      </w:divBdr>
    </w:div>
    <w:div w:id="75522685">
      <w:marLeft w:val="0"/>
      <w:marRight w:val="0"/>
      <w:marTop w:val="100"/>
      <w:marBottom w:val="0"/>
      <w:divBdr>
        <w:top w:val="none" w:sz="0" w:space="0" w:color="auto"/>
        <w:left w:val="none" w:sz="0" w:space="0" w:color="auto"/>
        <w:bottom w:val="none" w:sz="0" w:space="0" w:color="auto"/>
        <w:right w:val="none" w:sz="0" w:space="0" w:color="auto"/>
      </w:divBdr>
    </w:div>
    <w:div w:id="75909823">
      <w:marLeft w:val="0"/>
      <w:marRight w:val="0"/>
      <w:marTop w:val="100"/>
      <w:marBottom w:val="0"/>
      <w:divBdr>
        <w:top w:val="none" w:sz="0" w:space="0" w:color="auto"/>
        <w:left w:val="none" w:sz="0" w:space="0" w:color="auto"/>
        <w:bottom w:val="none" w:sz="0" w:space="0" w:color="auto"/>
        <w:right w:val="none" w:sz="0" w:space="0" w:color="auto"/>
      </w:divBdr>
    </w:div>
    <w:div w:id="76636739">
      <w:marLeft w:val="0"/>
      <w:marRight w:val="0"/>
      <w:marTop w:val="280"/>
      <w:marBottom w:val="0"/>
      <w:divBdr>
        <w:top w:val="none" w:sz="0" w:space="0" w:color="auto"/>
        <w:left w:val="none" w:sz="0" w:space="0" w:color="auto"/>
        <w:bottom w:val="none" w:sz="0" w:space="0" w:color="auto"/>
        <w:right w:val="none" w:sz="0" w:space="0" w:color="auto"/>
      </w:divBdr>
    </w:div>
    <w:div w:id="78451205">
      <w:marLeft w:val="0"/>
      <w:marRight w:val="0"/>
      <w:marTop w:val="100"/>
      <w:marBottom w:val="0"/>
      <w:divBdr>
        <w:top w:val="none" w:sz="0" w:space="0" w:color="auto"/>
        <w:left w:val="none" w:sz="0" w:space="0" w:color="auto"/>
        <w:bottom w:val="none" w:sz="0" w:space="0" w:color="auto"/>
        <w:right w:val="none" w:sz="0" w:space="0" w:color="auto"/>
      </w:divBdr>
    </w:div>
    <w:div w:id="82381863">
      <w:marLeft w:val="0"/>
      <w:marRight w:val="0"/>
      <w:marTop w:val="0"/>
      <w:marBottom w:val="0"/>
      <w:divBdr>
        <w:top w:val="none" w:sz="0" w:space="0" w:color="auto"/>
        <w:left w:val="none" w:sz="0" w:space="0" w:color="auto"/>
        <w:bottom w:val="none" w:sz="0" w:space="0" w:color="auto"/>
        <w:right w:val="none" w:sz="0" w:space="0" w:color="auto"/>
      </w:divBdr>
      <w:divsChild>
        <w:div w:id="49159610">
          <w:marLeft w:val="0"/>
          <w:marRight w:val="0"/>
          <w:marTop w:val="0"/>
          <w:marBottom w:val="0"/>
          <w:divBdr>
            <w:top w:val="none" w:sz="0" w:space="0" w:color="auto"/>
            <w:left w:val="none" w:sz="0" w:space="0" w:color="auto"/>
            <w:bottom w:val="none" w:sz="0" w:space="0" w:color="auto"/>
            <w:right w:val="none" w:sz="0" w:space="0" w:color="auto"/>
          </w:divBdr>
        </w:div>
      </w:divsChild>
    </w:div>
    <w:div w:id="84959377">
      <w:marLeft w:val="0"/>
      <w:marRight w:val="0"/>
      <w:marTop w:val="60"/>
      <w:marBottom w:val="0"/>
      <w:divBdr>
        <w:top w:val="none" w:sz="0" w:space="0" w:color="auto"/>
        <w:left w:val="none" w:sz="0" w:space="0" w:color="auto"/>
        <w:bottom w:val="none" w:sz="0" w:space="0" w:color="auto"/>
        <w:right w:val="none" w:sz="0" w:space="0" w:color="auto"/>
      </w:divBdr>
    </w:div>
    <w:div w:id="86587454">
      <w:marLeft w:val="0"/>
      <w:marRight w:val="0"/>
      <w:marTop w:val="100"/>
      <w:marBottom w:val="0"/>
      <w:divBdr>
        <w:top w:val="none" w:sz="0" w:space="0" w:color="auto"/>
        <w:left w:val="none" w:sz="0" w:space="0" w:color="auto"/>
        <w:bottom w:val="none" w:sz="0" w:space="0" w:color="auto"/>
        <w:right w:val="none" w:sz="0" w:space="0" w:color="auto"/>
      </w:divBdr>
    </w:div>
    <w:div w:id="90470561">
      <w:marLeft w:val="0"/>
      <w:marRight w:val="0"/>
      <w:marTop w:val="280"/>
      <w:marBottom w:val="0"/>
      <w:divBdr>
        <w:top w:val="none" w:sz="0" w:space="0" w:color="auto"/>
        <w:left w:val="none" w:sz="0" w:space="0" w:color="auto"/>
        <w:bottom w:val="none" w:sz="0" w:space="0" w:color="auto"/>
        <w:right w:val="none" w:sz="0" w:space="0" w:color="auto"/>
      </w:divBdr>
    </w:div>
    <w:div w:id="91052191">
      <w:marLeft w:val="0"/>
      <w:marRight w:val="0"/>
      <w:marTop w:val="60"/>
      <w:marBottom w:val="0"/>
      <w:divBdr>
        <w:top w:val="none" w:sz="0" w:space="0" w:color="auto"/>
        <w:left w:val="none" w:sz="0" w:space="0" w:color="auto"/>
        <w:bottom w:val="none" w:sz="0" w:space="0" w:color="auto"/>
        <w:right w:val="none" w:sz="0" w:space="0" w:color="auto"/>
      </w:divBdr>
    </w:div>
    <w:div w:id="91366603">
      <w:marLeft w:val="0"/>
      <w:marRight w:val="0"/>
      <w:marTop w:val="40"/>
      <w:marBottom w:val="0"/>
      <w:divBdr>
        <w:top w:val="none" w:sz="0" w:space="0" w:color="auto"/>
        <w:left w:val="none" w:sz="0" w:space="0" w:color="auto"/>
        <w:bottom w:val="none" w:sz="0" w:space="0" w:color="auto"/>
        <w:right w:val="none" w:sz="0" w:space="0" w:color="auto"/>
      </w:divBdr>
    </w:div>
    <w:div w:id="92752810">
      <w:marLeft w:val="0"/>
      <w:marRight w:val="0"/>
      <w:marTop w:val="100"/>
      <w:marBottom w:val="0"/>
      <w:divBdr>
        <w:top w:val="none" w:sz="0" w:space="0" w:color="auto"/>
        <w:left w:val="none" w:sz="0" w:space="0" w:color="auto"/>
        <w:bottom w:val="none" w:sz="0" w:space="0" w:color="auto"/>
        <w:right w:val="none" w:sz="0" w:space="0" w:color="auto"/>
      </w:divBdr>
    </w:div>
    <w:div w:id="93090487">
      <w:marLeft w:val="0"/>
      <w:marRight w:val="0"/>
      <w:marTop w:val="280"/>
      <w:marBottom w:val="0"/>
      <w:divBdr>
        <w:top w:val="none" w:sz="0" w:space="0" w:color="auto"/>
        <w:left w:val="none" w:sz="0" w:space="0" w:color="auto"/>
        <w:bottom w:val="none" w:sz="0" w:space="0" w:color="auto"/>
        <w:right w:val="none" w:sz="0" w:space="0" w:color="auto"/>
      </w:divBdr>
    </w:div>
    <w:div w:id="93092968">
      <w:marLeft w:val="0"/>
      <w:marRight w:val="0"/>
      <w:marTop w:val="100"/>
      <w:marBottom w:val="0"/>
      <w:divBdr>
        <w:top w:val="none" w:sz="0" w:space="0" w:color="auto"/>
        <w:left w:val="none" w:sz="0" w:space="0" w:color="auto"/>
        <w:bottom w:val="none" w:sz="0" w:space="0" w:color="auto"/>
        <w:right w:val="none" w:sz="0" w:space="0" w:color="auto"/>
      </w:divBdr>
    </w:div>
    <w:div w:id="93944632">
      <w:marLeft w:val="0"/>
      <w:marRight w:val="0"/>
      <w:marTop w:val="0"/>
      <w:marBottom w:val="0"/>
      <w:divBdr>
        <w:top w:val="none" w:sz="0" w:space="0" w:color="auto"/>
        <w:left w:val="none" w:sz="0" w:space="0" w:color="auto"/>
        <w:bottom w:val="none" w:sz="0" w:space="0" w:color="auto"/>
        <w:right w:val="none" w:sz="0" w:space="0" w:color="auto"/>
      </w:divBdr>
    </w:div>
    <w:div w:id="95292989">
      <w:marLeft w:val="0"/>
      <w:marRight w:val="0"/>
      <w:marTop w:val="100"/>
      <w:marBottom w:val="0"/>
      <w:divBdr>
        <w:top w:val="none" w:sz="0" w:space="0" w:color="auto"/>
        <w:left w:val="none" w:sz="0" w:space="0" w:color="auto"/>
        <w:bottom w:val="none" w:sz="0" w:space="0" w:color="auto"/>
        <w:right w:val="none" w:sz="0" w:space="0" w:color="auto"/>
      </w:divBdr>
    </w:div>
    <w:div w:id="101925381">
      <w:marLeft w:val="0"/>
      <w:marRight w:val="0"/>
      <w:marTop w:val="100"/>
      <w:marBottom w:val="0"/>
      <w:divBdr>
        <w:top w:val="none" w:sz="0" w:space="0" w:color="auto"/>
        <w:left w:val="none" w:sz="0" w:space="0" w:color="auto"/>
        <w:bottom w:val="none" w:sz="0" w:space="0" w:color="auto"/>
        <w:right w:val="none" w:sz="0" w:space="0" w:color="auto"/>
      </w:divBdr>
    </w:div>
    <w:div w:id="102724689">
      <w:marLeft w:val="0"/>
      <w:marRight w:val="0"/>
      <w:marTop w:val="0"/>
      <w:marBottom w:val="0"/>
      <w:divBdr>
        <w:top w:val="none" w:sz="0" w:space="0" w:color="auto"/>
        <w:left w:val="none" w:sz="0" w:space="0" w:color="auto"/>
        <w:bottom w:val="none" w:sz="0" w:space="0" w:color="auto"/>
        <w:right w:val="none" w:sz="0" w:space="0" w:color="auto"/>
      </w:divBdr>
      <w:divsChild>
        <w:div w:id="664288825">
          <w:marLeft w:val="0"/>
          <w:marRight w:val="0"/>
          <w:marTop w:val="0"/>
          <w:marBottom w:val="0"/>
          <w:divBdr>
            <w:top w:val="none" w:sz="0" w:space="0" w:color="auto"/>
            <w:left w:val="none" w:sz="0" w:space="0" w:color="auto"/>
            <w:bottom w:val="none" w:sz="0" w:space="0" w:color="auto"/>
            <w:right w:val="none" w:sz="0" w:space="0" w:color="auto"/>
          </w:divBdr>
        </w:div>
        <w:div w:id="678001312">
          <w:marLeft w:val="0"/>
          <w:marRight w:val="0"/>
          <w:marTop w:val="0"/>
          <w:marBottom w:val="0"/>
          <w:divBdr>
            <w:top w:val="none" w:sz="0" w:space="0" w:color="auto"/>
            <w:left w:val="none" w:sz="0" w:space="0" w:color="auto"/>
            <w:bottom w:val="none" w:sz="0" w:space="0" w:color="auto"/>
            <w:right w:val="none" w:sz="0" w:space="0" w:color="auto"/>
          </w:divBdr>
        </w:div>
      </w:divsChild>
    </w:div>
    <w:div w:id="105121953">
      <w:marLeft w:val="0"/>
      <w:marRight w:val="0"/>
      <w:marTop w:val="100"/>
      <w:marBottom w:val="0"/>
      <w:divBdr>
        <w:top w:val="none" w:sz="0" w:space="0" w:color="auto"/>
        <w:left w:val="none" w:sz="0" w:space="0" w:color="auto"/>
        <w:bottom w:val="none" w:sz="0" w:space="0" w:color="auto"/>
        <w:right w:val="none" w:sz="0" w:space="0" w:color="auto"/>
      </w:divBdr>
    </w:div>
    <w:div w:id="105465097">
      <w:marLeft w:val="0"/>
      <w:marRight w:val="0"/>
      <w:marTop w:val="100"/>
      <w:marBottom w:val="0"/>
      <w:divBdr>
        <w:top w:val="none" w:sz="0" w:space="0" w:color="auto"/>
        <w:left w:val="none" w:sz="0" w:space="0" w:color="auto"/>
        <w:bottom w:val="none" w:sz="0" w:space="0" w:color="auto"/>
        <w:right w:val="none" w:sz="0" w:space="0" w:color="auto"/>
      </w:divBdr>
    </w:div>
    <w:div w:id="108478611">
      <w:marLeft w:val="0"/>
      <w:marRight w:val="0"/>
      <w:marTop w:val="100"/>
      <w:marBottom w:val="0"/>
      <w:divBdr>
        <w:top w:val="none" w:sz="0" w:space="0" w:color="auto"/>
        <w:left w:val="none" w:sz="0" w:space="0" w:color="auto"/>
        <w:bottom w:val="none" w:sz="0" w:space="0" w:color="auto"/>
        <w:right w:val="none" w:sz="0" w:space="0" w:color="auto"/>
      </w:divBdr>
    </w:div>
    <w:div w:id="110324663">
      <w:marLeft w:val="0"/>
      <w:marRight w:val="0"/>
      <w:marTop w:val="280"/>
      <w:marBottom w:val="0"/>
      <w:divBdr>
        <w:top w:val="none" w:sz="0" w:space="0" w:color="auto"/>
        <w:left w:val="none" w:sz="0" w:space="0" w:color="auto"/>
        <w:bottom w:val="none" w:sz="0" w:space="0" w:color="auto"/>
        <w:right w:val="none" w:sz="0" w:space="0" w:color="auto"/>
      </w:divBdr>
    </w:div>
    <w:div w:id="111636073">
      <w:marLeft w:val="0"/>
      <w:marRight w:val="0"/>
      <w:marTop w:val="100"/>
      <w:marBottom w:val="0"/>
      <w:divBdr>
        <w:top w:val="none" w:sz="0" w:space="0" w:color="auto"/>
        <w:left w:val="none" w:sz="0" w:space="0" w:color="auto"/>
        <w:bottom w:val="none" w:sz="0" w:space="0" w:color="auto"/>
        <w:right w:val="none" w:sz="0" w:space="0" w:color="auto"/>
      </w:divBdr>
    </w:div>
    <w:div w:id="113059613">
      <w:marLeft w:val="0"/>
      <w:marRight w:val="0"/>
      <w:marTop w:val="100"/>
      <w:marBottom w:val="0"/>
      <w:divBdr>
        <w:top w:val="none" w:sz="0" w:space="0" w:color="auto"/>
        <w:left w:val="none" w:sz="0" w:space="0" w:color="auto"/>
        <w:bottom w:val="none" w:sz="0" w:space="0" w:color="auto"/>
        <w:right w:val="none" w:sz="0" w:space="0" w:color="auto"/>
      </w:divBdr>
    </w:div>
    <w:div w:id="113788862">
      <w:marLeft w:val="0"/>
      <w:marRight w:val="0"/>
      <w:marTop w:val="100"/>
      <w:marBottom w:val="0"/>
      <w:divBdr>
        <w:top w:val="none" w:sz="0" w:space="0" w:color="auto"/>
        <w:left w:val="none" w:sz="0" w:space="0" w:color="auto"/>
        <w:bottom w:val="none" w:sz="0" w:space="0" w:color="auto"/>
        <w:right w:val="none" w:sz="0" w:space="0" w:color="auto"/>
      </w:divBdr>
    </w:div>
    <w:div w:id="113867484">
      <w:marLeft w:val="0"/>
      <w:marRight w:val="0"/>
      <w:marTop w:val="100"/>
      <w:marBottom w:val="0"/>
      <w:divBdr>
        <w:top w:val="none" w:sz="0" w:space="0" w:color="auto"/>
        <w:left w:val="none" w:sz="0" w:space="0" w:color="auto"/>
        <w:bottom w:val="none" w:sz="0" w:space="0" w:color="auto"/>
        <w:right w:val="none" w:sz="0" w:space="0" w:color="auto"/>
      </w:divBdr>
    </w:div>
    <w:div w:id="115830127">
      <w:marLeft w:val="0"/>
      <w:marRight w:val="0"/>
      <w:marTop w:val="280"/>
      <w:marBottom w:val="0"/>
      <w:divBdr>
        <w:top w:val="none" w:sz="0" w:space="0" w:color="auto"/>
        <w:left w:val="none" w:sz="0" w:space="0" w:color="auto"/>
        <w:bottom w:val="none" w:sz="0" w:space="0" w:color="auto"/>
        <w:right w:val="none" w:sz="0" w:space="0" w:color="auto"/>
      </w:divBdr>
    </w:div>
    <w:div w:id="117460222">
      <w:marLeft w:val="0"/>
      <w:marRight w:val="0"/>
      <w:marTop w:val="0"/>
      <w:marBottom w:val="20"/>
      <w:divBdr>
        <w:top w:val="none" w:sz="0" w:space="0" w:color="auto"/>
        <w:left w:val="none" w:sz="0" w:space="0" w:color="auto"/>
        <w:bottom w:val="none" w:sz="0" w:space="0" w:color="auto"/>
        <w:right w:val="none" w:sz="0" w:space="0" w:color="auto"/>
      </w:divBdr>
    </w:div>
    <w:div w:id="122383657">
      <w:marLeft w:val="0"/>
      <w:marRight w:val="0"/>
      <w:marTop w:val="0"/>
      <w:marBottom w:val="0"/>
      <w:divBdr>
        <w:top w:val="none" w:sz="0" w:space="0" w:color="auto"/>
        <w:left w:val="none" w:sz="0" w:space="0" w:color="auto"/>
        <w:bottom w:val="none" w:sz="0" w:space="0" w:color="auto"/>
        <w:right w:val="none" w:sz="0" w:space="0" w:color="auto"/>
      </w:divBdr>
      <w:divsChild>
        <w:div w:id="802430005">
          <w:marLeft w:val="0"/>
          <w:marRight w:val="0"/>
          <w:marTop w:val="0"/>
          <w:marBottom w:val="0"/>
          <w:divBdr>
            <w:top w:val="none" w:sz="0" w:space="0" w:color="auto"/>
            <w:left w:val="none" w:sz="0" w:space="0" w:color="auto"/>
            <w:bottom w:val="none" w:sz="0" w:space="0" w:color="auto"/>
            <w:right w:val="none" w:sz="0" w:space="0" w:color="auto"/>
          </w:divBdr>
        </w:div>
        <w:div w:id="919487219">
          <w:marLeft w:val="0"/>
          <w:marRight w:val="0"/>
          <w:marTop w:val="0"/>
          <w:marBottom w:val="0"/>
          <w:divBdr>
            <w:top w:val="none" w:sz="0" w:space="0" w:color="auto"/>
            <w:left w:val="none" w:sz="0" w:space="0" w:color="auto"/>
            <w:bottom w:val="none" w:sz="0" w:space="0" w:color="auto"/>
            <w:right w:val="none" w:sz="0" w:space="0" w:color="auto"/>
          </w:divBdr>
        </w:div>
      </w:divsChild>
    </w:div>
    <w:div w:id="123666492">
      <w:marLeft w:val="0"/>
      <w:marRight w:val="0"/>
      <w:marTop w:val="100"/>
      <w:marBottom w:val="0"/>
      <w:divBdr>
        <w:top w:val="none" w:sz="0" w:space="0" w:color="auto"/>
        <w:left w:val="none" w:sz="0" w:space="0" w:color="auto"/>
        <w:bottom w:val="none" w:sz="0" w:space="0" w:color="auto"/>
        <w:right w:val="none" w:sz="0" w:space="0" w:color="auto"/>
      </w:divBdr>
    </w:div>
    <w:div w:id="128204948">
      <w:marLeft w:val="0"/>
      <w:marRight w:val="0"/>
      <w:marTop w:val="0"/>
      <w:marBottom w:val="0"/>
      <w:divBdr>
        <w:top w:val="none" w:sz="0" w:space="0" w:color="auto"/>
        <w:left w:val="none" w:sz="0" w:space="0" w:color="auto"/>
        <w:bottom w:val="none" w:sz="0" w:space="0" w:color="auto"/>
        <w:right w:val="none" w:sz="0" w:space="0" w:color="auto"/>
      </w:divBdr>
      <w:divsChild>
        <w:div w:id="1581209120">
          <w:marLeft w:val="0"/>
          <w:marRight w:val="0"/>
          <w:marTop w:val="0"/>
          <w:marBottom w:val="0"/>
          <w:divBdr>
            <w:top w:val="none" w:sz="0" w:space="0" w:color="auto"/>
            <w:left w:val="none" w:sz="0" w:space="0" w:color="auto"/>
            <w:bottom w:val="none" w:sz="0" w:space="0" w:color="auto"/>
            <w:right w:val="none" w:sz="0" w:space="0" w:color="auto"/>
          </w:divBdr>
        </w:div>
        <w:div w:id="886725312">
          <w:marLeft w:val="0"/>
          <w:marRight w:val="0"/>
          <w:marTop w:val="0"/>
          <w:marBottom w:val="0"/>
          <w:divBdr>
            <w:top w:val="none" w:sz="0" w:space="0" w:color="auto"/>
            <w:left w:val="none" w:sz="0" w:space="0" w:color="auto"/>
            <w:bottom w:val="none" w:sz="0" w:space="0" w:color="auto"/>
            <w:right w:val="none" w:sz="0" w:space="0" w:color="auto"/>
          </w:divBdr>
        </w:div>
      </w:divsChild>
    </w:div>
    <w:div w:id="128938227">
      <w:marLeft w:val="0"/>
      <w:marRight w:val="0"/>
      <w:marTop w:val="100"/>
      <w:marBottom w:val="0"/>
      <w:divBdr>
        <w:top w:val="none" w:sz="0" w:space="0" w:color="auto"/>
        <w:left w:val="none" w:sz="0" w:space="0" w:color="auto"/>
        <w:bottom w:val="none" w:sz="0" w:space="0" w:color="auto"/>
        <w:right w:val="none" w:sz="0" w:space="0" w:color="auto"/>
      </w:divBdr>
    </w:div>
    <w:div w:id="130754864">
      <w:marLeft w:val="0"/>
      <w:marRight w:val="0"/>
      <w:marTop w:val="100"/>
      <w:marBottom w:val="0"/>
      <w:divBdr>
        <w:top w:val="none" w:sz="0" w:space="0" w:color="auto"/>
        <w:left w:val="none" w:sz="0" w:space="0" w:color="auto"/>
        <w:bottom w:val="none" w:sz="0" w:space="0" w:color="auto"/>
        <w:right w:val="none" w:sz="0" w:space="0" w:color="auto"/>
      </w:divBdr>
    </w:div>
    <w:div w:id="133454444">
      <w:marLeft w:val="0"/>
      <w:marRight w:val="0"/>
      <w:marTop w:val="100"/>
      <w:marBottom w:val="0"/>
      <w:divBdr>
        <w:top w:val="none" w:sz="0" w:space="0" w:color="auto"/>
        <w:left w:val="none" w:sz="0" w:space="0" w:color="auto"/>
        <w:bottom w:val="none" w:sz="0" w:space="0" w:color="auto"/>
        <w:right w:val="none" w:sz="0" w:space="0" w:color="auto"/>
      </w:divBdr>
    </w:div>
    <w:div w:id="135146559">
      <w:marLeft w:val="0"/>
      <w:marRight w:val="0"/>
      <w:marTop w:val="100"/>
      <w:marBottom w:val="0"/>
      <w:divBdr>
        <w:top w:val="none" w:sz="0" w:space="0" w:color="auto"/>
        <w:left w:val="none" w:sz="0" w:space="0" w:color="auto"/>
        <w:bottom w:val="none" w:sz="0" w:space="0" w:color="auto"/>
        <w:right w:val="none" w:sz="0" w:space="0" w:color="auto"/>
      </w:divBdr>
    </w:div>
    <w:div w:id="137693032">
      <w:marLeft w:val="0"/>
      <w:marRight w:val="0"/>
      <w:marTop w:val="60"/>
      <w:marBottom w:val="0"/>
      <w:divBdr>
        <w:top w:val="none" w:sz="0" w:space="0" w:color="auto"/>
        <w:left w:val="none" w:sz="0" w:space="0" w:color="auto"/>
        <w:bottom w:val="none" w:sz="0" w:space="0" w:color="auto"/>
        <w:right w:val="none" w:sz="0" w:space="0" w:color="auto"/>
      </w:divBdr>
    </w:div>
    <w:div w:id="139541654">
      <w:marLeft w:val="0"/>
      <w:marRight w:val="0"/>
      <w:marTop w:val="280"/>
      <w:marBottom w:val="0"/>
      <w:divBdr>
        <w:top w:val="none" w:sz="0" w:space="0" w:color="auto"/>
        <w:left w:val="none" w:sz="0" w:space="0" w:color="auto"/>
        <w:bottom w:val="none" w:sz="0" w:space="0" w:color="auto"/>
        <w:right w:val="none" w:sz="0" w:space="0" w:color="auto"/>
      </w:divBdr>
    </w:div>
    <w:div w:id="140464048">
      <w:marLeft w:val="0"/>
      <w:marRight w:val="0"/>
      <w:marTop w:val="100"/>
      <w:marBottom w:val="0"/>
      <w:divBdr>
        <w:top w:val="none" w:sz="0" w:space="0" w:color="auto"/>
        <w:left w:val="none" w:sz="0" w:space="0" w:color="auto"/>
        <w:bottom w:val="none" w:sz="0" w:space="0" w:color="auto"/>
        <w:right w:val="none" w:sz="0" w:space="0" w:color="auto"/>
      </w:divBdr>
    </w:div>
    <w:div w:id="141196357">
      <w:marLeft w:val="0"/>
      <w:marRight w:val="0"/>
      <w:marTop w:val="100"/>
      <w:marBottom w:val="0"/>
      <w:divBdr>
        <w:top w:val="none" w:sz="0" w:space="0" w:color="auto"/>
        <w:left w:val="none" w:sz="0" w:space="0" w:color="auto"/>
        <w:bottom w:val="none" w:sz="0" w:space="0" w:color="auto"/>
        <w:right w:val="none" w:sz="0" w:space="0" w:color="auto"/>
      </w:divBdr>
    </w:div>
    <w:div w:id="141890990">
      <w:marLeft w:val="0"/>
      <w:marRight w:val="0"/>
      <w:marTop w:val="100"/>
      <w:marBottom w:val="0"/>
      <w:divBdr>
        <w:top w:val="none" w:sz="0" w:space="0" w:color="auto"/>
        <w:left w:val="none" w:sz="0" w:space="0" w:color="auto"/>
        <w:bottom w:val="none" w:sz="0" w:space="0" w:color="auto"/>
        <w:right w:val="none" w:sz="0" w:space="0" w:color="auto"/>
      </w:divBdr>
    </w:div>
    <w:div w:id="142284683">
      <w:marLeft w:val="0"/>
      <w:marRight w:val="0"/>
      <w:marTop w:val="100"/>
      <w:marBottom w:val="0"/>
      <w:divBdr>
        <w:top w:val="none" w:sz="0" w:space="0" w:color="auto"/>
        <w:left w:val="none" w:sz="0" w:space="0" w:color="auto"/>
        <w:bottom w:val="none" w:sz="0" w:space="0" w:color="auto"/>
        <w:right w:val="none" w:sz="0" w:space="0" w:color="auto"/>
      </w:divBdr>
    </w:div>
    <w:div w:id="144665332">
      <w:marLeft w:val="0"/>
      <w:marRight w:val="0"/>
      <w:marTop w:val="280"/>
      <w:marBottom w:val="0"/>
      <w:divBdr>
        <w:top w:val="none" w:sz="0" w:space="0" w:color="auto"/>
        <w:left w:val="none" w:sz="0" w:space="0" w:color="auto"/>
        <w:bottom w:val="none" w:sz="0" w:space="0" w:color="auto"/>
        <w:right w:val="none" w:sz="0" w:space="0" w:color="auto"/>
      </w:divBdr>
    </w:div>
    <w:div w:id="144780122">
      <w:marLeft w:val="0"/>
      <w:marRight w:val="0"/>
      <w:marTop w:val="100"/>
      <w:marBottom w:val="0"/>
      <w:divBdr>
        <w:top w:val="none" w:sz="0" w:space="0" w:color="auto"/>
        <w:left w:val="none" w:sz="0" w:space="0" w:color="auto"/>
        <w:bottom w:val="none" w:sz="0" w:space="0" w:color="auto"/>
        <w:right w:val="none" w:sz="0" w:space="0" w:color="auto"/>
      </w:divBdr>
    </w:div>
    <w:div w:id="144861568">
      <w:marLeft w:val="0"/>
      <w:marRight w:val="0"/>
      <w:marTop w:val="100"/>
      <w:marBottom w:val="0"/>
      <w:divBdr>
        <w:top w:val="none" w:sz="0" w:space="0" w:color="auto"/>
        <w:left w:val="none" w:sz="0" w:space="0" w:color="auto"/>
        <w:bottom w:val="none" w:sz="0" w:space="0" w:color="auto"/>
        <w:right w:val="none" w:sz="0" w:space="0" w:color="auto"/>
      </w:divBdr>
    </w:div>
    <w:div w:id="149492580">
      <w:marLeft w:val="0"/>
      <w:marRight w:val="0"/>
      <w:marTop w:val="100"/>
      <w:marBottom w:val="0"/>
      <w:divBdr>
        <w:top w:val="none" w:sz="0" w:space="0" w:color="auto"/>
        <w:left w:val="none" w:sz="0" w:space="0" w:color="auto"/>
        <w:bottom w:val="none" w:sz="0" w:space="0" w:color="auto"/>
        <w:right w:val="none" w:sz="0" w:space="0" w:color="auto"/>
      </w:divBdr>
    </w:div>
    <w:div w:id="150413536">
      <w:marLeft w:val="0"/>
      <w:marRight w:val="0"/>
      <w:marTop w:val="280"/>
      <w:marBottom w:val="0"/>
      <w:divBdr>
        <w:top w:val="none" w:sz="0" w:space="0" w:color="auto"/>
        <w:left w:val="none" w:sz="0" w:space="0" w:color="auto"/>
        <w:bottom w:val="none" w:sz="0" w:space="0" w:color="auto"/>
        <w:right w:val="none" w:sz="0" w:space="0" w:color="auto"/>
      </w:divBdr>
    </w:div>
    <w:div w:id="150947909">
      <w:marLeft w:val="0"/>
      <w:marRight w:val="0"/>
      <w:marTop w:val="100"/>
      <w:marBottom w:val="0"/>
      <w:divBdr>
        <w:top w:val="none" w:sz="0" w:space="0" w:color="auto"/>
        <w:left w:val="none" w:sz="0" w:space="0" w:color="auto"/>
        <w:bottom w:val="none" w:sz="0" w:space="0" w:color="auto"/>
        <w:right w:val="none" w:sz="0" w:space="0" w:color="auto"/>
      </w:divBdr>
    </w:div>
    <w:div w:id="151217960">
      <w:marLeft w:val="0"/>
      <w:marRight w:val="0"/>
      <w:marTop w:val="280"/>
      <w:marBottom w:val="0"/>
      <w:divBdr>
        <w:top w:val="none" w:sz="0" w:space="0" w:color="auto"/>
        <w:left w:val="none" w:sz="0" w:space="0" w:color="auto"/>
        <w:bottom w:val="none" w:sz="0" w:space="0" w:color="auto"/>
        <w:right w:val="none" w:sz="0" w:space="0" w:color="auto"/>
      </w:divBdr>
    </w:div>
    <w:div w:id="151221462">
      <w:marLeft w:val="0"/>
      <w:marRight w:val="0"/>
      <w:marTop w:val="100"/>
      <w:marBottom w:val="0"/>
      <w:divBdr>
        <w:top w:val="none" w:sz="0" w:space="0" w:color="auto"/>
        <w:left w:val="none" w:sz="0" w:space="0" w:color="auto"/>
        <w:bottom w:val="none" w:sz="0" w:space="0" w:color="auto"/>
        <w:right w:val="none" w:sz="0" w:space="0" w:color="auto"/>
      </w:divBdr>
    </w:div>
    <w:div w:id="151801054">
      <w:marLeft w:val="0"/>
      <w:marRight w:val="0"/>
      <w:marTop w:val="100"/>
      <w:marBottom w:val="0"/>
      <w:divBdr>
        <w:top w:val="none" w:sz="0" w:space="0" w:color="auto"/>
        <w:left w:val="none" w:sz="0" w:space="0" w:color="auto"/>
        <w:bottom w:val="none" w:sz="0" w:space="0" w:color="auto"/>
        <w:right w:val="none" w:sz="0" w:space="0" w:color="auto"/>
      </w:divBdr>
    </w:div>
    <w:div w:id="152374704">
      <w:marLeft w:val="0"/>
      <w:marRight w:val="0"/>
      <w:marTop w:val="100"/>
      <w:marBottom w:val="0"/>
      <w:divBdr>
        <w:top w:val="none" w:sz="0" w:space="0" w:color="auto"/>
        <w:left w:val="none" w:sz="0" w:space="0" w:color="auto"/>
        <w:bottom w:val="none" w:sz="0" w:space="0" w:color="auto"/>
        <w:right w:val="none" w:sz="0" w:space="0" w:color="auto"/>
      </w:divBdr>
    </w:div>
    <w:div w:id="152532996">
      <w:marLeft w:val="0"/>
      <w:marRight w:val="0"/>
      <w:marTop w:val="100"/>
      <w:marBottom w:val="0"/>
      <w:divBdr>
        <w:top w:val="none" w:sz="0" w:space="0" w:color="auto"/>
        <w:left w:val="none" w:sz="0" w:space="0" w:color="auto"/>
        <w:bottom w:val="none" w:sz="0" w:space="0" w:color="auto"/>
        <w:right w:val="none" w:sz="0" w:space="0" w:color="auto"/>
      </w:divBdr>
    </w:div>
    <w:div w:id="153689535">
      <w:marLeft w:val="0"/>
      <w:marRight w:val="0"/>
      <w:marTop w:val="100"/>
      <w:marBottom w:val="0"/>
      <w:divBdr>
        <w:top w:val="none" w:sz="0" w:space="0" w:color="auto"/>
        <w:left w:val="none" w:sz="0" w:space="0" w:color="auto"/>
        <w:bottom w:val="none" w:sz="0" w:space="0" w:color="auto"/>
        <w:right w:val="none" w:sz="0" w:space="0" w:color="auto"/>
      </w:divBdr>
    </w:div>
    <w:div w:id="153843099">
      <w:marLeft w:val="0"/>
      <w:marRight w:val="0"/>
      <w:marTop w:val="60"/>
      <w:marBottom w:val="0"/>
      <w:divBdr>
        <w:top w:val="none" w:sz="0" w:space="0" w:color="auto"/>
        <w:left w:val="none" w:sz="0" w:space="0" w:color="auto"/>
        <w:bottom w:val="none" w:sz="0" w:space="0" w:color="auto"/>
        <w:right w:val="none" w:sz="0" w:space="0" w:color="auto"/>
      </w:divBdr>
    </w:div>
    <w:div w:id="155148119">
      <w:marLeft w:val="0"/>
      <w:marRight w:val="0"/>
      <w:marTop w:val="0"/>
      <w:marBottom w:val="0"/>
      <w:divBdr>
        <w:top w:val="none" w:sz="0" w:space="0" w:color="auto"/>
        <w:left w:val="none" w:sz="0" w:space="0" w:color="auto"/>
        <w:bottom w:val="none" w:sz="0" w:space="0" w:color="auto"/>
        <w:right w:val="none" w:sz="0" w:space="0" w:color="auto"/>
      </w:divBdr>
    </w:div>
    <w:div w:id="156042456">
      <w:marLeft w:val="0"/>
      <w:marRight w:val="0"/>
      <w:marTop w:val="180"/>
      <w:marBottom w:val="0"/>
      <w:divBdr>
        <w:top w:val="none" w:sz="0" w:space="0" w:color="auto"/>
        <w:left w:val="none" w:sz="0" w:space="0" w:color="auto"/>
        <w:bottom w:val="none" w:sz="0" w:space="0" w:color="auto"/>
        <w:right w:val="none" w:sz="0" w:space="0" w:color="auto"/>
      </w:divBdr>
    </w:div>
    <w:div w:id="159080892">
      <w:marLeft w:val="0"/>
      <w:marRight w:val="0"/>
      <w:marTop w:val="0"/>
      <w:marBottom w:val="0"/>
      <w:divBdr>
        <w:top w:val="none" w:sz="0" w:space="0" w:color="auto"/>
        <w:left w:val="none" w:sz="0" w:space="0" w:color="auto"/>
        <w:bottom w:val="none" w:sz="0" w:space="0" w:color="auto"/>
        <w:right w:val="none" w:sz="0" w:space="0" w:color="auto"/>
      </w:divBdr>
      <w:divsChild>
        <w:div w:id="928588029">
          <w:marLeft w:val="0"/>
          <w:marRight w:val="0"/>
          <w:marTop w:val="0"/>
          <w:marBottom w:val="0"/>
          <w:divBdr>
            <w:top w:val="none" w:sz="0" w:space="0" w:color="auto"/>
            <w:left w:val="none" w:sz="0" w:space="0" w:color="auto"/>
            <w:bottom w:val="none" w:sz="0" w:space="0" w:color="auto"/>
            <w:right w:val="none" w:sz="0" w:space="0" w:color="auto"/>
          </w:divBdr>
        </w:div>
      </w:divsChild>
    </w:div>
    <w:div w:id="162401383">
      <w:marLeft w:val="0"/>
      <w:marRight w:val="0"/>
      <w:marTop w:val="0"/>
      <w:marBottom w:val="0"/>
      <w:divBdr>
        <w:top w:val="none" w:sz="0" w:space="0" w:color="auto"/>
        <w:left w:val="none" w:sz="0" w:space="0" w:color="auto"/>
        <w:bottom w:val="none" w:sz="0" w:space="0" w:color="auto"/>
        <w:right w:val="none" w:sz="0" w:space="0" w:color="auto"/>
      </w:divBdr>
      <w:divsChild>
        <w:div w:id="1703826788">
          <w:marLeft w:val="0"/>
          <w:marRight w:val="0"/>
          <w:marTop w:val="0"/>
          <w:marBottom w:val="0"/>
          <w:divBdr>
            <w:top w:val="none" w:sz="0" w:space="0" w:color="auto"/>
            <w:left w:val="none" w:sz="0" w:space="0" w:color="auto"/>
            <w:bottom w:val="none" w:sz="0" w:space="0" w:color="auto"/>
            <w:right w:val="none" w:sz="0" w:space="0" w:color="auto"/>
          </w:divBdr>
        </w:div>
      </w:divsChild>
    </w:div>
    <w:div w:id="163516555">
      <w:marLeft w:val="0"/>
      <w:marRight w:val="0"/>
      <w:marTop w:val="60"/>
      <w:marBottom w:val="0"/>
      <w:divBdr>
        <w:top w:val="none" w:sz="0" w:space="0" w:color="auto"/>
        <w:left w:val="none" w:sz="0" w:space="0" w:color="auto"/>
        <w:bottom w:val="none" w:sz="0" w:space="0" w:color="auto"/>
        <w:right w:val="none" w:sz="0" w:space="0" w:color="auto"/>
      </w:divBdr>
    </w:div>
    <w:div w:id="164055589">
      <w:marLeft w:val="0"/>
      <w:marRight w:val="0"/>
      <w:marTop w:val="100"/>
      <w:marBottom w:val="0"/>
      <w:divBdr>
        <w:top w:val="none" w:sz="0" w:space="0" w:color="auto"/>
        <w:left w:val="none" w:sz="0" w:space="0" w:color="auto"/>
        <w:bottom w:val="none" w:sz="0" w:space="0" w:color="auto"/>
        <w:right w:val="none" w:sz="0" w:space="0" w:color="auto"/>
      </w:divBdr>
    </w:div>
    <w:div w:id="166288463">
      <w:marLeft w:val="0"/>
      <w:marRight w:val="0"/>
      <w:marTop w:val="100"/>
      <w:marBottom w:val="100"/>
      <w:divBdr>
        <w:top w:val="none" w:sz="0" w:space="0" w:color="auto"/>
        <w:left w:val="none" w:sz="0" w:space="0" w:color="auto"/>
        <w:bottom w:val="none" w:sz="0" w:space="0" w:color="auto"/>
        <w:right w:val="none" w:sz="0" w:space="0" w:color="auto"/>
      </w:divBdr>
    </w:div>
    <w:div w:id="168641242">
      <w:marLeft w:val="0"/>
      <w:marRight w:val="0"/>
      <w:marTop w:val="180"/>
      <w:marBottom w:val="180"/>
      <w:divBdr>
        <w:top w:val="none" w:sz="0" w:space="0" w:color="auto"/>
        <w:left w:val="none" w:sz="0" w:space="0" w:color="auto"/>
        <w:bottom w:val="none" w:sz="0" w:space="0" w:color="auto"/>
        <w:right w:val="none" w:sz="0" w:space="0" w:color="auto"/>
      </w:divBdr>
    </w:div>
    <w:div w:id="169490324">
      <w:marLeft w:val="0"/>
      <w:marRight w:val="0"/>
      <w:marTop w:val="100"/>
      <w:marBottom w:val="0"/>
      <w:divBdr>
        <w:top w:val="none" w:sz="0" w:space="0" w:color="auto"/>
        <w:left w:val="none" w:sz="0" w:space="0" w:color="auto"/>
        <w:bottom w:val="none" w:sz="0" w:space="0" w:color="auto"/>
        <w:right w:val="none" w:sz="0" w:space="0" w:color="auto"/>
      </w:divBdr>
    </w:div>
    <w:div w:id="169612359">
      <w:marLeft w:val="0"/>
      <w:marRight w:val="0"/>
      <w:marTop w:val="60"/>
      <w:marBottom w:val="0"/>
      <w:divBdr>
        <w:top w:val="none" w:sz="0" w:space="0" w:color="auto"/>
        <w:left w:val="none" w:sz="0" w:space="0" w:color="auto"/>
        <w:bottom w:val="none" w:sz="0" w:space="0" w:color="auto"/>
        <w:right w:val="none" w:sz="0" w:space="0" w:color="auto"/>
      </w:divBdr>
    </w:div>
    <w:div w:id="171801984">
      <w:marLeft w:val="0"/>
      <w:marRight w:val="0"/>
      <w:marTop w:val="100"/>
      <w:marBottom w:val="0"/>
      <w:divBdr>
        <w:top w:val="none" w:sz="0" w:space="0" w:color="auto"/>
        <w:left w:val="none" w:sz="0" w:space="0" w:color="auto"/>
        <w:bottom w:val="none" w:sz="0" w:space="0" w:color="auto"/>
        <w:right w:val="none" w:sz="0" w:space="0" w:color="auto"/>
      </w:divBdr>
    </w:div>
    <w:div w:id="174266635">
      <w:marLeft w:val="0"/>
      <w:marRight w:val="0"/>
      <w:marTop w:val="0"/>
      <w:marBottom w:val="0"/>
      <w:divBdr>
        <w:top w:val="none" w:sz="0" w:space="0" w:color="auto"/>
        <w:left w:val="none" w:sz="0" w:space="0" w:color="auto"/>
        <w:bottom w:val="none" w:sz="0" w:space="0" w:color="auto"/>
        <w:right w:val="none" w:sz="0" w:space="0" w:color="auto"/>
      </w:divBdr>
      <w:divsChild>
        <w:div w:id="110832180">
          <w:marLeft w:val="0"/>
          <w:marRight w:val="0"/>
          <w:marTop w:val="0"/>
          <w:marBottom w:val="0"/>
          <w:divBdr>
            <w:top w:val="none" w:sz="0" w:space="0" w:color="auto"/>
            <w:left w:val="none" w:sz="0" w:space="0" w:color="auto"/>
            <w:bottom w:val="none" w:sz="0" w:space="0" w:color="auto"/>
            <w:right w:val="none" w:sz="0" w:space="0" w:color="auto"/>
          </w:divBdr>
        </w:div>
        <w:div w:id="359013895">
          <w:marLeft w:val="0"/>
          <w:marRight w:val="0"/>
          <w:marTop w:val="0"/>
          <w:marBottom w:val="0"/>
          <w:divBdr>
            <w:top w:val="none" w:sz="0" w:space="0" w:color="auto"/>
            <w:left w:val="none" w:sz="0" w:space="0" w:color="auto"/>
            <w:bottom w:val="none" w:sz="0" w:space="0" w:color="auto"/>
            <w:right w:val="none" w:sz="0" w:space="0" w:color="auto"/>
          </w:divBdr>
        </w:div>
      </w:divsChild>
    </w:div>
    <w:div w:id="175272687">
      <w:marLeft w:val="0"/>
      <w:marRight w:val="0"/>
      <w:marTop w:val="100"/>
      <w:marBottom w:val="0"/>
      <w:divBdr>
        <w:top w:val="none" w:sz="0" w:space="0" w:color="auto"/>
        <w:left w:val="none" w:sz="0" w:space="0" w:color="auto"/>
        <w:bottom w:val="none" w:sz="0" w:space="0" w:color="auto"/>
        <w:right w:val="none" w:sz="0" w:space="0" w:color="auto"/>
      </w:divBdr>
    </w:div>
    <w:div w:id="176241306">
      <w:marLeft w:val="0"/>
      <w:marRight w:val="0"/>
      <w:marTop w:val="100"/>
      <w:marBottom w:val="0"/>
      <w:divBdr>
        <w:top w:val="none" w:sz="0" w:space="0" w:color="auto"/>
        <w:left w:val="none" w:sz="0" w:space="0" w:color="auto"/>
        <w:bottom w:val="none" w:sz="0" w:space="0" w:color="auto"/>
        <w:right w:val="none" w:sz="0" w:space="0" w:color="auto"/>
      </w:divBdr>
    </w:div>
    <w:div w:id="176310290">
      <w:marLeft w:val="0"/>
      <w:marRight w:val="0"/>
      <w:marTop w:val="280"/>
      <w:marBottom w:val="0"/>
      <w:divBdr>
        <w:top w:val="none" w:sz="0" w:space="0" w:color="auto"/>
        <w:left w:val="none" w:sz="0" w:space="0" w:color="auto"/>
        <w:bottom w:val="none" w:sz="0" w:space="0" w:color="auto"/>
        <w:right w:val="none" w:sz="0" w:space="0" w:color="auto"/>
      </w:divBdr>
    </w:div>
    <w:div w:id="177277669">
      <w:marLeft w:val="0"/>
      <w:marRight w:val="0"/>
      <w:marTop w:val="280"/>
      <w:marBottom w:val="0"/>
      <w:divBdr>
        <w:top w:val="none" w:sz="0" w:space="0" w:color="auto"/>
        <w:left w:val="none" w:sz="0" w:space="0" w:color="auto"/>
        <w:bottom w:val="none" w:sz="0" w:space="0" w:color="auto"/>
        <w:right w:val="none" w:sz="0" w:space="0" w:color="auto"/>
      </w:divBdr>
    </w:div>
    <w:div w:id="177546074">
      <w:marLeft w:val="0"/>
      <w:marRight w:val="0"/>
      <w:marTop w:val="100"/>
      <w:marBottom w:val="0"/>
      <w:divBdr>
        <w:top w:val="none" w:sz="0" w:space="0" w:color="auto"/>
        <w:left w:val="none" w:sz="0" w:space="0" w:color="auto"/>
        <w:bottom w:val="none" w:sz="0" w:space="0" w:color="auto"/>
        <w:right w:val="none" w:sz="0" w:space="0" w:color="auto"/>
      </w:divBdr>
    </w:div>
    <w:div w:id="182742092">
      <w:marLeft w:val="0"/>
      <w:marRight w:val="0"/>
      <w:marTop w:val="280"/>
      <w:marBottom w:val="0"/>
      <w:divBdr>
        <w:top w:val="none" w:sz="0" w:space="0" w:color="auto"/>
        <w:left w:val="none" w:sz="0" w:space="0" w:color="auto"/>
        <w:bottom w:val="none" w:sz="0" w:space="0" w:color="auto"/>
        <w:right w:val="none" w:sz="0" w:space="0" w:color="auto"/>
      </w:divBdr>
    </w:div>
    <w:div w:id="184443837">
      <w:marLeft w:val="0"/>
      <w:marRight w:val="0"/>
      <w:marTop w:val="100"/>
      <w:marBottom w:val="0"/>
      <w:divBdr>
        <w:top w:val="none" w:sz="0" w:space="0" w:color="auto"/>
        <w:left w:val="none" w:sz="0" w:space="0" w:color="auto"/>
        <w:bottom w:val="none" w:sz="0" w:space="0" w:color="auto"/>
        <w:right w:val="none" w:sz="0" w:space="0" w:color="auto"/>
      </w:divBdr>
    </w:div>
    <w:div w:id="185296028">
      <w:marLeft w:val="0"/>
      <w:marRight w:val="0"/>
      <w:marTop w:val="0"/>
      <w:marBottom w:val="0"/>
      <w:divBdr>
        <w:top w:val="none" w:sz="0" w:space="0" w:color="auto"/>
        <w:left w:val="none" w:sz="0" w:space="0" w:color="auto"/>
        <w:bottom w:val="none" w:sz="0" w:space="0" w:color="auto"/>
        <w:right w:val="none" w:sz="0" w:space="0" w:color="auto"/>
      </w:divBdr>
      <w:divsChild>
        <w:div w:id="2018727262">
          <w:marLeft w:val="0"/>
          <w:marRight w:val="0"/>
          <w:marTop w:val="0"/>
          <w:marBottom w:val="0"/>
          <w:divBdr>
            <w:top w:val="none" w:sz="0" w:space="0" w:color="auto"/>
            <w:left w:val="none" w:sz="0" w:space="0" w:color="auto"/>
            <w:bottom w:val="none" w:sz="0" w:space="0" w:color="auto"/>
            <w:right w:val="none" w:sz="0" w:space="0" w:color="auto"/>
          </w:divBdr>
        </w:div>
      </w:divsChild>
    </w:div>
    <w:div w:id="185488475">
      <w:marLeft w:val="0"/>
      <w:marRight w:val="0"/>
      <w:marTop w:val="100"/>
      <w:marBottom w:val="0"/>
      <w:divBdr>
        <w:top w:val="none" w:sz="0" w:space="0" w:color="auto"/>
        <w:left w:val="none" w:sz="0" w:space="0" w:color="auto"/>
        <w:bottom w:val="none" w:sz="0" w:space="0" w:color="auto"/>
        <w:right w:val="none" w:sz="0" w:space="0" w:color="auto"/>
      </w:divBdr>
    </w:div>
    <w:div w:id="185756772">
      <w:marLeft w:val="0"/>
      <w:marRight w:val="0"/>
      <w:marTop w:val="100"/>
      <w:marBottom w:val="0"/>
      <w:divBdr>
        <w:top w:val="none" w:sz="0" w:space="0" w:color="auto"/>
        <w:left w:val="none" w:sz="0" w:space="0" w:color="auto"/>
        <w:bottom w:val="none" w:sz="0" w:space="0" w:color="auto"/>
        <w:right w:val="none" w:sz="0" w:space="0" w:color="auto"/>
      </w:divBdr>
    </w:div>
    <w:div w:id="187371763">
      <w:marLeft w:val="0"/>
      <w:marRight w:val="0"/>
      <w:marTop w:val="280"/>
      <w:marBottom w:val="0"/>
      <w:divBdr>
        <w:top w:val="none" w:sz="0" w:space="0" w:color="auto"/>
        <w:left w:val="none" w:sz="0" w:space="0" w:color="auto"/>
        <w:bottom w:val="none" w:sz="0" w:space="0" w:color="auto"/>
        <w:right w:val="none" w:sz="0" w:space="0" w:color="auto"/>
      </w:divBdr>
    </w:div>
    <w:div w:id="187763753">
      <w:marLeft w:val="0"/>
      <w:marRight w:val="0"/>
      <w:marTop w:val="100"/>
      <w:marBottom w:val="0"/>
      <w:divBdr>
        <w:top w:val="none" w:sz="0" w:space="0" w:color="auto"/>
        <w:left w:val="none" w:sz="0" w:space="0" w:color="auto"/>
        <w:bottom w:val="none" w:sz="0" w:space="0" w:color="auto"/>
        <w:right w:val="none" w:sz="0" w:space="0" w:color="auto"/>
      </w:divBdr>
    </w:div>
    <w:div w:id="187793317">
      <w:marLeft w:val="0"/>
      <w:marRight w:val="0"/>
      <w:marTop w:val="100"/>
      <w:marBottom w:val="0"/>
      <w:divBdr>
        <w:top w:val="none" w:sz="0" w:space="0" w:color="auto"/>
        <w:left w:val="none" w:sz="0" w:space="0" w:color="auto"/>
        <w:bottom w:val="none" w:sz="0" w:space="0" w:color="auto"/>
        <w:right w:val="none" w:sz="0" w:space="0" w:color="auto"/>
      </w:divBdr>
    </w:div>
    <w:div w:id="188448493">
      <w:marLeft w:val="0"/>
      <w:marRight w:val="0"/>
      <w:marTop w:val="60"/>
      <w:marBottom w:val="0"/>
      <w:divBdr>
        <w:top w:val="none" w:sz="0" w:space="0" w:color="auto"/>
        <w:left w:val="none" w:sz="0" w:space="0" w:color="auto"/>
        <w:bottom w:val="none" w:sz="0" w:space="0" w:color="auto"/>
        <w:right w:val="none" w:sz="0" w:space="0" w:color="auto"/>
      </w:divBdr>
    </w:div>
    <w:div w:id="189876755">
      <w:marLeft w:val="0"/>
      <w:marRight w:val="0"/>
      <w:marTop w:val="0"/>
      <w:marBottom w:val="0"/>
      <w:divBdr>
        <w:top w:val="none" w:sz="0" w:space="0" w:color="auto"/>
        <w:left w:val="none" w:sz="0" w:space="0" w:color="auto"/>
        <w:bottom w:val="none" w:sz="0" w:space="0" w:color="auto"/>
        <w:right w:val="none" w:sz="0" w:space="0" w:color="auto"/>
      </w:divBdr>
      <w:divsChild>
        <w:div w:id="697778841">
          <w:marLeft w:val="0"/>
          <w:marRight w:val="0"/>
          <w:marTop w:val="0"/>
          <w:marBottom w:val="0"/>
          <w:divBdr>
            <w:top w:val="none" w:sz="0" w:space="0" w:color="auto"/>
            <w:left w:val="none" w:sz="0" w:space="0" w:color="auto"/>
            <w:bottom w:val="none" w:sz="0" w:space="0" w:color="auto"/>
            <w:right w:val="none" w:sz="0" w:space="0" w:color="auto"/>
          </w:divBdr>
        </w:div>
        <w:div w:id="1897082553">
          <w:marLeft w:val="0"/>
          <w:marRight w:val="0"/>
          <w:marTop w:val="0"/>
          <w:marBottom w:val="0"/>
          <w:divBdr>
            <w:top w:val="none" w:sz="0" w:space="0" w:color="auto"/>
            <w:left w:val="none" w:sz="0" w:space="0" w:color="auto"/>
            <w:bottom w:val="none" w:sz="0" w:space="0" w:color="auto"/>
            <w:right w:val="none" w:sz="0" w:space="0" w:color="auto"/>
          </w:divBdr>
        </w:div>
      </w:divsChild>
    </w:div>
    <w:div w:id="190072076">
      <w:marLeft w:val="0"/>
      <w:marRight w:val="0"/>
      <w:marTop w:val="100"/>
      <w:marBottom w:val="0"/>
      <w:divBdr>
        <w:top w:val="none" w:sz="0" w:space="0" w:color="auto"/>
        <w:left w:val="none" w:sz="0" w:space="0" w:color="auto"/>
        <w:bottom w:val="none" w:sz="0" w:space="0" w:color="auto"/>
        <w:right w:val="none" w:sz="0" w:space="0" w:color="auto"/>
      </w:divBdr>
    </w:div>
    <w:div w:id="191961651">
      <w:marLeft w:val="0"/>
      <w:marRight w:val="0"/>
      <w:marTop w:val="0"/>
      <w:marBottom w:val="0"/>
      <w:divBdr>
        <w:top w:val="none" w:sz="0" w:space="0" w:color="auto"/>
        <w:left w:val="none" w:sz="0" w:space="0" w:color="auto"/>
        <w:bottom w:val="none" w:sz="0" w:space="0" w:color="auto"/>
        <w:right w:val="none" w:sz="0" w:space="0" w:color="auto"/>
      </w:divBdr>
      <w:divsChild>
        <w:div w:id="753235674">
          <w:marLeft w:val="0"/>
          <w:marRight w:val="0"/>
          <w:marTop w:val="0"/>
          <w:marBottom w:val="0"/>
          <w:divBdr>
            <w:top w:val="none" w:sz="0" w:space="0" w:color="auto"/>
            <w:left w:val="none" w:sz="0" w:space="0" w:color="auto"/>
            <w:bottom w:val="none" w:sz="0" w:space="0" w:color="auto"/>
            <w:right w:val="none" w:sz="0" w:space="0" w:color="auto"/>
          </w:divBdr>
        </w:div>
        <w:div w:id="681976501">
          <w:marLeft w:val="0"/>
          <w:marRight w:val="0"/>
          <w:marTop w:val="0"/>
          <w:marBottom w:val="0"/>
          <w:divBdr>
            <w:top w:val="none" w:sz="0" w:space="0" w:color="auto"/>
            <w:left w:val="none" w:sz="0" w:space="0" w:color="auto"/>
            <w:bottom w:val="none" w:sz="0" w:space="0" w:color="auto"/>
            <w:right w:val="none" w:sz="0" w:space="0" w:color="auto"/>
          </w:divBdr>
        </w:div>
      </w:divsChild>
    </w:div>
    <w:div w:id="192957966">
      <w:marLeft w:val="0"/>
      <w:marRight w:val="0"/>
      <w:marTop w:val="100"/>
      <w:marBottom w:val="0"/>
      <w:divBdr>
        <w:top w:val="none" w:sz="0" w:space="0" w:color="auto"/>
        <w:left w:val="none" w:sz="0" w:space="0" w:color="auto"/>
        <w:bottom w:val="none" w:sz="0" w:space="0" w:color="auto"/>
        <w:right w:val="none" w:sz="0" w:space="0" w:color="auto"/>
      </w:divBdr>
    </w:div>
    <w:div w:id="193618239">
      <w:marLeft w:val="0"/>
      <w:marRight w:val="0"/>
      <w:marTop w:val="100"/>
      <w:marBottom w:val="0"/>
      <w:divBdr>
        <w:top w:val="none" w:sz="0" w:space="0" w:color="auto"/>
        <w:left w:val="none" w:sz="0" w:space="0" w:color="auto"/>
        <w:bottom w:val="none" w:sz="0" w:space="0" w:color="auto"/>
        <w:right w:val="none" w:sz="0" w:space="0" w:color="auto"/>
      </w:divBdr>
    </w:div>
    <w:div w:id="193664935">
      <w:marLeft w:val="0"/>
      <w:marRight w:val="0"/>
      <w:marTop w:val="100"/>
      <w:marBottom w:val="0"/>
      <w:divBdr>
        <w:top w:val="none" w:sz="0" w:space="0" w:color="auto"/>
        <w:left w:val="none" w:sz="0" w:space="0" w:color="auto"/>
        <w:bottom w:val="none" w:sz="0" w:space="0" w:color="auto"/>
        <w:right w:val="none" w:sz="0" w:space="0" w:color="auto"/>
      </w:divBdr>
    </w:div>
    <w:div w:id="196312642">
      <w:marLeft w:val="0"/>
      <w:marRight w:val="0"/>
      <w:marTop w:val="60"/>
      <w:marBottom w:val="0"/>
      <w:divBdr>
        <w:top w:val="none" w:sz="0" w:space="0" w:color="auto"/>
        <w:left w:val="none" w:sz="0" w:space="0" w:color="auto"/>
        <w:bottom w:val="none" w:sz="0" w:space="0" w:color="auto"/>
        <w:right w:val="none" w:sz="0" w:space="0" w:color="auto"/>
      </w:divBdr>
    </w:div>
    <w:div w:id="196938059">
      <w:marLeft w:val="0"/>
      <w:marRight w:val="0"/>
      <w:marTop w:val="280"/>
      <w:marBottom w:val="0"/>
      <w:divBdr>
        <w:top w:val="none" w:sz="0" w:space="0" w:color="auto"/>
        <w:left w:val="none" w:sz="0" w:space="0" w:color="auto"/>
        <w:bottom w:val="none" w:sz="0" w:space="0" w:color="auto"/>
        <w:right w:val="none" w:sz="0" w:space="0" w:color="auto"/>
      </w:divBdr>
    </w:div>
    <w:div w:id="197082380">
      <w:marLeft w:val="0"/>
      <w:marRight w:val="0"/>
      <w:marTop w:val="60"/>
      <w:marBottom w:val="0"/>
      <w:divBdr>
        <w:top w:val="none" w:sz="0" w:space="0" w:color="auto"/>
        <w:left w:val="none" w:sz="0" w:space="0" w:color="auto"/>
        <w:bottom w:val="none" w:sz="0" w:space="0" w:color="auto"/>
        <w:right w:val="none" w:sz="0" w:space="0" w:color="auto"/>
      </w:divBdr>
    </w:div>
    <w:div w:id="200554481">
      <w:marLeft w:val="0"/>
      <w:marRight w:val="0"/>
      <w:marTop w:val="60"/>
      <w:marBottom w:val="0"/>
      <w:divBdr>
        <w:top w:val="none" w:sz="0" w:space="0" w:color="auto"/>
        <w:left w:val="none" w:sz="0" w:space="0" w:color="auto"/>
        <w:bottom w:val="none" w:sz="0" w:space="0" w:color="auto"/>
        <w:right w:val="none" w:sz="0" w:space="0" w:color="auto"/>
      </w:divBdr>
    </w:div>
    <w:div w:id="202862644">
      <w:marLeft w:val="0"/>
      <w:marRight w:val="0"/>
      <w:marTop w:val="100"/>
      <w:marBottom w:val="0"/>
      <w:divBdr>
        <w:top w:val="none" w:sz="0" w:space="0" w:color="auto"/>
        <w:left w:val="none" w:sz="0" w:space="0" w:color="auto"/>
        <w:bottom w:val="none" w:sz="0" w:space="0" w:color="auto"/>
        <w:right w:val="none" w:sz="0" w:space="0" w:color="auto"/>
      </w:divBdr>
    </w:div>
    <w:div w:id="204147912">
      <w:marLeft w:val="0"/>
      <w:marRight w:val="0"/>
      <w:marTop w:val="0"/>
      <w:marBottom w:val="0"/>
      <w:divBdr>
        <w:top w:val="none" w:sz="0" w:space="0" w:color="auto"/>
        <w:left w:val="none" w:sz="0" w:space="0" w:color="auto"/>
        <w:bottom w:val="none" w:sz="0" w:space="0" w:color="auto"/>
        <w:right w:val="none" w:sz="0" w:space="0" w:color="auto"/>
      </w:divBdr>
      <w:divsChild>
        <w:div w:id="1948779013">
          <w:marLeft w:val="0"/>
          <w:marRight w:val="0"/>
          <w:marTop w:val="0"/>
          <w:marBottom w:val="0"/>
          <w:divBdr>
            <w:top w:val="none" w:sz="0" w:space="0" w:color="auto"/>
            <w:left w:val="none" w:sz="0" w:space="0" w:color="auto"/>
            <w:bottom w:val="none" w:sz="0" w:space="0" w:color="auto"/>
            <w:right w:val="none" w:sz="0" w:space="0" w:color="auto"/>
          </w:divBdr>
        </w:div>
      </w:divsChild>
    </w:div>
    <w:div w:id="204607909">
      <w:marLeft w:val="0"/>
      <w:marRight w:val="0"/>
      <w:marTop w:val="60"/>
      <w:marBottom w:val="0"/>
      <w:divBdr>
        <w:top w:val="none" w:sz="0" w:space="0" w:color="auto"/>
        <w:left w:val="none" w:sz="0" w:space="0" w:color="auto"/>
        <w:bottom w:val="none" w:sz="0" w:space="0" w:color="auto"/>
        <w:right w:val="none" w:sz="0" w:space="0" w:color="auto"/>
      </w:divBdr>
    </w:div>
    <w:div w:id="205146551">
      <w:marLeft w:val="0"/>
      <w:marRight w:val="0"/>
      <w:marTop w:val="280"/>
      <w:marBottom w:val="0"/>
      <w:divBdr>
        <w:top w:val="none" w:sz="0" w:space="0" w:color="auto"/>
        <w:left w:val="none" w:sz="0" w:space="0" w:color="auto"/>
        <w:bottom w:val="none" w:sz="0" w:space="0" w:color="auto"/>
        <w:right w:val="none" w:sz="0" w:space="0" w:color="auto"/>
      </w:divBdr>
    </w:div>
    <w:div w:id="206068465">
      <w:marLeft w:val="0"/>
      <w:marRight w:val="0"/>
      <w:marTop w:val="0"/>
      <w:marBottom w:val="0"/>
      <w:divBdr>
        <w:top w:val="none" w:sz="0" w:space="0" w:color="auto"/>
        <w:left w:val="none" w:sz="0" w:space="0" w:color="auto"/>
        <w:bottom w:val="none" w:sz="0" w:space="0" w:color="auto"/>
        <w:right w:val="none" w:sz="0" w:space="0" w:color="auto"/>
      </w:divBdr>
      <w:divsChild>
        <w:div w:id="1997027135">
          <w:marLeft w:val="0"/>
          <w:marRight w:val="0"/>
          <w:marTop w:val="0"/>
          <w:marBottom w:val="0"/>
          <w:divBdr>
            <w:top w:val="none" w:sz="0" w:space="0" w:color="auto"/>
            <w:left w:val="none" w:sz="0" w:space="0" w:color="auto"/>
            <w:bottom w:val="none" w:sz="0" w:space="0" w:color="auto"/>
            <w:right w:val="none" w:sz="0" w:space="0" w:color="auto"/>
          </w:divBdr>
        </w:div>
        <w:div w:id="303896601">
          <w:marLeft w:val="0"/>
          <w:marRight w:val="0"/>
          <w:marTop w:val="0"/>
          <w:marBottom w:val="0"/>
          <w:divBdr>
            <w:top w:val="none" w:sz="0" w:space="0" w:color="auto"/>
            <w:left w:val="none" w:sz="0" w:space="0" w:color="auto"/>
            <w:bottom w:val="none" w:sz="0" w:space="0" w:color="auto"/>
            <w:right w:val="none" w:sz="0" w:space="0" w:color="auto"/>
          </w:divBdr>
        </w:div>
      </w:divsChild>
    </w:div>
    <w:div w:id="206376758">
      <w:marLeft w:val="0"/>
      <w:marRight w:val="0"/>
      <w:marTop w:val="100"/>
      <w:marBottom w:val="0"/>
      <w:divBdr>
        <w:top w:val="none" w:sz="0" w:space="0" w:color="auto"/>
        <w:left w:val="none" w:sz="0" w:space="0" w:color="auto"/>
        <w:bottom w:val="none" w:sz="0" w:space="0" w:color="auto"/>
        <w:right w:val="none" w:sz="0" w:space="0" w:color="auto"/>
      </w:divBdr>
    </w:div>
    <w:div w:id="207837694">
      <w:marLeft w:val="0"/>
      <w:marRight w:val="0"/>
      <w:marTop w:val="100"/>
      <w:marBottom w:val="0"/>
      <w:divBdr>
        <w:top w:val="none" w:sz="0" w:space="0" w:color="auto"/>
        <w:left w:val="none" w:sz="0" w:space="0" w:color="auto"/>
        <w:bottom w:val="none" w:sz="0" w:space="0" w:color="auto"/>
        <w:right w:val="none" w:sz="0" w:space="0" w:color="auto"/>
      </w:divBdr>
    </w:div>
    <w:div w:id="208416262">
      <w:marLeft w:val="0"/>
      <w:marRight w:val="0"/>
      <w:marTop w:val="100"/>
      <w:marBottom w:val="0"/>
      <w:divBdr>
        <w:top w:val="none" w:sz="0" w:space="0" w:color="auto"/>
        <w:left w:val="none" w:sz="0" w:space="0" w:color="auto"/>
        <w:bottom w:val="none" w:sz="0" w:space="0" w:color="auto"/>
        <w:right w:val="none" w:sz="0" w:space="0" w:color="auto"/>
      </w:divBdr>
    </w:div>
    <w:div w:id="208566333">
      <w:marLeft w:val="0"/>
      <w:marRight w:val="0"/>
      <w:marTop w:val="280"/>
      <w:marBottom w:val="0"/>
      <w:divBdr>
        <w:top w:val="none" w:sz="0" w:space="0" w:color="auto"/>
        <w:left w:val="none" w:sz="0" w:space="0" w:color="auto"/>
        <w:bottom w:val="none" w:sz="0" w:space="0" w:color="auto"/>
        <w:right w:val="none" w:sz="0" w:space="0" w:color="auto"/>
      </w:divBdr>
    </w:div>
    <w:div w:id="212891595">
      <w:marLeft w:val="0"/>
      <w:marRight w:val="0"/>
      <w:marTop w:val="40"/>
      <w:marBottom w:val="0"/>
      <w:divBdr>
        <w:top w:val="none" w:sz="0" w:space="0" w:color="auto"/>
        <w:left w:val="none" w:sz="0" w:space="0" w:color="auto"/>
        <w:bottom w:val="none" w:sz="0" w:space="0" w:color="auto"/>
        <w:right w:val="none" w:sz="0" w:space="0" w:color="auto"/>
      </w:divBdr>
    </w:div>
    <w:div w:id="214433811">
      <w:marLeft w:val="0"/>
      <w:marRight w:val="0"/>
      <w:marTop w:val="60"/>
      <w:marBottom w:val="0"/>
      <w:divBdr>
        <w:top w:val="none" w:sz="0" w:space="0" w:color="auto"/>
        <w:left w:val="none" w:sz="0" w:space="0" w:color="auto"/>
        <w:bottom w:val="none" w:sz="0" w:space="0" w:color="auto"/>
        <w:right w:val="none" w:sz="0" w:space="0" w:color="auto"/>
      </w:divBdr>
    </w:div>
    <w:div w:id="215121718">
      <w:marLeft w:val="0"/>
      <w:marRight w:val="0"/>
      <w:marTop w:val="100"/>
      <w:marBottom w:val="0"/>
      <w:divBdr>
        <w:top w:val="none" w:sz="0" w:space="0" w:color="auto"/>
        <w:left w:val="none" w:sz="0" w:space="0" w:color="auto"/>
        <w:bottom w:val="none" w:sz="0" w:space="0" w:color="auto"/>
        <w:right w:val="none" w:sz="0" w:space="0" w:color="auto"/>
      </w:divBdr>
    </w:div>
    <w:div w:id="215364221">
      <w:marLeft w:val="0"/>
      <w:marRight w:val="0"/>
      <w:marTop w:val="0"/>
      <w:marBottom w:val="0"/>
      <w:divBdr>
        <w:top w:val="none" w:sz="0" w:space="0" w:color="auto"/>
        <w:left w:val="none" w:sz="0" w:space="0" w:color="auto"/>
        <w:bottom w:val="none" w:sz="0" w:space="0" w:color="auto"/>
        <w:right w:val="none" w:sz="0" w:space="0" w:color="auto"/>
      </w:divBdr>
      <w:divsChild>
        <w:div w:id="149251553">
          <w:marLeft w:val="0"/>
          <w:marRight w:val="0"/>
          <w:marTop w:val="0"/>
          <w:marBottom w:val="0"/>
          <w:divBdr>
            <w:top w:val="none" w:sz="0" w:space="0" w:color="auto"/>
            <w:left w:val="none" w:sz="0" w:space="0" w:color="auto"/>
            <w:bottom w:val="none" w:sz="0" w:space="0" w:color="auto"/>
            <w:right w:val="none" w:sz="0" w:space="0" w:color="auto"/>
          </w:divBdr>
        </w:div>
      </w:divsChild>
    </w:div>
    <w:div w:id="218711916">
      <w:marLeft w:val="0"/>
      <w:marRight w:val="0"/>
      <w:marTop w:val="0"/>
      <w:marBottom w:val="0"/>
      <w:divBdr>
        <w:top w:val="none" w:sz="0" w:space="0" w:color="auto"/>
        <w:left w:val="none" w:sz="0" w:space="0" w:color="auto"/>
        <w:bottom w:val="none" w:sz="0" w:space="0" w:color="auto"/>
        <w:right w:val="none" w:sz="0" w:space="0" w:color="auto"/>
      </w:divBdr>
      <w:divsChild>
        <w:div w:id="1373847896">
          <w:marLeft w:val="0"/>
          <w:marRight w:val="0"/>
          <w:marTop w:val="0"/>
          <w:marBottom w:val="0"/>
          <w:divBdr>
            <w:top w:val="none" w:sz="0" w:space="0" w:color="auto"/>
            <w:left w:val="none" w:sz="0" w:space="0" w:color="auto"/>
            <w:bottom w:val="none" w:sz="0" w:space="0" w:color="auto"/>
            <w:right w:val="none" w:sz="0" w:space="0" w:color="auto"/>
          </w:divBdr>
        </w:div>
        <w:div w:id="1860309847">
          <w:marLeft w:val="0"/>
          <w:marRight w:val="0"/>
          <w:marTop w:val="0"/>
          <w:marBottom w:val="0"/>
          <w:divBdr>
            <w:top w:val="none" w:sz="0" w:space="0" w:color="auto"/>
            <w:left w:val="none" w:sz="0" w:space="0" w:color="auto"/>
            <w:bottom w:val="none" w:sz="0" w:space="0" w:color="auto"/>
            <w:right w:val="none" w:sz="0" w:space="0" w:color="auto"/>
          </w:divBdr>
        </w:div>
      </w:divsChild>
    </w:div>
    <w:div w:id="218784275">
      <w:marLeft w:val="0"/>
      <w:marRight w:val="0"/>
      <w:marTop w:val="100"/>
      <w:marBottom w:val="0"/>
      <w:divBdr>
        <w:top w:val="none" w:sz="0" w:space="0" w:color="auto"/>
        <w:left w:val="none" w:sz="0" w:space="0" w:color="auto"/>
        <w:bottom w:val="none" w:sz="0" w:space="0" w:color="auto"/>
        <w:right w:val="none" w:sz="0" w:space="0" w:color="auto"/>
      </w:divBdr>
    </w:div>
    <w:div w:id="219246328">
      <w:marLeft w:val="0"/>
      <w:marRight w:val="0"/>
      <w:marTop w:val="100"/>
      <w:marBottom w:val="0"/>
      <w:divBdr>
        <w:top w:val="none" w:sz="0" w:space="0" w:color="auto"/>
        <w:left w:val="none" w:sz="0" w:space="0" w:color="auto"/>
        <w:bottom w:val="none" w:sz="0" w:space="0" w:color="auto"/>
        <w:right w:val="none" w:sz="0" w:space="0" w:color="auto"/>
      </w:divBdr>
    </w:div>
    <w:div w:id="220599327">
      <w:marLeft w:val="0"/>
      <w:marRight w:val="0"/>
      <w:marTop w:val="100"/>
      <w:marBottom w:val="0"/>
      <w:divBdr>
        <w:top w:val="none" w:sz="0" w:space="0" w:color="auto"/>
        <w:left w:val="none" w:sz="0" w:space="0" w:color="auto"/>
        <w:bottom w:val="none" w:sz="0" w:space="0" w:color="auto"/>
        <w:right w:val="none" w:sz="0" w:space="0" w:color="auto"/>
      </w:divBdr>
    </w:div>
    <w:div w:id="221987860">
      <w:marLeft w:val="0"/>
      <w:marRight w:val="0"/>
      <w:marTop w:val="100"/>
      <w:marBottom w:val="0"/>
      <w:divBdr>
        <w:top w:val="none" w:sz="0" w:space="0" w:color="auto"/>
        <w:left w:val="none" w:sz="0" w:space="0" w:color="auto"/>
        <w:bottom w:val="none" w:sz="0" w:space="0" w:color="auto"/>
        <w:right w:val="none" w:sz="0" w:space="0" w:color="auto"/>
      </w:divBdr>
    </w:div>
    <w:div w:id="224412735">
      <w:marLeft w:val="0"/>
      <w:marRight w:val="0"/>
      <w:marTop w:val="100"/>
      <w:marBottom w:val="0"/>
      <w:divBdr>
        <w:top w:val="none" w:sz="0" w:space="0" w:color="auto"/>
        <w:left w:val="none" w:sz="0" w:space="0" w:color="auto"/>
        <w:bottom w:val="none" w:sz="0" w:space="0" w:color="auto"/>
        <w:right w:val="none" w:sz="0" w:space="0" w:color="auto"/>
      </w:divBdr>
    </w:div>
    <w:div w:id="225265442">
      <w:marLeft w:val="0"/>
      <w:marRight w:val="0"/>
      <w:marTop w:val="60"/>
      <w:marBottom w:val="0"/>
      <w:divBdr>
        <w:top w:val="none" w:sz="0" w:space="0" w:color="auto"/>
        <w:left w:val="none" w:sz="0" w:space="0" w:color="auto"/>
        <w:bottom w:val="none" w:sz="0" w:space="0" w:color="auto"/>
        <w:right w:val="none" w:sz="0" w:space="0" w:color="auto"/>
      </w:divBdr>
    </w:div>
    <w:div w:id="226454642">
      <w:marLeft w:val="0"/>
      <w:marRight w:val="0"/>
      <w:marTop w:val="100"/>
      <w:marBottom w:val="0"/>
      <w:divBdr>
        <w:top w:val="none" w:sz="0" w:space="0" w:color="auto"/>
        <w:left w:val="none" w:sz="0" w:space="0" w:color="auto"/>
        <w:bottom w:val="none" w:sz="0" w:space="0" w:color="auto"/>
        <w:right w:val="none" w:sz="0" w:space="0" w:color="auto"/>
      </w:divBdr>
    </w:div>
    <w:div w:id="226885942">
      <w:marLeft w:val="0"/>
      <w:marRight w:val="0"/>
      <w:marTop w:val="280"/>
      <w:marBottom w:val="0"/>
      <w:divBdr>
        <w:top w:val="none" w:sz="0" w:space="0" w:color="auto"/>
        <w:left w:val="none" w:sz="0" w:space="0" w:color="auto"/>
        <w:bottom w:val="none" w:sz="0" w:space="0" w:color="auto"/>
        <w:right w:val="none" w:sz="0" w:space="0" w:color="auto"/>
      </w:divBdr>
    </w:div>
    <w:div w:id="227886960">
      <w:marLeft w:val="0"/>
      <w:marRight w:val="0"/>
      <w:marTop w:val="100"/>
      <w:marBottom w:val="0"/>
      <w:divBdr>
        <w:top w:val="none" w:sz="0" w:space="0" w:color="auto"/>
        <w:left w:val="none" w:sz="0" w:space="0" w:color="auto"/>
        <w:bottom w:val="none" w:sz="0" w:space="0" w:color="auto"/>
        <w:right w:val="none" w:sz="0" w:space="0" w:color="auto"/>
      </w:divBdr>
    </w:div>
    <w:div w:id="228351230">
      <w:marLeft w:val="0"/>
      <w:marRight w:val="0"/>
      <w:marTop w:val="100"/>
      <w:marBottom w:val="0"/>
      <w:divBdr>
        <w:top w:val="none" w:sz="0" w:space="0" w:color="auto"/>
        <w:left w:val="none" w:sz="0" w:space="0" w:color="auto"/>
        <w:bottom w:val="none" w:sz="0" w:space="0" w:color="auto"/>
        <w:right w:val="none" w:sz="0" w:space="0" w:color="auto"/>
      </w:divBdr>
    </w:div>
    <w:div w:id="229656251">
      <w:marLeft w:val="0"/>
      <w:marRight w:val="0"/>
      <w:marTop w:val="100"/>
      <w:marBottom w:val="0"/>
      <w:divBdr>
        <w:top w:val="none" w:sz="0" w:space="0" w:color="auto"/>
        <w:left w:val="none" w:sz="0" w:space="0" w:color="auto"/>
        <w:bottom w:val="none" w:sz="0" w:space="0" w:color="auto"/>
        <w:right w:val="none" w:sz="0" w:space="0" w:color="auto"/>
      </w:divBdr>
    </w:div>
    <w:div w:id="230237749">
      <w:marLeft w:val="0"/>
      <w:marRight w:val="0"/>
      <w:marTop w:val="100"/>
      <w:marBottom w:val="0"/>
      <w:divBdr>
        <w:top w:val="none" w:sz="0" w:space="0" w:color="auto"/>
        <w:left w:val="none" w:sz="0" w:space="0" w:color="auto"/>
        <w:bottom w:val="none" w:sz="0" w:space="0" w:color="auto"/>
        <w:right w:val="none" w:sz="0" w:space="0" w:color="auto"/>
      </w:divBdr>
    </w:div>
    <w:div w:id="233201070">
      <w:marLeft w:val="0"/>
      <w:marRight w:val="0"/>
      <w:marTop w:val="100"/>
      <w:marBottom w:val="0"/>
      <w:divBdr>
        <w:top w:val="none" w:sz="0" w:space="0" w:color="auto"/>
        <w:left w:val="none" w:sz="0" w:space="0" w:color="auto"/>
        <w:bottom w:val="none" w:sz="0" w:space="0" w:color="auto"/>
        <w:right w:val="none" w:sz="0" w:space="0" w:color="auto"/>
      </w:divBdr>
    </w:div>
    <w:div w:id="234172626">
      <w:marLeft w:val="0"/>
      <w:marRight w:val="0"/>
      <w:marTop w:val="100"/>
      <w:marBottom w:val="0"/>
      <w:divBdr>
        <w:top w:val="none" w:sz="0" w:space="0" w:color="auto"/>
        <w:left w:val="none" w:sz="0" w:space="0" w:color="auto"/>
        <w:bottom w:val="none" w:sz="0" w:space="0" w:color="auto"/>
        <w:right w:val="none" w:sz="0" w:space="0" w:color="auto"/>
      </w:divBdr>
    </w:div>
    <w:div w:id="235554385">
      <w:marLeft w:val="0"/>
      <w:marRight w:val="0"/>
      <w:marTop w:val="0"/>
      <w:marBottom w:val="0"/>
      <w:divBdr>
        <w:top w:val="none" w:sz="0" w:space="0" w:color="auto"/>
        <w:left w:val="none" w:sz="0" w:space="0" w:color="auto"/>
        <w:bottom w:val="none" w:sz="0" w:space="0" w:color="auto"/>
        <w:right w:val="none" w:sz="0" w:space="0" w:color="auto"/>
      </w:divBdr>
      <w:divsChild>
        <w:div w:id="800225322">
          <w:marLeft w:val="0"/>
          <w:marRight w:val="0"/>
          <w:marTop w:val="0"/>
          <w:marBottom w:val="0"/>
          <w:divBdr>
            <w:top w:val="none" w:sz="0" w:space="0" w:color="auto"/>
            <w:left w:val="none" w:sz="0" w:space="0" w:color="auto"/>
            <w:bottom w:val="none" w:sz="0" w:space="0" w:color="auto"/>
            <w:right w:val="none" w:sz="0" w:space="0" w:color="auto"/>
          </w:divBdr>
        </w:div>
      </w:divsChild>
    </w:div>
    <w:div w:id="238827506">
      <w:marLeft w:val="0"/>
      <w:marRight w:val="0"/>
      <w:marTop w:val="60"/>
      <w:marBottom w:val="0"/>
      <w:divBdr>
        <w:top w:val="none" w:sz="0" w:space="0" w:color="auto"/>
        <w:left w:val="none" w:sz="0" w:space="0" w:color="auto"/>
        <w:bottom w:val="none" w:sz="0" w:space="0" w:color="auto"/>
        <w:right w:val="none" w:sz="0" w:space="0" w:color="auto"/>
      </w:divBdr>
    </w:div>
    <w:div w:id="244262819">
      <w:marLeft w:val="0"/>
      <w:marRight w:val="0"/>
      <w:marTop w:val="100"/>
      <w:marBottom w:val="0"/>
      <w:divBdr>
        <w:top w:val="none" w:sz="0" w:space="0" w:color="auto"/>
        <w:left w:val="none" w:sz="0" w:space="0" w:color="auto"/>
        <w:bottom w:val="none" w:sz="0" w:space="0" w:color="auto"/>
        <w:right w:val="none" w:sz="0" w:space="0" w:color="auto"/>
      </w:divBdr>
    </w:div>
    <w:div w:id="244650131">
      <w:marLeft w:val="0"/>
      <w:marRight w:val="0"/>
      <w:marTop w:val="100"/>
      <w:marBottom w:val="0"/>
      <w:divBdr>
        <w:top w:val="none" w:sz="0" w:space="0" w:color="auto"/>
        <w:left w:val="none" w:sz="0" w:space="0" w:color="auto"/>
        <w:bottom w:val="none" w:sz="0" w:space="0" w:color="auto"/>
        <w:right w:val="none" w:sz="0" w:space="0" w:color="auto"/>
      </w:divBdr>
    </w:div>
    <w:div w:id="247661270">
      <w:marLeft w:val="0"/>
      <w:marRight w:val="0"/>
      <w:marTop w:val="100"/>
      <w:marBottom w:val="0"/>
      <w:divBdr>
        <w:top w:val="none" w:sz="0" w:space="0" w:color="auto"/>
        <w:left w:val="none" w:sz="0" w:space="0" w:color="auto"/>
        <w:bottom w:val="none" w:sz="0" w:space="0" w:color="auto"/>
        <w:right w:val="none" w:sz="0" w:space="0" w:color="auto"/>
      </w:divBdr>
    </w:div>
    <w:div w:id="248003722">
      <w:marLeft w:val="0"/>
      <w:marRight w:val="0"/>
      <w:marTop w:val="100"/>
      <w:marBottom w:val="0"/>
      <w:divBdr>
        <w:top w:val="none" w:sz="0" w:space="0" w:color="auto"/>
        <w:left w:val="none" w:sz="0" w:space="0" w:color="auto"/>
        <w:bottom w:val="none" w:sz="0" w:space="0" w:color="auto"/>
        <w:right w:val="none" w:sz="0" w:space="0" w:color="auto"/>
      </w:divBdr>
    </w:div>
    <w:div w:id="249044047">
      <w:marLeft w:val="0"/>
      <w:marRight w:val="0"/>
      <w:marTop w:val="100"/>
      <w:marBottom w:val="0"/>
      <w:divBdr>
        <w:top w:val="none" w:sz="0" w:space="0" w:color="auto"/>
        <w:left w:val="none" w:sz="0" w:space="0" w:color="auto"/>
        <w:bottom w:val="none" w:sz="0" w:space="0" w:color="auto"/>
        <w:right w:val="none" w:sz="0" w:space="0" w:color="auto"/>
      </w:divBdr>
    </w:div>
    <w:div w:id="253444742">
      <w:marLeft w:val="0"/>
      <w:marRight w:val="0"/>
      <w:marTop w:val="100"/>
      <w:marBottom w:val="0"/>
      <w:divBdr>
        <w:top w:val="none" w:sz="0" w:space="0" w:color="auto"/>
        <w:left w:val="none" w:sz="0" w:space="0" w:color="auto"/>
        <w:bottom w:val="none" w:sz="0" w:space="0" w:color="auto"/>
        <w:right w:val="none" w:sz="0" w:space="0" w:color="auto"/>
      </w:divBdr>
    </w:div>
    <w:div w:id="253755793">
      <w:marLeft w:val="0"/>
      <w:marRight w:val="0"/>
      <w:marTop w:val="280"/>
      <w:marBottom w:val="0"/>
      <w:divBdr>
        <w:top w:val="none" w:sz="0" w:space="0" w:color="auto"/>
        <w:left w:val="none" w:sz="0" w:space="0" w:color="auto"/>
        <w:bottom w:val="none" w:sz="0" w:space="0" w:color="auto"/>
        <w:right w:val="none" w:sz="0" w:space="0" w:color="auto"/>
      </w:divBdr>
    </w:div>
    <w:div w:id="254479686">
      <w:marLeft w:val="0"/>
      <w:marRight w:val="0"/>
      <w:marTop w:val="100"/>
      <w:marBottom w:val="0"/>
      <w:divBdr>
        <w:top w:val="none" w:sz="0" w:space="0" w:color="auto"/>
        <w:left w:val="none" w:sz="0" w:space="0" w:color="auto"/>
        <w:bottom w:val="none" w:sz="0" w:space="0" w:color="auto"/>
        <w:right w:val="none" w:sz="0" w:space="0" w:color="auto"/>
      </w:divBdr>
    </w:div>
    <w:div w:id="254675346">
      <w:marLeft w:val="0"/>
      <w:marRight w:val="0"/>
      <w:marTop w:val="100"/>
      <w:marBottom w:val="0"/>
      <w:divBdr>
        <w:top w:val="none" w:sz="0" w:space="0" w:color="auto"/>
        <w:left w:val="none" w:sz="0" w:space="0" w:color="auto"/>
        <w:bottom w:val="none" w:sz="0" w:space="0" w:color="auto"/>
        <w:right w:val="none" w:sz="0" w:space="0" w:color="auto"/>
      </w:divBdr>
    </w:div>
    <w:div w:id="255095454">
      <w:marLeft w:val="0"/>
      <w:marRight w:val="0"/>
      <w:marTop w:val="0"/>
      <w:marBottom w:val="0"/>
      <w:divBdr>
        <w:top w:val="none" w:sz="0" w:space="0" w:color="auto"/>
        <w:left w:val="none" w:sz="0" w:space="0" w:color="auto"/>
        <w:bottom w:val="none" w:sz="0" w:space="0" w:color="auto"/>
        <w:right w:val="none" w:sz="0" w:space="0" w:color="auto"/>
      </w:divBdr>
      <w:divsChild>
        <w:div w:id="609633021">
          <w:marLeft w:val="0"/>
          <w:marRight w:val="0"/>
          <w:marTop w:val="0"/>
          <w:marBottom w:val="0"/>
          <w:divBdr>
            <w:top w:val="none" w:sz="0" w:space="0" w:color="auto"/>
            <w:left w:val="none" w:sz="0" w:space="0" w:color="auto"/>
            <w:bottom w:val="none" w:sz="0" w:space="0" w:color="auto"/>
            <w:right w:val="none" w:sz="0" w:space="0" w:color="auto"/>
          </w:divBdr>
        </w:div>
      </w:divsChild>
    </w:div>
    <w:div w:id="255139220">
      <w:marLeft w:val="0"/>
      <w:marRight w:val="0"/>
      <w:marTop w:val="60"/>
      <w:marBottom w:val="0"/>
      <w:divBdr>
        <w:top w:val="none" w:sz="0" w:space="0" w:color="auto"/>
        <w:left w:val="none" w:sz="0" w:space="0" w:color="auto"/>
        <w:bottom w:val="none" w:sz="0" w:space="0" w:color="auto"/>
        <w:right w:val="none" w:sz="0" w:space="0" w:color="auto"/>
      </w:divBdr>
    </w:div>
    <w:div w:id="258609800">
      <w:marLeft w:val="0"/>
      <w:marRight w:val="0"/>
      <w:marTop w:val="0"/>
      <w:marBottom w:val="0"/>
      <w:divBdr>
        <w:top w:val="none" w:sz="0" w:space="0" w:color="auto"/>
        <w:left w:val="none" w:sz="0" w:space="0" w:color="auto"/>
        <w:bottom w:val="none" w:sz="0" w:space="0" w:color="auto"/>
        <w:right w:val="none" w:sz="0" w:space="0" w:color="auto"/>
      </w:divBdr>
      <w:divsChild>
        <w:div w:id="88619706">
          <w:marLeft w:val="0"/>
          <w:marRight w:val="0"/>
          <w:marTop w:val="0"/>
          <w:marBottom w:val="0"/>
          <w:divBdr>
            <w:top w:val="none" w:sz="0" w:space="0" w:color="auto"/>
            <w:left w:val="none" w:sz="0" w:space="0" w:color="auto"/>
            <w:bottom w:val="none" w:sz="0" w:space="0" w:color="auto"/>
            <w:right w:val="none" w:sz="0" w:space="0" w:color="auto"/>
          </w:divBdr>
        </w:div>
      </w:divsChild>
    </w:div>
    <w:div w:id="260072788">
      <w:marLeft w:val="0"/>
      <w:marRight w:val="0"/>
      <w:marTop w:val="100"/>
      <w:marBottom w:val="0"/>
      <w:divBdr>
        <w:top w:val="none" w:sz="0" w:space="0" w:color="auto"/>
        <w:left w:val="none" w:sz="0" w:space="0" w:color="auto"/>
        <w:bottom w:val="none" w:sz="0" w:space="0" w:color="auto"/>
        <w:right w:val="none" w:sz="0" w:space="0" w:color="auto"/>
      </w:divBdr>
    </w:div>
    <w:div w:id="260257194">
      <w:marLeft w:val="0"/>
      <w:marRight w:val="0"/>
      <w:marTop w:val="100"/>
      <w:marBottom w:val="0"/>
      <w:divBdr>
        <w:top w:val="none" w:sz="0" w:space="0" w:color="auto"/>
        <w:left w:val="none" w:sz="0" w:space="0" w:color="auto"/>
        <w:bottom w:val="none" w:sz="0" w:space="0" w:color="auto"/>
        <w:right w:val="none" w:sz="0" w:space="0" w:color="auto"/>
      </w:divBdr>
    </w:div>
    <w:div w:id="260602158">
      <w:marLeft w:val="0"/>
      <w:marRight w:val="0"/>
      <w:marTop w:val="280"/>
      <w:marBottom w:val="0"/>
      <w:divBdr>
        <w:top w:val="none" w:sz="0" w:space="0" w:color="auto"/>
        <w:left w:val="none" w:sz="0" w:space="0" w:color="auto"/>
        <w:bottom w:val="none" w:sz="0" w:space="0" w:color="auto"/>
        <w:right w:val="none" w:sz="0" w:space="0" w:color="auto"/>
      </w:divBdr>
    </w:div>
    <w:div w:id="262540137">
      <w:marLeft w:val="0"/>
      <w:marRight w:val="0"/>
      <w:marTop w:val="100"/>
      <w:marBottom w:val="100"/>
      <w:divBdr>
        <w:top w:val="none" w:sz="0" w:space="0" w:color="auto"/>
        <w:left w:val="none" w:sz="0" w:space="0" w:color="auto"/>
        <w:bottom w:val="none" w:sz="0" w:space="0" w:color="auto"/>
        <w:right w:val="none" w:sz="0" w:space="0" w:color="auto"/>
      </w:divBdr>
    </w:div>
    <w:div w:id="264466538">
      <w:marLeft w:val="0"/>
      <w:marRight w:val="0"/>
      <w:marTop w:val="60"/>
      <w:marBottom w:val="0"/>
      <w:divBdr>
        <w:top w:val="none" w:sz="0" w:space="0" w:color="auto"/>
        <w:left w:val="none" w:sz="0" w:space="0" w:color="auto"/>
        <w:bottom w:val="none" w:sz="0" w:space="0" w:color="auto"/>
        <w:right w:val="none" w:sz="0" w:space="0" w:color="auto"/>
      </w:divBdr>
    </w:div>
    <w:div w:id="264970221">
      <w:marLeft w:val="0"/>
      <w:marRight w:val="0"/>
      <w:marTop w:val="100"/>
      <w:marBottom w:val="0"/>
      <w:divBdr>
        <w:top w:val="none" w:sz="0" w:space="0" w:color="auto"/>
        <w:left w:val="none" w:sz="0" w:space="0" w:color="auto"/>
        <w:bottom w:val="none" w:sz="0" w:space="0" w:color="auto"/>
        <w:right w:val="none" w:sz="0" w:space="0" w:color="auto"/>
      </w:divBdr>
    </w:div>
    <w:div w:id="266697989">
      <w:marLeft w:val="0"/>
      <w:marRight w:val="0"/>
      <w:marTop w:val="100"/>
      <w:marBottom w:val="0"/>
      <w:divBdr>
        <w:top w:val="none" w:sz="0" w:space="0" w:color="auto"/>
        <w:left w:val="none" w:sz="0" w:space="0" w:color="auto"/>
        <w:bottom w:val="none" w:sz="0" w:space="0" w:color="auto"/>
        <w:right w:val="none" w:sz="0" w:space="0" w:color="auto"/>
      </w:divBdr>
    </w:div>
    <w:div w:id="268781198">
      <w:marLeft w:val="0"/>
      <w:marRight w:val="0"/>
      <w:marTop w:val="100"/>
      <w:marBottom w:val="0"/>
      <w:divBdr>
        <w:top w:val="none" w:sz="0" w:space="0" w:color="auto"/>
        <w:left w:val="none" w:sz="0" w:space="0" w:color="auto"/>
        <w:bottom w:val="none" w:sz="0" w:space="0" w:color="auto"/>
        <w:right w:val="none" w:sz="0" w:space="0" w:color="auto"/>
      </w:divBdr>
    </w:div>
    <w:div w:id="271936622">
      <w:marLeft w:val="0"/>
      <w:marRight w:val="0"/>
      <w:marTop w:val="100"/>
      <w:marBottom w:val="0"/>
      <w:divBdr>
        <w:top w:val="none" w:sz="0" w:space="0" w:color="auto"/>
        <w:left w:val="none" w:sz="0" w:space="0" w:color="auto"/>
        <w:bottom w:val="none" w:sz="0" w:space="0" w:color="auto"/>
        <w:right w:val="none" w:sz="0" w:space="0" w:color="auto"/>
      </w:divBdr>
    </w:div>
    <w:div w:id="273292304">
      <w:marLeft w:val="0"/>
      <w:marRight w:val="0"/>
      <w:marTop w:val="280"/>
      <w:marBottom w:val="0"/>
      <w:divBdr>
        <w:top w:val="none" w:sz="0" w:space="0" w:color="auto"/>
        <w:left w:val="none" w:sz="0" w:space="0" w:color="auto"/>
        <w:bottom w:val="none" w:sz="0" w:space="0" w:color="auto"/>
        <w:right w:val="none" w:sz="0" w:space="0" w:color="auto"/>
      </w:divBdr>
    </w:div>
    <w:div w:id="274754775">
      <w:marLeft w:val="0"/>
      <w:marRight w:val="0"/>
      <w:marTop w:val="100"/>
      <w:marBottom w:val="0"/>
      <w:divBdr>
        <w:top w:val="none" w:sz="0" w:space="0" w:color="auto"/>
        <w:left w:val="none" w:sz="0" w:space="0" w:color="auto"/>
        <w:bottom w:val="none" w:sz="0" w:space="0" w:color="auto"/>
        <w:right w:val="none" w:sz="0" w:space="0" w:color="auto"/>
      </w:divBdr>
    </w:div>
    <w:div w:id="274866107">
      <w:marLeft w:val="0"/>
      <w:marRight w:val="0"/>
      <w:marTop w:val="100"/>
      <w:marBottom w:val="0"/>
      <w:divBdr>
        <w:top w:val="none" w:sz="0" w:space="0" w:color="auto"/>
        <w:left w:val="none" w:sz="0" w:space="0" w:color="auto"/>
        <w:bottom w:val="none" w:sz="0" w:space="0" w:color="auto"/>
        <w:right w:val="none" w:sz="0" w:space="0" w:color="auto"/>
      </w:divBdr>
    </w:div>
    <w:div w:id="275409115">
      <w:marLeft w:val="0"/>
      <w:marRight w:val="0"/>
      <w:marTop w:val="0"/>
      <w:marBottom w:val="0"/>
      <w:divBdr>
        <w:top w:val="none" w:sz="0" w:space="0" w:color="auto"/>
        <w:left w:val="none" w:sz="0" w:space="0" w:color="auto"/>
        <w:bottom w:val="none" w:sz="0" w:space="0" w:color="auto"/>
        <w:right w:val="none" w:sz="0" w:space="0" w:color="auto"/>
      </w:divBdr>
      <w:divsChild>
        <w:div w:id="1413621266">
          <w:marLeft w:val="0"/>
          <w:marRight w:val="0"/>
          <w:marTop w:val="0"/>
          <w:marBottom w:val="0"/>
          <w:divBdr>
            <w:top w:val="none" w:sz="0" w:space="0" w:color="auto"/>
            <w:left w:val="none" w:sz="0" w:space="0" w:color="auto"/>
            <w:bottom w:val="none" w:sz="0" w:space="0" w:color="auto"/>
            <w:right w:val="none" w:sz="0" w:space="0" w:color="auto"/>
          </w:divBdr>
        </w:div>
      </w:divsChild>
    </w:div>
    <w:div w:id="276520848">
      <w:marLeft w:val="0"/>
      <w:marRight w:val="0"/>
      <w:marTop w:val="100"/>
      <w:marBottom w:val="0"/>
      <w:divBdr>
        <w:top w:val="none" w:sz="0" w:space="0" w:color="auto"/>
        <w:left w:val="none" w:sz="0" w:space="0" w:color="auto"/>
        <w:bottom w:val="none" w:sz="0" w:space="0" w:color="auto"/>
        <w:right w:val="none" w:sz="0" w:space="0" w:color="auto"/>
      </w:divBdr>
    </w:div>
    <w:div w:id="276569718">
      <w:marLeft w:val="0"/>
      <w:marRight w:val="0"/>
      <w:marTop w:val="0"/>
      <w:marBottom w:val="0"/>
      <w:divBdr>
        <w:top w:val="none" w:sz="0" w:space="0" w:color="auto"/>
        <w:left w:val="none" w:sz="0" w:space="0" w:color="auto"/>
        <w:bottom w:val="none" w:sz="0" w:space="0" w:color="auto"/>
        <w:right w:val="none" w:sz="0" w:space="0" w:color="auto"/>
      </w:divBdr>
      <w:divsChild>
        <w:div w:id="1292245087">
          <w:marLeft w:val="0"/>
          <w:marRight w:val="0"/>
          <w:marTop w:val="0"/>
          <w:marBottom w:val="0"/>
          <w:divBdr>
            <w:top w:val="none" w:sz="0" w:space="0" w:color="auto"/>
            <w:left w:val="none" w:sz="0" w:space="0" w:color="auto"/>
            <w:bottom w:val="none" w:sz="0" w:space="0" w:color="auto"/>
            <w:right w:val="none" w:sz="0" w:space="0" w:color="auto"/>
          </w:divBdr>
        </w:div>
      </w:divsChild>
    </w:div>
    <w:div w:id="277029954">
      <w:marLeft w:val="0"/>
      <w:marRight w:val="0"/>
      <w:marTop w:val="100"/>
      <w:marBottom w:val="0"/>
      <w:divBdr>
        <w:top w:val="none" w:sz="0" w:space="0" w:color="auto"/>
        <w:left w:val="none" w:sz="0" w:space="0" w:color="auto"/>
        <w:bottom w:val="none" w:sz="0" w:space="0" w:color="auto"/>
        <w:right w:val="none" w:sz="0" w:space="0" w:color="auto"/>
      </w:divBdr>
    </w:div>
    <w:div w:id="277178676">
      <w:marLeft w:val="0"/>
      <w:marRight w:val="0"/>
      <w:marTop w:val="40"/>
      <w:marBottom w:val="0"/>
      <w:divBdr>
        <w:top w:val="none" w:sz="0" w:space="0" w:color="auto"/>
        <w:left w:val="none" w:sz="0" w:space="0" w:color="auto"/>
        <w:bottom w:val="none" w:sz="0" w:space="0" w:color="auto"/>
        <w:right w:val="none" w:sz="0" w:space="0" w:color="auto"/>
      </w:divBdr>
    </w:div>
    <w:div w:id="278075586">
      <w:marLeft w:val="0"/>
      <w:marRight w:val="0"/>
      <w:marTop w:val="100"/>
      <w:marBottom w:val="0"/>
      <w:divBdr>
        <w:top w:val="none" w:sz="0" w:space="0" w:color="auto"/>
        <w:left w:val="none" w:sz="0" w:space="0" w:color="auto"/>
        <w:bottom w:val="none" w:sz="0" w:space="0" w:color="auto"/>
        <w:right w:val="none" w:sz="0" w:space="0" w:color="auto"/>
      </w:divBdr>
    </w:div>
    <w:div w:id="279652121">
      <w:marLeft w:val="0"/>
      <w:marRight w:val="0"/>
      <w:marTop w:val="100"/>
      <w:marBottom w:val="0"/>
      <w:divBdr>
        <w:top w:val="none" w:sz="0" w:space="0" w:color="auto"/>
        <w:left w:val="none" w:sz="0" w:space="0" w:color="auto"/>
        <w:bottom w:val="none" w:sz="0" w:space="0" w:color="auto"/>
        <w:right w:val="none" w:sz="0" w:space="0" w:color="auto"/>
      </w:divBdr>
    </w:div>
    <w:div w:id="280578888">
      <w:marLeft w:val="0"/>
      <w:marRight w:val="0"/>
      <w:marTop w:val="60"/>
      <w:marBottom w:val="0"/>
      <w:divBdr>
        <w:top w:val="none" w:sz="0" w:space="0" w:color="auto"/>
        <w:left w:val="none" w:sz="0" w:space="0" w:color="auto"/>
        <w:bottom w:val="none" w:sz="0" w:space="0" w:color="auto"/>
        <w:right w:val="none" w:sz="0" w:space="0" w:color="auto"/>
      </w:divBdr>
    </w:div>
    <w:div w:id="283586008">
      <w:marLeft w:val="0"/>
      <w:marRight w:val="0"/>
      <w:marTop w:val="100"/>
      <w:marBottom w:val="0"/>
      <w:divBdr>
        <w:top w:val="none" w:sz="0" w:space="0" w:color="auto"/>
        <w:left w:val="none" w:sz="0" w:space="0" w:color="auto"/>
        <w:bottom w:val="none" w:sz="0" w:space="0" w:color="auto"/>
        <w:right w:val="none" w:sz="0" w:space="0" w:color="auto"/>
      </w:divBdr>
    </w:div>
    <w:div w:id="284310508">
      <w:marLeft w:val="0"/>
      <w:marRight w:val="0"/>
      <w:marTop w:val="100"/>
      <w:marBottom w:val="0"/>
      <w:divBdr>
        <w:top w:val="none" w:sz="0" w:space="0" w:color="auto"/>
        <w:left w:val="none" w:sz="0" w:space="0" w:color="auto"/>
        <w:bottom w:val="none" w:sz="0" w:space="0" w:color="auto"/>
        <w:right w:val="none" w:sz="0" w:space="0" w:color="auto"/>
      </w:divBdr>
    </w:div>
    <w:div w:id="284432074">
      <w:marLeft w:val="0"/>
      <w:marRight w:val="0"/>
      <w:marTop w:val="0"/>
      <w:marBottom w:val="0"/>
      <w:divBdr>
        <w:top w:val="none" w:sz="0" w:space="0" w:color="auto"/>
        <w:left w:val="none" w:sz="0" w:space="0" w:color="auto"/>
        <w:bottom w:val="none" w:sz="0" w:space="0" w:color="auto"/>
        <w:right w:val="none" w:sz="0" w:space="0" w:color="auto"/>
      </w:divBdr>
      <w:divsChild>
        <w:div w:id="2146392445">
          <w:marLeft w:val="0"/>
          <w:marRight w:val="0"/>
          <w:marTop w:val="0"/>
          <w:marBottom w:val="0"/>
          <w:divBdr>
            <w:top w:val="none" w:sz="0" w:space="0" w:color="auto"/>
            <w:left w:val="none" w:sz="0" w:space="0" w:color="auto"/>
            <w:bottom w:val="none" w:sz="0" w:space="0" w:color="auto"/>
            <w:right w:val="none" w:sz="0" w:space="0" w:color="auto"/>
          </w:divBdr>
        </w:div>
        <w:div w:id="813184925">
          <w:marLeft w:val="0"/>
          <w:marRight w:val="0"/>
          <w:marTop w:val="0"/>
          <w:marBottom w:val="0"/>
          <w:divBdr>
            <w:top w:val="none" w:sz="0" w:space="0" w:color="auto"/>
            <w:left w:val="none" w:sz="0" w:space="0" w:color="auto"/>
            <w:bottom w:val="none" w:sz="0" w:space="0" w:color="auto"/>
            <w:right w:val="none" w:sz="0" w:space="0" w:color="auto"/>
          </w:divBdr>
        </w:div>
      </w:divsChild>
    </w:div>
    <w:div w:id="286661526">
      <w:marLeft w:val="0"/>
      <w:marRight w:val="0"/>
      <w:marTop w:val="280"/>
      <w:marBottom w:val="0"/>
      <w:divBdr>
        <w:top w:val="none" w:sz="0" w:space="0" w:color="auto"/>
        <w:left w:val="none" w:sz="0" w:space="0" w:color="auto"/>
        <w:bottom w:val="none" w:sz="0" w:space="0" w:color="auto"/>
        <w:right w:val="none" w:sz="0" w:space="0" w:color="auto"/>
      </w:divBdr>
    </w:div>
    <w:div w:id="287131731">
      <w:marLeft w:val="0"/>
      <w:marRight w:val="0"/>
      <w:marTop w:val="280"/>
      <w:marBottom w:val="0"/>
      <w:divBdr>
        <w:top w:val="none" w:sz="0" w:space="0" w:color="auto"/>
        <w:left w:val="none" w:sz="0" w:space="0" w:color="auto"/>
        <w:bottom w:val="none" w:sz="0" w:space="0" w:color="auto"/>
        <w:right w:val="none" w:sz="0" w:space="0" w:color="auto"/>
      </w:divBdr>
    </w:div>
    <w:div w:id="287900421">
      <w:marLeft w:val="0"/>
      <w:marRight w:val="0"/>
      <w:marTop w:val="100"/>
      <w:marBottom w:val="0"/>
      <w:divBdr>
        <w:top w:val="none" w:sz="0" w:space="0" w:color="auto"/>
        <w:left w:val="none" w:sz="0" w:space="0" w:color="auto"/>
        <w:bottom w:val="none" w:sz="0" w:space="0" w:color="auto"/>
        <w:right w:val="none" w:sz="0" w:space="0" w:color="auto"/>
      </w:divBdr>
    </w:div>
    <w:div w:id="288436771">
      <w:marLeft w:val="0"/>
      <w:marRight w:val="0"/>
      <w:marTop w:val="100"/>
      <w:marBottom w:val="0"/>
      <w:divBdr>
        <w:top w:val="none" w:sz="0" w:space="0" w:color="auto"/>
        <w:left w:val="none" w:sz="0" w:space="0" w:color="auto"/>
        <w:bottom w:val="none" w:sz="0" w:space="0" w:color="auto"/>
        <w:right w:val="none" w:sz="0" w:space="0" w:color="auto"/>
      </w:divBdr>
    </w:div>
    <w:div w:id="290985986">
      <w:marLeft w:val="0"/>
      <w:marRight w:val="0"/>
      <w:marTop w:val="0"/>
      <w:marBottom w:val="0"/>
      <w:divBdr>
        <w:top w:val="none" w:sz="0" w:space="0" w:color="auto"/>
        <w:left w:val="none" w:sz="0" w:space="0" w:color="auto"/>
        <w:bottom w:val="none" w:sz="0" w:space="0" w:color="auto"/>
        <w:right w:val="none" w:sz="0" w:space="0" w:color="auto"/>
      </w:divBdr>
      <w:divsChild>
        <w:div w:id="981348019">
          <w:marLeft w:val="0"/>
          <w:marRight w:val="0"/>
          <w:marTop w:val="0"/>
          <w:marBottom w:val="0"/>
          <w:divBdr>
            <w:top w:val="none" w:sz="0" w:space="0" w:color="auto"/>
            <w:left w:val="none" w:sz="0" w:space="0" w:color="auto"/>
            <w:bottom w:val="none" w:sz="0" w:space="0" w:color="auto"/>
            <w:right w:val="none" w:sz="0" w:space="0" w:color="auto"/>
          </w:divBdr>
        </w:div>
      </w:divsChild>
    </w:div>
    <w:div w:id="293296040">
      <w:marLeft w:val="0"/>
      <w:marRight w:val="0"/>
      <w:marTop w:val="60"/>
      <w:marBottom w:val="0"/>
      <w:divBdr>
        <w:top w:val="none" w:sz="0" w:space="0" w:color="auto"/>
        <w:left w:val="none" w:sz="0" w:space="0" w:color="auto"/>
        <w:bottom w:val="none" w:sz="0" w:space="0" w:color="auto"/>
        <w:right w:val="none" w:sz="0" w:space="0" w:color="auto"/>
      </w:divBdr>
    </w:div>
    <w:div w:id="293952507">
      <w:marLeft w:val="0"/>
      <w:marRight w:val="0"/>
      <w:marTop w:val="100"/>
      <w:marBottom w:val="0"/>
      <w:divBdr>
        <w:top w:val="none" w:sz="0" w:space="0" w:color="auto"/>
        <w:left w:val="none" w:sz="0" w:space="0" w:color="auto"/>
        <w:bottom w:val="none" w:sz="0" w:space="0" w:color="auto"/>
        <w:right w:val="none" w:sz="0" w:space="0" w:color="auto"/>
      </w:divBdr>
    </w:div>
    <w:div w:id="295069680">
      <w:marLeft w:val="0"/>
      <w:marRight w:val="0"/>
      <w:marTop w:val="100"/>
      <w:marBottom w:val="0"/>
      <w:divBdr>
        <w:top w:val="none" w:sz="0" w:space="0" w:color="auto"/>
        <w:left w:val="none" w:sz="0" w:space="0" w:color="auto"/>
        <w:bottom w:val="none" w:sz="0" w:space="0" w:color="auto"/>
        <w:right w:val="none" w:sz="0" w:space="0" w:color="auto"/>
      </w:divBdr>
    </w:div>
    <w:div w:id="296303943">
      <w:marLeft w:val="0"/>
      <w:marRight w:val="0"/>
      <w:marTop w:val="60"/>
      <w:marBottom w:val="0"/>
      <w:divBdr>
        <w:top w:val="none" w:sz="0" w:space="0" w:color="auto"/>
        <w:left w:val="none" w:sz="0" w:space="0" w:color="auto"/>
        <w:bottom w:val="none" w:sz="0" w:space="0" w:color="auto"/>
        <w:right w:val="none" w:sz="0" w:space="0" w:color="auto"/>
      </w:divBdr>
    </w:div>
    <w:div w:id="296381144">
      <w:marLeft w:val="0"/>
      <w:marRight w:val="0"/>
      <w:marTop w:val="0"/>
      <w:marBottom w:val="0"/>
      <w:divBdr>
        <w:top w:val="none" w:sz="0" w:space="0" w:color="auto"/>
        <w:left w:val="none" w:sz="0" w:space="0" w:color="auto"/>
        <w:bottom w:val="none" w:sz="0" w:space="0" w:color="auto"/>
        <w:right w:val="none" w:sz="0" w:space="0" w:color="auto"/>
      </w:divBdr>
      <w:divsChild>
        <w:div w:id="1574386362">
          <w:marLeft w:val="0"/>
          <w:marRight w:val="0"/>
          <w:marTop w:val="0"/>
          <w:marBottom w:val="0"/>
          <w:divBdr>
            <w:top w:val="none" w:sz="0" w:space="0" w:color="auto"/>
            <w:left w:val="none" w:sz="0" w:space="0" w:color="auto"/>
            <w:bottom w:val="none" w:sz="0" w:space="0" w:color="auto"/>
            <w:right w:val="none" w:sz="0" w:space="0" w:color="auto"/>
          </w:divBdr>
        </w:div>
        <w:div w:id="216863125">
          <w:marLeft w:val="0"/>
          <w:marRight w:val="0"/>
          <w:marTop w:val="0"/>
          <w:marBottom w:val="0"/>
          <w:divBdr>
            <w:top w:val="none" w:sz="0" w:space="0" w:color="auto"/>
            <w:left w:val="none" w:sz="0" w:space="0" w:color="auto"/>
            <w:bottom w:val="none" w:sz="0" w:space="0" w:color="auto"/>
            <w:right w:val="none" w:sz="0" w:space="0" w:color="auto"/>
          </w:divBdr>
        </w:div>
      </w:divsChild>
    </w:div>
    <w:div w:id="296616521">
      <w:marLeft w:val="0"/>
      <w:marRight w:val="0"/>
      <w:marTop w:val="0"/>
      <w:marBottom w:val="0"/>
      <w:divBdr>
        <w:top w:val="none" w:sz="0" w:space="0" w:color="auto"/>
        <w:left w:val="none" w:sz="0" w:space="0" w:color="auto"/>
        <w:bottom w:val="none" w:sz="0" w:space="0" w:color="auto"/>
        <w:right w:val="none" w:sz="0" w:space="0" w:color="auto"/>
      </w:divBdr>
      <w:divsChild>
        <w:div w:id="1571118143">
          <w:marLeft w:val="0"/>
          <w:marRight w:val="0"/>
          <w:marTop w:val="0"/>
          <w:marBottom w:val="0"/>
          <w:divBdr>
            <w:top w:val="none" w:sz="0" w:space="0" w:color="auto"/>
            <w:left w:val="none" w:sz="0" w:space="0" w:color="auto"/>
            <w:bottom w:val="none" w:sz="0" w:space="0" w:color="auto"/>
            <w:right w:val="none" w:sz="0" w:space="0" w:color="auto"/>
          </w:divBdr>
        </w:div>
      </w:divsChild>
    </w:div>
    <w:div w:id="297028292">
      <w:marLeft w:val="0"/>
      <w:marRight w:val="0"/>
      <w:marTop w:val="280"/>
      <w:marBottom w:val="0"/>
      <w:divBdr>
        <w:top w:val="none" w:sz="0" w:space="0" w:color="auto"/>
        <w:left w:val="none" w:sz="0" w:space="0" w:color="auto"/>
        <w:bottom w:val="none" w:sz="0" w:space="0" w:color="auto"/>
        <w:right w:val="none" w:sz="0" w:space="0" w:color="auto"/>
      </w:divBdr>
    </w:div>
    <w:div w:id="298069503">
      <w:marLeft w:val="0"/>
      <w:marRight w:val="0"/>
      <w:marTop w:val="280"/>
      <w:marBottom w:val="0"/>
      <w:divBdr>
        <w:top w:val="none" w:sz="0" w:space="0" w:color="auto"/>
        <w:left w:val="none" w:sz="0" w:space="0" w:color="auto"/>
        <w:bottom w:val="none" w:sz="0" w:space="0" w:color="auto"/>
        <w:right w:val="none" w:sz="0" w:space="0" w:color="auto"/>
      </w:divBdr>
    </w:div>
    <w:div w:id="298845161">
      <w:marLeft w:val="0"/>
      <w:marRight w:val="0"/>
      <w:marTop w:val="100"/>
      <w:marBottom w:val="0"/>
      <w:divBdr>
        <w:top w:val="none" w:sz="0" w:space="0" w:color="auto"/>
        <w:left w:val="none" w:sz="0" w:space="0" w:color="auto"/>
        <w:bottom w:val="none" w:sz="0" w:space="0" w:color="auto"/>
        <w:right w:val="none" w:sz="0" w:space="0" w:color="auto"/>
      </w:divBdr>
    </w:div>
    <w:div w:id="300890398">
      <w:marLeft w:val="0"/>
      <w:marRight w:val="0"/>
      <w:marTop w:val="20"/>
      <w:marBottom w:val="80"/>
      <w:divBdr>
        <w:top w:val="none" w:sz="0" w:space="0" w:color="auto"/>
        <w:left w:val="none" w:sz="0" w:space="0" w:color="auto"/>
        <w:bottom w:val="none" w:sz="0" w:space="0" w:color="auto"/>
        <w:right w:val="none" w:sz="0" w:space="0" w:color="auto"/>
      </w:divBdr>
    </w:div>
    <w:div w:id="304510971">
      <w:marLeft w:val="0"/>
      <w:marRight w:val="0"/>
      <w:marTop w:val="280"/>
      <w:marBottom w:val="0"/>
      <w:divBdr>
        <w:top w:val="none" w:sz="0" w:space="0" w:color="auto"/>
        <w:left w:val="none" w:sz="0" w:space="0" w:color="auto"/>
        <w:bottom w:val="none" w:sz="0" w:space="0" w:color="auto"/>
        <w:right w:val="none" w:sz="0" w:space="0" w:color="auto"/>
      </w:divBdr>
    </w:div>
    <w:div w:id="305206208">
      <w:marLeft w:val="0"/>
      <w:marRight w:val="0"/>
      <w:marTop w:val="280"/>
      <w:marBottom w:val="0"/>
      <w:divBdr>
        <w:top w:val="none" w:sz="0" w:space="0" w:color="auto"/>
        <w:left w:val="none" w:sz="0" w:space="0" w:color="auto"/>
        <w:bottom w:val="none" w:sz="0" w:space="0" w:color="auto"/>
        <w:right w:val="none" w:sz="0" w:space="0" w:color="auto"/>
      </w:divBdr>
    </w:div>
    <w:div w:id="306011345">
      <w:marLeft w:val="0"/>
      <w:marRight w:val="0"/>
      <w:marTop w:val="100"/>
      <w:marBottom w:val="0"/>
      <w:divBdr>
        <w:top w:val="none" w:sz="0" w:space="0" w:color="auto"/>
        <w:left w:val="none" w:sz="0" w:space="0" w:color="auto"/>
        <w:bottom w:val="none" w:sz="0" w:space="0" w:color="auto"/>
        <w:right w:val="none" w:sz="0" w:space="0" w:color="auto"/>
      </w:divBdr>
      <w:divsChild>
        <w:div w:id="826700879">
          <w:marLeft w:val="0"/>
          <w:marRight w:val="0"/>
          <w:marTop w:val="0"/>
          <w:marBottom w:val="0"/>
          <w:divBdr>
            <w:top w:val="none" w:sz="0" w:space="0" w:color="auto"/>
            <w:left w:val="none" w:sz="0" w:space="0" w:color="auto"/>
            <w:bottom w:val="none" w:sz="0" w:space="0" w:color="auto"/>
            <w:right w:val="none" w:sz="0" w:space="0" w:color="auto"/>
          </w:divBdr>
        </w:div>
        <w:div w:id="429274756">
          <w:marLeft w:val="0"/>
          <w:marRight w:val="0"/>
          <w:marTop w:val="0"/>
          <w:marBottom w:val="0"/>
          <w:divBdr>
            <w:top w:val="none" w:sz="0" w:space="0" w:color="auto"/>
            <w:left w:val="none" w:sz="0" w:space="0" w:color="auto"/>
            <w:bottom w:val="none" w:sz="0" w:space="0" w:color="auto"/>
            <w:right w:val="none" w:sz="0" w:space="0" w:color="auto"/>
          </w:divBdr>
        </w:div>
        <w:div w:id="1856504242">
          <w:marLeft w:val="0"/>
          <w:marRight w:val="0"/>
          <w:marTop w:val="0"/>
          <w:marBottom w:val="0"/>
          <w:divBdr>
            <w:top w:val="none" w:sz="0" w:space="0" w:color="auto"/>
            <w:left w:val="none" w:sz="0" w:space="0" w:color="auto"/>
            <w:bottom w:val="none" w:sz="0" w:space="0" w:color="auto"/>
            <w:right w:val="none" w:sz="0" w:space="0" w:color="auto"/>
          </w:divBdr>
        </w:div>
        <w:div w:id="420227060">
          <w:marLeft w:val="0"/>
          <w:marRight w:val="0"/>
          <w:marTop w:val="0"/>
          <w:marBottom w:val="0"/>
          <w:divBdr>
            <w:top w:val="none" w:sz="0" w:space="0" w:color="auto"/>
            <w:left w:val="none" w:sz="0" w:space="0" w:color="auto"/>
            <w:bottom w:val="none" w:sz="0" w:space="0" w:color="auto"/>
            <w:right w:val="none" w:sz="0" w:space="0" w:color="auto"/>
          </w:divBdr>
        </w:div>
        <w:div w:id="1423380572">
          <w:marLeft w:val="0"/>
          <w:marRight w:val="0"/>
          <w:marTop w:val="0"/>
          <w:marBottom w:val="0"/>
          <w:divBdr>
            <w:top w:val="none" w:sz="0" w:space="0" w:color="auto"/>
            <w:left w:val="none" w:sz="0" w:space="0" w:color="auto"/>
            <w:bottom w:val="none" w:sz="0" w:space="0" w:color="auto"/>
            <w:right w:val="none" w:sz="0" w:space="0" w:color="auto"/>
          </w:divBdr>
        </w:div>
      </w:divsChild>
    </w:div>
    <w:div w:id="308949008">
      <w:marLeft w:val="0"/>
      <w:marRight w:val="0"/>
      <w:marTop w:val="60"/>
      <w:marBottom w:val="0"/>
      <w:divBdr>
        <w:top w:val="none" w:sz="0" w:space="0" w:color="auto"/>
        <w:left w:val="none" w:sz="0" w:space="0" w:color="auto"/>
        <w:bottom w:val="none" w:sz="0" w:space="0" w:color="auto"/>
        <w:right w:val="none" w:sz="0" w:space="0" w:color="auto"/>
      </w:divBdr>
    </w:div>
    <w:div w:id="309213133">
      <w:marLeft w:val="0"/>
      <w:marRight w:val="0"/>
      <w:marTop w:val="100"/>
      <w:marBottom w:val="0"/>
      <w:divBdr>
        <w:top w:val="none" w:sz="0" w:space="0" w:color="auto"/>
        <w:left w:val="none" w:sz="0" w:space="0" w:color="auto"/>
        <w:bottom w:val="none" w:sz="0" w:space="0" w:color="auto"/>
        <w:right w:val="none" w:sz="0" w:space="0" w:color="auto"/>
      </w:divBdr>
    </w:div>
    <w:div w:id="309332095">
      <w:marLeft w:val="0"/>
      <w:marRight w:val="0"/>
      <w:marTop w:val="100"/>
      <w:marBottom w:val="0"/>
      <w:divBdr>
        <w:top w:val="none" w:sz="0" w:space="0" w:color="auto"/>
        <w:left w:val="none" w:sz="0" w:space="0" w:color="auto"/>
        <w:bottom w:val="none" w:sz="0" w:space="0" w:color="auto"/>
        <w:right w:val="none" w:sz="0" w:space="0" w:color="auto"/>
      </w:divBdr>
    </w:div>
    <w:div w:id="309557110">
      <w:marLeft w:val="0"/>
      <w:marRight w:val="0"/>
      <w:marTop w:val="280"/>
      <w:marBottom w:val="0"/>
      <w:divBdr>
        <w:top w:val="none" w:sz="0" w:space="0" w:color="auto"/>
        <w:left w:val="none" w:sz="0" w:space="0" w:color="auto"/>
        <w:bottom w:val="none" w:sz="0" w:space="0" w:color="auto"/>
        <w:right w:val="none" w:sz="0" w:space="0" w:color="auto"/>
      </w:divBdr>
    </w:div>
    <w:div w:id="309750020">
      <w:marLeft w:val="0"/>
      <w:marRight w:val="0"/>
      <w:marTop w:val="0"/>
      <w:marBottom w:val="120"/>
      <w:divBdr>
        <w:top w:val="none" w:sz="0" w:space="0" w:color="auto"/>
        <w:left w:val="none" w:sz="0" w:space="0" w:color="auto"/>
        <w:bottom w:val="none" w:sz="0" w:space="0" w:color="auto"/>
        <w:right w:val="none" w:sz="0" w:space="0" w:color="auto"/>
      </w:divBdr>
    </w:div>
    <w:div w:id="311954467">
      <w:marLeft w:val="0"/>
      <w:marRight w:val="0"/>
      <w:marTop w:val="100"/>
      <w:marBottom w:val="0"/>
      <w:divBdr>
        <w:top w:val="none" w:sz="0" w:space="0" w:color="auto"/>
        <w:left w:val="none" w:sz="0" w:space="0" w:color="auto"/>
        <w:bottom w:val="none" w:sz="0" w:space="0" w:color="auto"/>
        <w:right w:val="none" w:sz="0" w:space="0" w:color="auto"/>
      </w:divBdr>
    </w:div>
    <w:div w:id="312174142">
      <w:marLeft w:val="0"/>
      <w:marRight w:val="0"/>
      <w:marTop w:val="100"/>
      <w:marBottom w:val="0"/>
      <w:divBdr>
        <w:top w:val="none" w:sz="0" w:space="0" w:color="auto"/>
        <w:left w:val="none" w:sz="0" w:space="0" w:color="auto"/>
        <w:bottom w:val="none" w:sz="0" w:space="0" w:color="auto"/>
        <w:right w:val="none" w:sz="0" w:space="0" w:color="auto"/>
      </w:divBdr>
    </w:div>
    <w:div w:id="312763522">
      <w:marLeft w:val="0"/>
      <w:marRight w:val="0"/>
      <w:marTop w:val="100"/>
      <w:marBottom w:val="0"/>
      <w:divBdr>
        <w:top w:val="none" w:sz="0" w:space="0" w:color="auto"/>
        <w:left w:val="none" w:sz="0" w:space="0" w:color="auto"/>
        <w:bottom w:val="none" w:sz="0" w:space="0" w:color="auto"/>
        <w:right w:val="none" w:sz="0" w:space="0" w:color="auto"/>
      </w:divBdr>
    </w:div>
    <w:div w:id="318387345">
      <w:marLeft w:val="0"/>
      <w:marRight w:val="0"/>
      <w:marTop w:val="0"/>
      <w:marBottom w:val="0"/>
      <w:divBdr>
        <w:top w:val="none" w:sz="0" w:space="0" w:color="auto"/>
        <w:left w:val="none" w:sz="0" w:space="0" w:color="auto"/>
        <w:bottom w:val="none" w:sz="0" w:space="0" w:color="auto"/>
        <w:right w:val="none" w:sz="0" w:space="0" w:color="auto"/>
      </w:divBdr>
      <w:divsChild>
        <w:div w:id="1511260421">
          <w:marLeft w:val="0"/>
          <w:marRight w:val="0"/>
          <w:marTop w:val="0"/>
          <w:marBottom w:val="0"/>
          <w:divBdr>
            <w:top w:val="none" w:sz="0" w:space="0" w:color="auto"/>
            <w:left w:val="none" w:sz="0" w:space="0" w:color="auto"/>
            <w:bottom w:val="none" w:sz="0" w:space="0" w:color="auto"/>
            <w:right w:val="none" w:sz="0" w:space="0" w:color="auto"/>
          </w:divBdr>
        </w:div>
      </w:divsChild>
    </w:div>
    <w:div w:id="318463061">
      <w:marLeft w:val="0"/>
      <w:marRight w:val="0"/>
      <w:marTop w:val="60"/>
      <w:marBottom w:val="0"/>
      <w:divBdr>
        <w:top w:val="none" w:sz="0" w:space="0" w:color="auto"/>
        <w:left w:val="none" w:sz="0" w:space="0" w:color="auto"/>
        <w:bottom w:val="none" w:sz="0" w:space="0" w:color="auto"/>
        <w:right w:val="none" w:sz="0" w:space="0" w:color="auto"/>
      </w:divBdr>
    </w:div>
    <w:div w:id="323894987">
      <w:marLeft w:val="0"/>
      <w:marRight w:val="0"/>
      <w:marTop w:val="280"/>
      <w:marBottom w:val="0"/>
      <w:divBdr>
        <w:top w:val="none" w:sz="0" w:space="0" w:color="auto"/>
        <w:left w:val="none" w:sz="0" w:space="0" w:color="auto"/>
        <w:bottom w:val="none" w:sz="0" w:space="0" w:color="auto"/>
        <w:right w:val="none" w:sz="0" w:space="0" w:color="auto"/>
      </w:divBdr>
    </w:div>
    <w:div w:id="323896194">
      <w:marLeft w:val="0"/>
      <w:marRight w:val="0"/>
      <w:marTop w:val="100"/>
      <w:marBottom w:val="0"/>
      <w:divBdr>
        <w:top w:val="none" w:sz="0" w:space="0" w:color="auto"/>
        <w:left w:val="none" w:sz="0" w:space="0" w:color="auto"/>
        <w:bottom w:val="none" w:sz="0" w:space="0" w:color="auto"/>
        <w:right w:val="none" w:sz="0" w:space="0" w:color="auto"/>
      </w:divBdr>
    </w:div>
    <w:div w:id="324750542">
      <w:marLeft w:val="0"/>
      <w:marRight w:val="0"/>
      <w:marTop w:val="60"/>
      <w:marBottom w:val="0"/>
      <w:divBdr>
        <w:top w:val="none" w:sz="0" w:space="0" w:color="auto"/>
        <w:left w:val="none" w:sz="0" w:space="0" w:color="auto"/>
        <w:bottom w:val="none" w:sz="0" w:space="0" w:color="auto"/>
        <w:right w:val="none" w:sz="0" w:space="0" w:color="auto"/>
      </w:divBdr>
    </w:div>
    <w:div w:id="325061671">
      <w:marLeft w:val="0"/>
      <w:marRight w:val="0"/>
      <w:marTop w:val="100"/>
      <w:marBottom w:val="100"/>
      <w:divBdr>
        <w:top w:val="none" w:sz="0" w:space="0" w:color="auto"/>
        <w:left w:val="none" w:sz="0" w:space="0" w:color="auto"/>
        <w:bottom w:val="none" w:sz="0" w:space="0" w:color="auto"/>
        <w:right w:val="none" w:sz="0" w:space="0" w:color="auto"/>
      </w:divBdr>
    </w:div>
    <w:div w:id="325327539">
      <w:marLeft w:val="0"/>
      <w:marRight w:val="0"/>
      <w:marTop w:val="100"/>
      <w:marBottom w:val="0"/>
      <w:divBdr>
        <w:top w:val="none" w:sz="0" w:space="0" w:color="auto"/>
        <w:left w:val="none" w:sz="0" w:space="0" w:color="auto"/>
        <w:bottom w:val="none" w:sz="0" w:space="0" w:color="auto"/>
        <w:right w:val="none" w:sz="0" w:space="0" w:color="auto"/>
      </w:divBdr>
    </w:div>
    <w:div w:id="325935285">
      <w:marLeft w:val="0"/>
      <w:marRight w:val="0"/>
      <w:marTop w:val="280"/>
      <w:marBottom w:val="0"/>
      <w:divBdr>
        <w:top w:val="none" w:sz="0" w:space="0" w:color="auto"/>
        <w:left w:val="none" w:sz="0" w:space="0" w:color="auto"/>
        <w:bottom w:val="none" w:sz="0" w:space="0" w:color="auto"/>
        <w:right w:val="none" w:sz="0" w:space="0" w:color="auto"/>
      </w:divBdr>
    </w:div>
    <w:div w:id="333803591">
      <w:marLeft w:val="0"/>
      <w:marRight w:val="0"/>
      <w:marTop w:val="280"/>
      <w:marBottom w:val="0"/>
      <w:divBdr>
        <w:top w:val="none" w:sz="0" w:space="0" w:color="auto"/>
        <w:left w:val="none" w:sz="0" w:space="0" w:color="auto"/>
        <w:bottom w:val="none" w:sz="0" w:space="0" w:color="auto"/>
        <w:right w:val="none" w:sz="0" w:space="0" w:color="auto"/>
      </w:divBdr>
    </w:div>
    <w:div w:id="337853068">
      <w:marLeft w:val="0"/>
      <w:marRight w:val="0"/>
      <w:marTop w:val="100"/>
      <w:marBottom w:val="0"/>
      <w:divBdr>
        <w:top w:val="none" w:sz="0" w:space="0" w:color="auto"/>
        <w:left w:val="none" w:sz="0" w:space="0" w:color="auto"/>
        <w:bottom w:val="none" w:sz="0" w:space="0" w:color="auto"/>
        <w:right w:val="none" w:sz="0" w:space="0" w:color="auto"/>
      </w:divBdr>
    </w:div>
    <w:div w:id="339740508">
      <w:marLeft w:val="0"/>
      <w:marRight w:val="0"/>
      <w:marTop w:val="100"/>
      <w:marBottom w:val="0"/>
      <w:divBdr>
        <w:top w:val="none" w:sz="0" w:space="0" w:color="auto"/>
        <w:left w:val="none" w:sz="0" w:space="0" w:color="auto"/>
        <w:bottom w:val="none" w:sz="0" w:space="0" w:color="auto"/>
        <w:right w:val="none" w:sz="0" w:space="0" w:color="auto"/>
      </w:divBdr>
    </w:div>
    <w:div w:id="340552356">
      <w:marLeft w:val="0"/>
      <w:marRight w:val="0"/>
      <w:marTop w:val="100"/>
      <w:marBottom w:val="0"/>
      <w:divBdr>
        <w:top w:val="none" w:sz="0" w:space="0" w:color="auto"/>
        <w:left w:val="none" w:sz="0" w:space="0" w:color="auto"/>
        <w:bottom w:val="none" w:sz="0" w:space="0" w:color="auto"/>
        <w:right w:val="none" w:sz="0" w:space="0" w:color="auto"/>
      </w:divBdr>
    </w:div>
    <w:div w:id="342245844">
      <w:marLeft w:val="0"/>
      <w:marRight w:val="0"/>
      <w:marTop w:val="100"/>
      <w:marBottom w:val="0"/>
      <w:divBdr>
        <w:top w:val="none" w:sz="0" w:space="0" w:color="auto"/>
        <w:left w:val="none" w:sz="0" w:space="0" w:color="auto"/>
        <w:bottom w:val="none" w:sz="0" w:space="0" w:color="auto"/>
        <w:right w:val="none" w:sz="0" w:space="0" w:color="auto"/>
      </w:divBdr>
    </w:div>
    <w:div w:id="342247606">
      <w:marLeft w:val="0"/>
      <w:marRight w:val="0"/>
      <w:marTop w:val="0"/>
      <w:marBottom w:val="0"/>
      <w:divBdr>
        <w:top w:val="none" w:sz="0" w:space="0" w:color="auto"/>
        <w:left w:val="none" w:sz="0" w:space="0" w:color="auto"/>
        <w:bottom w:val="none" w:sz="0" w:space="0" w:color="auto"/>
        <w:right w:val="none" w:sz="0" w:space="0" w:color="auto"/>
      </w:divBdr>
      <w:divsChild>
        <w:div w:id="784616550">
          <w:marLeft w:val="0"/>
          <w:marRight w:val="0"/>
          <w:marTop w:val="0"/>
          <w:marBottom w:val="0"/>
          <w:divBdr>
            <w:top w:val="none" w:sz="0" w:space="0" w:color="auto"/>
            <w:left w:val="none" w:sz="0" w:space="0" w:color="auto"/>
            <w:bottom w:val="none" w:sz="0" w:space="0" w:color="auto"/>
            <w:right w:val="none" w:sz="0" w:space="0" w:color="auto"/>
          </w:divBdr>
        </w:div>
        <w:div w:id="269824307">
          <w:marLeft w:val="0"/>
          <w:marRight w:val="0"/>
          <w:marTop w:val="0"/>
          <w:marBottom w:val="0"/>
          <w:divBdr>
            <w:top w:val="none" w:sz="0" w:space="0" w:color="auto"/>
            <w:left w:val="none" w:sz="0" w:space="0" w:color="auto"/>
            <w:bottom w:val="none" w:sz="0" w:space="0" w:color="auto"/>
            <w:right w:val="none" w:sz="0" w:space="0" w:color="auto"/>
          </w:divBdr>
        </w:div>
      </w:divsChild>
    </w:div>
    <w:div w:id="342632484">
      <w:marLeft w:val="0"/>
      <w:marRight w:val="0"/>
      <w:marTop w:val="280"/>
      <w:marBottom w:val="0"/>
      <w:divBdr>
        <w:top w:val="none" w:sz="0" w:space="0" w:color="auto"/>
        <w:left w:val="none" w:sz="0" w:space="0" w:color="auto"/>
        <w:bottom w:val="none" w:sz="0" w:space="0" w:color="auto"/>
        <w:right w:val="none" w:sz="0" w:space="0" w:color="auto"/>
      </w:divBdr>
    </w:div>
    <w:div w:id="344289659">
      <w:marLeft w:val="0"/>
      <w:marRight w:val="0"/>
      <w:marTop w:val="40"/>
      <w:marBottom w:val="0"/>
      <w:divBdr>
        <w:top w:val="none" w:sz="0" w:space="0" w:color="auto"/>
        <w:left w:val="none" w:sz="0" w:space="0" w:color="auto"/>
        <w:bottom w:val="none" w:sz="0" w:space="0" w:color="auto"/>
        <w:right w:val="none" w:sz="0" w:space="0" w:color="auto"/>
      </w:divBdr>
    </w:div>
    <w:div w:id="344475422">
      <w:marLeft w:val="0"/>
      <w:marRight w:val="0"/>
      <w:marTop w:val="100"/>
      <w:marBottom w:val="0"/>
      <w:divBdr>
        <w:top w:val="none" w:sz="0" w:space="0" w:color="auto"/>
        <w:left w:val="none" w:sz="0" w:space="0" w:color="auto"/>
        <w:bottom w:val="none" w:sz="0" w:space="0" w:color="auto"/>
        <w:right w:val="none" w:sz="0" w:space="0" w:color="auto"/>
      </w:divBdr>
    </w:div>
    <w:div w:id="345058457">
      <w:marLeft w:val="0"/>
      <w:marRight w:val="0"/>
      <w:marTop w:val="100"/>
      <w:marBottom w:val="0"/>
      <w:divBdr>
        <w:top w:val="none" w:sz="0" w:space="0" w:color="auto"/>
        <w:left w:val="none" w:sz="0" w:space="0" w:color="auto"/>
        <w:bottom w:val="none" w:sz="0" w:space="0" w:color="auto"/>
        <w:right w:val="none" w:sz="0" w:space="0" w:color="auto"/>
      </w:divBdr>
    </w:div>
    <w:div w:id="345325436">
      <w:marLeft w:val="0"/>
      <w:marRight w:val="0"/>
      <w:marTop w:val="60"/>
      <w:marBottom w:val="0"/>
      <w:divBdr>
        <w:top w:val="none" w:sz="0" w:space="0" w:color="auto"/>
        <w:left w:val="none" w:sz="0" w:space="0" w:color="auto"/>
        <w:bottom w:val="none" w:sz="0" w:space="0" w:color="auto"/>
        <w:right w:val="none" w:sz="0" w:space="0" w:color="auto"/>
      </w:divBdr>
    </w:div>
    <w:div w:id="346062769">
      <w:marLeft w:val="0"/>
      <w:marRight w:val="0"/>
      <w:marTop w:val="100"/>
      <w:marBottom w:val="0"/>
      <w:divBdr>
        <w:top w:val="none" w:sz="0" w:space="0" w:color="auto"/>
        <w:left w:val="none" w:sz="0" w:space="0" w:color="auto"/>
        <w:bottom w:val="none" w:sz="0" w:space="0" w:color="auto"/>
        <w:right w:val="none" w:sz="0" w:space="0" w:color="auto"/>
      </w:divBdr>
    </w:div>
    <w:div w:id="346520769">
      <w:marLeft w:val="0"/>
      <w:marRight w:val="0"/>
      <w:marTop w:val="60"/>
      <w:marBottom w:val="0"/>
      <w:divBdr>
        <w:top w:val="none" w:sz="0" w:space="0" w:color="auto"/>
        <w:left w:val="none" w:sz="0" w:space="0" w:color="auto"/>
        <w:bottom w:val="none" w:sz="0" w:space="0" w:color="auto"/>
        <w:right w:val="none" w:sz="0" w:space="0" w:color="auto"/>
      </w:divBdr>
    </w:div>
    <w:div w:id="347947508">
      <w:marLeft w:val="0"/>
      <w:marRight w:val="0"/>
      <w:marTop w:val="0"/>
      <w:marBottom w:val="0"/>
      <w:divBdr>
        <w:top w:val="none" w:sz="0" w:space="0" w:color="auto"/>
        <w:left w:val="none" w:sz="0" w:space="0" w:color="auto"/>
        <w:bottom w:val="none" w:sz="0" w:space="0" w:color="auto"/>
        <w:right w:val="none" w:sz="0" w:space="0" w:color="auto"/>
      </w:divBdr>
      <w:divsChild>
        <w:div w:id="1011493134">
          <w:marLeft w:val="0"/>
          <w:marRight w:val="0"/>
          <w:marTop w:val="0"/>
          <w:marBottom w:val="0"/>
          <w:divBdr>
            <w:top w:val="none" w:sz="0" w:space="0" w:color="auto"/>
            <w:left w:val="none" w:sz="0" w:space="0" w:color="auto"/>
            <w:bottom w:val="none" w:sz="0" w:space="0" w:color="auto"/>
            <w:right w:val="none" w:sz="0" w:space="0" w:color="auto"/>
          </w:divBdr>
        </w:div>
      </w:divsChild>
    </w:div>
    <w:div w:id="348407583">
      <w:marLeft w:val="0"/>
      <w:marRight w:val="0"/>
      <w:marTop w:val="100"/>
      <w:marBottom w:val="0"/>
      <w:divBdr>
        <w:top w:val="none" w:sz="0" w:space="0" w:color="auto"/>
        <w:left w:val="none" w:sz="0" w:space="0" w:color="auto"/>
        <w:bottom w:val="none" w:sz="0" w:space="0" w:color="auto"/>
        <w:right w:val="none" w:sz="0" w:space="0" w:color="auto"/>
      </w:divBdr>
    </w:div>
    <w:div w:id="349186872">
      <w:marLeft w:val="0"/>
      <w:marRight w:val="0"/>
      <w:marTop w:val="280"/>
      <w:marBottom w:val="0"/>
      <w:divBdr>
        <w:top w:val="none" w:sz="0" w:space="0" w:color="auto"/>
        <w:left w:val="none" w:sz="0" w:space="0" w:color="auto"/>
        <w:bottom w:val="none" w:sz="0" w:space="0" w:color="auto"/>
        <w:right w:val="none" w:sz="0" w:space="0" w:color="auto"/>
      </w:divBdr>
    </w:div>
    <w:div w:id="350952898">
      <w:marLeft w:val="0"/>
      <w:marRight w:val="0"/>
      <w:marTop w:val="100"/>
      <w:marBottom w:val="0"/>
      <w:divBdr>
        <w:top w:val="none" w:sz="0" w:space="0" w:color="auto"/>
        <w:left w:val="none" w:sz="0" w:space="0" w:color="auto"/>
        <w:bottom w:val="none" w:sz="0" w:space="0" w:color="auto"/>
        <w:right w:val="none" w:sz="0" w:space="0" w:color="auto"/>
      </w:divBdr>
    </w:div>
    <w:div w:id="353969184">
      <w:marLeft w:val="0"/>
      <w:marRight w:val="0"/>
      <w:marTop w:val="100"/>
      <w:marBottom w:val="0"/>
      <w:divBdr>
        <w:top w:val="none" w:sz="0" w:space="0" w:color="auto"/>
        <w:left w:val="none" w:sz="0" w:space="0" w:color="auto"/>
        <w:bottom w:val="none" w:sz="0" w:space="0" w:color="auto"/>
        <w:right w:val="none" w:sz="0" w:space="0" w:color="auto"/>
      </w:divBdr>
    </w:div>
    <w:div w:id="356126650">
      <w:marLeft w:val="0"/>
      <w:marRight w:val="0"/>
      <w:marTop w:val="100"/>
      <w:marBottom w:val="0"/>
      <w:divBdr>
        <w:top w:val="none" w:sz="0" w:space="0" w:color="auto"/>
        <w:left w:val="none" w:sz="0" w:space="0" w:color="auto"/>
        <w:bottom w:val="none" w:sz="0" w:space="0" w:color="auto"/>
        <w:right w:val="none" w:sz="0" w:space="0" w:color="auto"/>
      </w:divBdr>
    </w:div>
    <w:div w:id="356736079">
      <w:marLeft w:val="0"/>
      <w:marRight w:val="0"/>
      <w:marTop w:val="60"/>
      <w:marBottom w:val="0"/>
      <w:divBdr>
        <w:top w:val="none" w:sz="0" w:space="0" w:color="auto"/>
        <w:left w:val="none" w:sz="0" w:space="0" w:color="auto"/>
        <w:bottom w:val="none" w:sz="0" w:space="0" w:color="auto"/>
        <w:right w:val="none" w:sz="0" w:space="0" w:color="auto"/>
      </w:divBdr>
    </w:div>
    <w:div w:id="358430115">
      <w:marLeft w:val="0"/>
      <w:marRight w:val="0"/>
      <w:marTop w:val="60"/>
      <w:marBottom w:val="0"/>
      <w:divBdr>
        <w:top w:val="none" w:sz="0" w:space="0" w:color="auto"/>
        <w:left w:val="none" w:sz="0" w:space="0" w:color="auto"/>
        <w:bottom w:val="none" w:sz="0" w:space="0" w:color="auto"/>
        <w:right w:val="none" w:sz="0" w:space="0" w:color="auto"/>
      </w:divBdr>
    </w:div>
    <w:div w:id="361632660">
      <w:marLeft w:val="0"/>
      <w:marRight w:val="0"/>
      <w:marTop w:val="100"/>
      <w:marBottom w:val="0"/>
      <w:divBdr>
        <w:top w:val="none" w:sz="0" w:space="0" w:color="auto"/>
        <w:left w:val="none" w:sz="0" w:space="0" w:color="auto"/>
        <w:bottom w:val="none" w:sz="0" w:space="0" w:color="auto"/>
        <w:right w:val="none" w:sz="0" w:space="0" w:color="auto"/>
      </w:divBdr>
    </w:div>
    <w:div w:id="362051783">
      <w:marLeft w:val="0"/>
      <w:marRight w:val="0"/>
      <w:marTop w:val="280"/>
      <w:marBottom w:val="0"/>
      <w:divBdr>
        <w:top w:val="none" w:sz="0" w:space="0" w:color="auto"/>
        <w:left w:val="none" w:sz="0" w:space="0" w:color="auto"/>
        <w:bottom w:val="none" w:sz="0" w:space="0" w:color="auto"/>
        <w:right w:val="none" w:sz="0" w:space="0" w:color="auto"/>
      </w:divBdr>
    </w:div>
    <w:div w:id="362171852">
      <w:marLeft w:val="0"/>
      <w:marRight w:val="0"/>
      <w:marTop w:val="80"/>
      <w:marBottom w:val="0"/>
      <w:divBdr>
        <w:top w:val="none" w:sz="0" w:space="0" w:color="auto"/>
        <w:left w:val="none" w:sz="0" w:space="0" w:color="auto"/>
        <w:bottom w:val="none" w:sz="0" w:space="0" w:color="auto"/>
        <w:right w:val="none" w:sz="0" w:space="0" w:color="auto"/>
      </w:divBdr>
    </w:div>
    <w:div w:id="365911385">
      <w:marLeft w:val="0"/>
      <w:marRight w:val="0"/>
      <w:marTop w:val="60"/>
      <w:marBottom w:val="0"/>
      <w:divBdr>
        <w:top w:val="none" w:sz="0" w:space="0" w:color="auto"/>
        <w:left w:val="none" w:sz="0" w:space="0" w:color="auto"/>
        <w:bottom w:val="none" w:sz="0" w:space="0" w:color="auto"/>
        <w:right w:val="none" w:sz="0" w:space="0" w:color="auto"/>
      </w:divBdr>
    </w:div>
    <w:div w:id="367220186">
      <w:marLeft w:val="0"/>
      <w:marRight w:val="0"/>
      <w:marTop w:val="280"/>
      <w:marBottom w:val="0"/>
      <w:divBdr>
        <w:top w:val="none" w:sz="0" w:space="0" w:color="auto"/>
        <w:left w:val="none" w:sz="0" w:space="0" w:color="auto"/>
        <w:bottom w:val="none" w:sz="0" w:space="0" w:color="auto"/>
        <w:right w:val="none" w:sz="0" w:space="0" w:color="auto"/>
      </w:divBdr>
    </w:div>
    <w:div w:id="367339946">
      <w:marLeft w:val="0"/>
      <w:marRight w:val="0"/>
      <w:marTop w:val="0"/>
      <w:marBottom w:val="0"/>
      <w:divBdr>
        <w:top w:val="none" w:sz="0" w:space="0" w:color="auto"/>
        <w:left w:val="none" w:sz="0" w:space="0" w:color="auto"/>
        <w:bottom w:val="none" w:sz="0" w:space="0" w:color="auto"/>
        <w:right w:val="none" w:sz="0" w:space="0" w:color="auto"/>
      </w:divBdr>
      <w:divsChild>
        <w:div w:id="1424033012">
          <w:marLeft w:val="0"/>
          <w:marRight w:val="0"/>
          <w:marTop w:val="0"/>
          <w:marBottom w:val="0"/>
          <w:divBdr>
            <w:top w:val="none" w:sz="0" w:space="0" w:color="auto"/>
            <w:left w:val="none" w:sz="0" w:space="0" w:color="auto"/>
            <w:bottom w:val="none" w:sz="0" w:space="0" w:color="auto"/>
            <w:right w:val="none" w:sz="0" w:space="0" w:color="auto"/>
          </w:divBdr>
        </w:div>
      </w:divsChild>
    </w:div>
    <w:div w:id="369452054">
      <w:marLeft w:val="0"/>
      <w:marRight w:val="0"/>
      <w:marTop w:val="60"/>
      <w:marBottom w:val="0"/>
      <w:divBdr>
        <w:top w:val="none" w:sz="0" w:space="0" w:color="auto"/>
        <w:left w:val="none" w:sz="0" w:space="0" w:color="auto"/>
        <w:bottom w:val="none" w:sz="0" w:space="0" w:color="auto"/>
        <w:right w:val="none" w:sz="0" w:space="0" w:color="auto"/>
      </w:divBdr>
    </w:div>
    <w:div w:id="370763616">
      <w:marLeft w:val="0"/>
      <w:marRight w:val="0"/>
      <w:marTop w:val="100"/>
      <w:marBottom w:val="0"/>
      <w:divBdr>
        <w:top w:val="none" w:sz="0" w:space="0" w:color="auto"/>
        <w:left w:val="none" w:sz="0" w:space="0" w:color="auto"/>
        <w:bottom w:val="none" w:sz="0" w:space="0" w:color="auto"/>
        <w:right w:val="none" w:sz="0" w:space="0" w:color="auto"/>
      </w:divBdr>
    </w:div>
    <w:div w:id="371199739">
      <w:marLeft w:val="0"/>
      <w:marRight w:val="0"/>
      <w:marTop w:val="100"/>
      <w:marBottom w:val="0"/>
      <w:divBdr>
        <w:top w:val="none" w:sz="0" w:space="0" w:color="auto"/>
        <w:left w:val="none" w:sz="0" w:space="0" w:color="auto"/>
        <w:bottom w:val="none" w:sz="0" w:space="0" w:color="auto"/>
        <w:right w:val="none" w:sz="0" w:space="0" w:color="auto"/>
      </w:divBdr>
    </w:div>
    <w:div w:id="375013000">
      <w:marLeft w:val="0"/>
      <w:marRight w:val="0"/>
      <w:marTop w:val="0"/>
      <w:marBottom w:val="0"/>
      <w:divBdr>
        <w:top w:val="none" w:sz="0" w:space="0" w:color="auto"/>
        <w:left w:val="none" w:sz="0" w:space="0" w:color="auto"/>
        <w:bottom w:val="none" w:sz="0" w:space="0" w:color="auto"/>
        <w:right w:val="none" w:sz="0" w:space="0" w:color="auto"/>
      </w:divBdr>
      <w:divsChild>
        <w:div w:id="1488210429">
          <w:marLeft w:val="0"/>
          <w:marRight w:val="0"/>
          <w:marTop w:val="0"/>
          <w:marBottom w:val="0"/>
          <w:divBdr>
            <w:top w:val="none" w:sz="0" w:space="0" w:color="auto"/>
            <w:left w:val="none" w:sz="0" w:space="0" w:color="auto"/>
            <w:bottom w:val="none" w:sz="0" w:space="0" w:color="auto"/>
            <w:right w:val="none" w:sz="0" w:space="0" w:color="auto"/>
          </w:divBdr>
        </w:div>
        <w:div w:id="333728253">
          <w:marLeft w:val="0"/>
          <w:marRight w:val="0"/>
          <w:marTop w:val="0"/>
          <w:marBottom w:val="0"/>
          <w:divBdr>
            <w:top w:val="none" w:sz="0" w:space="0" w:color="auto"/>
            <w:left w:val="none" w:sz="0" w:space="0" w:color="auto"/>
            <w:bottom w:val="none" w:sz="0" w:space="0" w:color="auto"/>
            <w:right w:val="none" w:sz="0" w:space="0" w:color="auto"/>
          </w:divBdr>
        </w:div>
      </w:divsChild>
    </w:div>
    <w:div w:id="375199164">
      <w:marLeft w:val="0"/>
      <w:marRight w:val="0"/>
      <w:marTop w:val="280"/>
      <w:marBottom w:val="0"/>
      <w:divBdr>
        <w:top w:val="none" w:sz="0" w:space="0" w:color="auto"/>
        <w:left w:val="none" w:sz="0" w:space="0" w:color="auto"/>
        <w:bottom w:val="none" w:sz="0" w:space="0" w:color="auto"/>
        <w:right w:val="none" w:sz="0" w:space="0" w:color="auto"/>
      </w:divBdr>
    </w:div>
    <w:div w:id="376897736">
      <w:marLeft w:val="0"/>
      <w:marRight w:val="0"/>
      <w:marTop w:val="100"/>
      <w:marBottom w:val="0"/>
      <w:divBdr>
        <w:top w:val="none" w:sz="0" w:space="0" w:color="auto"/>
        <w:left w:val="none" w:sz="0" w:space="0" w:color="auto"/>
        <w:bottom w:val="none" w:sz="0" w:space="0" w:color="auto"/>
        <w:right w:val="none" w:sz="0" w:space="0" w:color="auto"/>
      </w:divBdr>
    </w:div>
    <w:div w:id="377820015">
      <w:marLeft w:val="0"/>
      <w:marRight w:val="0"/>
      <w:marTop w:val="280"/>
      <w:marBottom w:val="0"/>
      <w:divBdr>
        <w:top w:val="none" w:sz="0" w:space="0" w:color="auto"/>
        <w:left w:val="none" w:sz="0" w:space="0" w:color="auto"/>
        <w:bottom w:val="none" w:sz="0" w:space="0" w:color="auto"/>
        <w:right w:val="none" w:sz="0" w:space="0" w:color="auto"/>
      </w:divBdr>
    </w:div>
    <w:div w:id="378284445">
      <w:marLeft w:val="0"/>
      <w:marRight w:val="0"/>
      <w:marTop w:val="280"/>
      <w:marBottom w:val="0"/>
      <w:divBdr>
        <w:top w:val="none" w:sz="0" w:space="0" w:color="auto"/>
        <w:left w:val="none" w:sz="0" w:space="0" w:color="auto"/>
        <w:bottom w:val="none" w:sz="0" w:space="0" w:color="auto"/>
        <w:right w:val="none" w:sz="0" w:space="0" w:color="auto"/>
      </w:divBdr>
    </w:div>
    <w:div w:id="379012961">
      <w:marLeft w:val="0"/>
      <w:marRight w:val="0"/>
      <w:marTop w:val="100"/>
      <w:marBottom w:val="0"/>
      <w:divBdr>
        <w:top w:val="none" w:sz="0" w:space="0" w:color="auto"/>
        <w:left w:val="none" w:sz="0" w:space="0" w:color="auto"/>
        <w:bottom w:val="none" w:sz="0" w:space="0" w:color="auto"/>
        <w:right w:val="none" w:sz="0" w:space="0" w:color="auto"/>
      </w:divBdr>
    </w:div>
    <w:div w:id="381296946">
      <w:marLeft w:val="0"/>
      <w:marRight w:val="0"/>
      <w:marTop w:val="40"/>
      <w:marBottom w:val="0"/>
      <w:divBdr>
        <w:top w:val="none" w:sz="0" w:space="0" w:color="auto"/>
        <w:left w:val="none" w:sz="0" w:space="0" w:color="auto"/>
        <w:bottom w:val="none" w:sz="0" w:space="0" w:color="auto"/>
        <w:right w:val="none" w:sz="0" w:space="0" w:color="auto"/>
      </w:divBdr>
    </w:div>
    <w:div w:id="382019145">
      <w:marLeft w:val="0"/>
      <w:marRight w:val="0"/>
      <w:marTop w:val="0"/>
      <w:marBottom w:val="0"/>
      <w:divBdr>
        <w:top w:val="none" w:sz="0" w:space="0" w:color="auto"/>
        <w:left w:val="none" w:sz="0" w:space="0" w:color="auto"/>
        <w:bottom w:val="none" w:sz="0" w:space="0" w:color="auto"/>
        <w:right w:val="none" w:sz="0" w:space="0" w:color="auto"/>
      </w:divBdr>
      <w:divsChild>
        <w:div w:id="1610504939">
          <w:marLeft w:val="0"/>
          <w:marRight w:val="0"/>
          <w:marTop w:val="0"/>
          <w:marBottom w:val="0"/>
          <w:divBdr>
            <w:top w:val="none" w:sz="0" w:space="0" w:color="auto"/>
            <w:left w:val="none" w:sz="0" w:space="0" w:color="auto"/>
            <w:bottom w:val="none" w:sz="0" w:space="0" w:color="auto"/>
            <w:right w:val="none" w:sz="0" w:space="0" w:color="auto"/>
          </w:divBdr>
        </w:div>
      </w:divsChild>
    </w:div>
    <w:div w:id="383142096">
      <w:marLeft w:val="0"/>
      <w:marRight w:val="0"/>
      <w:marTop w:val="180"/>
      <w:marBottom w:val="0"/>
      <w:divBdr>
        <w:top w:val="none" w:sz="0" w:space="0" w:color="auto"/>
        <w:left w:val="none" w:sz="0" w:space="0" w:color="auto"/>
        <w:bottom w:val="none" w:sz="0" w:space="0" w:color="auto"/>
        <w:right w:val="none" w:sz="0" w:space="0" w:color="auto"/>
      </w:divBdr>
    </w:div>
    <w:div w:id="383674113">
      <w:marLeft w:val="0"/>
      <w:marRight w:val="0"/>
      <w:marTop w:val="60"/>
      <w:marBottom w:val="0"/>
      <w:divBdr>
        <w:top w:val="none" w:sz="0" w:space="0" w:color="auto"/>
        <w:left w:val="none" w:sz="0" w:space="0" w:color="auto"/>
        <w:bottom w:val="none" w:sz="0" w:space="0" w:color="auto"/>
        <w:right w:val="none" w:sz="0" w:space="0" w:color="auto"/>
      </w:divBdr>
    </w:div>
    <w:div w:id="384257265">
      <w:marLeft w:val="0"/>
      <w:marRight w:val="0"/>
      <w:marTop w:val="100"/>
      <w:marBottom w:val="0"/>
      <w:divBdr>
        <w:top w:val="none" w:sz="0" w:space="0" w:color="auto"/>
        <w:left w:val="none" w:sz="0" w:space="0" w:color="auto"/>
        <w:bottom w:val="none" w:sz="0" w:space="0" w:color="auto"/>
        <w:right w:val="none" w:sz="0" w:space="0" w:color="auto"/>
      </w:divBdr>
    </w:div>
    <w:div w:id="386612262">
      <w:marLeft w:val="0"/>
      <w:marRight w:val="0"/>
      <w:marTop w:val="100"/>
      <w:marBottom w:val="0"/>
      <w:divBdr>
        <w:top w:val="none" w:sz="0" w:space="0" w:color="auto"/>
        <w:left w:val="none" w:sz="0" w:space="0" w:color="auto"/>
        <w:bottom w:val="none" w:sz="0" w:space="0" w:color="auto"/>
        <w:right w:val="none" w:sz="0" w:space="0" w:color="auto"/>
      </w:divBdr>
    </w:div>
    <w:div w:id="388068250">
      <w:marLeft w:val="0"/>
      <w:marRight w:val="0"/>
      <w:marTop w:val="60"/>
      <w:marBottom w:val="0"/>
      <w:divBdr>
        <w:top w:val="none" w:sz="0" w:space="0" w:color="auto"/>
        <w:left w:val="none" w:sz="0" w:space="0" w:color="auto"/>
        <w:bottom w:val="none" w:sz="0" w:space="0" w:color="auto"/>
        <w:right w:val="none" w:sz="0" w:space="0" w:color="auto"/>
      </w:divBdr>
    </w:div>
    <w:div w:id="388386681">
      <w:marLeft w:val="0"/>
      <w:marRight w:val="0"/>
      <w:marTop w:val="100"/>
      <w:marBottom w:val="0"/>
      <w:divBdr>
        <w:top w:val="none" w:sz="0" w:space="0" w:color="auto"/>
        <w:left w:val="none" w:sz="0" w:space="0" w:color="auto"/>
        <w:bottom w:val="none" w:sz="0" w:space="0" w:color="auto"/>
        <w:right w:val="none" w:sz="0" w:space="0" w:color="auto"/>
      </w:divBdr>
    </w:div>
    <w:div w:id="389618802">
      <w:marLeft w:val="0"/>
      <w:marRight w:val="0"/>
      <w:marTop w:val="100"/>
      <w:marBottom w:val="0"/>
      <w:divBdr>
        <w:top w:val="none" w:sz="0" w:space="0" w:color="auto"/>
        <w:left w:val="none" w:sz="0" w:space="0" w:color="auto"/>
        <w:bottom w:val="none" w:sz="0" w:space="0" w:color="auto"/>
        <w:right w:val="none" w:sz="0" w:space="0" w:color="auto"/>
      </w:divBdr>
    </w:div>
    <w:div w:id="389812445">
      <w:marLeft w:val="0"/>
      <w:marRight w:val="0"/>
      <w:marTop w:val="100"/>
      <w:marBottom w:val="0"/>
      <w:divBdr>
        <w:top w:val="none" w:sz="0" w:space="0" w:color="auto"/>
        <w:left w:val="none" w:sz="0" w:space="0" w:color="auto"/>
        <w:bottom w:val="none" w:sz="0" w:space="0" w:color="auto"/>
        <w:right w:val="none" w:sz="0" w:space="0" w:color="auto"/>
      </w:divBdr>
    </w:div>
    <w:div w:id="390201363">
      <w:marLeft w:val="0"/>
      <w:marRight w:val="0"/>
      <w:marTop w:val="100"/>
      <w:marBottom w:val="0"/>
      <w:divBdr>
        <w:top w:val="none" w:sz="0" w:space="0" w:color="auto"/>
        <w:left w:val="none" w:sz="0" w:space="0" w:color="auto"/>
        <w:bottom w:val="none" w:sz="0" w:space="0" w:color="auto"/>
        <w:right w:val="none" w:sz="0" w:space="0" w:color="auto"/>
      </w:divBdr>
      <w:divsChild>
        <w:div w:id="1809282505">
          <w:marLeft w:val="0"/>
          <w:marRight w:val="0"/>
          <w:marTop w:val="0"/>
          <w:marBottom w:val="0"/>
          <w:divBdr>
            <w:top w:val="none" w:sz="0" w:space="0" w:color="auto"/>
            <w:left w:val="none" w:sz="0" w:space="0" w:color="auto"/>
            <w:bottom w:val="none" w:sz="0" w:space="0" w:color="auto"/>
            <w:right w:val="none" w:sz="0" w:space="0" w:color="auto"/>
          </w:divBdr>
        </w:div>
        <w:div w:id="1472602583">
          <w:marLeft w:val="0"/>
          <w:marRight w:val="0"/>
          <w:marTop w:val="0"/>
          <w:marBottom w:val="0"/>
          <w:divBdr>
            <w:top w:val="none" w:sz="0" w:space="0" w:color="auto"/>
            <w:left w:val="none" w:sz="0" w:space="0" w:color="auto"/>
            <w:bottom w:val="none" w:sz="0" w:space="0" w:color="auto"/>
            <w:right w:val="none" w:sz="0" w:space="0" w:color="auto"/>
          </w:divBdr>
        </w:div>
      </w:divsChild>
    </w:div>
    <w:div w:id="394934700">
      <w:marLeft w:val="0"/>
      <w:marRight w:val="0"/>
      <w:marTop w:val="60"/>
      <w:marBottom w:val="0"/>
      <w:divBdr>
        <w:top w:val="none" w:sz="0" w:space="0" w:color="auto"/>
        <w:left w:val="none" w:sz="0" w:space="0" w:color="auto"/>
        <w:bottom w:val="none" w:sz="0" w:space="0" w:color="auto"/>
        <w:right w:val="none" w:sz="0" w:space="0" w:color="auto"/>
      </w:divBdr>
    </w:div>
    <w:div w:id="395788722">
      <w:marLeft w:val="0"/>
      <w:marRight w:val="0"/>
      <w:marTop w:val="100"/>
      <w:marBottom w:val="0"/>
      <w:divBdr>
        <w:top w:val="none" w:sz="0" w:space="0" w:color="auto"/>
        <w:left w:val="none" w:sz="0" w:space="0" w:color="auto"/>
        <w:bottom w:val="none" w:sz="0" w:space="0" w:color="auto"/>
        <w:right w:val="none" w:sz="0" w:space="0" w:color="auto"/>
      </w:divBdr>
    </w:div>
    <w:div w:id="397174665">
      <w:marLeft w:val="0"/>
      <w:marRight w:val="0"/>
      <w:marTop w:val="100"/>
      <w:marBottom w:val="0"/>
      <w:divBdr>
        <w:top w:val="none" w:sz="0" w:space="0" w:color="auto"/>
        <w:left w:val="none" w:sz="0" w:space="0" w:color="auto"/>
        <w:bottom w:val="none" w:sz="0" w:space="0" w:color="auto"/>
        <w:right w:val="none" w:sz="0" w:space="0" w:color="auto"/>
      </w:divBdr>
    </w:div>
    <w:div w:id="397633437">
      <w:marLeft w:val="0"/>
      <w:marRight w:val="0"/>
      <w:marTop w:val="100"/>
      <w:marBottom w:val="0"/>
      <w:divBdr>
        <w:top w:val="none" w:sz="0" w:space="0" w:color="auto"/>
        <w:left w:val="none" w:sz="0" w:space="0" w:color="auto"/>
        <w:bottom w:val="none" w:sz="0" w:space="0" w:color="auto"/>
        <w:right w:val="none" w:sz="0" w:space="0" w:color="auto"/>
      </w:divBdr>
    </w:div>
    <w:div w:id="398984208">
      <w:marLeft w:val="0"/>
      <w:marRight w:val="0"/>
      <w:marTop w:val="100"/>
      <w:marBottom w:val="0"/>
      <w:divBdr>
        <w:top w:val="none" w:sz="0" w:space="0" w:color="auto"/>
        <w:left w:val="none" w:sz="0" w:space="0" w:color="auto"/>
        <w:bottom w:val="none" w:sz="0" w:space="0" w:color="auto"/>
        <w:right w:val="none" w:sz="0" w:space="0" w:color="auto"/>
      </w:divBdr>
    </w:div>
    <w:div w:id="401175376">
      <w:marLeft w:val="0"/>
      <w:marRight w:val="0"/>
      <w:marTop w:val="0"/>
      <w:marBottom w:val="0"/>
      <w:divBdr>
        <w:top w:val="none" w:sz="0" w:space="0" w:color="auto"/>
        <w:left w:val="none" w:sz="0" w:space="0" w:color="auto"/>
        <w:bottom w:val="none" w:sz="0" w:space="0" w:color="auto"/>
        <w:right w:val="none" w:sz="0" w:space="0" w:color="auto"/>
      </w:divBdr>
      <w:divsChild>
        <w:div w:id="51122934">
          <w:marLeft w:val="0"/>
          <w:marRight w:val="0"/>
          <w:marTop w:val="0"/>
          <w:marBottom w:val="0"/>
          <w:divBdr>
            <w:top w:val="none" w:sz="0" w:space="0" w:color="auto"/>
            <w:left w:val="none" w:sz="0" w:space="0" w:color="auto"/>
            <w:bottom w:val="none" w:sz="0" w:space="0" w:color="auto"/>
            <w:right w:val="none" w:sz="0" w:space="0" w:color="auto"/>
          </w:divBdr>
        </w:div>
        <w:div w:id="1867787091">
          <w:marLeft w:val="0"/>
          <w:marRight w:val="0"/>
          <w:marTop w:val="0"/>
          <w:marBottom w:val="0"/>
          <w:divBdr>
            <w:top w:val="none" w:sz="0" w:space="0" w:color="auto"/>
            <w:left w:val="none" w:sz="0" w:space="0" w:color="auto"/>
            <w:bottom w:val="none" w:sz="0" w:space="0" w:color="auto"/>
            <w:right w:val="none" w:sz="0" w:space="0" w:color="auto"/>
          </w:divBdr>
        </w:div>
      </w:divsChild>
    </w:div>
    <w:div w:id="402139892">
      <w:marLeft w:val="0"/>
      <w:marRight w:val="0"/>
      <w:marTop w:val="0"/>
      <w:marBottom w:val="0"/>
      <w:divBdr>
        <w:top w:val="none" w:sz="0" w:space="0" w:color="auto"/>
        <w:left w:val="none" w:sz="0" w:space="0" w:color="auto"/>
        <w:bottom w:val="none" w:sz="0" w:space="0" w:color="auto"/>
        <w:right w:val="none" w:sz="0" w:space="0" w:color="auto"/>
      </w:divBdr>
      <w:divsChild>
        <w:div w:id="1308432526">
          <w:marLeft w:val="0"/>
          <w:marRight w:val="0"/>
          <w:marTop w:val="0"/>
          <w:marBottom w:val="0"/>
          <w:divBdr>
            <w:top w:val="none" w:sz="0" w:space="0" w:color="auto"/>
            <w:left w:val="none" w:sz="0" w:space="0" w:color="auto"/>
            <w:bottom w:val="none" w:sz="0" w:space="0" w:color="auto"/>
            <w:right w:val="none" w:sz="0" w:space="0" w:color="auto"/>
          </w:divBdr>
        </w:div>
      </w:divsChild>
    </w:div>
    <w:div w:id="407312485">
      <w:marLeft w:val="0"/>
      <w:marRight w:val="0"/>
      <w:marTop w:val="0"/>
      <w:marBottom w:val="0"/>
      <w:divBdr>
        <w:top w:val="none" w:sz="0" w:space="0" w:color="auto"/>
        <w:left w:val="none" w:sz="0" w:space="0" w:color="auto"/>
        <w:bottom w:val="none" w:sz="0" w:space="0" w:color="auto"/>
        <w:right w:val="none" w:sz="0" w:space="0" w:color="auto"/>
      </w:divBdr>
      <w:divsChild>
        <w:div w:id="932200193">
          <w:marLeft w:val="0"/>
          <w:marRight w:val="0"/>
          <w:marTop w:val="0"/>
          <w:marBottom w:val="0"/>
          <w:divBdr>
            <w:top w:val="none" w:sz="0" w:space="0" w:color="auto"/>
            <w:left w:val="none" w:sz="0" w:space="0" w:color="auto"/>
            <w:bottom w:val="none" w:sz="0" w:space="0" w:color="auto"/>
            <w:right w:val="none" w:sz="0" w:space="0" w:color="auto"/>
          </w:divBdr>
        </w:div>
      </w:divsChild>
    </w:div>
    <w:div w:id="409231390">
      <w:marLeft w:val="0"/>
      <w:marRight w:val="0"/>
      <w:marTop w:val="0"/>
      <w:marBottom w:val="0"/>
      <w:divBdr>
        <w:top w:val="none" w:sz="0" w:space="0" w:color="auto"/>
        <w:left w:val="none" w:sz="0" w:space="0" w:color="auto"/>
        <w:bottom w:val="none" w:sz="0" w:space="0" w:color="auto"/>
        <w:right w:val="none" w:sz="0" w:space="0" w:color="auto"/>
      </w:divBdr>
      <w:divsChild>
        <w:div w:id="1270816043">
          <w:marLeft w:val="0"/>
          <w:marRight w:val="0"/>
          <w:marTop w:val="0"/>
          <w:marBottom w:val="0"/>
          <w:divBdr>
            <w:top w:val="none" w:sz="0" w:space="0" w:color="auto"/>
            <w:left w:val="none" w:sz="0" w:space="0" w:color="auto"/>
            <w:bottom w:val="none" w:sz="0" w:space="0" w:color="auto"/>
            <w:right w:val="none" w:sz="0" w:space="0" w:color="auto"/>
          </w:divBdr>
        </w:div>
      </w:divsChild>
    </w:div>
    <w:div w:id="411897263">
      <w:marLeft w:val="0"/>
      <w:marRight w:val="0"/>
      <w:marTop w:val="100"/>
      <w:marBottom w:val="0"/>
      <w:divBdr>
        <w:top w:val="none" w:sz="0" w:space="0" w:color="auto"/>
        <w:left w:val="none" w:sz="0" w:space="0" w:color="auto"/>
        <w:bottom w:val="none" w:sz="0" w:space="0" w:color="auto"/>
        <w:right w:val="none" w:sz="0" w:space="0" w:color="auto"/>
      </w:divBdr>
    </w:div>
    <w:div w:id="418142758">
      <w:marLeft w:val="0"/>
      <w:marRight w:val="0"/>
      <w:marTop w:val="60"/>
      <w:marBottom w:val="0"/>
      <w:divBdr>
        <w:top w:val="none" w:sz="0" w:space="0" w:color="auto"/>
        <w:left w:val="none" w:sz="0" w:space="0" w:color="auto"/>
        <w:bottom w:val="none" w:sz="0" w:space="0" w:color="auto"/>
        <w:right w:val="none" w:sz="0" w:space="0" w:color="auto"/>
      </w:divBdr>
    </w:div>
    <w:div w:id="420104594">
      <w:marLeft w:val="0"/>
      <w:marRight w:val="0"/>
      <w:marTop w:val="100"/>
      <w:marBottom w:val="0"/>
      <w:divBdr>
        <w:top w:val="none" w:sz="0" w:space="0" w:color="auto"/>
        <w:left w:val="none" w:sz="0" w:space="0" w:color="auto"/>
        <w:bottom w:val="none" w:sz="0" w:space="0" w:color="auto"/>
        <w:right w:val="none" w:sz="0" w:space="0" w:color="auto"/>
      </w:divBdr>
    </w:div>
    <w:div w:id="421419852">
      <w:marLeft w:val="0"/>
      <w:marRight w:val="0"/>
      <w:marTop w:val="100"/>
      <w:marBottom w:val="0"/>
      <w:divBdr>
        <w:top w:val="none" w:sz="0" w:space="0" w:color="auto"/>
        <w:left w:val="none" w:sz="0" w:space="0" w:color="auto"/>
        <w:bottom w:val="none" w:sz="0" w:space="0" w:color="auto"/>
        <w:right w:val="none" w:sz="0" w:space="0" w:color="auto"/>
      </w:divBdr>
    </w:div>
    <w:div w:id="422845854">
      <w:marLeft w:val="0"/>
      <w:marRight w:val="0"/>
      <w:marTop w:val="100"/>
      <w:marBottom w:val="0"/>
      <w:divBdr>
        <w:top w:val="none" w:sz="0" w:space="0" w:color="auto"/>
        <w:left w:val="none" w:sz="0" w:space="0" w:color="auto"/>
        <w:bottom w:val="none" w:sz="0" w:space="0" w:color="auto"/>
        <w:right w:val="none" w:sz="0" w:space="0" w:color="auto"/>
      </w:divBdr>
    </w:div>
    <w:div w:id="423847299">
      <w:marLeft w:val="0"/>
      <w:marRight w:val="0"/>
      <w:marTop w:val="100"/>
      <w:marBottom w:val="0"/>
      <w:divBdr>
        <w:top w:val="none" w:sz="0" w:space="0" w:color="auto"/>
        <w:left w:val="none" w:sz="0" w:space="0" w:color="auto"/>
        <w:bottom w:val="none" w:sz="0" w:space="0" w:color="auto"/>
        <w:right w:val="none" w:sz="0" w:space="0" w:color="auto"/>
      </w:divBdr>
    </w:div>
    <w:div w:id="423958599">
      <w:marLeft w:val="0"/>
      <w:marRight w:val="0"/>
      <w:marTop w:val="60"/>
      <w:marBottom w:val="0"/>
      <w:divBdr>
        <w:top w:val="none" w:sz="0" w:space="0" w:color="auto"/>
        <w:left w:val="none" w:sz="0" w:space="0" w:color="auto"/>
        <w:bottom w:val="none" w:sz="0" w:space="0" w:color="auto"/>
        <w:right w:val="none" w:sz="0" w:space="0" w:color="auto"/>
      </w:divBdr>
    </w:div>
    <w:div w:id="424770834">
      <w:marLeft w:val="0"/>
      <w:marRight w:val="0"/>
      <w:marTop w:val="100"/>
      <w:marBottom w:val="0"/>
      <w:divBdr>
        <w:top w:val="none" w:sz="0" w:space="0" w:color="auto"/>
        <w:left w:val="none" w:sz="0" w:space="0" w:color="auto"/>
        <w:bottom w:val="none" w:sz="0" w:space="0" w:color="auto"/>
        <w:right w:val="none" w:sz="0" w:space="0" w:color="auto"/>
      </w:divBdr>
    </w:div>
    <w:div w:id="425620263">
      <w:marLeft w:val="0"/>
      <w:marRight w:val="0"/>
      <w:marTop w:val="280"/>
      <w:marBottom w:val="0"/>
      <w:divBdr>
        <w:top w:val="none" w:sz="0" w:space="0" w:color="auto"/>
        <w:left w:val="none" w:sz="0" w:space="0" w:color="auto"/>
        <w:bottom w:val="none" w:sz="0" w:space="0" w:color="auto"/>
        <w:right w:val="none" w:sz="0" w:space="0" w:color="auto"/>
      </w:divBdr>
    </w:div>
    <w:div w:id="425804546">
      <w:marLeft w:val="0"/>
      <w:marRight w:val="0"/>
      <w:marTop w:val="0"/>
      <w:marBottom w:val="0"/>
      <w:divBdr>
        <w:top w:val="none" w:sz="0" w:space="0" w:color="auto"/>
        <w:left w:val="none" w:sz="0" w:space="0" w:color="auto"/>
        <w:bottom w:val="none" w:sz="0" w:space="0" w:color="auto"/>
        <w:right w:val="none" w:sz="0" w:space="0" w:color="auto"/>
      </w:divBdr>
      <w:divsChild>
        <w:div w:id="1191407753">
          <w:marLeft w:val="0"/>
          <w:marRight w:val="0"/>
          <w:marTop w:val="0"/>
          <w:marBottom w:val="0"/>
          <w:divBdr>
            <w:top w:val="none" w:sz="0" w:space="0" w:color="auto"/>
            <w:left w:val="none" w:sz="0" w:space="0" w:color="auto"/>
            <w:bottom w:val="none" w:sz="0" w:space="0" w:color="auto"/>
            <w:right w:val="none" w:sz="0" w:space="0" w:color="auto"/>
          </w:divBdr>
        </w:div>
        <w:div w:id="1317303615">
          <w:marLeft w:val="0"/>
          <w:marRight w:val="0"/>
          <w:marTop w:val="0"/>
          <w:marBottom w:val="0"/>
          <w:divBdr>
            <w:top w:val="none" w:sz="0" w:space="0" w:color="auto"/>
            <w:left w:val="none" w:sz="0" w:space="0" w:color="auto"/>
            <w:bottom w:val="none" w:sz="0" w:space="0" w:color="auto"/>
            <w:right w:val="none" w:sz="0" w:space="0" w:color="auto"/>
          </w:divBdr>
        </w:div>
      </w:divsChild>
    </w:div>
    <w:div w:id="426196358">
      <w:marLeft w:val="0"/>
      <w:marRight w:val="0"/>
      <w:marTop w:val="100"/>
      <w:marBottom w:val="0"/>
      <w:divBdr>
        <w:top w:val="none" w:sz="0" w:space="0" w:color="auto"/>
        <w:left w:val="none" w:sz="0" w:space="0" w:color="auto"/>
        <w:bottom w:val="none" w:sz="0" w:space="0" w:color="auto"/>
        <w:right w:val="none" w:sz="0" w:space="0" w:color="auto"/>
      </w:divBdr>
    </w:div>
    <w:div w:id="431976421">
      <w:marLeft w:val="0"/>
      <w:marRight w:val="0"/>
      <w:marTop w:val="0"/>
      <w:marBottom w:val="0"/>
      <w:divBdr>
        <w:top w:val="none" w:sz="0" w:space="0" w:color="auto"/>
        <w:left w:val="none" w:sz="0" w:space="0" w:color="auto"/>
        <w:bottom w:val="none" w:sz="0" w:space="0" w:color="auto"/>
        <w:right w:val="none" w:sz="0" w:space="0" w:color="auto"/>
      </w:divBdr>
      <w:divsChild>
        <w:div w:id="548953091">
          <w:marLeft w:val="0"/>
          <w:marRight w:val="0"/>
          <w:marTop w:val="0"/>
          <w:marBottom w:val="0"/>
          <w:divBdr>
            <w:top w:val="none" w:sz="0" w:space="0" w:color="auto"/>
            <w:left w:val="none" w:sz="0" w:space="0" w:color="auto"/>
            <w:bottom w:val="none" w:sz="0" w:space="0" w:color="auto"/>
            <w:right w:val="none" w:sz="0" w:space="0" w:color="auto"/>
          </w:divBdr>
        </w:div>
        <w:div w:id="1884828142">
          <w:marLeft w:val="0"/>
          <w:marRight w:val="0"/>
          <w:marTop w:val="0"/>
          <w:marBottom w:val="0"/>
          <w:divBdr>
            <w:top w:val="none" w:sz="0" w:space="0" w:color="auto"/>
            <w:left w:val="none" w:sz="0" w:space="0" w:color="auto"/>
            <w:bottom w:val="none" w:sz="0" w:space="0" w:color="auto"/>
            <w:right w:val="none" w:sz="0" w:space="0" w:color="auto"/>
          </w:divBdr>
        </w:div>
      </w:divsChild>
    </w:div>
    <w:div w:id="432240841">
      <w:marLeft w:val="0"/>
      <w:marRight w:val="0"/>
      <w:marTop w:val="60"/>
      <w:marBottom w:val="0"/>
      <w:divBdr>
        <w:top w:val="none" w:sz="0" w:space="0" w:color="auto"/>
        <w:left w:val="none" w:sz="0" w:space="0" w:color="auto"/>
        <w:bottom w:val="none" w:sz="0" w:space="0" w:color="auto"/>
        <w:right w:val="none" w:sz="0" w:space="0" w:color="auto"/>
      </w:divBdr>
    </w:div>
    <w:div w:id="438767436">
      <w:marLeft w:val="0"/>
      <w:marRight w:val="0"/>
      <w:marTop w:val="100"/>
      <w:marBottom w:val="0"/>
      <w:divBdr>
        <w:top w:val="none" w:sz="0" w:space="0" w:color="auto"/>
        <w:left w:val="none" w:sz="0" w:space="0" w:color="auto"/>
        <w:bottom w:val="none" w:sz="0" w:space="0" w:color="auto"/>
        <w:right w:val="none" w:sz="0" w:space="0" w:color="auto"/>
      </w:divBdr>
    </w:div>
    <w:div w:id="440106286">
      <w:marLeft w:val="0"/>
      <w:marRight w:val="0"/>
      <w:marTop w:val="100"/>
      <w:marBottom w:val="100"/>
      <w:divBdr>
        <w:top w:val="none" w:sz="0" w:space="0" w:color="auto"/>
        <w:left w:val="none" w:sz="0" w:space="0" w:color="auto"/>
        <w:bottom w:val="none" w:sz="0" w:space="0" w:color="auto"/>
        <w:right w:val="none" w:sz="0" w:space="0" w:color="auto"/>
      </w:divBdr>
    </w:div>
    <w:div w:id="441414397">
      <w:marLeft w:val="0"/>
      <w:marRight w:val="0"/>
      <w:marTop w:val="100"/>
      <w:marBottom w:val="0"/>
      <w:divBdr>
        <w:top w:val="none" w:sz="0" w:space="0" w:color="auto"/>
        <w:left w:val="none" w:sz="0" w:space="0" w:color="auto"/>
        <w:bottom w:val="none" w:sz="0" w:space="0" w:color="auto"/>
        <w:right w:val="none" w:sz="0" w:space="0" w:color="auto"/>
      </w:divBdr>
    </w:div>
    <w:div w:id="444468682">
      <w:marLeft w:val="0"/>
      <w:marRight w:val="0"/>
      <w:marTop w:val="40"/>
      <w:marBottom w:val="0"/>
      <w:divBdr>
        <w:top w:val="none" w:sz="0" w:space="0" w:color="auto"/>
        <w:left w:val="none" w:sz="0" w:space="0" w:color="auto"/>
        <w:bottom w:val="none" w:sz="0" w:space="0" w:color="auto"/>
        <w:right w:val="none" w:sz="0" w:space="0" w:color="auto"/>
      </w:divBdr>
    </w:div>
    <w:div w:id="444929065">
      <w:marLeft w:val="0"/>
      <w:marRight w:val="0"/>
      <w:marTop w:val="60"/>
      <w:marBottom w:val="0"/>
      <w:divBdr>
        <w:top w:val="none" w:sz="0" w:space="0" w:color="auto"/>
        <w:left w:val="none" w:sz="0" w:space="0" w:color="auto"/>
        <w:bottom w:val="none" w:sz="0" w:space="0" w:color="auto"/>
        <w:right w:val="none" w:sz="0" w:space="0" w:color="auto"/>
      </w:divBdr>
    </w:div>
    <w:div w:id="447970820">
      <w:marLeft w:val="0"/>
      <w:marRight w:val="0"/>
      <w:marTop w:val="280"/>
      <w:marBottom w:val="0"/>
      <w:divBdr>
        <w:top w:val="none" w:sz="0" w:space="0" w:color="auto"/>
        <w:left w:val="none" w:sz="0" w:space="0" w:color="auto"/>
        <w:bottom w:val="none" w:sz="0" w:space="0" w:color="auto"/>
        <w:right w:val="none" w:sz="0" w:space="0" w:color="auto"/>
      </w:divBdr>
    </w:div>
    <w:div w:id="448011320">
      <w:marLeft w:val="0"/>
      <w:marRight w:val="0"/>
      <w:marTop w:val="60"/>
      <w:marBottom w:val="0"/>
      <w:divBdr>
        <w:top w:val="none" w:sz="0" w:space="0" w:color="auto"/>
        <w:left w:val="none" w:sz="0" w:space="0" w:color="auto"/>
        <w:bottom w:val="none" w:sz="0" w:space="0" w:color="auto"/>
        <w:right w:val="none" w:sz="0" w:space="0" w:color="auto"/>
      </w:divBdr>
    </w:div>
    <w:div w:id="448135525">
      <w:marLeft w:val="0"/>
      <w:marRight w:val="0"/>
      <w:marTop w:val="0"/>
      <w:marBottom w:val="0"/>
      <w:divBdr>
        <w:top w:val="none" w:sz="0" w:space="0" w:color="auto"/>
        <w:left w:val="none" w:sz="0" w:space="0" w:color="auto"/>
        <w:bottom w:val="none" w:sz="0" w:space="0" w:color="auto"/>
        <w:right w:val="none" w:sz="0" w:space="0" w:color="auto"/>
      </w:divBdr>
      <w:divsChild>
        <w:div w:id="2115661381">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sChild>
    </w:div>
    <w:div w:id="449395808">
      <w:marLeft w:val="0"/>
      <w:marRight w:val="0"/>
      <w:marTop w:val="100"/>
      <w:marBottom w:val="0"/>
      <w:divBdr>
        <w:top w:val="none" w:sz="0" w:space="0" w:color="auto"/>
        <w:left w:val="none" w:sz="0" w:space="0" w:color="auto"/>
        <w:bottom w:val="none" w:sz="0" w:space="0" w:color="auto"/>
        <w:right w:val="none" w:sz="0" w:space="0" w:color="auto"/>
      </w:divBdr>
    </w:div>
    <w:div w:id="451095151">
      <w:marLeft w:val="0"/>
      <w:marRight w:val="0"/>
      <w:marTop w:val="100"/>
      <w:marBottom w:val="0"/>
      <w:divBdr>
        <w:top w:val="none" w:sz="0" w:space="0" w:color="auto"/>
        <w:left w:val="none" w:sz="0" w:space="0" w:color="auto"/>
        <w:bottom w:val="none" w:sz="0" w:space="0" w:color="auto"/>
        <w:right w:val="none" w:sz="0" w:space="0" w:color="auto"/>
      </w:divBdr>
    </w:div>
    <w:div w:id="451483993">
      <w:marLeft w:val="0"/>
      <w:marRight w:val="0"/>
      <w:marTop w:val="100"/>
      <w:marBottom w:val="0"/>
      <w:divBdr>
        <w:top w:val="none" w:sz="0" w:space="0" w:color="auto"/>
        <w:left w:val="none" w:sz="0" w:space="0" w:color="auto"/>
        <w:bottom w:val="none" w:sz="0" w:space="0" w:color="auto"/>
        <w:right w:val="none" w:sz="0" w:space="0" w:color="auto"/>
      </w:divBdr>
    </w:div>
    <w:div w:id="453015588">
      <w:marLeft w:val="0"/>
      <w:marRight w:val="0"/>
      <w:marTop w:val="0"/>
      <w:marBottom w:val="0"/>
      <w:divBdr>
        <w:top w:val="none" w:sz="0" w:space="0" w:color="auto"/>
        <w:left w:val="none" w:sz="0" w:space="0" w:color="auto"/>
        <w:bottom w:val="none" w:sz="0" w:space="0" w:color="auto"/>
        <w:right w:val="none" w:sz="0" w:space="0" w:color="auto"/>
      </w:divBdr>
      <w:divsChild>
        <w:div w:id="1537615505">
          <w:marLeft w:val="0"/>
          <w:marRight w:val="0"/>
          <w:marTop w:val="0"/>
          <w:marBottom w:val="0"/>
          <w:divBdr>
            <w:top w:val="none" w:sz="0" w:space="0" w:color="auto"/>
            <w:left w:val="none" w:sz="0" w:space="0" w:color="auto"/>
            <w:bottom w:val="none" w:sz="0" w:space="0" w:color="auto"/>
            <w:right w:val="none" w:sz="0" w:space="0" w:color="auto"/>
          </w:divBdr>
        </w:div>
      </w:divsChild>
    </w:div>
    <w:div w:id="453329577">
      <w:marLeft w:val="0"/>
      <w:marRight w:val="0"/>
      <w:marTop w:val="60"/>
      <w:marBottom w:val="0"/>
      <w:divBdr>
        <w:top w:val="none" w:sz="0" w:space="0" w:color="auto"/>
        <w:left w:val="none" w:sz="0" w:space="0" w:color="auto"/>
        <w:bottom w:val="none" w:sz="0" w:space="0" w:color="auto"/>
        <w:right w:val="none" w:sz="0" w:space="0" w:color="auto"/>
      </w:divBdr>
    </w:div>
    <w:div w:id="453717632">
      <w:marLeft w:val="0"/>
      <w:marRight w:val="0"/>
      <w:marTop w:val="0"/>
      <w:marBottom w:val="0"/>
      <w:divBdr>
        <w:top w:val="none" w:sz="0" w:space="0" w:color="auto"/>
        <w:left w:val="none" w:sz="0" w:space="0" w:color="auto"/>
        <w:bottom w:val="none" w:sz="0" w:space="0" w:color="auto"/>
        <w:right w:val="none" w:sz="0" w:space="0" w:color="auto"/>
      </w:divBdr>
      <w:divsChild>
        <w:div w:id="1645575354">
          <w:marLeft w:val="0"/>
          <w:marRight w:val="0"/>
          <w:marTop w:val="0"/>
          <w:marBottom w:val="0"/>
          <w:divBdr>
            <w:top w:val="none" w:sz="0" w:space="0" w:color="auto"/>
            <w:left w:val="none" w:sz="0" w:space="0" w:color="auto"/>
            <w:bottom w:val="none" w:sz="0" w:space="0" w:color="auto"/>
            <w:right w:val="none" w:sz="0" w:space="0" w:color="auto"/>
          </w:divBdr>
        </w:div>
      </w:divsChild>
    </w:div>
    <w:div w:id="456677626">
      <w:marLeft w:val="0"/>
      <w:marRight w:val="0"/>
      <w:marTop w:val="100"/>
      <w:marBottom w:val="0"/>
      <w:divBdr>
        <w:top w:val="none" w:sz="0" w:space="0" w:color="auto"/>
        <w:left w:val="none" w:sz="0" w:space="0" w:color="auto"/>
        <w:bottom w:val="none" w:sz="0" w:space="0" w:color="auto"/>
        <w:right w:val="none" w:sz="0" w:space="0" w:color="auto"/>
      </w:divBdr>
    </w:div>
    <w:div w:id="457184577">
      <w:marLeft w:val="0"/>
      <w:marRight w:val="0"/>
      <w:marTop w:val="100"/>
      <w:marBottom w:val="0"/>
      <w:divBdr>
        <w:top w:val="none" w:sz="0" w:space="0" w:color="auto"/>
        <w:left w:val="none" w:sz="0" w:space="0" w:color="auto"/>
        <w:bottom w:val="none" w:sz="0" w:space="0" w:color="auto"/>
        <w:right w:val="none" w:sz="0" w:space="0" w:color="auto"/>
      </w:divBdr>
    </w:div>
    <w:div w:id="458648920">
      <w:marLeft w:val="0"/>
      <w:marRight w:val="0"/>
      <w:marTop w:val="0"/>
      <w:marBottom w:val="0"/>
      <w:divBdr>
        <w:top w:val="none" w:sz="0" w:space="0" w:color="auto"/>
        <w:left w:val="none" w:sz="0" w:space="0" w:color="auto"/>
        <w:bottom w:val="none" w:sz="0" w:space="0" w:color="auto"/>
        <w:right w:val="none" w:sz="0" w:space="0" w:color="auto"/>
      </w:divBdr>
      <w:divsChild>
        <w:div w:id="1881479504">
          <w:marLeft w:val="0"/>
          <w:marRight w:val="0"/>
          <w:marTop w:val="0"/>
          <w:marBottom w:val="0"/>
          <w:divBdr>
            <w:top w:val="none" w:sz="0" w:space="0" w:color="auto"/>
            <w:left w:val="none" w:sz="0" w:space="0" w:color="auto"/>
            <w:bottom w:val="none" w:sz="0" w:space="0" w:color="auto"/>
            <w:right w:val="none" w:sz="0" w:space="0" w:color="auto"/>
          </w:divBdr>
        </w:div>
        <w:div w:id="717125234">
          <w:marLeft w:val="0"/>
          <w:marRight w:val="0"/>
          <w:marTop w:val="0"/>
          <w:marBottom w:val="0"/>
          <w:divBdr>
            <w:top w:val="none" w:sz="0" w:space="0" w:color="auto"/>
            <w:left w:val="none" w:sz="0" w:space="0" w:color="auto"/>
            <w:bottom w:val="none" w:sz="0" w:space="0" w:color="auto"/>
            <w:right w:val="none" w:sz="0" w:space="0" w:color="auto"/>
          </w:divBdr>
        </w:div>
      </w:divsChild>
    </w:div>
    <w:div w:id="461509188">
      <w:marLeft w:val="0"/>
      <w:marRight w:val="0"/>
      <w:marTop w:val="60"/>
      <w:marBottom w:val="0"/>
      <w:divBdr>
        <w:top w:val="none" w:sz="0" w:space="0" w:color="auto"/>
        <w:left w:val="none" w:sz="0" w:space="0" w:color="auto"/>
        <w:bottom w:val="none" w:sz="0" w:space="0" w:color="auto"/>
        <w:right w:val="none" w:sz="0" w:space="0" w:color="auto"/>
      </w:divBdr>
    </w:div>
    <w:div w:id="468207679">
      <w:marLeft w:val="0"/>
      <w:marRight w:val="0"/>
      <w:marTop w:val="60"/>
      <w:marBottom w:val="0"/>
      <w:divBdr>
        <w:top w:val="none" w:sz="0" w:space="0" w:color="auto"/>
        <w:left w:val="none" w:sz="0" w:space="0" w:color="auto"/>
        <w:bottom w:val="none" w:sz="0" w:space="0" w:color="auto"/>
        <w:right w:val="none" w:sz="0" w:space="0" w:color="auto"/>
      </w:divBdr>
    </w:div>
    <w:div w:id="468329919">
      <w:marLeft w:val="0"/>
      <w:marRight w:val="0"/>
      <w:marTop w:val="100"/>
      <w:marBottom w:val="0"/>
      <w:divBdr>
        <w:top w:val="none" w:sz="0" w:space="0" w:color="auto"/>
        <w:left w:val="none" w:sz="0" w:space="0" w:color="auto"/>
        <w:bottom w:val="none" w:sz="0" w:space="0" w:color="auto"/>
        <w:right w:val="none" w:sz="0" w:space="0" w:color="auto"/>
      </w:divBdr>
    </w:div>
    <w:div w:id="472672539">
      <w:marLeft w:val="0"/>
      <w:marRight w:val="0"/>
      <w:marTop w:val="100"/>
      <w:marBottom w:val="0"/>
      <w:divBdr>
        <w:top w:val="none" w:sz="0" w:space="0" w:color="auto"/>
        <w:left w:val="none" w:sz="0" w:space="0" w:color="auto"/>
        <w:bottom w:val="none" w:sz="0" w:space="0" w:color="auto"/>
        <w:right w:val="none" w:sz="0" w:space="0" w:color="auto"/>
      </w:divBdr>
    </w:div>
    <w:div w:id="472989970">
      <w:marLeft w:val="0"/>
      <w:marRight w:val="0"/>
      <w:marTop w:val="100"/>
      <w:marBottom w:val="0"/>
      <w:divBdr>
        <w:top w:val="none" w:sz="0" w:space="0" w:color="auto"/>
        <w:left w:val="none" w:sz="0" w:space="0" w:color="auto"/>
        <w:bottom w:val="none" w:sz="0" w:space="0" w:color="auto"/>
        <w:right w:val="none" w:sz="0" w:space="0" w:color="auto"/>
      </w:divBdr>
    </w:div>
    <w:div w:id="473259275">
      <w:marLeft w:val="0"/>
      <w:marRight w:val="0"/>
      <w:marTop w:val="0"/>
      <w:marBottom w:val="0"/>
      <w:divBdr>
        <w:top w:val="none" w:sz="0" w:space="0" w:color="auto"/>
        <w:left w:val="none" w:sz="0" w:space="0" w:color="auto"/>
        <w:bottom w:val="none" w:sz="0" w:space="0" w:color="auto"/>
        <w:right w:val="none" w:sz="0" w:space="0" w:color="auto"/>
      </w:divBdr>
      <w:divsChild>
        <w:div w:id="977799449">
          <w:marLeft w:val="0"/>
          <w:marRight w:val="0"/>
          <w:marTop w:val="0"/>
          <w:marBottom w:val="0"/>
          <w:divBdr>
            <w:top w:val="none" w:sz="0" w:space="0" w:color="auto"/>
            <w:left w:val="none" w:sz="0" w:space="0" w:color="auto"/>
            <w:bottom w:val="none" w:sz="0" w:space="0" w:color="auto"/>
            <w:right w:val="none" w:sz="0" w:space="0" w:color="auto"/>
          </w:divBdr>
        </w:div>
        <w:div w:id="219562309">
          <w:marLeft w:val="0"/>
          <w:marRight w:val="0"/>
          <w:marTop w:val="0"/>
          <w:marBottom w:val="0"/>
          <w:divBdr>
            <w:top w:val="none" w:sz="0" w:space="0" w:color="auto"/>
            <w:left w:val="none" w:sz="0" w:space="0" w:color="auto"/>
            <w:bottom w:val="none" w:sz="0" w:space="0" w:color="auto"/>
            <w:right w:val="none" w:sz="0" w:space="0" w:color="auto"/>
          </w:divBdr>
        </w:div>
      </w:divsChild>
    </w:div>
    <w:div w:id="474179467">
      <w:marLeft w:val="0"/>
      <w:marRight w:val="0"/>
      <w:marTop w:val="100"/>
      <w:marBottom w:val="0"/>
      <w:divBdr>
        <w:top w:val="none" w:sz="0" w:space="0" w:color="auto"/>
        <w:left w:val="none" w:sz="0" w:space="0" w:color="auto"/>
        <w:bottom w:val="none" w:sz="0" w:space="0" w:color="auto"/>
        <w:right w:val="none" w:sz="0" w:space="0" w:color="auto"/>
      </w:divBdr>
    </w:div>
    <w:div w:id="476730163">
      <w:marLeft w:val="0"/>
      <w:marRight w:val="0"/>
      <w:marTop w:val="100"/>
      <w:marBottom w:val="0"/>
      <w:divBdr>
        <w:top w:val="none" w:sz="0" w:space="0" w:color="auto"/>
        <w:left w:val="none" w:sz="0" w:space="0" w:color="auto"/>
        <w:bottom w:val="none" w:sz="0" w:space="0" w:color="auto"/>
        <w:right w:val="none" w:sz="0" w:space="0" w:color="auto"/>
      </w:divBdr>
    </w:div>
    <w:div w:id="477040492">
      <w:marLeft w:val="0"/>
      <w:marRight w:val="0"/>
      <w:marTop w:val="100"/>
      <w:marBottom w:val="0"/>
      <w:divBdr>
        <w:top w:val="none" w:sz="0" w:space="0" w:color="auto"/>
        <w:left w:val="none" w:sz="0" w:space="0" w:color="auto"/>
        <w:bottom w:val="none" w:sz="0" w:space="0" w:color="auto"/>
        <w:right w:val="none" w:sz="0" w:space="0" w:color="auto"/>
      </w:divBdr>
    </w:div>
    <w:div w:id="477841501">
      <w:marLeft w:val="0"/>
      <w:marRight w:val="0"/>
      <w:marTop w:val="100"/>
      <w:marBottom w:val="0"/>
      <w:divBdr>
        <w:top w:val="none" w:sz="0" w:space="0" w:color="auto"/>
        <w:left w:val="none" w:sz="0" w:space="0" w:color="auto"/>
        <w:bottom w:val="none" w:sz="0" w:space="0" w:color="auto"/>
        <w:right w:val="none" w:sz="0" w:space="0" w:color="auto"/>
      </w:divBdr>
    </w:div>
    <w:div w:id="478040932">
      <w:marLeft w:val="0"/>
      <w:marRight w:val="0"/>
      <w:marTop w:val="0"/>
      <w:marBottom w:val="0"/>
      <w:divBdr>
        <w:top w:val="none" w:sz="0" w:space="0" w:color="auto"/>
        <w:left w:val="none" w:sz="0" w:space="0" w:color="auto"/>
        <w:bottom w:val="none" w:sz="0" w:space="0" w:color="auto"/>
        <w:right w:val="none" w:sz="0" w:space="0" w:color="auto"/>
      </w:divBdr>
    </w:div>
    <w:div w:id="478158716">
      <w:marLeft w:val="0"/>
      <w:marRight w:val="0"/>
      <w:marTop w:val="100"/>
      <w:marBottom w:val="0"/>
      <w:divBdr>
        <w:top w:val="none" w:sz="0" w:space="0" w:color="auto"/>
        <w:left w:val="none" w:sz="0" w:space="0" w:color="auto"/>
        <w:bottom w:val="none" w:sz="0" w:space="0" w:color="auto"/>
        <w:right w:val="none" w:sz="0" w:space="0" w:color="auto"/>
      </w:divBdr>
    </w:div>
    <w:div w:id="480199686">
      <w:marLeft w:val="0"/>
      <w:marRight w:val="0"/>
      <w:marTop w:val="280"/>
      <w:marBottom w:val="0"/>
      <w:divBdr>
        <w:top w:val="none" w:sz="0" w:space="0" w:color="auto"/>
        <w:left w:val="none" w:sz="0" w:space="0" w:color="auto"/>
        <w:bottom w:val="none" w:sz="0" w:space="0" w:color="auto"/>
        <w:right w:val="none" w:sz="0" w:space="0" w:color="auto"/>
      </w:divBdr>
    </w:div>
    <w:div w:id="480580953">
      <w:marLeft w:val="0"/>
      <w:marRight w:val="0"/>
      <w:marTop w:val="100"/>
      <w:marBottom w:val="100"/>
      <w:divBdr>
        <w:top w:val="none" w:sz="0" w:space="0" w:color="auto"/>
        <w:left w:val="none" w:sz="0" w:space="0" w:color="auto"/>
        <w:bottom w:val="none" w:sz="0" w:space="0" w:color="auto"/>
        <w:right w:val="none" w:sz="0" w:space="0" w:color="auto"/>
      </w:divBdr>
    </w:div>
    <w:div w:id="483089483">
      <w:marLeft w:val="0"/>
      <w:marRight w:val="0"/>
      <w:marTop w:val="40"/>
      <w:marBottom w:val="0"/>
      <w:divBdr>
        <w:top w:val="none" w:sz="0" w:space="0" w:color="auto"/>
        <w:left w:val="none" w:sz="0" w:space="0" w:color="auto"/>
        <w:bottom w:val="none" w:sz="0" w:space="0" w:color="auto"/>
        <w:right w:val="none" w:sz="0" w:space="0" w:color="auto"/>
      </w:divBdr>
    </w:div>
    <w:div w:id="483276538">
      <w:marLeft w:val="0"/>
      <w:marRight w:val="0"/>
      <w:marTop w:val="280"/>
      <w:marBottom w:val="0"/>
      <w:divBdr>
        <w:top w:val="none" w:sz="0" w:space="0" w:color="auto"/>
        <w:left w:val="none" w:sz="0" w:space="0" w:color="auto"/>
        <w:bottom w:val="none" w:sz="0" w:space="0" w:color="auto"/>
        <w:right w:val="none" w:sz="0" w:space="0" w:color="auto"/>
      </w:divBdr>
    </w:div>
    <w:div w:id="483743613">
      <w:marLeft w:val="0"/>
      <w:marRight w:val="0"/>
      <w:marTop w:val="100"/>
      <w:marBottom w:val="0"/>
      <w:divBdr>
        <w:top w:val="none" w:sz="0" w:space="0" w:color="auto"/>
        <w:left w:val="none" w:sz="0" w:space="0" w:color="auto"/>
        <w:bottom w:val="none" w:sz="0" w:space="0" w:color="auto"/>
        <w:right w:val="none" w:sz="0" w:space="0" w:color="auto"/>
      </w:divBdr>
    </w:div>
    <w:div w:id="484511800">
      <w:marLeft w:val="0"/>
      <w:marRight w:val="0"/>
      <w:marTop w:val="0"/>
      <w:marBottom w:val="0"/>
      <w:divBdr>
        <w:top w:val="none" w:sz="0" w:space="0" w:color="auto"/>
        <w:left w:val="none" w:sz="0" w:space="0" w:color="auto"/>
        <w:bottom w:val="none" w:sz="0" w:space="0" w:color="auto"/>
        <w:right w:val="none" w:sz="0" w:space="0" w:color="auto"/>
      </w:divBdr>
      <w:divsChild>
        <w:div w:id="829103775">
          <w:marLeft w:val="0"/>
          <w:marRight w:val="0"/>
          <w:marTop w:val="0"/>
          <w:marBottom w:val="0"/>
          <w:divBdr>
            <w:top w:val="none" w:sz="0" w:space="0" w:color="auto"/>
            <w:left w:val="none" w:sz="0" w:space="0" w:color="auto"/>
            <w:bottom w:val="none" w:sz="0" w:space="0" w:color="auto"/>
            <w:right w:val="none" w:sz="0" w:space="0" w:color="auto"/>
          </w:divBdr>
        </w:div>
        <w:div w:id="1295335479">
          <w:marLeft w:val="0"/>
          <w:marRight w:val="0"/>
          <w:marTop w:val="0"/>
          <w:marBottom w:val="0"/>
          <w:divBdr>
            <w:top w:val="none" w:sz="0" w:space="0" w:color="auto"/>
            <w:left w:val="none" w:sz="0" w:space="0" w:color="auto"/>
            <w:bottom w:val="none" w:sz="0" w:space="0" w:color="auto"/>
            <w:right w:val="none" w:sz="0" w:space="0" w:color="auto"/>
          </w:divBdr>
        </w:div>
      </w:divsChild>
    </w:div>
    <w:div w:id="485130176">
      <w:marLeft w:val="0"/>
      <w:marRight w:val="0"/>
      <w:marTop w:val="100"/>
      <w:marBottom w:val="0"/>
      <w:divBdr>
        <w:top w:val="none" w:sz="0" w:space="0" w:color="auto"/>
        <w:left w:val="none" w:sz="0" w:space="0" w:color="auto"/>
        <w:bottom w:val="none" w:sz="0" w:space="0" w:color="auto"/>
        <w:right w:val="none" w:sz="0" w:space="0" w:color="auto"/>
      </w:divBdr>
    </w:div>
    <w:div w:id="486827026">
      <w:marLeft w:val="0"/>
      <w:marRight w:val="0"/>
      <w:marTop w:val="60"/>
      <w:marBottom w:val="0"/>
      <w:divBdr>
        <w:top w:val="none" w:sz="0" w:space="0" w:color="auto"/>
        <w:left w:val="none" w:sz="0" w:space="0" w:color="auto"/>
        <w:bottom w:val="none" w:sz="0" w:space="0" w:color="auto"/>
        <w:right w:val="none" w:sz="0" w:space="0" w:color="auto"/>
      </w:divBdr>
    </w:div>
    <w:div w:id="487673244">
      <w:marLeft w:val="0"/>
      <w:marRight w:val="0"/>
      <w:marTop w:val="280"/>
      <w:marBottom w:val="0"/>
      <w:divBdr>
        <w:top w:val="none" w:sz="0" w:space="0" w:color="auto"/>
        <w:left w:val="none" w:sz="0" w:space="0" w:color="auto"/>
        <w:bottom w:val="none" w:sz="0" w:space="0" w:color="auto"/>
        <w:right w:val="none" w:sz="0" w:space="0" w:color="auto"/>
      </w:divBdr>
    </w:div>
    <w:div w:id="488981226">
      <w:marLeft w:val="0"/>
      <w:marRight w:val="0"/>
      <w:marTop w:val="280"/>
      <w:marBottom w:val="0"/>
      <w:divBdr>
        <w:top w:val="none" w:sz="0" w:space="0" w:color="auto"/>
        <w:left w:val="none" w:sz="0" w:space="0" w:color="auto"/>
        <w:bottom w:val="none" w:sz="0" w:space="0" w:color="auto"/>
        <w:right w:val="none" w:sz="0" w:space="0" w:color="auto"/>
      </w:divBdr>
    </w:div>
    <w:div w:id="490948317">
      <w:marLeft w:val="0"/>
      <w:marRight w:val="0"/>
      <w:marTop w:val="280"/>
      <w:marBottom w:val="0"/>
      <w:divBdr>
        <w:top w:val="none" w:sz="0" w:space="0" w:color="auto"/>
        <w:left w:val="none" w:sz="0" w:space="0" w:color="auto"/>
        <w:bottom w:val="none" w:sz="0" w:space="0" w:color="auto"/>
        <w:right w:val="none" w:sz="0" w:space="0" w:color="auto"/>
      </w:divBdr>
    </w:div>
    <w:div w:id="492914754">
      <w:marLeft w:val="0"/>
      <w:marRight w:val="0"/>
      <w:marTop w:val="100"/>
      <w:marBottom w:val="0"/>
      <w:divBdr>
        <w:top w:val="none" w:sz="0" w:space="0" w:color="auto"/>
        <w:left w:val="none" w:sz="0" w:space="0" w:color="auto"/>
        <w:bottom w:val="none" w:sz="0" w:space="0" w:color="auto"/>
        <w:right w:val="none" w:sz="0" w:space="0" w:color="auto"/>
      </w:divBdr>
    </w:div>
    <w:div w:id="494027775">
      <w:marLeft w:val="0"/>
      <w:marRight w:val="0"/>
      <w:marTop w:val="100"/>
      <w:marBottom w:val="0"/>
      <w:divBdr>
        <w:top w:val="none" w:sz="0" w:space="0" w:color="auto"/>
        <w:left w:val="none" w:sz="0" w:space="0" w:color="auto"/>
        <w:bottom w:val="none" w:sz="0" w:space="0" w:color="auto"/>
        <w:right w:val="none" w:sz="0" w:space="0" w:color="auto"/>
      </w:divBdr>
    </w:div>
    <w:div w:id="494145322">
      <w:marLeft w:val="0"/>
      <w:marRight w:val="0"/>
      <w:marTop w:val="40"/>
      <w:marBottom w:val="0"/>
      <w:divBdr>
        <w:top w:val="none" w:sz="0" w:space="0" w:color="auto"/>
        <w:left w:val="none" w:sz="0" w:space="0" w:color="auto"/>
        <w:bottom w:val="none" w:sz="0" w:space="0" w:color="auto"/>
        <w:right w:val="none" w:sz="0" w:space="0" w:color="auto"/>
      </w:divBdr>
    </w:div>
    <w:div w:id="494152694">
      <w:marLeft w:val="0"/>
      <w:marRight w:val="0"/>
      <w:marTop w:val="100"/>
      <w:marBottom w:val="0"/>
      <w:divBdr>
        <w:top w:val="none" w:sz="0" w:space="0" w:color="auto"/>
        <w:left w:val="none" w:sz="0" w:space="0" w:color="auto"/>
        <w:bottom w:val="none" w:sz="0" w:space="0" w:color="auto"/>
        <w:right w:val="none" w:sz="0" w:space="0" w:color="auto"/>
      </w:divBdr>
    </w:div>
    <w:div w:id="494300479">
      <w:marLeft w:val="0"/>
      <w:marRight w:val="0"/>
      <w:marTop w:val="100"/>
      <w:marBottom w:val="0"/>
      <w:divBdr>
        <w:top w:val="none" w:sz="0" w:space="0" w:color="auto"/>
        <w:left w:val="none" w:sz="0" w:space="0" w:color="auto"/>
        <w:bottom w:val="none" w:sz="0" w:space="0" w:color="auto"/>
        <w:right w:val="none" w:sz="0" w:space="0" w:color="auto"/>
      </w:divBdr>
    </w:div>
    <w:div w:id="495069403">
      <w:marLeft w:val="0"/>
      <w:marRight w:val="0"/>
      <w:marTop w:val="100"/>
      <w:marBottom w:val="0"/>
      <w:divBdr>
        <w:top w:val="none" w:sz="0" w:space="0" w:color="auto"/>
        <w:left w:val="none" w:sz="0" w:space="0" w:color="auto"/>
        <w:bottom w:val="none" w:sz="0" w:space="0" w:color="auto"/>
        <w:right w:val="none" w:sz="0" w:space="0" w:color="auto"/>
      </w:divBdr>
    </w:div>
    <w:div w:id="495846476">
      <w:marLeft w:val="0"/>
      <w:marRight w:val="0"/>
      <w:marTop w:val="100"/>
      <w:marBottom w:val="0"/>
      <w:divBdr>
        <w:top w:val="none" w:sz="0" w:space="0" w:color="auto"/>
        <w:left w:val="none" w:sz="0" w:space="0" w:color="auto"/>
        <w:bottom w:val="none" w:sz="0" w:space="0" w:color="auto"/>
        <w:right w:val="none" w:sz="0" w:space="0" w:color="auto"/>
      </w:divBdr>
    </w:div>
    <w:div w:id="500048919">
      <w:marLeft w:val="0"/>
      <w:marRight w:val="0"/>
      <w:marTop w:val="280"/>
      <w:marBottom w:val="0"/>
      <w:divBdr>
        <w:top w:val="none" w:sz="0" w:space="0" w:color="auto"/>
        <w:left w:val="none" w:sz="0" w:space="0" w:color="auto"/>
        <w:bottom w:val="none" w:sz="0" w:space="0" w:color="auto"/>
        <w:right w:val="none" w:sz="0" w:space="0" w:color="auto"/>
      </w:divBdr>
    </w:div>
    <w:div w:id="500967170">
      <w:marLeft w:val="0"/>
      <w:marRight w:val="0"/>
      <w:marTop w:val="100"/>
      <w:marBottom w:val="0"/>
      <w:divBdr>
        <w:top w:val="none" w:sz="0" w:space="0" w:color="auto"/>
        <w:left w:val="none" w:sz="0" w:space="0" w:color="auto"/>
        <w:bottom w:val="none" w:sz="0" w:space="0" w:color="auto"/>
        <w:right w:val="none" w:sz="0" w:space="0" w:color="auto"/>
      </w:divBdr>
    </w:div>
    <w:div w:id="500969558">
      <w:marLeft w:val="0"/>
      <w:marRight w:val="0"/>
      <w:marTop w:val="100"/>
      <w:marBottom w:val="120"/>
      <w:divBdr>
        <w:top w:val="none" w:sz="0" w:space="0" w:color="auto"/>
        <w:left w:val="none" w:sz="0" w:space="0" w:color="auto"/>
        <w:bottom w:val="none" w:sz="0" w:space="0" w:color="auto"/>
        <w:right w:val="none" w:sz="0" w:space="0" w:color="auto"/>
      </w:divBdr>
    </w:div>
    <w:div w:id="501051621">
      <w:marLeft w:val="0"/>
      <w:marRight w:val="0"/>
      <w:marTop w:val="180"/>
      <w:marBottom w:val="0"/>
      <w:divBdr>
        <w:top w:val="none" w:sz="0" w:space="0" w:color="auto"/>
        <w:left w:val="none" w:sz="0" w:space="0" w:color="auto"/>
        <w:bottom w:val="none" w:sz="0" w:space="0" w:color="auto"/>
        <w:right w:val="none" w:sz="0" w:space="0" w:color="auto"/>
      </w:divBdr>
    </w:div>
    <w:div w:id="503714980">
      <w:marLeft w:val="0"/>
      <w:marRight w:val="0"/>
      <w:marTop w:val="100"/>
      <w:marBottom w:val="0"/>
      <w:divBdr>
        <w:top w:val="none" w:sz="0" w:space="0" w:color="auto"/>
        <w:left w:val="none" w:sz="0" w:space="0" w:color="auto"/>
        <w:bottom w:val="none" w:sz="0" w:space="0" w:color="auto"/>
        <w:right w:val="none" w:sz="0" w:space="0" w:color="auto"/>
      </w:divBdr>
    </w:div>
    <w:div w:id="507408188">
      <w:marLeft w:val="0"/>
      <w:marRight w:val="0"/>
      <w:marTop w:val="100"/>
      <w:marBottom w:val="0"/>
      <w:divBdr>
        <w:top w:val="none" w:sz="0" w:space="0" w:color="auto"/>
        <w:left w:val="none" w:sz="0" w:space="0" w:color="auto"/>
        <w:bottom w:val="none" w:sz="0" w:space="0" w:color="auto"/>
        <w:right w:val="none" w:sz="0" w:space="0" w:color="auto"/>
      </w:divBdr>
    </w:div>
    <w:div w:id="507791488">
      <w:marLeft w:val="0"/>
      <w:marRight w:val="0"/>
      <w:marTop w:val="100"/>
      <w:marBottom w:val="0"/>
      <w:divBdr>
        <w:top w:val="none" w:sz="0" w:space="0" w:color="auto"/>
        <w:left w:val="none" w:sz="0" w:space="0" w:color="auto"/>
        <w:bottom w:val="none" w:sz="0" w:space="0" w:color="auto"/>
        <w:right w:val="none" w:sz="0" w:space="0" w:color="auto"/>
      </w:divBdr>
    </w:div>
    <w:div w:id="508369781">
      <w:marLeft w:val="0"/>
      <w:marRight w:val="0"/>
      <w:marTop w:val="100"/>
      <w:marBottom w:val="0"/>
      <w:divBdr>
        <w:top w:val="none" w:sz="0" w:space="0" w:color="auto"/>
        <w:left w:val="none" w:sz="0" w:space="0" w:color="auto"/>
        <w:bottom w:val="none" w:sz="0" w:space="0" w:color="auto"/>
        <w:right w:val="none" w:sz="0" w:space="0" w:color="auto"/>
      </w:divBdr>
    </w:div>
    <w:div w:id="510605233">
      <w:marLeft w:val="0"/>
      <w:marRight w:val="0"/>
      <w:marTop w:val="280"/>
      <w:marBottom w:val="0"/>
      <w:divBdr>
        <w:top w:val="none" w:sz="0" w:space="0" w:color="auto"/>
        <w:left w:val="none" w:sz="0" w:space="0" w:color="auto"/>
        <w:bottom w:val="none" w:sz="0" w:space="0" w:color="auto"/>
        <w:right w:val="none" w:sz="0" w:space="0" w:color="auto"/>
      </w:divBdr>
    </w:div>
    <w:div w:id="513885907">
      <w:marLeft w:val="0"/>
      <w:marRight w:val="0"/>
      <w:marTop w:val="0"/>
      <w:marBottom w:val="0"/>
      <w:divBdr>
        <w:top w:val="none" w:sz="0" w:space="0" w:color="auto"/>
        <w:left w:val="none" w:sz="0" w:space="0" w:color="auto"/>
        <w:bottom w:val="none" w:sz="0" w:space="0" w:color="auto"/>
        <w:right w:val="none" w:sz="0" w:space="0" w:color="auto"/>
      </w:divBdr>
      <w:divsChild>
        <w:div w:id="596795753">
          <w:marLeft w:val="0"/>
          <w:marRight w:val="0"/>
          <w:marTop w:val="0"/>
          <w:marBottom w:val="0"/>
          <w:divBdr>
            <w:top w:val="none" w:sz="0" w:space="0" w:color="auto"/>
            <w:left w:val="none" w:sz="0" w:space="0" w:color="auto"/>
            <w:bottom w:val="none" w:sz="0" w:space="0" w:color="auto"/>
            <w:right w:val="none" w:sz="0" w:space="0" w:color="auto"/>
          </w:divBdr>
        </w:div>
        <w:div w:id="298390013">
          <w:marLeft w:val="0"/>
          <w:marRight w:val="0"/>
          <w:marTop w:val="0"/>
          <w:marBottom w:val="0"/>
          <w:divBdr>
            <w:top w:val="none" w:sz="0" w:space="0" w:color="auto"/>
            <w:left w:val="none" w:sz="0" w:space="0" w:color="auto"/>
            <w:bottom w:val="none" w:sz="0" w:space="0" w:color="auto"/>
            <w:right w:val="none" w:sz="0" w:space="0" w:color="auto"/>
          </w:divBdr>
        </w:div>
      </w:divsChild>
    </w:div>
    <w:div w:id="514806541">
      <w:marLeft w:val="0"/>
      <w:marRight w:val="0"/>
      <w:marTop w:val="0"/>
      <w:marBottom w:val="0"/>
      <w:divBdr>
        <w:top w:val="none" w:sz="0" w:space="0" w:color="auto"/>
        <w:left w:val="none" w:sz="0" w:space="0" w:color="auto"/>
        <w:bottom w:val="none" w:sz="0" w:space="0" w:color="auto"/>
        <w:right w:val="none" w:sz="0" w:space="0" w:color="auto"/>
      </w:divBdr>
      <w:divsChild>
        <w:div w:id="585768172">
          <w:marLeft w:val="0"/>
          <w:marRight w:val="0"/>
          <w:marTop w:val="0"/>
          <w:marBottom w:val="0"/>
          <w:divBdr>
            <w:top w:val="none" w:sz="0" w:space="0" w:color="auto"/>
            <w:left w:val="none" w:sz="0" w:space="0" w:color="auto"/>
            <w:bottom w:val="none" w:sz="0" w:space="0" w:color="auto"/>
            <w:right w:val="none" w:sz="0" w:space="0" w:color="auto"/>
          </w:divBdr>
        </w:div>
      </w:divsChild>
    </w:div>
    <w:div w:id="516772444">
      <w:marLeft w:val="0"/>
      <w:marRight w:val="0"/>
      <w:marTop w:val="0"/>
      <w:marBottom w:val="0"/>
      <w:divBdr>
        <w:top w:val="none" w:sz="0" w:space="0" w:color="auto"/>
        <w:left w:val="none" w:sz="0" w:space="0" w:color="auto"/>
        <w:bottom w:val="none" w:sz="0" w:space="0" w:color="auto"/>
        <w:right w:val="none" w:sz="0" w:space="0" w:color="auto"/>
      </w:divBdr>
    </w:div>
    <w:div w:id="527262010">
      <w:marLeft w:val="0"/>
      <w:marRight w:val="0"/>
      <w:marTop w:val="100"/>
      <w:marBottom w:val="0"/>
      <w:divBdr>
        <w:top w:val="none" w:sz="0" w:space="0" w:color="auto"/>
        <w:left w:val="none" w:sz="0" w:space="0" w:color="auto"/>
        <w:bottom w:val="none" w:sz="0" w:space="0" w:color="auto"/>
        <w:right w:val="none" w:sz="0" w:space="0" w:color="auto"/>
      </w:divBdr>
    </w:div>
    <w:div w:id="527917728">
      <w:marLeft w:val="0"/>
      <w:marRight w:val="0"/>
      <w:marTop w:val="100"/>
      <w:marBottom w:val="0"/>
      <w:divBdr>
        <w:top w:val="none" w:sz="0" w:space="0" w:color="auto"/>
        <w:left w:val="none" w:sz="0" w:space="0" w:color="auto"/>
        <w:bottom w:val="none" w:sz="0" w:space="0" w:color="auto"/>
        <w:right w:val="none" w:sz="0" w:space="0" w:color="auto"/>
      </w:divBdr>
    </w:div>
    <w:div w:id="529342854">
      <w:marLeft w:val="0"/>
      <w:marRight w:val="0"/>
      <w:marTop w:val="0"/>
      <w:marBottom w:val="0"/>
      <w:divBdr>
        <w:top w:val="none" w:sz="0" w:space="0" w:color="auto"/>
        <w:left w:val="none" w:sz="0" w:space="0" w:color="auto"/>
        <w:bottom w:val="none" w:sz="0" w:space="0" w:color="auto"/>
        <w:right w:val="none" w:sz="0" w:space="0" w:color="auto"/>
      </w:divBdr>
      <w:divsChild>
        <w:div w:id="656420912">
          <w:marLeft w:val="0"/>
          <w:marRight w:val="0"/>
          <w:marTop w:val="0"/>
          <w:marBottom w:val="0"/>
          <w:divBdr>
            <w:top w:val="none" w:sz="0" w:space="0" w:color="auto"/>
            <w:left w:val="none" w:sz="0" w:space="0" w:color="auto"/>
            <w:bottom w:val="none" w:sz="0" w:space="0" w:color="auto"/>
            <w:right w:val="none" w:sz="0" w:space="0" w:color="auto"/>
          </w:divBdr>
        </w:div>
        <w:div w:id="984894116">
          <w:marLeft w:val="0"/>
          <w:marRight w:val="0"/>
          <w:marTop w:val="0"/>
          <w:marBottom w:val="0"/>
          <w:divBdr>
            <w:top w:val="none" w:sz="0" w:space="0" w:color="auto"/>
            <w:left w:val="none" w:sz="0" w:space="0" w:color="auto"/>
            <w:bottom w:val="none" w:sz="0" w:space="0" w:color="auto"/>
            <w:right w:val="none" w:sz="0" w:space="0" w:color="auto"/>
          </w:divBdr>
        </w:div>
      </w:divsChild>
    </w:div>
    <w:div w:id="529879905">
      <w:marLeft w:val="0"/>
      <w:marRight w:val="0"/>
      <w:marTop w:val="100"/>
      <w:marBottom w:val="0"/>
      <w:divBdr>
        <w:top w:val="none" w:sz="0" w:space="0" w:color="auto"/>
        <w:left w:val="none" w:sz="0" w:space="0" w:color="auto"/>
        <w:bottom w:val="none" w:sz="0" w:space="0" w:color="auto"/>
        <w:right w:val="none" w:sz="0" w:space="0" w:color="auto"/>
      </w:divBdr>
    </w:div>
    <w:div w:id="529994233">
      <w:marLeft w:val="0"/>
      <w:marRight w:val="0"/>
      <w:marTop w:val="280"/>
      <w:marBottom w:val="0"/>
      <w:divBdr>
        <w:top w:val="none" w:sz="0" w:space="0" w:color="auto"/>
        <w:left w:val="none" w:sz="0" w:space="0" w:color="auto"/>
        <w:bottom w:val="none" w:sz="0" w:space="0" w:color="auto"/>
        <w:right w:val="none" w:sz="0" w:space="0" w:color="auto"/>
      </w:divBdr>
    </w:div>
    <w:div w:id="530262908">
      <w:marLeft w:val="0"/>
      <w:marRight w:val="0"/>
      <w:marTop w:val="240"/>
      <w:marBottom w:val="0"/>
      <w:divBdr>
        <w:top w:val="none" w:sz="0" w:space="0" w:color="auto"/>
        <w:left w:val="none" w:sz="0" w:space="0" w:color="auto"/>
        <w:bottom w:val="none" w:sz="0" w:space="0" w:color="auto"/>
        <w:right w:val="none" w:sz="0" w:space="0" w:color="auto"/>
      </w:divBdr>
    </w:div>
    <w:div w:id="530655959">
      <w:marLeft w:val="0"/>
      <w:marRight w:val="0"/>
      <w:marTop w:val="280"/>
      <w:marBottom w:val="0"/>
      <w:divBdr>
        <w:top w:val="none" w:sz="0" w:space="0" w:color="auto"/>
        <w:left w:val="none" w:sz="0" w:space="0" w:color="auto"/>
        <w:bottom w:val="none" w:sz="0" w:space="0" w:color="auto"/>
        <w:right w:val="none" w:sz="0" w:space="0" w:color="auto"/>
      </w:divBdr>
    </w:div>
    <w:div w:id="530994926">
      <w:marLeft w:val="0"/>
      <w:marRight w:val="0"/>
      <w:marTop w:val="60"/>
      <w:marBottom w:val="0"/>
      <w:divBdr>
        <w:top w:val="none" w:sz="0" w:space="0" w:color="auto"/>
        <w:left w:val="none" w:sz="0" w:space="0" w:color="auto"/>
        <w:bottom w:val="none" w:sz="0" w:space="0" w:color="auto"/>
        <w:right w:val="none" w:sz="0" w:space="0" w:color="auto"/>
      </w:divBdr>
    </w:div>
    <w:div w:id="531039071">
      <w:marLeft w:val="0"/>
      <w:marRight w:val="0"/>
      <w:marTop w:val="100"/>
      <w:marBottom w:val="0"/>
      <w:divBdr>
        <w:top w:val="none" w:sz="0" w:space="0" w:color="auto"/>
        <w:left w:val="none" w:sz="0" w:space="0" w:color="auto"/>
        <w:bottom w:val="none" w:sz="0" w:space="0" w:color="auto"/>
        <w:right w:val="none" w:sz="0" w:space="0" w:color="auto"/>
      </w:divBdr>
    </w:div>
    <w:div w:id="531382731">
      <w:marLeft w:val="0"/>
      <w:marRight w:val="0"/>
      <w:marTop w:val="100"/>
      <w:marBottom w:val="0"/>
      <w:divBdr>
        <w:top w:val="none" w:sz="0" w:space="0" w:color="auto"/>
        <w:left w:val="none" w:sz="0" w:space="0" w:color="auto"/>
        <w:bottom w:val="none" w:sz="0" w:space="0" w:color="auto"/>
        <w:right w:val="none" w:sz="0" w:space="0" w:color="auto"/>
      </w:divBdr>
    </w:div>
    <w:div w:id="532183849">
      <w:marLeft w:val="0"/>
      <w:marRight w:val="0"/>
      <w:marTop w:val="60"/>
      <w:marBottom w:val="0"/>
      <w:divBdr>
        <w:top w:val="none" w:sz="0" w:space="0" w:color="auto"/>
        <w:left w:val="none" w:sz="0" w:space="0" w:color="auto"/>
        <w:bottom w:val="none" w:sz="0" w:space="0" w:color="auto"/>
        <w:right w:val="none" w:sz="0" w:space="0" w:color="auto"/>
      </w:divBdr>
    </w:div>
    <w:div w:id="534732722">
      <w:marLeft w:val="0"/>
      <w:marRight w:val="0"/>
      <w:marTop w:val="100"/>
      <w:marBottom w:val="0"/>
      <w:divBdr>
        <w:top w:val="none" w:sz="0" w:space="0" w:color="auto"/>
        <w:left w:val="none" w:sz="0" w:space="0" w:color="auto"/>
        <w:bottom w:val="none" w:sz="0" w:space="0" w:color="auto"/>
        <w:right w:val="none" w:sz="0" w:space="0" w:color="auto"/>
      </w:divBdr>
    </w:div>
    <w:div w:id="535507510">
      <w:marLeft w:val="0"/>
      <w:marRight w:val="0"/>
      <w:marTop w:val="280"/>
      <w:marBottom w:val="0"/>
      <w:divBdr>
        <w:top w:val="none" w:sz="0" w:space="0" w:color="auto"/>
        <w:left w:val="none" w:sz="0" w:space="0" w:color="auto"/>
        <w:bottom w:val="none" w:sz="0" w:space="0" w:color="auto"/>
        <w:right w:val="none" w:sz="0" w:space="0" w:color="auto"/>
      </w:divBdr>
    </w:div>
    <w:div w:id="537623729">
      <w:marLeft w:val="0"/>
      <w:marRight w:val="0"/>
      <w:marTop w:val="280"/>
      <w:marBottom w:val="0"/>
      <w:divBdr>
        <w:top w:val="none" w:sz="0" w:space="0" w:color="auto"/>
        <w:left w:val="none" w:sz="0" w:space="0" w:color="auto"/>
        <w:bottom w:val="none" w:sz="0" w:space="0" w:color="auto"/>
        <w:right w:val="none" w:sz="0" w:space="0" w:color="auto"/>
      </w:divBdr>
    </w:div>
    <w:div w:id="539979935">
      <w:marLeft w:val="0"/>
      <w:marRight w:val="0"/>
      <w:marTop w:val="280"/>
      <w:marBottom w:val="0"/>
      <w:divBdr>
        <w:top w:val="none" w:sz="0" w:space="0" w:color="auto"/>
        <w:left w:val="none" w:sz="0" w:space="0" w:color="auto"/>
        <w:bottom w:val="none" w:sz="0" w:space="0" w:color="auto"/>
        <w:right w:val="none" w:sz="0" w:space="0" w:color="auto"/>
      </w:divBdr>
    </w:div>
    <w:div w:id="540166634">
      <w:marLeft w:val="0"/>
      <w:marRight w:val="0"/>
      <w:marTop w:val="100"/>
      <w:marBottom w:val="0"/>
      <w:divBdr>
        <w:top w:val="none" w:sz="0" w:space="0" w:color="auto"/>
        <w:left w:val="none" w:sz="0" w:space="0" w:color="auto"/>
        <w:bottom w:val="none" w:sz="0" w:space="0" w:color="auto"/>
        <w:right w:val="none" w:sz="0" w:space="0" w:color="auto"/>
      </w:divBdr>
    </w:div>
    <w:div w:id="541526474">
      <w:marLeft w:val="0"/>
      <w:marRight w:val="0"/>
      <w:marTop w:val="280"/>
      <w:marBottom w:val="0"/>
      <w:divBdr>
        <w:top w:val="none" w:sz="0" w:space="0" w:color="auto"/>
        <w:left w:val="none" w:sz="0" w:space="0" w:color="auto"/>
        <w:bottom w:val="none" w:sz="0" w:space="0" w:color="auto"/>
        <w:right w:val="none" w:sz="0" w:space="0" w:color="auto"/>
      </w:divBdr>
    </w:div>
    <w:div w:id="542716828">
      <w:marLeft w:val="0"/>
      <w:marRight w:val="0"/>
      <w:marTop w:val="100"/>
      <w:marBottom w:val="0"/>
      <w:divBdr>
        <w:top w:val="none" w:sz="0" w:space="0" w:color="auto"/>
        <w:left w:val="none" w:sz="0" w:space="0" w:color="auto"/>
        <w:bottom w:val="none" w:sz="0" w:space="0" w:color="auto"/>
        <w:right w:val="none" w:sz="0" w:space="0" w:color="auto"/>
      </w:divBdr>
    </w:div>
    <w:div w:id="543172568">
      <w:marLeft w:val="0"/>
      <w:marRight w:val="0"/>
      <w:marTop w:val="0"/>
      <w:marBottom w:val="0"/>
      <w:divBdr>
        <w:top w:val="none" w:sz="0" w:space="0" w:color="auto"/>
        <w:left w:val="none" w:sz="0" w:space="0" w:color="auto"/>
        <w:bottom w:val="none" w:sz="0" w:space="0" w:color="auto"/>
        <w:right w:val="none" w:sz="0" w:space="0" w:color="auto"/>
      </w:divBdr>
      <w:divsChild>
        <w:div w:id="1613130694">
          <w:marLeft w:val="0"/>
          <w:marRight w:val="0"/>
          <w:marTop w:val="0"/>
          <w:marBottom w:val="0"/>
          <w:divBdr>
            <w:top w:val="none" w:sz="0" w:space="0" w:color="auto"/>
            <w:left w:val="none" w:sz="0" w:space="0" w:color="auto"/>
            <w:bottom w:val="none" w:sz="0" w:space="0" w:color="auto"/>
            <w:right w:val="none" w:sz="0" w:space="0" w:color="auto"/>
          </w:divBdr>
        </w:div>
      </w:divsChild>
    </w:div>
    <w:div w:id="544028170">
      <w:marLeft w:val="0"/>
      <w:marRight w:val="0"/>
      <w:marTop w:val="280"/>
      <w:marBottom w:val="0"/>
      <w:divBdr>
        <w:top w:val="none" w:sz="0" w:space="0" w:color="auto"/>
        <w:left w:val="none" w:sz="0" w:space="0" w:color="auto"/>
        <w:bottom w:val="none" w:sz="0" w:space="0" w:color="auto"/>
        <w:right w:val="none" w:sz="0" w:space="0" w:color="auto"/>
      </w:divBdr>
    </w:div>
    <w:div w:id="545676443">
      <w:marLeft w:val="0"/>
      <w:marRight w:val="0"/>
      <w:marTop w:val="100"/>
      <w:marBottom w:val="0"/>
      <w:divBdr>
        <w:top w:val="none" w:sz="0" w:space="0" w:color="auto"/>
        <w:left w:val="none" w:sz="0" w:space="0" w:color="auto"/>
        <w:bottom w:val="none" w:sz="0" w:space="0" w:color="auto"/>
        <w:right w:val="none" w:sz="0" w:space="0" w:color="auto"/>
      </w:divBdr>
    </w:div>
    <w:div w:id="546142126">
      <w:marLeft w:val="0"/>
      <w:marRight w:val="0"/>
      <w:marTop w:val="0"/>
      <w:marBottom w:val="0"/>
      <w:divBdr>
        <w:top w:val="none" w:sz="0" w:space="0" w:color="auto"/>
        <w:left w:val="none" w:sz="0" w:space="0" w:color="auto"/>
        <w:bottom w:val="none" w:sz="0" w:space="0" w:color="auto"/>
        <w:right w:val="none" w:sz="0" w:space="0" w:color="auto"/>
      </w:divBdr>
      <w:divsChild>
        <w:div w:id="937062221">
          <w:marLeft w:val="0"/>
          <w:marRight w:val="0"/>
          <w:marTop w:val="0"/>
          <w:marBottom w:val="0"/>
          <w:divBdr>
            <w:top w:val="none" w:sz="0" w:space="0" w:color="auto"/>
            <w:left w:val="none" w:sz="0" w:space="0" w:color="auto"/>
            <w:bottom w:val="none" w:sz="0" w:space="0" w:color="auto"/>
            <w:right w:val="none" w:sz="0" w:space="0" w:color="auto"/>
          </w:divBdr>
        </w:div>
        <w:div w:id="229656642">
          <w:marLeft w:val="0"/>
          <w:marRight w:val="0"/>
          <w:marTop w:val="0"/>
          <w:marBottom w:val="0"/>
          <w:divBdr>
            <w:top w:val="none" w:sz="0" w:space="0" w:color="auto"/>
            <w:left w:val="none" w:sz="0" w:space="0" w:color="auto"/>
            <w:bottom w:val="none" w:sz="0" w:space="0" w:color="auto"/>
            <w:right w:val="none" w:sz="0" w:space="0" w:color="auto"/>
          </w:divBdr>
        </w:div>
      </w:divsChild>
    </w:div>
    <w:div w:id="546796589">
      <w:marLeft w:val="0"/>
      <w:marRight w:val="0"/>
      <w:marTop w:val="100"/>
      <w:marBottom w:val="0"/>
      <w:divBdr>
        <w:top w:val="none" w:sz="0" w:space="0" w:color="auto"/>
        <w:left w:val="none" w:sz="0" w:space="0" w:color="auto"/>
        <w:bottom w:val="none" w:sz="0" w:space="0" w:color="auto"/>
        <w:right w:val="none" w:sz="0" w:space="0" w:color="auto"/>
      </w:divBdr>
      <w:divsChild>
        <w:div w:id="1624265982">
          <w:marLeft w:val="0"/>
          <w:marRight w:val="0"/>
          <w:marTop w:val="0"/>
          <w:marBottom w:val="0"/>
          <w:divBdr>
            <w:top w:val="none" w:sz="0" w:space="0" w:color="auto"/>
            <w:left w:val="none" w:sz="0" w:space="0" w:color="auto"/>
            <w:bottom w:val="none" w:sz="0" w:space="0" w:color="auto"/>
            <w:right w:val="none" w:sz="0" w:space="0" w:color="auto"/>
          </w:divBdr>
        </w:div>
        <w:div w:id="1026714938">
          <w:marLeft w:val="0"/>
          <w:marRight w:val="0"/>
          <w:marTop w:val="0"/>
          <w:marBottom w:val="0"/>
          <w:divBdr>
            <w:top w:val="none" w:sz="0" w:space="0" w:color="auto"/>
            <w:left w:val="none" w:sz="0" w:space="0" w:color="auto"/>
            <w:bottom w:val="none" w:sz="0" w:space="0" w:color="auto"/>
            <w:right w:val="none" w:sz="0" w:space="0" w:color="auto"/>
          </w:divBdr>
        </w:div>
        <w:div w:id="2126608712">
          <w:marLeft w:val="0"/>
          <w:marRight w:val="0"/>
          <w:marTop w:val="0"/>
          <w:marBottom w:val="0"/>
          <w:divBdr>
            <w:top w:val="none" w:sz="0" w:space="0" w:color="auto"/>
            <w:left w:val="none" w:sz="0" w:space="0" w:color="auto"/>
            <w:bottom w:val="none" w:sz="0" w:space="0" w:color="auto"/>
            <w:right w:val="none" w:sz="0" w:space="0" w:color="auto"/>
          </w:divBdr>
        </w:div>
        <w:div w:id="1768816785">
          <w:marLeft w:val="0"/>
          <w:marRight w:val="0"/>
          <w:marTop w:val="0"/>
          <w:marBottom w:val="0"/>
          <w:divBdr>
            <w:top w:val="none" w:sz="0" w:space="0" w:color="auto"/>
            <w:left w:val="none" w:sz="0" w:space="0" w:color="auto"/>
            <w:bottom w:val="none" w:sz="0" w:space="0" w:color="auto"/>
            <w:right w:val="none" w:sz="0" w:space="0" w:color="auto"/>
          </w:divBdr>
        </w:div>
        <w:div w:id="843015565">
          <w:marLeft w:val="0"/>
          <w:marRight w:val="0"/>
          <w:marTop w:val="0"/>
          <w:marBottom w:val="0"/>
          <w:divBdr>
            <w:top w:val="none" w:sz="0" w:space="0" w:color="auto"/>
            <w:left w:val="none" w:sz="0" w:space="0" w:color="auto"/>
            <w:bottom w:val="none" w:sz="0" w:space="0" w:color="auto"/>
            <w:right w:val="none" w:sz="0" w:space="0" w:color="auto"/>
          </w:divBdr>
        </w:div>
        <w:div w:id="46955414">
          <w:marLeft w:val="0"/>
          <w:marRight w:val="0"/>
          <w:marTop w:val="0"/>
          <w:marBottom w:val="0"/>
          <w:divBdr>
            <w:top w:val="none" w:sz="0" w:space="0" w:color="auto"/>
            <w:left w:val="none" w:sz="0" w:space="0" w:color="auto"/>
            <w:bottom w:val="none" w:sz="0" w:space="0" w:color="auto"/>
            <w:right w:val="none" w:sz="0" w:space="0" w:color="auto"/>
          </w:divBdr>
        </w:div>
      </w:divsChild>
    </w:div>
    <w:div w:id="547375988">
      <w:marLeft w:val="0"/>
      <w:marRight w:val="0"/>
      <w:marTop w:val="280"/>
      <w:marBottom w:val="0"/>
      <w:divBdr>
        <w:top w:val="none" w:sz="0" w:space="0" w:color="auto"/>
        <w:left w:val="none" w:sz="0" w:space="0" w:color="auto"/>
        <w:bottom w:val="none" w:sz="0" w:space="0" w:color="auto"/>
        <w:right w:val="none" w:sz="0" w:space="0" w:color="auto"/>
      </w:divBdr>
    </w:div>
    <w:div w:id="547492906">
      <w:marLeft w:val="0"/>
      <w:marRight w:val="0"/>
      <w:marTop w:val="0"/>
      <w:marBottom w:val="0"/>
      <w:divBdr>
        <w:top w:val="none" w:sz="0" w:space="0" w:color="auto"/>
        <w:left w:val="none" w:sz="0" w:space="0" w:color="auto"/>
        <w:bottom w:val="none" w:sz="0" w:space="0" w:color="auto"/>
        <w:right w:val="none" w:sz="0" w:space="0" w:color="auto"/>
      </w:divBdr>
      <w:divsChild>
        <w:div w:id="1410689505">
          <w:marLeft w:val="0"/>
          <w:marRight w:val="0"/>
          <w:marTop w:val="0"/>
          <w:marBottom w:val="0"/>
          <w:divBdr>
            <w:top w:val="none" w:sz="0" w:space="0" w:color="auto"/>
            <w:left w:val="none" w:sz="0" w:space="0" w:color="auto"/>
            <w:bottom w:val="none" w:sz="0" w:space="0" w:color="auto"/>
            <w:right w:val="none" w:sz="0" w:space="0" w:color="auto"/>
          </w:divBdr>
        </w:div>
        <w:div w:id="308706090">
          <w:marLeft w:val="0"/>
          <w:marRight w:val="0"/>
          <w:marTop w:val="0"/>
          <w:marBottom w:val="0"/>
          <w:divBdr>
            <w:top w:val="none" w:sz="0" w:space="0" w:color="auto"/>
            <w:left w:val="none" w:sz="0" w:space="0" w:color="auto"/>
            <w:bottom w:val="none" w:sz="0" w:space="0" w:color="auto"/>
            <w:right w:val="none" w:sz="0" w:space="0" w:color="auto"/>
          </w:divBdr>
        </w:div>
      </w:divsChild>
    </w:div>
    <w:div w:id="548810104">
      <w:marLeft w:val="0"/>
      <w:marRight w:val="0"/>
      <w:marTop w:val="280"/>
      <w:marBottom w:val="0"/>
      <w:divBdr>
        <w:top w:val="none" w:sz="0" w:space="0" w:color="auto"/>
        <w:left w:val="none" w:sz="0" w:space="0" w:color="auto"/>
        <w:bottom w:val="none" w:sz="0" w:space="0" w:color="auto"/>
        <w:right w:val="none" w:sz="0" w:space="0" w:color="auto"/>
      </w:divBdr>
    </w:div>
    <w:div w:id="550264187">
      <w:marLeft w:val="0"/>
      <w:marRight w:val="0"/>
      <w:marTop w:val="100"/>
      <w:marBottom w:val="0"/>
      <w:divBdr>
        <w:top w:val="none" w:sz="0" w:space="0" w:color="auto"/>
        <w:left w:val="none" w:sz="0" w:space="0" w:color="auto"/>
        <w:bottom w:val="none" w:sz="0" w:space="0" w:color="auto"/>
        <w:right w:val="none" w:sz="0" w:space="0" w:color="auto"/>
      </w:divBdr>
    </w:div>
    <w:div w:id="552235930">
      <w:marLeft w:val="0"/>
      <w:marRight w:val="0"/>
      <w:marTop w:val="100"/>
      <w:marBottom w:val="0"/>
      <w:divBdr>
        <w:top w:val="none" w:sz="0" w:space="0" w:color="auto"/>
        <w:left w:val="none" w:sz="0" w:space="0" w:color="auto"/>
        <w:bottom w:val="none" w:sz="0" w:space="0" w:color="auto"/>
        <w:right w:val="none" w:sz="0" w:space="0" w:color="auto"/>
      </w:divBdr>
    </w:div>
    <w:div w:id="555239639">
      <w:marLeft w:val="0"/>
      <w:marRight w:val="0"/>
      <w:marTop w:val="0"/>
      <w:marBottom w:val="0"/>
      <w:divBdr>
        <w:top w:val="none" w:sz="0" w:space="0" w:color="auto"/>
        <w:left w:val="none" w:sz="0" w:space="0" w:color="auto"/>
        <w:bottom w:val="none" w:sz="0" w:space="0" w:color="auto"/>
        <w:right w:val="none" w:sz="0" w:space="0" w:color="auto"/>
      </w:divBdr>
      <w:divsChild>
        <w:div w:id="1787768262">
          <w:marLeft w:val="0"/>
          <w:marRight w:val="0"/>
          <w:marTop w:val="0"/>
          <w:marBottom w:val="0"/>
          <w:divBdr>
            <w:top w:val="none" w:sz="0" w:space="0" w:color="auto"/>
            <w:left w:val="none" w:sz="0" w:space="0" w:color="auto"/>
            <w:bottom w:val="none" w:sz="0" w:space="0" w:color="auto"/>
            <w:right w:val="none" w:sz="0" w:space="0" w:color="auto"/>
          </w:divBdr>
        </w:div>
      </w:divsChild>
    </w:div>
    <w:div w:id="557866823">
      <w:marLeft w:val="0"/>
      <w:marRight w:val="0"/>
      <w:marTop w:val="40"/>
      <w:marBottom w:val="0"/>
      <w:divBdr>
        <w:top w:val="none" w:sz="0" w:space="0" w:color="auto"/>
        <w:left w:val="none" w:sz="0" w:space="0" w:color="auto"/>
        <w:bottom w:val="none" w:sz="0" w:space="0" w:color="auto"/>
        <w:right w:val="none" w:sz="0" w:space="0" w:color="auto"/>
      </w:divBdr>
    </w:div>
    <w:div w:id="562060255">
      <w:marLeft w:val="0"/>
      <w:marRight w:val="0"/>
      <w:marTop w:val="100"/>
      <w:marBottom w:val="0"/>
      <w:divBdr>
        <w:top w:val="none" w:sz="0" w:space="0" w:color="auto"/>
        <w:left w:val="none" w:sz="0" w:space="0" w:color="auto"/>
        <w:bottom w:val="none" w:sz="0" w:space="0" w:color="auto"/>
        <w:right w:val="none" w:sz="0" w:space="0" w:color="auto"/>
      </w:divBdr>
    </w:div>
    <w:div w:id="563371831">
      <w:marLeft w:val="0"/>
      <w:marRight w:val="0"/>
      <w:marTop w:val="40"/>
      <w:marBottom w:val="0"/>
      <w:divBdr>
        <w:top w:val="none" w:sz="0" w:space="0" w:color="auto"/>
        <w:left w:val="none" w:sz="0" w:space="0" w:color="auto"/>
        <w:bottom w:val="none" w:sz="0" w:space="0" w:color="auto"/>
        <w:right w:val="none" w:sz="0" w:space="0" w:color="auto"/>
      </w:divBdr>
    </w:div>
    <w:div w:id="563686803">
      <w:marLeft w:val="0"/>
      <w:marRight w:val="0"/>
      <w:marTop w:val="280"/>
      <w:marBottom w:val="0"/>
      <w:divBdr>
        <w:top w:val="none" w:sz="0" w:space="0" w:color="auto"/>
        <w:left w:val="none" w:sz="0" w:space="0" w:color="auto"/>
        <w:bottom w:val="none" w:sz="0" w:space="0" w:color="auto"/>
        <w:right w:val="none" w:sz="0" w:space="0" w:color="auto"/>
      </w:divBdr>
    </w:div>
    <w:div w:id="564338352">
      <w:marLeft w:val="0"/>
      <w:marRight w:val="0"/>
      <w:marTop w:val="280"/>
      <w:marBottom w:val="0"/>
      <w:divBdr>
        <w:top w:val="none" w:sz="0" w:space="0" w:color="auto"/>
        <w:left w:val="none" w:sz="0" w:space="0" w:color="auto"/>
        <w:bottom w:val="none" w:sz="0" w:space="0" w:color="auto"/>
        <w:right w:val="none" w:sz="0" w:space="0" w:color="auto"/>
      </w:divBdr>
    </w:div>
    <w:div w:id="564920670">
      <w:marLeft w:val="0"/>
      <w:marRight w:val="0"/>
      <w:marTop w:val="100"/>
      <w:marBottom w:val="0"/>
      <w:divBdr>
        <w:top w:val="none" w:sz="0" w:space="0" w:color="auto"/>
        <w:left w:val="none" w:sz="0" w:space="0" w:color="auto"/>
        <w:bottom w:val="none" w:sz="0" w:space="0" w:color="auto"/>
        <w:right w:val="none" w:sz="0" w:space="0" w:color="auto"/>
      </w:divBdr>
    </w:div>
    <w:div w:id="566108942">
      <w:marLeft w:val="0"/>
      <w:marRight w:val="0"/>
      <w:marTop w:val="100"/>
      <w:marBottom w:val="0"/>
      <w:divBdr>
        <w:top w:val="none" w:sz="0" w:space="0" w:color="auto"/>
        <w:left w:val="none" w:sz="0" w:space="0" w:color="auto"/>
        <w:bottom w:val="none" w:sz="0" w:space="0" w:color="auto"/>
        <w:right w:val="none" w:sz="0" w:space="0" w:color="auto"/>
      </w:divBdr>
    </w:div>
    <w:div w:id="566259327">
      <w:marLeft w:val="0"/>
      <w:marRight w:val="0"/>
      <w:marTop w:val="60"/>
      <w:marBottom w:val="0"/>
      <w:divBdr>
        <w:top w:val="none" w:sz="0" w:space="0" w:color="auto"/>
        <w:left w:val="none" w:sz="0" w:space="0" w:color="auto"/>
        <w:bottom w:val="none" w:sz="0" w:space="0" w:color="auto"/>
        <w:right w:val="none" w:sz="0" w:space="0" w:color="auto"/>
      </w:divBdr>
    </w:div>
    <w:div w:id="566502557">
      <w:marLeft w:val="0"/>
      <w:marRight w:val="0"/>
      <w:marTop w:val="280"/>
      <w:marBottom w:val="0"/>
      <w:divBdr>
        <w:top w:val="none" w:sz="0" w:space="0" w:color="auto"/>
        <w:left w:val="none" w:sz="0" w:space="0" w:color="auto"/>
        <w:bottom w:val="none" w:sz="0" w:space="0" w:color="auto"/>
        <w:right w:val="none" w:sz="0" w:space="0" w:color="auto"/>
      </w:divBdr>
    </w:div>
    <w:div w:id="566887283">
      <w:marLeft w:val="0"/>
      <w:marRight w:val="0"/>
      <w:marTop w:val="60"/>
      <w:marBottom w:val="0"/>
      <w:divBdr>
        <w:top w:val="none" w:sz="0" w:space="0" w:color="auto"/>
        <w:left w:val="none" w:sz="0" w:space="0" w:color="auto"/>
        <w:bottom w:val="none" w:sz="0" w:space="0" w:color="auto"/>
        <w:right w:val="none" w:sz="0" w:space="0" w:color="auto"/>
      </w:divBdr>
    </w:div>
    <w:div w:id="568198637">
      <w:marLeft w:val="0"/>
      <w:marRight w:val="0"/>
      <w:marTop w:val="100"/>
      <w:marBottom w:val="0"/>
      <w:divBdr>
        <w:top w:val="none" w:sz="0" w:space="0" w:color="auto"/>
        <w:left w:val="none" w:sz="0" w:space="0" w:color="auto"/>
        <w:bottom w:val="none" w:sz="0" w:space="0" w:color="auto"/>
        <w:right w:val="none" w:sz="0" w:space="0" w:color="auto"/>
      </w:divBdr>
    </w:div>
    <w:div w:id="568803711">
      <w:marLeft w:val="0"/>
      <w:marRight w:val="0"/>
      <w:marTop w:val="0"/>
      <w:marBottom w:val="0"/>
      <w:divBdr>
        <w:top w:val="none" w:sz="0" w:space="0" w:color="auto"/>
        <w:left w:val="none" w:sz="0" w:space="0" w:color="auto"/>
        <w:bottom w:val="none" w:sz="0" w:space="0" w:color="auto"/>
        <w:right w:val="none" w:sz="0" w:space="0" w:color="auto"/>
      </w:divBdr>
      <w:divsChild>
        <w:div w:id="628365905">
          <w:marLeft w:val="0"/>
          <w:marRight w:val="0"/>
          <w:marTop w:val="0"/>
          <w:marBottom w:val="0"/>
          <w:divBdr>
            <w:top w:val="none" w:sz="0" w:space="0" w:color="auto"/>
            <w:left w:val="none" w:sz="0" w:space="0" w:color="auto"/>
            <w:bottom w:val="none" w:sz="0" w:space="0" w:color="auto"/>
            <w:right w:val="none" w:sz="0" w:space="0" w:color="auto"/>
          </w:divBdr>
        </w:div>
      </w:divsChild>
    </w:div>
    <w:div w:id="570123418">
      <w:marLeft w:val="0"/>
      <w:marRight w:val="0"/>
      <w:marTop w:val="100"/>
      <w:marBottom w:val="0"/>
      <w:divBdr>
        <w:top w:val="none" w:sz="0" w:space="0" w:color="auto"/>
        <w:left w:val="none" w:sz="0" w:space="0" w:color="auto"/>
        <w:bottom w:val="none" w:sz="0" w:space="0" w:color="auto"/>
        <w:right w:val="none" w:sz="0" w:space="0" w:color="auto"/>
      </w:divBdr>
    </w:div>
    <w:div w:id="570505513">
      <w:marLeft w:val="0"/>
      <w:marRight w:val="0"/>
      <w:marTop w:val="0"/>
      <w:marBottom w:val="0"/>
      <w:divBdr>
        <w:top w:val="none" w:sz="0" w:space="0" w:color="auto"/>
        <w:left w:val="none" w:sz="0" w:space="0" w:color="auto"/>
        <w:bottom w:val="none" w:sz="0" w:space="0" w:color="auto"/>
        <w:right w:val="none" w:sz="0" w:space="0" w:color="auto"/>
      </w:divBdr>
      <w:divsChild>
        <w:div w:id="1295602979">
          <w:marLeft w:val="0"/>
          <w:marRight w:val="0"/>
          <w:marTop w:val="0"/>
          <w:marBottom w:val="0"/>
          <w:divBdr>
            <w:top w:val="none" w:sz="0" w:space="0" w:color="auto"/>
            <w:left w:val="none" w:sz="0" w:space="0" w:color="auto"/>
            <w:bottom w:val="none" w:sz="0" w:space="0" w:color="auto"/>
            <w:right w:val="none" w:sz="0" w:space="0" w:color="auto"/>
          </w:divBdr>
        </w:div>
        <w:div w:id="1117793791">
          <w:marLeft w:val="0"/>
          <w:marRight w:val="0"/>
          <w:marTop w:val="0"/>
          <w:marBottom w:val="0"/>
          <w:divBdr>
            <w:top w:val="none" w:sz="0" w:space="0" w:color="auto"/>
            <w:left w:val="none" w:sz="0" w:space="0" w:color="auto"/>
            <w:bottom w:val="none" w:sz="0" w:space="0" w:color="auto"/>
            <w:right w:val="none" w:sz="0" w:space="0" w:color="auto"/>
          </w:divBdr>
        </w:div>
      </w:divsChild>
    </w:div>
    <w:div w:id="572158058">
      <w:marLeft w:val="0"/>
      <w:marRight w:val="0"/>
      <w:marTop w:val="100"/>
      <w:marBottom w:val="0"/>
      <w:divBdr>
        <w:top w:val="none" w:sz="0" w:space="0" w:color="auto"/>
        <w:left w:val="none" w:sz="0" w:space="0" w:color="auto"/>
        <w:bottom w:val="none" w:sz="0" w:space="0" w:color="auto"/>
        <w:right w:val="none" w:sz="0" w:space="0" w:color="auto"/>
      </w:divBdr>
    </w:div>
    <w:div w:id="572929580">
      <w:marLeft w:val="0"/>
      <w:marRight w:val="0"/>
      <w:marTop w:val="100"/>
      <w:marBottom w:val="0"/>
      <w:divBdr>
        <w:top w:val="none" w:sz="0" w:space="0" w:color="auto"/>
        <w:left w:val="none" w:sz="0" w:space="0" w:color="auto"/>
        <w:bottom w:val="none" w:sz="0" w:space="0" w:color="auto"/>
        <w:right w:val="none" w:sz="0" w:space="0" w:color="auto"/>
      </w:divBdr>
    </w:div>
    <w:div w:id="573441197">
      <w:marLeft w:val="0"/>
      <w:marRight w:val="0"/>
      <w:marTop w:val="60"/>
      <w:marBottom w:val="0"/>
      <w:divBdr>
        <w:top w:val="none" w:sz="0" w:space="0" w:color="auto"/>
        <w:left w:val="none" w:sz="0" w:space="0" w:color="auto"/>
        <w:bottom w:val="none" w:sz="0" w:space="0" w:color="auto"/>
        <w:right w:val="none" w:sz="0" w:space="0" w:color="auto"/>
      </w:divBdr>
    </w:div>
    <w:div w:id="573589123">
      <w:marLeft w:val="0"/>
      <w:marRight w:val="0"/>
      <w:marTop w:val="100"/>
      <w:marBottom w:val="100"/>
      <w:divBdr>
        <w:top w:val="none" w:sz="0" w:space="0" w:color="auto"/>
        <w:left w:val="none" w:sz="0" w:space="0" w:color="auto"/>
        <w:bottom w:val="none" w:sz="0" w:space="0" w:color="auto"/>
        <w:right w:val="none" w:sz="0" w:space="0" w:color="auto"/>
      </w:divBdr>
    </w:div>
    <w:div w:id="574437634">
      <w:marLeft w:val="0"/>
      <w:marRight w:val="0"/>
      <w:marTop w:val="0"/>
      <w:marBottom w:val="0"/>
      <w:divBdr>
        <w:top w:val="none" w:sz="0" w:space="0" w:color="auto"/>
        <w:left w:val="none" w:sz="0" w:space="0" w:color="auto"/>
        <w:bottom w:val="none" w:sz="0" w:space="0" w:color="auto"/>
        <w:right w:val="none" w:sz="0" w:space="0" w:color="auto"/>
      </w:divBdr>
      <w:divsChild>
        <w:div w:id="1159538101">
          <w:marLeft w:val="0"/>
          <w:marRight w:val="0"/>
          <w:marTop w:val="0"/>
          <w:marBottom w:val="0"/>
          <w:divBdr>
            <w:top w:val="none" w:sz="0" w:space="0" w:color="auto"/>
            <w:left w:val="none" w:sz="0" w:space="0" w:color="auto"/>
            <w:bottom w:val="none" w:sz="0" w:space="0" w:color="auto"/>
            <w:right w:val="none" w:sz="0" w:space="0" w:color="auto"/>
          </w:divBdr>
        </w:div>
      </w:divsChild>
    </w:div>
    <w:div w:id="574703414">
      <w:marLeft w:val="0"/>
      <w:marRight w:val="0"/>
      <w:marTop w:val="0"/>
      <w:marBottom w:val="0"/>
      <w:divBdr>
        <w:top w:val="none" w:sz="0" w:space="0" w:color="auto"/>
        <w:left w:val="none" w:sz="0" w:space="0" w:color="auto"/>
        <w:bottom w:val="none" w:sz="0" w:space="0" w:color="auto"/>
        <w:right w:val="none" w:sz="0" w:space="0" w:color="auto"/>
      </w:divBdr>
      <w:divsChild>
        <w:div w:id="641618670">
          <w:marLeft w:val="0"/>
          <w:marRight w:val="0"/>
          <w:marTop w:val="0"/>
          <w:marBottom w:val="0"/>
          <w:divBdr>
            <w:top w:val="none" w:sz="0" w:space="0" w:color="auto"/>
            <w:left w:val="none" w:sz="0" w:space="0" w:color="auto"/>
            <w:bottom w:val="none" w:sz="0" w:space="0" w:color="auto"/>
            <w:right w:val="none" w:sz="0" w:space="0" w:color="auto"/>
          </w:divBdr>
        </w:div>
        <w:div w:id="391849320">
          <w:marLeft w:val="0"/>
          <w:marRight w:val="0"/>
          <w:marTop w:val="0"/>
          <w:marBottom w:val="0"/>
          <w:divBdr>
            <w:top w:val="none" w:sz="0" w:space="0" w:color="auto"/>
            <w:left w:val="none" w:sz="0" w:space="0" w:color="auto"/>
            <w:bottom w:val="none" w:sz="0" w:space="0" w:color="auto"/>
            <w:right w:val="none" w:sz="0" w:space="0" w:color="auto"/>
          </w:divBdr>
        </w:div>
      </w:divsChild>
    </w:div>
    <w:div w:id="574902700">
      <w:marLeft w:val="0"/>
      <w:marRight w:val="0"/>
      <w:marTop w:val="100"/>
      <w:marBottom w:val="0"/>
      <w:divBdr>
        <w:top w:val="none" w:sz="0" w:space="0" w:color="auto"/>
        <w:left w:val="none" w:sz="0" w:space="0" w:color="auto"/>
        <w:bottom w:val="none" w:sz="0" w:space="0" w:color="auto"/>
        <w:right w:val="none" w:sz="0" w:space="0" w:color="auto"/>
      </w:divBdr>
    </w:div>
    <w:div w:id="575897446">
      <w:marLeft w:val="0"/>
      <w:marRight w:val="0"/>
      <w:marTop w:val="100"/>
      <w:marBottom w:val="0"/>
      <w:divBdr>
        <w:top w:val="none" w:sz="0" w:space="0" w:color="auto"/>
        <w:left w:val="none" w:sz="0" w:space="0" w:color="auto"/>
        <w:bottom w:val="none" w:sz="0" w:space="0" w:color="auto"/>
        <w:right w:val="none" w:sz="0" w:space="0" w:color="auto"/>
      </w:divBdr>
    </w:div>
    <w:div w:id="576600937">
      <w:marLeft w:val="0"/>
      <w:marRight w:val="0"/>
      <w:marTop w:val="100"/>
      <w:marBottom w:val="0"/>
      <w:divBdr>
        <w:top w:val="none" w:sz="0" w:space="0" w:color="auto"/>
        <w:left w:val="none" w:sz="0" w:space="0" w:color="auto"/>
        <w:bottom w:val="none" w:sz="0" w:space="0" w:color="auto"/>
        <w:right w:val="none" w:sz="0" w:space="0" w:color="auto"/>
      </w:divBdr>
    </w:div>
    <w:div w:id="576937589">
      <w:marLeft w:val="0"/>
      <w:marRight w:val="0"/>
      <w:marTop w:val="100"/>
      <w:marBottom w:val="0"/>
      <w:divBdr>
        <w:top w:val="none" w:sz="0" w:space="0" w:color="auto"/>
        <w:left w:val="none" w:sz="0" w:space="0" w:color="auto"/>
        <w:bottom w:val="none" w:sz="0" w:space="0" w:color="auto"/>
        <w:right w:val="none" w:sz="0" w:space="0" w:color="auto"/>
      </w:divBdr>
    </w:div>
    <w:div w:id="579564014">
      <w:marLeft w:val="0"/>
      <w:marRight w:val="0"/>
      <w:marTop w:val="100"/>
      <w:marBottom w:val="0"/>
      <w:divBdr>
        <w:top w:val="none" w:sz="0" w:space="0" w:color="auto"/>
        <w:left w:val="none" w:sz="0" w:space="0" w:color="auto"/>
        <w:bottom w:val="none" w:sz="0" w:space="0" w:color="auto"/>
        <w:right w:val="none" w:sz="0" w:space="0" w:color="auto"/>
      </w:divBdr>
    </w:div>
    <w:div w:id="580457064">
      <w:marLeft w:val="0"/>
      <w:marRight w:val="0"/>
      <w:marTop w:val="100"/>
      <w:marBottom w:val="0"/>
      <w:divBdr>
        <w:top w:val="none" w:sz="0" w:space="0" w:color="auto"/>
        <w:left w:val="none" w:sz="0" w:space="0" w:color="auto"/>
        <w:bottom w:val="none" w:sz="0" w:space="0" w:color="auto"/>
        <w:right w:val="none" w:sz="0" w:space="0" w:color="auto"/>
      </w:divBdr>
    </w:div>
    <w:div w:id="580985615">
      <w:marLeft w:val="0"/>
      <w:marRight w:val="0"/>
      <w:marTop w:val="100"/>
      <w:marBottom w:val="0"/>
      <w:divBdr>
        <w:top w:val="none" w:sz="0" w:space="0" w:color="auto"/>
        <w:left w:val="none" w:sz="0" w:space="0" w:color="auto"/>
        <w:bottom w:val="none" w:sz="0" w:space="0" w:color="auto"/>
        <w:right w:val="none" w:sz="0" w:space="0" w:color="auto"/>
      </w:divBdr>
    </w:div>
    <w:div w:id="584002227">
      <w:marLeft w:val="0"/>
      <w:marRight w:val="0"/>
      <w:marTop w:val="100"/>
      <w:marBottom w:val="0"/>
      <w:divBdr>
        <w:top w:val="none" w:sz="0" w:space="0" w:color="auto"/>
        <w:left w:val="none" w:sz="0" w:space="0" w:color="auto"/>
        <w:bottom w:val="none" w:sz="0" w:space="0" w:color="auto"/>
        <w:right w:val="none" w:sz="0" w:space="0" w:color="auto"/>
      </w:divBdr>
    </w:div>
    <w:div w:id="585578221">
      <w:marLeft w:val="0"/>
      <w:marRight w:val="0"/>
      <w:marTop w:val="100"/>
      <w:marBottom w:val="0"/>
      <w:divBdr>
        <w:top w:val="none" w:sz="0" w:space="0" w:color="auto"/>
        <w:left w:val="none" w:sz="0" w:space="0" w:color="auto"/>
        <w:bottom w:val="none" w:sz="0" w:space="0" w:color="auto"/>
        <w:right w:val="none" w:sz="0" w:space="0" w:color="auto"/>
      </w:divBdr>
    </w:div>
    <w:div w:id="586810122">
      <w:marLeft w:val="0"/>
      <w:marRight w:val="0"/>
      <w:marTop w:val="0"/>
      <w:marBottom w:val="0"/>
      <w:divBdr>
        <w:top w:val="none" w:sz="0" w:space="0" w:color="auto"/>
        <w:left w:val="none" w:sz="0" w:space="0" w:color="auto"/>
        <w:bottom w:val="none" w:sz="0" w:space="0" w:color="auto"/>
        <w:right w:val="none" w:sz="0" w:space="0" w:color="auto"/>
      </w:divBdr>
      <w:divsChild>
        <w:div w:id="939491178">
          <w:marLeft w:val="0"/>
          <w:marRight w:val="0"/>
          <w:marTop w:val="0"/>
          <w:marBottom w:val="0"/>
          <w:divBdr>
            <w:top w:val="none" w:sz="0" w:space="0" w:color="auto"/>
            <w:left w:val="none" w:sz="0" w:space="0" w:color="auto"/>
            <w:bottom w:val="none" w:sz="0" w:space="0" w:color="auto"/>
            <w:right w:val="none" w:sz="0" w:space="0" w:color="auto"/>
          </w:divBdr>
        </w:div>
      </w:divsChild>
    </w:div>
    <w:div w:id="588736225">
      <w:marLeft w:val="0"/>
      <w:marRight w:val="0"/>
      <w:marTop w:val="280"/>
      <w:marBottom w:val="0"/>
      <w:divBdr>
        <w:top w:val="none" w:sz="0" w:space="0" w:color="auto"/>
        <w:left w:val="none" w:sz="0" w:space="0" w:color="auto"/>
        <w:bottom w:val="none" w:sz="0" w:space="0" w:color="auto"/>
        <w:right w:val="none" w:sz="0" w:space="0" w:color="auto"/>
      </w:divBdr>
    </w:div>
    <w:div w:id="589391348">
      <w:marLeft w:val="0"/>
      <w:marRight w:val="0"/>
      <w:marTop w:val="60"/>
      <w:marBottom w:val="0"/>
      <w:divBdr>
        <w:top w:val="none" w:sz="0" w:space="0" w:color="auto"/>
        <w:left w:val="none" w:sz="0" w:space="0" w:color="auto"/>
        <w:bottom w:val="none" w:sz="0" w:space="0" w:color="auto"/>
        <w:right w:val="none" w:sz="0" w:space="0" w:color="auto"/>
      </w:divBdr>
    </w:div>
    <w:div w:id="596252263">
      <w:marLeft w:val="0"/>
      <w:marRight w:val="0"/>
      <w:marTop w:val="60"/>
      <w:marBottom w:val="0"/>
      <w:divBdr>
        <w:top w:val="none" w:sz="0" w:space="0" w:color="auto"/>
        <w:left w:val="none" w:sz="0" w:space="0" w:color="auto"/>
        <w:bottom w:val="none" w:sz="0" w:space="0" w:color="auto"/>
        <w:right w:val="none" w:sz="0" w:space="0" w:color="auto"/>
      </w:divBdr>
    </w:div>
    <w:div w:id="596404463">
      <w:marLeft w:val="0"/>
      <w:marRight w:val="0"/>
      <w:marTop w:val="0"/>
      <w:marBottom w:val="0"/>
      <w:divBdr>
        <w:top w:val="none" w:sz="0" w:space="0" w:color="auto"/>
        <w:left w:val="none" w:sz="0" w:space="0" w:color="auto"/>
        <w:bottom w:val="none" w:sz="0" w:space="0" w:color="auto"/>
        <w:right w:val="none" w:sz="0" w:space="0" w:color="auto"/>
      </w:divBdr>
      <w:divsChild>
        <w:div w:id="1510488149">
          <w:marLeft w:val="0"/>
          <w:marRight w:val="0"/>
          <w:marTop w:val="0"/>
          <w:marBottom w:val="0"/>
          <w:divBdr>
            <w:top w:val="none" w:sz="0" w:space="0" w:color="auto"/>
            <w:left w:val="none" w:sz="0" w:space="0" w:color="auto"/>
            <w:bottom w:val="none" w:sz="0" w:space="0" w:color="auto"/>
            <w:right w:val="none" w:sz="0" w:space="0" w:color="auto"/>
          </w:divBdr>
        </w:div>
      </w:divsChild>
    </w:div>
    <w:div w:id="600182235">
      <w:marLeft w:val="0"/>
      <w:marRight w:val="0"/>
      <w:marTop w:val="100"/>
      <w:marBottom w:val="0"/>
      <w:divBdr>
        <w:top w:val="none" w:sz="0" w:space="0" w:color="auto"/>
        <w:left w:val="none" w:sz="0" w:space="0" w:color="auto"/>
        <w:bottom w:val="none" w:sz="0" w:space="0" w:color="auto"/>
        <w:right w:val="none" w:sz="0" w:space="0" w:color="auto"/>
      </w:divBdr>
    </w:div>
    <w:div w:id="601039119">
      <w:marLeft w:val="0"/>
      <w:marRight w:val="0"/>
      <w:marTop w:val="100"/>
      <w:marBottom w:val="0"/>
      <w:divBdr>
        <w:top w:val="none" w:sz="0" w:space="0" w:color="auto"/>
        <w:left w:val="none" w:sz="0" w:space="0" w:color="auto"/>
        <w:bottom w:val="none" w:sz="0" w:space="0" w:color="auto"/>
        <w:right w:val="none" w:sz="0" w:space="0" w:color="auto"/>
      </w:divBdr>
    </w:div>
    <w:div w:id="601378153">
      <w:marLeft w:val="0"/>
      <w:marRight w:val="0"/>
      <w:marTop w:val="0"/>
      <w:marBottom w:val="0"/>
      <w:divBdr>
        <w:top w:val="none" w:sz="0" w:space="0" w:color="auto"/>
        <w:left w:val="none" w:sz="0" w:space="0" w:color="auto"/>
        <w:bottom w:val="none" w:sz="0" w:space="0" w:color="auto"/>
        <w:right w:val="none" w:sz="0" w:space="0" w:color="auto"/>
      </w:divBdr>
      <w:divsChild>
        <w:div w:id="1117673380">
          <w:marLeft w:val="0"/>
          <w:marRight w:val="0"/>
          <w:marTop w:val="0"/>
          <w:marBottom w:val="0"/>
          <w:divBdr>
            <w:top w:val="none" w:sz="0" w:space="0" w:color="auto"/>
            <w:left w:val="none" w:sz="0" w:space="0" w:color="auto"/>
            <w:bottom w:val="none" w:sz="0" w:space="0" w:color="auto"/>
            <w:right w:val="none" w:sz="0" w:space="0" w:color="auto"/>
          </w:divBdr>
        </w:div>
        <w:div w:id="1645084960">
          <w:marLeft w:val="0"/>
          <w:marRight w:val="0"/>
          <w:marTop w:val="0"/>
          <w:marBottom w:val="0"/>
          <w:divBdr>
            <w:top w:val="none" w:sz="0" w:space="0" w:color="auto"/>
            <w:left w:val="none" w:sz="0" w:space="0" w:color="auto"/>
            <w:bottom w:val="none" w:sz="0" w:space="0" w:color="auto"/>
            <w:right w:val="none" w:sz="0" w:space="0" w:color="auto"/>
          </w:divBdr>
        </w:div>
      </w:divsChild>
    </w:div>
    <w:div w:id="607931110">
      <w:marLeft w:val="0"/>
      <w:marRight w:val="0"/>
      <w:marTop w:val="280"/>
      <w:marBottom w:val="0"/>
      <w:divBdr>
        <w:top w:val="none" w:sz="0" w:space="0" w:color="auto"/>
        <w:left w:val="none" w:sz="0" w:space="0" w:color="auto"/>
        <w:bottom w:val="none" w:sz="0" w:space="0" w:color="auto"/>
        <w:right w:val="none" w:sz="0" w:space="0" w:color="auto"/>
      </w:divBdr>
    </w:div>
    <w:div w:id="608859341">
      <w:marLeft w:val="0"/>
      <w:marRight w:val="0"/>
      <w:marTop w:val="40"/>
      <w:marBottom w:val="0"/>
      <w:divBdr>
        <w:top w:val="none" w:sz="0" w:space="0" w:color="auto"/>
        <w:left w:val="none" w:sz="0" w:space="0" w:color="auto"/>
        <w:bottom w:val="none" w:sz="0" w:space="0" w:color="auto"/>
        <w:right w:val="none" w:sz="0" w:space="0" w:color="auto"/>
      </w:divBdr>
    </w:div>
    <w:div w:id="611212258">
      <w:marLeft w:val="0"/>
      <w:marRight w:val="0"/>
      <w:marTop w:val="0"/>
      <w:marBottom w:val="0"/>
      <w:divBdr>
        <w:top w:val="none" w:sz="0" w:space="0" w:color="auto"/>
        <w:left w:val="none" w:sz="0" w:space="0" w:color="auto"/>
        <w:bottom w:val="none" w:sz="0" w:space="0" w:color="auto"/>
        <w:right w:val="none" w:sz="0" w:space="0" w:color="auto"/>
      </w:divBdr>
      <w:divsChild>
        <w:div w:id="2109277342">
          <w:marLeft w:val="0"/>
          <w:marRight w:val="0"/>
          <w:marTop w:val="0"/>
          <w:marBottom w:val="0"/>
          <w:divBdr>
            <w:top w:val="none" w:sz="0" w:space="0" w:color="auto"/>
            <w:left w:val="none" w:sz="0" w:space="0" w:color="auto"/>
            <w:bottom w:val="none" w:sz="0" w:space="0" w:color="auto"/>
            <w:right w:val="none" w:sz="0" w:space="0" w:color="auto"/>
          </w:divBdr>
        </w:div>
        <w:div w:id="797188022">
          <w:marLeft w:val="0"/>
          <w:marRight w:val="0"/>
          <w:marTop w:val="0"/>
          <w:marBottom w:val="0"/>
          <w:divBdr>
            <w:top w:val="none" w:sz="0" w:space="0" w:color="auto"/>
            <w:left w:val="none" w:sz="0" w:space="0" w:color="auto"/>
            <w:bottom w:val="none" w:sz="0" w:space="0" w:color="auto"/>
            <w:right w:val="none" w:sz="0" w:space="0" w:color="auto"/>
          </w:divBdr>
        </w:div>
      </w:divsChild>
    </w:div>
    <w:div w:id="612440588">
      <w:marLeft w:val="0"/>
      <w:marRight w:val="0"/>
      <w:marTop w:val="100"/>
      <w:marBottom w:val="0"/>
      <w:divBdr>
        <w:top w:val="none" w:sz="0" w:space="0" w:color="auto"/>
        <w:left w:val="none" w:sz="0" w:space="0" w:color="auto"/>
        <w:bottom w:val="none" w:sz="0" w:space="0" w:color="auto"/>
        <w:right w:val="none" w:sz="0" w:space="0" w:color="auto"/>
      </w:divBdr>
    </w:div>
    <w:div w:id="613247414">
      <w:marLeft w:val="0"/>
      <w:marRight w:val="0"/>
      <w:marTop w:val="100"/>
      <w:marBottom w:val="0"/>
      <w:divBdr>
        <w:top w:val="none" w:sz="0" w:space="0" w:color="auto"/>
        <w:left w:val="none" w:sz="0" w:space="0" w:color="auto"/>
        <w:bottom w:val="none" w:sz="0" w:space="0" w:color="auto"/>
        <w:right w:val="none" w:sz="0" w:space="0" w:color="auto"/>
      </w:divBdr>
    </w:div>
    <w:div w:id="614559556">
      <w:marLeft w:val="0"/>
      <w:marRight w:val="0"/>
      <w:marTop w:val="0"/>
      <w:marBottom w:val="0"/>
      <w:divBdr>
        <w:top w:val="none" w:sz="0" w:space="0" w:color="auto"/>
        <w:left w:val="none" w:sz="0" w:space="0" w:color="auto"/>
        <w:bottom w:val="none" w:sz="0" w:space="0" w:color="auto"/>
        <w:right w:val="none" w:sz="0" w:space="0" w:color="auto"/>
      </w:divBdr>
    </w:div>
    <w:div w:id="615210689">
      <w:marLeft w:val="0"/>
      <w:marRight w:val="0"/>
      <w:marTop w:val="100"/>
      <w:marBottom w:val="0"/>
      <w:divBdr>
        <w:top w:val="none" w:sz="0" w:space="0" w:color="auto"/>
        <w:left w:val="none" w:sz="0" w:space="0" w:color="auto"/>
        <w:bottom w:val="none" w:sz="0" w:space="0" w:color="auto"/>
        <w:right w:val="none" w:sz="0" w:space="0" w:color="auto"/>
      </w:divBdr>
    </w:div>
    <w:div w:id="615529683">
      <w:marLeft w:val="0"/>
      <w:marRight w:val="0"/>
      <w:marTop w:val="100"/>
      <w:marBottom w:val="0"/>
      <w:divBdr>
        <w:top w:val="none" w:sz="0" w:space="0" w:color="auto"/>
        <w:left w:val="none" w:sz="0" w:space="0" w:color="auto"/>
        <w:bottom w:val="none" w:sz="0" w:space="0" w:color="auto"/>
        <w:right w:val="none" w:sz="0" w:space="0" w:color="auto"/>
      </w:divBdr>
    </w:div>
    <w:div w:id="616253877">
      <w:marLeft w:val="0"/>
      <w:marRight w:val="0"/>
      <w:marTop w:val="280"/>
      <w:marBottom w:val="0"/>
      <w:divBdr>
        <w:top w:val="none" w:sz="0" w:space="0" w:color="auto"/>
        <w:left w:val="none" w:sz="0" w:space="0" w:color="auto"/>
        <w:bottom w:val="none" w:sz="0" w:space="0" w:color="auto"/>
        <w:right w:val="none" w:sz="0" w:space="0" w:color="auto"/>
      </w:divBdr>
    </w:div>
    <w:div w:id="618343362">
      <w:marLeft w:val="0"/>
      <w:marRight w:val="0"/>
      <w:marTop w:val="100"/>
      <w:marBottom w:val="0"/>
      <w:divBdr>
        <w:top w:val="none" w:sz="0" w:space="0" w:color="auto"/>
        <w:left w:val="none" w:sz="0" w:space="0" w:color="auto"/>
        <w:bottom w:val="none" w:sz="0" w:space="0" w:color="auto"/>
        <w:right w:val="none" w:sz="0" w:space="0" w:color="auto"/>
      </w:divBdr>
    </w:div>
    <w:div w:id="620920627">
      <w:marLeft w:val="0"/>
      <w:marRight w:val="0"/>
      <w:marTop w:val="60"/>
      <w:marBottom w:val="0"/>
      <w:divBdr>
        <w:top w:val="none" w:sz="0" w:space="0" w:color="auto"/>
        <w:left w:val="none" w:sz="0" w:space="0" w:color="auto"/>
        <w:bottom w:val="none" w:sz="0" w:space="0" w:color="auto"/>
        <w:right w:val="none" w:sz="0" w:space="0" w:color="auto"/>
      </w:divBdr>
    </w:div>
    <w:div w:id="621763677">
      <w:marLeft w:val="0"/>
      <w:marRight w:val="0"/>
      <w:marTop w:val="60"/>
      <w:marBottom w:val="0"/>
      <w:divBdr>
        <w:top w:val="none" w:sz="0" w:space="0" w:color="auto"/>
        <w:left w:val="none" w:sz="0" w:space="0" w:color="auto"/>
        <w:bottom w:val="none" w:sz="0" w:space="0" w:color="auto"/>
        <w:right w:val="none" w:sz="0" w:space="0" w:color="auto"/>
      </w:divBdr>
    </w:div>
    <w:div w:id="622345906">
      <w:marLeft w:val="0"/>
      <w:marRight w:val="0"/>
      <w:marTop w:val="100"/>
      <w:marBottom w:val="0"/>
      <w:divBdr>
        <w:top w:val="none" w:sz="0" w:space="0" w:color="auto"/>
        <w:left w:val="none" w:sz="0" w:space="0" w:color="auto"/>
        <w:bottom w:val="none" w:sz="0" w:space="0" w:color="auto"/>
        <w:right w:val="none" w:sz="0" w:space="0" w:color="auto"/>
      </w:divBdr>
    </w:div>
    <w:div w:id="624239291">
      <w:marLeft w:val="0"/>
      <w:marRight w:val="0"/>
      <w:marTop w:val="0"/>
      <w:marBottom w:val="0"/>
      <w:divBdr>
        <w:top w:val="none" w:sz="0" w:space="0" w:color="auto"/>
        <w:left w:val="none" w:sz="0" w:space="0" w:color="auto"/>
        <w:bottom w:val="none" w:sz="0" w:space="0" w:color="auto"/>
        <w:right w:val="none" w:sz="0" w:space="0" w:color="auto"/>
      </w:divBdr>
      <w:divsChild>
        <w:div w:id="1485513851">
          <w:marLeft w:val="0"/>
          <w:marRight w:val="0"/>
          <w:marTop w:val="0"/>
          <w:marBottom w:val="0"/>
          <w:divBdr>
            <w:top w:val="none" w:sz="0" w:space="0" w:color="auto"/>
            <w:left w:val="none" w:sz="0" w:space="0" w:color="auto"/>
            <w:bottom w:val="none" w:sz="0" w:space="0" w:color="auto"/>
            <w:right w:val="none" w:sz="0" w:space="0" w:color="auto"/>
          </w:divBdr>
        </w:div>
      </w:divsChild>
    </w:div>
    <w:div w:id="625811844">
      <w:marLeft w:val="0"/>
      <w:marRight w:val="0"/>
      <w:marTop w:val="280"/>
      <w:marBottom w:val="0"/>
      <w:divBdr>
        <w:top w:val="none" w:sz="0" w:space="0" w:color="auto"/>
        <w:left w:val="none" w:sz="0" w:space="0" w:color="auto"/>
        <w:bottom w:val="none" w:sz="0" w:space="0" w:color="auto"/>
        <w:right w:val="none" w:sz="0" w:space="0" w:color="auto"/>
      </w:divBdr>
    </w:div>
    <w:div w:id="627129407">
      <w:marLeft w:val="0"/>
      <w:marRight w:val="0"/>
      <w:marTop w:val="60"/>
      <w:marBottom w:val="0"/>
      <w:divBdr>
        <w:top w:val="none" w:sz="0" w:space="0" w:color="auto"/>
        <w:left w:val="none" w:sz="0" w:space="0" w:color="auto"/>
        <w:bottom w:val="none" w:sz="0" w:space="0" w:color="auto"/>
        <w:right w:val="none" w:sz="0" w:space="0" w:color="auto"/>
      </w:divBdr>
    </w:div>
    <w:div w:id="631134563">
      <w:marLeft w:val="0"/>
      <w:marRight w:val="0"/>
      <w:marTop w:val="100"/>
      <w:marBottom w:val="0"/>
      <w:divBdr>
        <w:top w:val="none" w:sz="0" w:space="0" w:color="auto"/>
        <w:left w:val="none" w:sz="0" w:space="0" w:color="auto"/>
        <w:bottom w:val="none" w:sz="0" w:space="0" w:color="auto"/>
        <w:right w:val="none" w:sz="0" w:space="0" w:color="auto"/>
      </w:divBdr>
    </w:div>
    <w:div w:id="631861208">
      <w:marLeft w:val="0"/>
      <w:marRight w:val="0"/>
      <w:marTop w:val="280"/>
      <w:marBottom w:val="0"/>
      <w:divBdr>
        <w:top w:val="none" w:sz="0" w:space="0" w:color="auto"/>
        <w:left w:val="none" w:sz="0" w:space="0" w:color="auto"/>
        <w:bottom w:val="none" w:sz="0" w:space="0" w:color="auto"/>
        <w:right w:val="none" w:sz="0" w:space="0" w:color="auto"/>
      </w:divBdr>
    </w:div>
    <w:div w:id="634024625">
      <w:marLeft w:val="0"/>
      <w:marRight w:val="0"/>
      <w:marTop w:val="0"/>
      <w:marBottom w:val="0"/>
      <w:divBdr>
        <w:top w:val="none" w:sz="0" w:space="0" w:color="auto"/>
        <w:left w:val="none" w:sz="0" w:space="0" w:color="auto"/>
        <w:bottom w:val="none" w:sz="0" w:space="0" w:color="auto"/>
        <w:right w:val="none" w:sz="0" w:space="0" w:color="auto"/>
      </w:divBdr>
      <w:divsChild>
        <w:div w:id="1314602386">
          <w:marLeft w:val="0"/>
          <w:marRight w:val="0"/>
          <w:marTop w:val="0"/>
          <w:marBottom w:val="0"/>
          <w:divBdr>
            <w:top w:val="none" w:sz="0" w:space="0" w:color="auto"/>
            <w:left w:val="none" w:sz="0" w:space="0" w:color="auto"/>
            <w:bottom w:val="none" w:sz="0" w:space="0" w:color="auto"/>
            <w:right w:val="none" w:sz="0" w:space="0" w:color="auto"/>
          </w:divBdr>
        </w:div>
      </w:divsChild>
    </w:div>
    <w:div w:id="636645773">
      <w:marLeft w:val="0"/>
      <w:marRight w:val="0"/>
      <w:marTop w:val="280"/>
      <w:marBottom w:val="0"/>
      <w:divBdr>
        <w:top w:val="none" w:sz="0" w:space="0" w:color="auto"/>
        <w:left w:val="none" w:sz="0" w:space="0" w:color="auto"/>
        <w:bottom w:val="none" w:sz="0" w:space="0" w:color="auto"/>
        <w:right w:val="none" w:sz="0" w:space="0" w:color="auto"/>
      </w:divBdr>
    </w:div>
    <w:div w:id="637147422">
      <w:marLeft w:val="0"/>
      <w:marRight w:val="0"/>
      <w:marTop w:val="0"/>
      <w:marBottom w:val="0"/>
      <w:divBdr>
        <w:top w:val="none" w:sz="0" w:space="0" w:color="auto"/>
        <w:left w:val="none" w:sz="0" w:space="0" w:color="auto"/>
        <w:bottom w:val="none" w:sz="0" w:space="0" w:color="auto"/>
        <w:right w:val="none" w:sz="0" w:space="0" w:color="auto"/>
      </w:divBdr>
    </w:div>
    <w:div w:id="637952581">
      <w:marLeft w:val="0"/>
      <w:marRight w:val="0"/>
      <w:marTop w:val="280"/>
      <w:marBottom w:val="0"/>
      <w:divBdr>
        <w:top w:val="none" w:sz="0" w:space="0" w:color="auto"/>
        <w:left w:val="none" w:sz="0" w:space="0" w:color="auto"/>
        <w:bottom w:val="none" w:sz="0" w:space="0" w:color="auto"/>
        <w:right w:val="none" w:sz="0" w:space="0" w:color="auto"/>
      </w:divBdr>
    </w:div>
    <w:div w:id="639849584">
      <w:marLeft w:val="0"/>
      <w:marRight w:val="0"/>
      <w:marTop w:val="0"/>
      <w:marBottom w:val="0"/>
      <w:divBdr>
        <w:top w:val="none" w:sz="0" w:space="0" w:color="auto"/>
        <w:left w:val="none" w:sz="0" w:space="0" w:color="auto"/>
        <w:bottom w:val="none" w:sz="0" w:space="0" w:color="auto"/>
        <w:right w:val="none" w:sz="0" w:space="0" w:color="auto"/>
      </w:divBdr>
      <w:divsChild>
        <w:div w:id="966008011">
          <w:marLeft w:val="0"/>
          <w:marRight w:val="0"/>
          <w:marTop w:val="0"/>
          <w:marBottom w:val="0"/>
          <w:divBdr>
            <w:top w:val="none" w:sz="0" w:space="0" w:color="auto"/>
            <w:left w:val="none" w:sz="0" w:space="0" w:color="auto"/>
            <w:bottom w:val="none" w:sz="0" w:space="0" w:color="auto"/>
            <w:right w:val="none" w:sz="0" w:space="0" w:color="auto"/>
          </w:divBdr>
        </w:div>
      </w:divsChild>
    </w:div>
    <w:div w:id="640233674">
      <w:marLeft w:val="0"/>
      <w:marRight w:val="0"/>
      <w:marTop w:val="100"/>
      <w:marBottom w:val="0"/>
      <w:divBdr>
        <w:top w:val="none" w:sz="0" w:space="0" w:color="auto"/>
        <w:left w:val="none" w:sz="0" w:space="0" w:color="auto"/>
        <w:bottom w:val="none" w:sz="0" w:space="0" w:color="auto"/>
        <w:right w:val="none" w:sz="0" w:space="0" w:color="auto"/>
      </w:divBdr>
    </w:div>
    <w:div w:id="640962798">
      <w:marLeft w:val="0"/>
      <w:marRight w:val="0"/>
      <w:marTop w:val="0"/>
      <w:marBottom w:val="0"/>
      <w:divBdr>
        <w:top w:val="none" w:sz="0" w:space="0" w:color="auto"/>
        <w:left w:val="none" w:sz="0" w:space="0" w:color="auto"/>
        <w:bottom w:val="none" w:sz="0" w:space="0" w:color="auto"/>
        <w:right w:val="none" w:sz="0" w:space="0" w:color="auto"/>
      </w:divBdr>
    </w:div>
    <w:div w:id="642194707">
      <w:marLeft w:val="0"/>
      <w:marRight w:val="0"/>
      <w:marTop w:val="100"/>
      <w:marBottom w:val="0"/>
      <w:divBdr>
        <w:top w:val="none" w:sz="0" w:space="0" w:color="auto"/>
        <w:left w:val="none" w:sz="0" w:space="0" w:color="auto"/>
        <w:bottom w:val="none" w:sz="0" w:space="0" w:color="auto"/>
        <w:right w:val="none" w:sz="0" w:space="0" w:color="auto"/>
      </w:divBdr>
    </w:div>
    <w:div w:id="642201500">
      <w:marLeft w:val="0"/>
      <w:marRight w:val="0"/>
      <w:marTop w:val="100"/>
      <w:marBottom w:val="0"/>
      <w:divBdr>
        <w:top w:val="none" w:sz="0" w:space="0" w:color="auto"/>
        <w:left w:val="none" w:sz="0" w:space="0" w:color="auto"/>
        <w:bottom w:val="none" w:sz="0" w:space="0" w:color="auto"/>
        <w:right w:val="none" w:sz="0" w:space="0" w:color="auto"/>
      </w:divBdr>
    </w:div>
    <w:div w:id="645667803">
      <w:marLeft w:val="0"/>
      <w:marRight w:val="0"/>
      <w:marTop w:val="100"/>
      <w:marBottom w:val="0"/>
      <w:divBdr>
        <w:top w:val="none" w:sz="0" w:space="0" w:color="auto"/>
        <w:left w:val="none" w:sz="0" w:space="0" w:color="auto"/>
        <w:bottom w:val="none" w:sz="0" w:space="0" w:color="auto"/>
        <w:right w:val="none" w:sz="0" w:space="0" w:color="auto"/>
      </w:divBdr>
    </w:div>
    <w:div w:id="645671337">
      <w:marLeft w:val="0"/>
      <w:marRight w:val="0"/>
      <w:marTop w:val="100"/>
      <w:marBottom w:val="0"/>
      <w:divBdr>
        <w:top w:val="none" w:sz="0" w:space="0" w:color="auto"/>
        <w:left w:val="none" w:sz="0" w:space="0" w:color="auto"/>
        <w:bottom w:val="none" w:sz="0" w:space="0" w:color="auto"/>
        <w:right w:val="none" w:sz="0" w:space="0" w:color="auto"/>
      </w:divBdr>
    </w:div>
    <w:div w:id="647444758">
      <w:marLeft w:val="0"/>
      <w:marRight w:val="0"/>
      <w:marTop w:val="100"/>
      <w:marBottom w:val="0"/>
      <w:divBdr>
        <w:top w:val="none" w:sz="0" w:space="0" w:color="auto"/>
        <w:left w:val="none" w:sz="0" w:space="0" w:color="auto"/>
        <w:bottom w:val="none" w:sz="0" w:space="0" w:color="auto"/>
        <w:right w:val="none" w:sz="0" w:space="0" w:color="auto"/>
      </w:divBdr>
    </w:div>
    <w:div w:id="651712304">
      <w:marLeft w:val="0"/>
      <w:marRight w:val="0"/>
      <w:marTop w:val="60"/>
      <w:marBottom w:val="0"/>
      <w:divBdr>
        <w:top w:val="none" w:sz="0" w:space="0" w:color="auto"/>
        <w:left w:val="none" w:sz="0" w:space="0" w:color="auto"/>
        <w:bottom w:val="none" w:sz="0" w:space="0" w:color="auto"/>
        <w:right w:val="none" w:sz="0" w:space="0" w:color="auto"/>
      </w:divBdr>
    </w:div>
    <w:div w:id="651837485">
      <w:marLeft w:val="0"/>
      <w:marRight w:val="0"/>
      <w:marTop w:val="100"/>
      <w:marBottom w:val="0"/>
      <w:divBdr>
        <w:top w:val="none" w:sz="0" w:space="0" w:color="auto"/>
        <w:left w:val="none" w:sz="0" w:space="0" w:color="auto"/>
        <w:bottom w:val="none" w:sz="0" w:space="0" w:color="auto"/>
        <w:right w:val="none" w:sz="0" w:space="0" w:color="auto"/>
      </w:divBdr>
    </w:div>
    <w:div w:id="652180801">
      <w:marLeft w:val="0"/>
      <w:marRight w:val="0"/>
      <w:marTop w:val="60"/>
      <w:marBottom w:val="0"/>
      <w:divBdr>
        <w:top w:val="none" w:sz="0" w:space="0" w:color="auto"/>
        <w:left w:val="none" w:sz="0" w:space="0" w:color="auto"/>
        <w:bottom w:val="none" w:sz="0" w:space="0" w:color="auto"/>
        <w:right w:val="none" w:sz="0" w:space="0" w:color="auto"/>
      </w:divBdr>
    </w:div>
    <w:div w:id="653918474">
      <w:marLeft w:val="0"/>
      <w:marRight w:val="0"/>
      <w:marTop w:val="100"/>
      <w:marBottom w:val="0"/>
      <w:divBdr>
        <w:top w:val="none" w:sz="0" w:space="0" w:color="auto"/>
        <w:left w:val="none" w:sz="0" w:space="0" w:color="auto"/>
        <w:bottom w:val="none" w:sz="0" w:space="0" w:color="auto"/>
        <w:right w:val="none" w:sz="0" w:space="0" w:color="auto"/>
      </w:divBdr>
    </w:div>
    <w:div w:id="655376040">
      <w:marLeft w:val="0"/>
      <w:marRight w:val="0"/>
      <w:marTop w:val="100"/>
      <w:marBottom w:val="0"/>
      <w:divBdr>
        <w:top w:val="none" w:sz="0" w:space="0" w:color="auto"/>
        <w:left w:val="none" w:sz="0" w:space="0" w:color="auto"/>
        <w:bottom w:val="none" w:sz="0" w:space="0" w:color="auto"/>
        <w:right w:val="none" w:sz="0" w:space="0" w:color="auto"/>
      </w:divBdr>
    </w:div>
    <w:div w:id="655457481">
      <w:marLeft w:val="0"/>
      <w:marRight w:val="0"/>
      <w:marTop w:val="0"/>
      <w:marBottom w:val="0"/>
      <w:divBdr>
        <w:top w:val="none" w:sz="0" w:space="0" w:color="auto"/>
        <w:left w:val="none" w:sz="0" w:space="0" w:color="auto"/>
        <w:bottom w:val="none" w:sz="0" w:space="0" w:color="auto"/>
        <w:right w:val="none" w:sz="0" w:space="0" w:color="auto"/>
      </w:divBdr>
      <w:divsChild>
        <w:div w:id="1814520995">
          <w:marLeft w:val="0"/>
          <w:marRight w:val="0"/>
          <w:marTop w:val="0"/>
          <w:marBottom w:val="0"/>
          <w:divBdr>
            <w:top w:val="none" w:sz="0" w:space="0" w:color="auto"/>
            <w:left w:val="none" w:sz="0" w:space="0" w:color="auto"/>
            <w:bottom w:val="none" w:sz="0" w:space="0" w:color="auto"/>
            <w:right w:val="none" w:sz="0" w:space="0" w:color="auto"/>
          </w:divBdr>
        </w:div>
        <w:div w:id="1493638924">
          <w:marLeft w:val="0"/>
          <w:marRight w:val="0"/>
          <w:marTop w:val="0"/>
          <w:marBottom w:val="0"/>
          <w:divBdr>
            <w:top w:val="none" w:sz="0" w:space="0" w:color="auto"/>
            <w:left w:val="none" w:sz="0" w:space="0" w:color="auto"/>
            <w:bottom w:val="none" w:sz="0" w:space="0" w:color="auto"/>
            <w:right w:val="none" w:sz="0" w:space="0" w:color="auto"/>
          </w:divBdr>
        </w:div>
      </w:divsChild>
    </w:div>
    <w:div w:id="656500046">
      <w:marLeft w:val="0"/>
      <w:marRight w:val="0"/>
      <w:marTop w:val="0"/>
      <w:marBottom w:val="0"/>
      <w:divBdr>
        <w:top w:val="none" w:sz="0" w:space="0" w:color="auto"/>
        <w:left w:val="none" w:sz="0" w:space="0" w:color="auto"/>
        <w:bottom w:val="none" w:sz="0" w:space="0" w:color="auto"/>
        <w:right w:val="none" w:sz="0" w:space="0" w:color="auto"/>
      </w:divBdr>
      <w:divsChild>
        <w:div w:id="1420253475">
          <w:marLeft w:val="0"/>
          <w:marRight w:val="0"/>
          <w:marTop w:val="0"/>
          <w:marBottom w:val="0"/>
          <w:divBdr>
            <w:top w:val="none" w:sz="0" w:space="0" w:color="auto"/>
            <w:left w:val="none" w:sz="0" w:space="0" w:color="auto"/>
            <w:bottom w:val="none" w:sz="0" w:space="0" w:color="auto"/>
            <w:right w:val="none" w:sz="0" w:space="0" w:color="auto"/>
          </w:divBdr>
        </w:div>
      </w:divsChild>
    </w:div>
    <w:div w:id="657467045">
      <w:marLeft w:val="0"/>
      <w:marRight w:val="0"/>
      <w:marTop w:val="100"/>
      <w:marBottom w:val="0"/>
      <w:divBdr>
        <w:top w:val="none" w:sz="0" w:space="0" w:color="auto"/>
        <w:left w:val="none" w:sz="0" w:space="0" w:color="auto"/>
        <w:bottom w:val="none" w:sz="0" w:space="0" w:color="auto"/>
        <w:right w:val="none" w:sz="0" w:space="0" w:color="auto"/>
      </w:divBdr>
    </w:div>
    <w:div w:id="658315214">
      <w:marLeft w:val="0"/>
      <w:marRight w:val="0"/>
      <w:marTop w:val="100"/>
      <w:marBottom w:val="0"/>
      <w:divBdr>
        <w:top w:val="none" w:sz="0" w:space="0" w:color="auto"/>
        <w:left w:val="none" w:sz="0" w:space="0" w:color="auto"/>
        <w:bottom w:val="none" w:sz="0" w:space="0" w:color="auto"/>
        <w:right w:val="none" w:sz="0" w:space="0" w:color="auto"/>
      </w:divBdr>
    </w:div>
    <w:div w:id="661349004">
      <w:marLeft w:val="0"/>
      <w:marRight w:val="0"/>
      <w:marTop w:val="100"/>
      <w:marBottom w:val="0"/>
      <w:divBdr>
        <w:top w:val="none" w:sz="0" w:space="0" w:color="auto"/>
        <w:left w:val="none" w:sz="0" w:space="0" w:color="auto"/>
        <w:bottom w:val="none" w:sz="0" w:space="0" w:color="auto"/>
        <w:right w:val="none" w:sz="0" w:space="0" w:color="auto"/>
      </w:divBdr>
    </w:div>
    <w:div w:id="663506732">
      <w:marLeft w:val="0"/>
      <w:marRight w:val="0"/>
      <w:marTop w:val="280"/>
      <w:marBottom w:val="0"/>
      <w:divBdr>
        <w:top w:val="none" w:sz="0" w:space="0" w:color="auto"/>
        <w:left w:val="none" w:sz="0" w:space="0" w:color="auto"/>
        <w:bottom w:val="none" w:sz="0" w:space="0" w:color="auto"/>
        <w:right w:val="none" w:sz="0" w:space="0" w:color="auto"/>
      </w:divBdr>
    </w:div>
    <w:div w:id="670564509">
      <w:marLeft w:val="0"/>
      <w:marRight w:val="0"/>
      <w:marTop w:val="280"/>
      <w:marBottom w:val="0"/>
      <w:divBdr>
        <w:top w:val="none" w:sz="0" w:space="0" w:color="auto"/>
        <w:left w:val="none" w:sz="0" w:space="0" w:color="auto"/>
        <w:bottom w:val="none" w:sz="0" w:space="0" w:color="auto"/>
        <w:right w:val="none" w:sz="0" w:space="0" w:color="auto"/>
      </w:divBdr>
    </w:div>
    <w:div w:id="671876732">
      <w:marLeft w:val="0"/>
      <w:marRight w:val="0"/>
      <w:marTop w:val="100"/>
      <w:marBottom w:val="0"/>
      <w:divBdr>
        <w:top w:val="none" w:sz="0" w:space="0" w:color="auto"/>
        <w:left w:val="none" w:sz="0" w:space="0" w:color="auto"/>
        <w:bottom w:val="none" w:sz="0" w:space="0" w:color="auto"/>
        <w:right w:val="none" w:sz="0" w:space="0" w:color="auto"/>
      </w:divBdr>
    </w:div>
    <w:div w:id="672072620">
      <w:marLeft w:val="0"/>
      <w:marRight w:val="0"/>
      <w:marTop w:val="0"/>
      <w:marBottom w:val="0"/>
      <w:divBdr>
        <w:top w:val="none" w:sz="0" w:space="0" w:color="auto"/>
        <w:left w:val="none" w:sz="0" w:space="0" w:color="auto"/>
        <w:bottom w:val="none" w:sz="0" w:space="0" w:color="auto"/>
        <w:right w:val="none" w:sz="0" w:space="0" w:color="auto"/>
      </w:divBdr>
      <w:divsChild>
        <w:div w:id="1965580643">
          <w:marLeft w:val="0"/>
          <w:marRight w:val="0"/>
          <w:marTop w:val="0"/>
          <w:marBottom w:val="0"/>
          <w:divBdr>
            <w:top w:val="none" w:sz="0" w:space="0" w:color="auto"/>
            <w:left w:val="none" w:sz="0" w:space="0" w:color="auto"/>
            <w:bottom w:val="none" w:sz="0" w:space="0" w:color="auto"/>
            <w:right w:val="none" w:sz="0" w:space="0" w:color="auto"/>
          </w:divBdr>
        </w:div>
      </w:divsChild>
    </w:div>
    <w:div w:id="672101459">
      <w:marLeft w:val="0"/>
      <w:marRight w:val="0"/>
      <w:marTop w:val="0"/>
      <w:marBottom w:val="0"/>
      <w:divBdr>
        <w:top w:val="none" w:sz="0" w:space="0" w:color="auto"/>
        <w:left w:val="none" w:sz="0" w:space="0" w:color="auto"/>
        <w:bottom w:val="none" w:sz="0" w:space="0" w:color="auto"/>
        <w:right w:val="none" w:sz="0" w:space="0" w:color="auto"/>
      </w:divBdr>
    </w:div>
    <w:div w:id="672535408">
      <w:marLeft w:val="0"/>
      <w:marRight w:val="0"/>
      <w:marTop w:val="280"/>
      <w:marBottom w:val="0"/>
      <w:divBdr>
        <w:top w:val="none" w:sz="0" w:space="0" w:color="auto"/>
        <w:left w:val="none" w:sz="0" w:space="0" w:color="auto"/>
        <w:bottom w:val="none" w:sz="0" w:space="0" w:color="auto"/>
        <w:right w:val="none" w:sz="0" w:space="0" w:color="auto"/>
      </w:divBdr>
    </w:div>
    <w:div w:id="672998689">
      <w:marLeft w:val="0"/>
      <w:marRight w:val="0"/>
      <w:marTop w:val="280"/>
      <w:marBottom w:val="0"/>
      <w:divBdr>
        <w:top w:val="none" w:sz="0" w:space="0" w:color="auto"/>
        <w:left w:val="none" w:sz="0" w:space="0" w:color="auto"/>
        <w:bottom w:val="none" w:sz="0" w:space="0" w:color="auto"/>
        <w:right w:val="none" w:sz="0" w:space="0" w:color="auto"/>
      </w:divBdr>
    </w:div>
    <w:div w:id="673144731">
      <w:marLeft w:val="0"/>
      <w:marRight w:val="0"/>
      <w:marTop w:val="100"/>
      <w:marBottom w:val="0"/>
      <w:divBdr>
        <w:top w:val="none" w:sz="0" w:space="0" w:color="auto"/>
        <w:left w:val="none" w:sz="0" w:space="0" w:color="auto"/>
        <w:bottom w:val="none" w:sz="0" w:space="0" w:color="auto"/>
        <w:right w:val="none" w:sz="0" w:space="0" w:color="auto"/>
      </w:divBdr>
    </w:div>
    <w:div w:id="673335651">
      <w:marLeft w:val="0"/>
      <w:marRight w:val="0"/>
      <w:marTop w:val="100"/>
      <w:marBottom w:val="0"/>
      <w:divBdr>
        <w:top w:val="none" w:sz="0" w:space="0" w:color="auto"/>
        <w:left w:val="none" w:sz="0" w:space="0" w:color="auto"/>
        <w:bottom w:val="none" w:sz="0" w:space="0" w:color="auto"/>
        <w:right w:val="none" w:sz="0" w:space="0" w:color="auto"/>
      </w:divBdr>
    </w:div>
    <w:div w:id="673343395">
      <w:marLeft w:val="0"/>
      <w:marRight w:val="0"/>
      <w:marTop w:val="100"/>
      <w:marBottom w:val="0"/>
      <w:divBdr>
        <w:top w:val="none" w:sz="0" w:space="0" w:color="auto"/>
        <w:left w:val="none" w:sz="0" w:space="0" w:color="auto"/>
        <w:bottom w:val="none" w:sz="0" w:space="0" w:color="auto"/>
        <w:right w:val="none" w:sz="0" w:space="0" w:color="auto"/>
      </w:divBdr>
    </w:div>
    <w:div w:id="674311443">
      <w:marLeft w:val="0"/>
      <w:marRight w:val="0"/>
      <w:marTop w:val="100"/>
      <w:marBottom w:val="0"/>
      <w:divBdr>
        <w:top w:val="none" w:sz="0" w:space="0" w:color="auto"/>
        <w:left w:val="none" w:sz="0" w:space="0" w:color="auto"/>
        <w:bottom w:val="none" w:sz="0" w:space="0" w:color="auto"/>
        <w:right w:val="none" w:sz="0" w:space="0" w:color="auto"/>
      </w:divBdr>
    </w:div>
    <w:div w:id="675494706">
      <w:marLeft w:val="0"/>
      <w:marRight w:val="0"/>
      <w:marTop w:val="0"/>
      <w:marBottom w:val="0"/>
      <w:divBdr>
        <w:top w:val="none" w:sz="0" w:space="0" w:color="auto"/>
        <w:left w:val="none" w:sz="0" w:space="0" w:color="auto"/>
        <w:bottom w:val="none" w:sz="0" w:space="0" w:color="auto"/>
        <w:right w:val="none" w:sz="0" w:space="0" w:color="auto"/>
      </w:divBdr>
    </w:div>
    <w:div w:id="675503025">
      <w:marLeft w:val="0"/>
      <w:marRight w:val="0"/>
      <w:marTop w:val="280"/>
      <w:marBottom w:val="0"/>
      <w:divBdr>
        <w:top w:val="none" w:sz="0" w:space="0" w:color="auto"/>
        <w:left w:val="none" w:sz="0" w:space="0" w:color="auto"/>
        <w:bottom w:val="none" w:sz="0" w:space="0" w:color="auto"/>
        <w:right w:val="none" w:sz="0" w:space="0" w:color="auto"/>
      </w:divBdr>
    </w:div>
    <w:div w:id="675571304">
      <w:marLeft w:val="0"/>
      <w:marRight w:val="0"/>
      <w:marTop w:val="100"/>
      <w:marBottom w:val="0"/>
      <w:divBdr>
        <w:top w:val="none" w:sz="0" w:space="0" w:color="auto"/>
        <w:left w:val="none" w:sz="0" w:space="0" w:color="auto"/>
        <w:bottom w:val="none" w:sz="0" w:space="0" w:color="auto"/>
        <w:right w:val="none" w:sz="0" w:space="0" w:color="auto"/>
      </w:divBdr>
    </w:div>
    <w:div w:id="676078803">
      <w:marLeft w:val="0"/>
      <w:marRight w:val="0"/>
      <w:marTop w:val="280"/>
      <w:marBottom w:val="0"/>
      <w:divBdr>
        <w:top w:val="none" w:sz="0" w:space="0" w:color="auto"/>
        <w:left w:val="none" w:sz="0" w:space="0" w:color="auto"/>
        <w:bottom w:val="none" w:sz="0" w:space="0" w:color="auto"/>
        <w:right w:val="none" w:sz="0" w:space="0" w:color="auto"/>
      </w:divBdr>
    </w:div>
    <w:div w:id="678117310">
      <w:marLeft w:val="0"/>
      <w:marRight w:val="0"/>
      <w:marTop w:val="180"/>
      <w:marBottom w:val="0"/>
      <w:divBdr>
        <w:top w:val="none" w:sz="0" w:space="0" w:color="auto"/>
        <w:left w:val="none" w:sz="0" w:space="0" w:color="auto"/>
        <w:bottom w:val="none" w:sz="0" w:space="0" w:color="auto"/>
        <w:right w:val="none" w:sz="0" w:space="0" w:color="auto"/>
      </w:divBdr>
    </w:div>
    <w:div w:id="680012879">
      <w:marLeft w:val="0"/>
      <w:marRight w:val="0"/>
      <w:marTop w:val="280"/>
      <w:marBottom w:val="0"/>
      <w:divBdr>
        <w:top w:val="none" w:sz="0" w:space="0" w:color="auto"/>
        <w:left w:val="none" w:sz="0" w:space="0" w:color="auto"/>
        <w:bottom w:val="none" w:sz="0" w:space="0" w:color="auto"/>
        <w:right w:val="none" w:sz="0" w:space="0" w:color="auto"/>
      </w:divBdr>
    </w:div>
    <w:div w:id="680163611">
      <w:marLeft w:val="0"/>
      <w:marRight w:val="0"/>
      <w:marTop w:val="60"/>
      <w:marBottom w:val="0"/>
      <w:divBdr>
        <w:top w:val="none" w:sz="0" w:space="0" w:color="auto"/>
        <w:left w:val="none" w:sz="0" w:space="0" w:color="auto"/>
        <w:bottom w:val="none" w:sz="0" w:space="0" w:color="auto"/>
        <w:right w:val="none" w:sz="0" w:space="0" w:color="auto"/>
      </w:divBdr>
    </w:div>
    <w:div w:id="682514076">
      <w:marLeft w:val="0"/>
      <w:marRight w:val="0"/>
      <w:marTop w:val="0"/>
      <w:marBottom w:val="0"/>
      <w:divBdr>
        <w:top w:val="none" w:sz="0" w:space="0" w:color="auto"/>
        <w:left w:val="none" w:sz="0" w:space="0" w:color="auto"/>
        <w:bottom w:val="none" w:sz="0" w:space="0" w:color="auto"/>
        <w:right w:val="none" w:sz="0" w:space="0" w:color="auto"/>
      </w:divBdr>
      <w:divsChild>
        <w:div w:id="1644853307">
          <w:marLeft w:val="0"/>
          <w:marRight w:val="0"/>
          <w:marTop w:val="0"/>
          <w:marBottom w:val="0"/>
          <w:divBdr>
            <w:top w:val="none" w:sz="0" w:space="0" w:color="auto"/>
            <w:left w:val="none" w:sz="0" w:space="0" w:color="auto"/>
            <w:bottom w:val="none" w:sz="0" w:space="0" w:color="auto"/>
            <w:right w:val="none" w:sz="0" w:space="0" w:color="auto"/>
          </w:divBdr>
        </w:div>
      </w:divsChild>
    </w:div>
    <w:div w:id="683020988">
      <w:marLeft w:val="0"/>
      <w:marRight w:val="0"/>
      <w:marTop w:val="0"/>
      <w:marBottom w:val="0"/>
      <w:divBdr>
        <w:top w:val="none" w:sz="0" w:space="0" w:color="auto"/>
        <w:left w:val="none" w:sz="0" w:space="0" w:color="auto"/>
        <w:bottom w:val="none" w:sz="0" w:space="0" w:color="auto"/>
        <w:right w:val="none" w:sz="0" w:space="0" w:color="auto"/>
      </w:divBdr>
    </w:div>
    <w:div w:id="684330227">
      <w:marLeft w:val="0"/>
      <w:marRight w:val="0"/>
      <w:marTop w:val="100"/>
      <w:marBottom w:val="0"/>
      <w:divBdr>
        <w:top w:val="none" w:sz="0" w:space="0" w:color="auto"/>
        <w:left w:val="none" w:sz="0" w:space="0" w:color="auto"/>
        <w:bottom w:val="none" w:sz="0" w:space="0" w:color="auto"/>
        <w:right w:val="none" w:sz="0" w:space="0" w:color="auto"/>
      </w:divBdr>
    </w:div>
    <w:div w:id="685135117">
      <w:marLeft w:val="0"/>
      <w:marRight w:val="0"/>
      <w:marTop w:val="100"/>
      <w:marBottom w:val="0"/>
      <w:divBdr>
        <w:top w:val="none" w:sz="0" w:space="0" w:color="auto"/>
        <w:left w:val="none" w:sz="0" w:space="0" w:color="auto"/>
        <w:bottom w:val="none" w:sz="0" w:space="0" w:color="auto"/>
        <w:right w:val="none" w:sz="0" w:space="0" w:color="auto"/>
      </w:divBdr>
    </w:div>
    <w:div w:id="686366462">
      <w:marLeft w:val="0"/>
      <w:marRight w:val="0"/>
      <w:marTop w:val="60"/>
      <w:marBottom w:val="0"/>
      <w:divBdr>
        <w:top w:val="none" w:sz="0" w:space="0" w:color="auto"/>
        <w:left w:val="none" w:sz="0" w:space="0" w:color="auto"/>
        <w:bottom w:val="none" w:sz="0" w:space="0" w:color="auto"/>
        <w:right w:val="none" w:sz="0" w:space="0" w:color="auto"/>
      </w:divBdr>
    </w:div>
    <w:div w:id="689142672">
      <w:marLeft w:val="0"/>
      <w:marRight w:val="0"/>
      <w:marTop w:val="100"/>
      <w:marBottom w:val="0"/>
      <w:divBdr>
        <w:top w:val="none" w:sz="0" w:space="0" w:color="auto"/>
        <w:left w:val="none" w:sz="0" w:space="0" w:color="auto"/>
        <w:bottom w:val="none" w:sz="0" w:space="0" w:color="auto"/>
        <w:right w:val="none" w:sz="0" w:space="0" w:color="auto"/>
      </w:divBdr>
    </w:div>
    <w:div w:id="692999988">
      <w:marLeft w:val="0"/>
      <w:marRight w:val="0"/>
      <w:marTop w:val="100"/>
      <w:marBottom w:val="0"/>
      <w:divBdr>
        <w:top w:val="none" w:sz="0" w:space="0" w:color="auto"/>
        <w:left w:val="none" w:sz="0" w:space="0" w:color="auto"/>
        <w:bottom w:val="none" w:sz="0" w:space="0" w:color="auto"/>
        <w:right w:val="none" w:sz="0" w:space="0" w:color="auto"/>
      </w:divBdr>
    </w:div>
    <w:div w:id="693655443">
      <w:marLeft w:val="0"/>
      <w:marRight w:val="0"/>
      <w:marTop w:val="100"/>
      <w:marBottom w:val="0"/>
      <w:divBdr>
        <w:top w:val="none" w:sz="0" w:space="0" w:color="auto"/>
        <w:left w:val="none" w:sz="0" w:space="0" w:color="auto"/>
        <w:bottom w:val="none" w:sz="0" w:space="0" w:color="auto"/>
        <w:right w:val="none" w:sz="0" w:space="0" w:color="auto"/>
      </w:divBdr>
    </w:div>
    <w:div w:id="696198861">
      <w:marLeft w:val="0"/>
      <w:marRight w:val="0"/>
      <w:marTop w:val="0"/>
      <w:marBottom w:val="0"/>
      <w:divBdr>
        <w:top w:val="none" w:sz="0" w:space="0" w:color="auto"/>
        <w:left w:val="none" w:sz="0" w:space="0" w:color="auto"/>
        <w:bottom w:val="none" w:sz="0" w:space="0" w:color="auto"/>
        <w:right w:val="none" w:sz="0" w:space="0" w:color="auto"/>
      </w:divBdr>
      <w:divsChild>
        <w:div w:id="500896240">
          <w:marLeft w:val="0"/>
          <w:marRight w:val="0"/>
          <w:marTop w:val="0"/>
          <w:marBottom w:val="0"/>
          <w:divBdr>
            <w:top w:val="none" w:sz="0" w:space="0" w:color="auto"/>
            <w:left w:val="none" w:sz="0" w:space="0" w:color="auto"/>
            <w:bottom w:val="none" w:sz="0" w:space="0" w:color="auto"/>
            <w:right w:val="none" w:sz="0" w:space="0" w:color="auto"/>
          </w:divBdr>
        </w:div>
      </w:divsChild>
    </w:div>
    <w:div w:id="696464881">
      <w:marLeft w:val="0"/>
      <w:marRight w:val="0"/>
      <w:marTop w:val="100"/>
      <w:marBottom w:val="0"/>
      <w:divBdr>
        <w:top w:val="none" w:sz="0" w:space="0" w:color="auto"/>
        <w:left w:val="none" w:sz="0" w:space="0" w:color="auto"/>
        <w:bottom w:val="none" w:sz="0" w:space="0" w:color="auto"/>
        <w:right w:val="none" w:sz="0" w:space="0" w:color="auto"/>
      </w:divBdr>
    </w:div>
    <w:div w:id="696540345">
      <w:marLeft w:val="0"/>
      <w:marRight w:val="0"/>
      <w:marTop w:val="100"/>
      <w:marBottom w:val="0"/>
      <w:divBdr>
        <w:top w:val="none" w:sz="0" w:space="0" w:color="auto"/>
        <w:left w:val="none" w:sz="0" w:space="0" w:color="auto"/>
        <w:bottom w:val="none" w:sz="0" w:space="0" w:color="auto"/>
        <w:right w:val="none" w:sz="0" w:space="0" w:color="auto"/>
      </w:divBdr>
    </w:div>
    <w:div w:id="698818991">
      <w:marLeft w:val="0"/>
      <w:marRight w:val="0"/>
      <w:marTop w:val="0"/>
      <w:marBottom w:val="0"/>
      <w:divBdr>
        <w:top w:val="none" w:sz="0" w:space="0" w:color="auto"/>
        <w:left w:val="none" w:sz="0" w:space="0" w:color="auto"/>
        <w:bottom w:val="none" w:sz="0" w:space="0" w:color="auto"/>
        <w:right w:val="none" w:sz="0" w:space="0" w:color="auto"/>
      </w:divBdr>
      <w:divsChild>
        <w:div w:id="614363629">
          <w:marLeft w:val="0"/>
          <w:marRight w:val="0"/>
          <w:marTop w:val="0"/>
          <w:marBottom w:val="0"/>
          <w:divBdr>
            <w:top w:val="none" w:sz="0" w:space="0" w:color="auto"/>
            <w:left w:val="none" w:sz="0" w:space="0" w:color="auto"/>
            <w:bottom w:val="none" w:sz="0" w:space="0" w:color="auto"/>
            <w:right w:val="none" w:sz="0" w:space="0" w:color="auto"/>
          </w:divBdr>
        </w:div>
      </w:divsChild>
    </w:div>
    <w:div w:id="700790674">
      <w:marLeft w:val="0"/>
      <w:marRight w:val="0"/>
      <w:marTop w:val="100"/>
      <w:marBottom w:val="0"/>
      <w:divBdr>
        <w:top w:val="none" w:sz="0" w:space="0" w:color="auto"/>
        <w:left w:val="none" w:sz="0" w:space="0" w:color="auto"/>
        <w:bottom w:val="none" w:sz="0" w:space="0" w:color="auto"/>
        <w:right w:val="none" w:sz="0" w:space="0" w:color="auto"/>
      </w:divBdr>
    </w:div>
    <w:div w:id="701631161">
      <w:marLeft w:val="0"/>
      <w:marRight w:val="0"/>
      <w:marTop w:val="280"/>
      <w:marBottom w:val="0"/>
      <w:divBdr>
        <w:top w:val="none" w:sz="0" w:space="0" w:color="auto"/>
        <w:left w:val="none" w:sz="0" w:space="0" w:color="auto"/>
        <w:bottom w:val="none" w:sz="0" w:space="0" w:color="auto"/>
        <w:right w:val="none" w:sz="0" w:space="0" w:color="auto"/>
      </w:divBdr>
    </w:div>
    <w:div w:id="701781697">
      <w:marLeft w:val="0"/>
      <w:marRight w:val="0"/>
      <w:marTop w:val="60"/>
      <w:marBottom w:val="0"/>
      <w:divBdr>
        <w:top w:val="none" w:sz="0" w:space="0" w:color="auto"/>
        <w:left w:val="none" w:sz="0" w:space="0" w:color="auto"/>
        <w:bottom w:val="none" w:sz="0" w:space="0" w:color="auto"/>
        <w:right w:val="none" w:sz="0" w:space="0" w:color="auto"/>
      </w:divBdr>
    </w:div>
    <w:div w:id="702828615">
      <w:marLeft w:val="0"/>
      <w:marRight w:val="0"/>
      <w:marTop w:val="100"/>
      <w:marBottom w:val="0"/>
      <w:divBdr>
        <w:top w:val="none" w:sz="0" w:space="0" w:color="auto"/>
        <w:left w:val="none" w:sz="0" w:space="0" w:color="auto"/>
        <w:bottom w:val="none" w:sz="0" w:space="0" w:color="auto"/>
        <w:right w:val="none" w:sz="0" w:space="0" w:color="auto"/>
      </w:divBdr>
    </w:div>
    <w:div w:id="703362067">
      <w:marLeft w:val="0"/>
      <w:marRight w:val="0"/>
      <w:marTop w:val="100"/>
      <w:marBottom w:val="0"/>
      <w:divBdr>
        <w:top w:val="none" w:sz="0" w:space="0" w:color="auto"/>
        <w:left w:val="none" w:sz="0" w:space="0" w:color="auto"/>
        <w:bottom w:val="none" w:sz="0" w:space="0" w:color="auto"/>
        <w:right w:val="none" w:sz="0" w:space="0" w:color="auto"/>
      </w:divBdr>
    </w:div>
    <w:div w:id="704327025">
      <w:marLeft w:val="0"/>
      <w:marRight w:val="0"/>
      <w:marTop w:val="280"/>
      <w:marBottom w:val="0"/>
      <w:divBdr>
        <w:top w:val="none" w:sz="0" w:space="0" w:color="auto"/>
        <w:left w:val="none" w:sz="0" w:space="0" w:color="auto"/>
        <w:bottom w:val="none" w:sz="0" w:space="0" w:color="auto"/>
        <w:right w:val="none" w:sz="0" w:space="0" w:color="auto"/>
      </w:divBdr>
    </w:div>
    <w:div w:id="705258603">
      <w:marLeft w:val="0"/>
      <w:marRight w:val="0"/>
      <w:marTop w:val="0"/>
      <w:marBottom w:val="0"/>
      <w:divBdr>
        <w:top w:val="none" w:sz="0" w:space="0" w:color="auto"/>
        <w:left w:val="none" w:sz="0" w:space="0" w:color="auto"/>
        <w:bottom w:val="none" w:sz="0" w:space="0" w:color="auto"/>
        <w:right w:val="none" w:sz="0" w:space="0" w:color="auto"/>
      </w:divBdr>
      <w:divsChild>
        <w:div w:id="564612666">
          <w:marLeft w:val="0"/>
          <w:marRight w:val="0"/>
          <w:marTop w:val="0"/>
          <w:marBottom w:val="0"/>
          <w:divBdr>
            <w:top w:val="none" w:sz="0" w:space="0" w:color="auto"/>
            <w:left w:val="none" w:sz="0" w:space="0" w:color="auto"/>
            <w:bottom w:val="none" w:sz="0" w:space="0" w:color="auto"/>
            <w:right w:val="none" w:sz="0" w:space="0" w:color="auto"/>
          </w:divBdr>
        </w:div>
      </w:divsChild>
    </w:div>
    <w:div w:id="705762838">
      <w:marLeft w:val="0"/>
      <w:marRight w:val="0"/>
      <w:marTop w:val="60"/>
      <w:marBottom w:val="0"/>
      <w:divBdr>
        <w:top w:val="none" w:sz="0" w:space="0" w:color="auto"/>
        <w:left w:val="none" w:sz="0" w:space="0" w:color="auto"/>
        <w:bottom w:val="none" w:sz="0" w:space="0" w:color="auto"/>
        <w:right w:val="none" w:sz="0" w:space="0" w:color="auto"/>
      </w:divBdr>
    </w:div>
    <w:div w:id="709188820">
      <w:marLeft w:val="0"/>
      <w:marRight w:val="0"/>
      <w:marTop w:val="40"/>
      <w:marBottom w:val="100"/>
      <w:divBdr>
        <w:top w:val="none" w:sz="0" w:space="0" w:color="auto"/>
        <w:left w:val="none" w:sz="0" w:space="0" w:color="auto"/>
        <w:bottom w:val="none" w:sz="0" w:space="0" w:color="auto"/>
        <w:right w:val="none" w:sz="0" w:space="0" w:color="auto"/>
      </w:divBdr>
      <w:divsChild>
        <w:div w:id="1747612418">
          <w:marLeft w:val="0"/>
          <w:marRight w:val="0"/>
          <w:marTop w:val="0"/>
          <w:marBottom w:val="0"/>
          <w:divBdr>
            <w:top w:val="none" w:sz="0" w:space="0" w:color="auto"/>
            <w:left w:val="none" w:sz="0" w:space="0" w:color="auto"/>
            <w:bottom w:val="none" w:sz="0" w:space="0" w:color="auto"/>
            <w:right w:val="none" w:sz="0" w:space="0" w:color="auto"/>
          </w:divBdr>
        </w:div>
        <w:div w:id="1312128729">
          <w:marLeft w:val="0"/>
          <w:marRight w:val="0"/>
          <w:marTop w:val="0"/>
          <w:marBottom w:val="0"/>
          <w:divBdr>
            <w:top w:val="none" w:sz="0" w:space="0" w:color="auto"/>
            <w:left w:val="none" w:sz="0" w:space="0" w:color="auto"/>
            <w:bottom w:val="none" w:sz="0" w:space="0" w:color="auto"/>
            <w:right w:val="none" w:sz="0" w:space="0" w:color="auto"/>
          </w:divBdr>
        </w:div>
        <w:div w:id="25569875">
          <w:marLeft w:val="0"/>
          <w:marRight w:val="0"/>
          <w:marTop w:val="0"/>
          <w:marBottom w:val="0"/>
          <w:divBdr>
            <w:top w:val="none" w:sz="0" w:space="0" w:color="auto"/>
            <w:left w:val="none" w:sz="0" w:space="0" w:color="auto"/>
            <w:bottom w:val="none" w:sz="0" w:space="0" w:color="auto"/>
            <w:right w:val="none" w:sz="0" w:space="0" w:color="auto"/>
          </w:divBdr>
        </w:div>
        <w:div w:id="1303928443">
          <w:marLeft w:val="0"/>
          <w:marRight w:val="0"/>
          <w:marTop w:val="0"/>
          <w:marBottom w:val="0"/>
          <w:divBdr>
            <w:top w:val="none" w:sz="0" w:space="0" w:color="auto"/>
            <w:left w:val="none" w:sz="0" w:space="0" w:color="auto"/>
            <w:bottom w:val="none" w:sz="0" w:space="0" w:color="auto"/>
            <w:right w:val="none" w:sz="0" w:space="0" w:color="auto"/>
          </w:divBdr>
        </w:div>
        <w:div w:id="769009230">
          <w:marLeft w:val="0"/>
          <w:marRight w:val="0"/>
          <w:marTop w:val="0"/>
          <w:marBottom w:val="0"/>
          <w:divBdr>
            <w:top w:val="none" w:sz="0" w:space="0" w:color="auto"/>
            <w:left w:val="none" w:sz="0" w:space="0" w:color="auto"/>
            <w:bottom w:val="none" w:sz="0" w:space="0" w:color="auto"/>
            <w:right w:val="none" w:sz="0" w:space="0" w:color="auto"/>
          </w:divBdr>
        </w:div>
        <w:div w:id="335110593">
          <w:marLeft w:val="0"/>
          <w:marRight w:val="0"/>
          <w:marTop w:val="0"/>
          <w:marBottom w:val="0"/>
          <w:divBdr>
            <w:top w:val="none" w:sz="0" w:space="0" w:color="auto"/>
            <w:left w:val="none" w:sz="0" w:space="0" w:color="auto"/>
            <w:bottom w:val="none" w:sz="0" w:space="0" w:color="auto"/>
            <w:right w:val="none" w:sz="0" w:space="0" w:color="auto"/>
          </w:divBdr>
        </w:div>
        <w:div w:id="1002899872">
          <w:marLeft w:val="0"/>
          <w:marRight w:val="0"/>
          <w:marTop w:val="0"/>
          <w:marBottom w:val="0"/>
          <w:divBdr>
            <w:top w:val="none" w:sz="0" w:space="0" w:color="auto"/>
            <w:left w:val="none" w:sz="0" w:space="0" w:color="auto"/>
            <w:bottom w:val="none" w:sz="0" w:space="0" w:color="auto"/>
            <w:right w:val="none" w:sz="0" w:space="0" w:color="auto"/>
          </w:divBdr>
        </w:div>
      </w:divsChild>
    </w:div>
    <w:div w:id="709573969">
      <w:marLeft w:val="0"/>
      <w:marRight w:val="0"/>
      <w:marTop w:val="100"/>
      <w:marBottom w:val="0"/>
      <w:divBdr>
        <w:top w:val="none" w:sz="0" w:space="0" w:color="auto"/>
        <w:left w:val="none" w:sz="0" w:space="0" w:color="auto"/>
        <w:bottom w:val="none" w:sz="0" w:space="0" w:color="auto"/>
        <w:right w:val="none" w:sz="0" w:space="0" w:color="auto"/>
      </w:divBdr>
    </w:div>
    <w:div w:id="710151438">
      <w:marLeft w:val="0"/>
      <w:marRight w:val="0"/>
      <w:marTop w:val="100"/>
      <w:marBottom w:val="0"/>
      <w:divBdr>
        <w:top w:val="none" w:sz="0" w:space="0" w:color="auto"/>
        <w:left w:val="none" w:sz="0" w:space="0" w:color="auto"/>
        <w:bottom w:val="none" w:sz="0" w:space="0" w:color="auto"/>
        <w:right w:val="none" w:sz="0" w:space="0" w:color="auto"/>
      </w:divBdr>
    </w:div>
    <w:div w:id="711465457">
      <w:marLeft w:val="0"/>
      <w:marRight w:val="0"/>
      <w:marTop w:val="100"/>
      <w:marBottom w:val="0"/>
      <w:divBdr>
        <w:top w:val="none" w:sz="0" w:space="0" w:color="auto"/>
        <w:left w:val="none" w:sz="0" w:space="0" w:color="auto"/>
        <w:bottom w:val="none" w:sz="0" w:space="0" w:color="auto"/>
        <w:right w:val="none" w:sz="0" w:space="0" w:color="auto"/>
      </w:divBdr>
    </w:div>
    <w:div w:id="711996388">
      <w:marLeft w:val="0"/>
      <w:marRight w:val="0"/>
      <w:marTop w:val="0"/>
      <w:marBottom w:val="0"/>
      <w:divBdr>
        <w:top w:val="none" w:sz="0" w:space="0" w:color="auto"/>
        <w:left w:val="none" w:sz="0" w:space="0" w:color="auto"/>
        <w:bottom w:val="none" w:sz="0" w:space="0" w:color="auto"/>
        <w:right w:val="none" w:sz="0" w:space="0" w:color="auto"/>
      </w:divBdr>
      <w:divsChild>
        <w:div w:id="921186023">
          <w:marLeft w:val="0"/>
          <w:marRight w:val="0"/>
          <w:marTop w:val="0"/>
          <w:marBottom w:val="0"/>
          <w:divBdr>
            <w:top w:val="none" w:sz="0" w:space="0" w:color="auto"/>
            <w:left w:val="none" w:sz="0" w:space="0" w:color="auto"/>
            <w:bottom w:val="none" w:sz="0" w:space="0" w:color="auto"/>
            <w:right w:val="none" w:sz="0" w:space="0" w:color="auto"/>
          </w:divBdr>
        </w:div>
        <w:div w:id="1693606593">
          <w:marLeft w:val="0"/>
          <w:marRight w:val="0"/>
          <w:marTop w:val="0"/>
          <w:marBottom w:val="0"/>
          <w:divBdr>
            <w:top w:val="none" w:sz="0" w:space="0" w:color="auto"/>
            <w:left w:val="none" w:sz="0" w:space="0" w:color="auto"/>
            <w:bottom w:val="none" w:sz="0" w:space="0" w:color="auto"/>
            <w:right w:val="none" w:sz="0" w:space="0" w:color="auto"/>
          </w:divBdr>
        </w:div>
      </w:divsChild>
    </w:div>
    <w:div w:id="712115047">
      <w:marLeft w:val="0"/>
      <w:marRight w:val="0"/>
      <w:marTop w:val="0"/>
      <w:marBottom w:val="0"/>
      <w:divBdr>
        <w:top w:val="none" w:sz="0" w:space="0" w:color="auto"/>
        <w:left w:val="none" w:sz="0" w:space="0" w:color="auto"/>
        <w:bottom w:val="none" w:sz="0" w:space="0" w:color="auto"/>
        <w:right w:val="none" w:sz="0" w:space="0" w:color="auto"/>
      </w:divBdr>
      <w:divsChild>
        <w:div w:id="1957176711">
          <w:marLeft w:val="0"/>
          <w:marRight w:val="0"/>
          <w:marTop w:val="0"/>
          <w:marBottom w:val="0"/>
          <w:divBdr>
            <w:top w:val="none" w:sz="0" w:space="0" w:color="auto"/>
            <w:left w:val="none" w:sz="0" w:space="0" w:color="auto"/>
            <w:bottom w:val="none" w:sz="0" w:space="0" w:color="auto"/>
            <w:right w:val="none" w:sz="0" w:space="0" w:color="auto"/>
          </w:divBdr>
        </w:div>
        <w:div w:id="1210190236">
          <w:marLeft w:val="0"/>
          <w:marRight w:val="0"/>
          <w:marTop w:val="0"/>
          <w:marBottom w:val="0"/>
          <w:divBdr>
            <w:top w:val="none" w:sz="0" w:space="0" w:color="auto"/>
            <w:left w:val="none" w:sz="0" w:space="0" w:color="auto"/>
            <w:bottom w:val="none" w:sz="0" w:space="0" w:color="auto"/>
            <w:right w:val="none" w:sz="0" w:space="0" w:color="auto"/>
          </w:divBdr>
        </w:div>
      </w:divsChild>
    </w:div>
    <w:div w:id="714626637">
      <w:marLeft w:val="0"/>
      <w:marRight w:val="0"/>
      <w:marTop w:val="100"/>
      <w:marBottom w:val="0"/>
      <w:divBdr>
        <w:top w:val="none" w:sz="0" w:space="0" w:color="auto"/>
        <w:left w:val="none" w:sz="0" w:space="0" w:color="auto"/>
        <w:bottom w:val="none" w:sz="0" w:space="0" w:color="auto"/>
        <w:right w:val="none" w:sz="0" w:space="0" w:color="auto"/>
      </w:divBdr>
    </w:div>
    <w:div w:id="715852726">
      <w:marLeft w:val="0"/>
      <w:marRight w:val="0"/>
      <w:marTop w:val="100"/>
      <w:marBottom w:val="0"/>
      <w:divBdr>
        <w:top w:val="none" w:sz="0" w:space="0" w:color="auto"/>
        <w:left w:val="none" w:sz="0" w:space="0" w:color="auto"/>
        <w:bottom w:val="none" w:sz="0" w:space="0" w:color="auto"/>
        <w:right w:val="none" w:sz="0" w:space="0" w:color="auto"/>
      </w:divBdr>
    </w:div>
    <w:div w:id="716004694">
      <w:marLeft w:val="0"/>
      <w:marRight w:val="0"/>
      <w:marTop w:val="100"/>
      <w:marBottom w:val="0"/>
      <w:divBdr>
        <w:top w:val="none" w:sz="0" w:space="0" w:color="auto"/>
        <w:left w:val="none" w:sz="0" w:space="0" w:color="auto"/>
        <w:bottom w:val="none" w:sz="0" w:space="0" w:color="auto"/>
        <w:right w:val="none" w:sz="0" w:space="0" w:color="auto"/>
      </w:divBdr>
    </w:div>
    <w:div w:id="716901914">
      <w:marLeft w:val="0"/>
      <w:marRight w:val="0"/>
      <w:marTop w:val="60"/>
      <w:marBottom w:val="0"/>
      <w:divBdr>
        <w:top w:val="none" w:sz="0" w:space="0" w:color="auto"/>
        <w:left w:val="none" w:sz="0" w:space="0" w:color="auto"/>
        <w:bottom w:val="none" w:sz="0" w:space="0" w:color="auto"/>
        <w:right w:val="none" w:sz="0" w:space="0" w:color="auto"/>
      </w:divBdr>
    </w:div>
    <w:div w:id="719208017">
      <w:marLeft w:val="0"/>
      <w:marRight w:val="0"/>
      <w:marTop w:val="60"/>
      <w:marBottom w:val="0"/>
      <w:divBdr>
        <w:top w:val="none" w:sz="0" w:space="0" w:color="auto"/>
        <w:left w:val="none" w:sz="0" w:space="0" w:color="auto"/>
        <w:bottom w:val="none" w:sz="0" w:space="0" w:color="auto"/>
        <w:right w:val="none" w:sz="0" w:space="0" w:color="auto"/>
      </w:divBdr>
    </w:div>
    <w:div w:id="720831138">
      <w:marLeft w:val="0"/>
      <w:marRight w:val="0"/>
      <w:marTop w:val="100"/>
      <w:marBottom w:val="0"/>
      <w:divBdr>
        <w:top w:val="none" w:sz="0" w:space="0" w:color="auto"/>
        <w:left w:val="none" w:sz="0" w:space="0" w:color="auto"/>
        <w:bottom w:val="none" w:sz="0" w:space="0" w:color="auto"/>
        <w:right w:val="none" w:sz="0" w:space="0" w:color="auto"/>
      </w:divBdr>
    </w:div>
    <w:div w:id="721366609">
      <w:marLeft w:val="0"/>
      <w:marRight w:val="0"/>
      <w:marTop w:val="60"/>
      <w:marBottom w:val="0"/>
      <w:divBdr>
        <w:top w:val="none" w:sz="0" w:space="0" w:color="auto"/>
        <w:left w:val="none" w:sz="0" w:space="0" w:color="auto"/>
        <w:bottom w:val="none" w:sz="0" w:space="0" w:color="auto"/>
        <w:right w:val="none" w:sz="0" w:space="0" w:color="auto"/>
      </w:divBdr>
    </w:div>
    <w:div w:id="725303476">
      <w:marLeft w:val="0"/>
      <w:marRight w:val="0"/>
      <w:marTop w:val="100"/>
      <w:marBottom w:val="0"/>
      <w:divBdr>
        <w:top w:val="none" w:sz="0" w:space="0" w:color="auto"/>
        <w:left w:val="none" w:sz="0" w:space="0" w:color="auto"/>
        <w:bottom w:val="none" w:sz="0" w:space="0" w:color="auto"/>
        <w:right w:val="none" w:sz="0" w:space="0" w:color="auto"/>
      </w:divBdr>
    </w:div>
    <w:div w:id="727269279">
      <w:marLeft w:val="0"/>
      <w:marRight w:val="0"/>
      <w:marTop w:val="0"/>
      <w:marBottom w:val="0"/>
      <w:divBdr>
        <w:top w:val="none" w:sz="0" w:space="0" w:color="auto"/>
        <w:left w:val="none" w:sz="0" w:space="0" w:color="auto"/>
        <w:bottom w:val="none" w:sz="0" w:space="0" w:color="auto"/>
        <w:right w:val="none" w:sz="0" w:space="0" w:color="auto"/>
      </w:divBdr>
    </w:div>
    <w:div w:id="727340617">
      <w:marLeft w:val="0"/>
      <w:marRight w:val="0"/>
      <w:marTop w:val="100"/>
      <w:marBottom w:val="0"/>
      <w:divBdr>
        <w:top w:val="none" w:sz="0" w:space="0" w:color="auto"/>
        <w:left w:val="none" w:sz="0" w:space="0" w:color="auto"/>
        <w:bottom w:val="none" w:sz="0" w:space="0" w:color="auto"/>
        <w:right w:val="none" w:sz="0" w:space="0" w:color="auto"/>
      </w:divBdr>
      <w:divsChild>
        <w:div w:id="1199778998">
          <w:marLeft w:val="0"/>
          <w:marRight w:val="0"/>
          <w:marTop w:val="0"/>
          <w:marBottom w:val="0"/>
          <w:divBdr>
            <w:top w:val="none" w:sz="0" w:space="0" w:color="auto"/>
            <w:left w:val="none" w:sz="0" w:space="0" w:color="auto"/>
            <w:bottom w:val="none" w:sz="0" w:space="0" w:color="auto"/>
            <w:right w:val="none" w:sz="0" w:space="0" w:color="auto"/>
          </w:divBdr>
        </w:div>
        <w:div w:id="1566649569">
          <w:marLeft w:val="0"/>
          <w:marRight w:val="0"/>
          <w:marTop w:val="0"/>
          <w:marBottom w:val="0"/>
          <w:divBdr>
            <w:top w:val="none" w:sz="0" w:space="0" w:color="auto"/>
            <w:left w:val="none" w:sz="0" w:space="0" w:color="auto"/>
            <w:bottom w:val="none" w:sz="0" w:space="0" w:color="auto"/>
            <w:right w:val="none" w:sz="0" w:space="0" w:color="auto"/>
          </w:divBdr>
        </w:div>
        <w:div w:id="1272393628">
          <w:marLeft w:val="0"/>
          <w:marRight w:val="0"/>
          <w:marTop w:val="0"/>
          <w:marBottom w:val="0"/>
          <w:divBdr>
            <w:top w:val="none" w:sz="0" w:space="0" w:color="auto"/>
            <w:left w:val="none" w:sz="0" w:space="0" w:color="auto"/>
            <w:bottom w:val="none" w:sz="0" w:space="0" w:color="auto"/>
            <w:right w:val="none" w:sz="0" w:space="0" w:color="auto"/>
          </w:divBdr>
        </w:div>
      </w:divsChild>
    </w:div>
    <w:div w:id="727344575">
      <w:marLeft w:val="0"/>
      <w:marRight w:val="0"/>
      <w:marTop w:val="100"/>
      <w:marBottom w:val="0"/>
      <w:divBdr>
        <w:top w:val="none" w:sz="0" w:space="0" w:color="auto"/>
        <w:left w:val="none" w:sz="0" w:space="0" w:color="auto"/>
        <w:bottom w:val="none" w:sz="0" w:space="0" w:color="auto"/>
        <w:right w:val="none" w:sz="0" w:space="0" w:color="auto"/>
      </w:divBdr>
    </w:div>
    <w:div w:id="727416180">
      <w:marLeft w:val="0"/>
      <w:marRight w:val="0"/>
      <w:marTop w:val="100"/>
      <w:marBottom w:val="0"/>
      <w:divBdr>
        <w:top w:val="none" w:sz="0" w:space="0" w:color="auto"/>
        <w:left w:val="none" w:sz="0" w:space="0" w:color="auto"/>
        <w:bottom w:val="none" w:sz="0" w:space="0" w:color="auto"/>
        <w:right w:val="none" w:sz="0" w:space="0" w:color="auto"/>
      </w:divBdr>
    </w:div>
    <w:div w:id="729159146">
      <w:marLeft w:val="0"/>
      <w:marRight w:val="0"/>
      <w:marTop w:val="100"/>
      <w:marBottom w:val="0"/>
      <w:divBdr>
        <w:top w:val="none" w:sz="0" w:space="0" w:color="auto"/>
        <w:left w:val="none" w:sz="0" w:space="0" w:color="auto"/>
        <w:bottom w:val="none" w:sz="0" w:space="0" w:color="auto"/>
        <w:right w:val="none" w:sz="0" w:space="0" w:color="auto"/>
      </w:divBdr>
    </w:div>
    <w:div w:id="732460204">
      <w:marLeft w:val="0"/>
      <w:marRight w:val="0"/>
      <w:marTop w:val="100"/>
      <w:marBottom w:val="0"/>
      <w:divBdr>
        <w:top w:val="none" w:sz="0" w:space="0" w:color="auto"/>
        <w:left w:val="none" w:sz="0" w:space="0" w:color="auto"/>
        <w:bottom w:val="none" w:sz="0" w:space="0" w:color="auto"/>
        <w:right w:val="none" w:sz="0" w:space="0" w:color="auto"/>
      </w:divBdr>
    </w:div>
    <w:div w:id="734936542">
      <w:marLeft w:val="0"/>
      <w:marRight w:val="0"/>
      <w:marTop w:val="280"/>
      <w:marBottom w:val="0"/>
      <w:divBdr>
        <w:top w:val="none" w:sz="0" w:space="0" w:color="auto"/>
        <w:left w:val="none" w:sz="0" w:space="0" w:color="auto"/>
        <w:bottom w:val="none" w:sz="0" w:space="0" w:color="auto"/>
        <w:right w:val="none" w:sz="0" w:space="0" w:color="auto"/>
      </w:divBdr>
    </w:div>
    <w:div w:id="735204622">
      <w:marLeft w:val="0"/>
      <w:marRight w:val="0"/>
      <w:marTop w:val="100"/>
      <w:marBottom w:val="0"/>
      <w:divBdr>
        <w:top w:val="none" w:sz="0" w:space="0" w:color="auto"/>
        <w:left w:val="none" w:sz="0" w:space="0" w:color="auto"/>
        <w:bottom w:val="none" w:sz="0" w:space="0" w:color="auto"/>
        <w:right w:val="none" w:sz="0" w:space="0" w:color="auto"/>
      </w:divBdr>
    </w:div>
    <w:div w:id="737363860">
      <w:marLeft w:val="0"/>
      <w:marRight w:val="0"/>
      <w:marTop w:val="60"/>
      <w:marBottom w:val="0"/>
      <w:divBdr>
        <w:top w:val="none" w:sz="0" w:space="0" w:color="auto"/>
        <w:left w:val="none" w:sz="0" w:space="0" w:color="auto"/>
        <w:bottom w:val="none" w:sz="0" w:space="0" w:color="auto"/>
        <w:right w:val="none" w:sz="0" w:space="0" w:color="auto"/>
      </w:divBdr>
    </w:div>
    <w:div w:id="737747419">
      <w:marLeft w:val="0"/>
      <w:marRight w:val="0"/>
      <w:marTop w:val="100"/>
      <w:marBottom w:val="0"/>
      <w:divBdr>
        <w:top w:val="none" w:sz="0" w:space="0" w:color="auto"/>
        <w:left w:val="none" w:sz="0" w:space="0" w:color="auto"/>
        <w:bottom w:val="none" w:sz="0" w:space="0" w:color="auto"/>
        <w:right w:val="none" w:sz="0" w:space="0" w:color="auto"/>
      </w:divBdr>
    </w:div>
    <w:div w:id="738599285">
      <w:marLeft w:val="0"/>
      <w:marRight w:val="0"/>
      <w:marTop w:val="100"/>
      <w:marBottom w:val="0"/>
      <w:divBdr>
        <w:top w:val="none" w:sz="0" w:space="0" w:color="auto"/>
        <w:left w:val="none" w:sz="0" w:space="0" w:color="auto"/>
        <w:bottom w:val="none" w:sz="0" w:space="0" w:color="auto"/>
        <w:right w:val="none" w:sz="0" w:space="0" w:color="auto"/>
      </w:divBdr>
    </w:div>
    <w:div w:id="742414307">
      <w:marLeft w:val="0"/>
      <w:marRight w:val="0"/>
      <w:marTop w:val="100"/>
      <w:marBottom w:val="0"/>
      <w:divBdr>
        <w:top w:val="none" w:sz="0" w:space="0" w:color="auto"/>
        <w:left w:val="none" w:sz="0" w:space="0" w:color="auto"/>
        <w:bottom w:val="none" w:sz="0" w:space="0" w:color="auto"/>
        <w:right w:val="none" w:sz="0" w:space="0" w:color="auto"/>
      </w:divBdr>
    </w:div>
    <w:div w:id="744375013">
      <w:marLeft w:val="0"/>
      <w:marRight w:val="0"/>
      <w:marTop w:val="100"/>
      <w:marBottom w:val="0"/>
      <w:divBdr>
        <w:top w:val="none" w:sz="0" w:space="0" w:color="auto"/>
        <w:left w:val="none" w:sz="0" w:space="0" w:color="auto"/>
        <w:bottom w:val="none" w:sz="0" w:space="0" w:color="auto"/>
        <w:right w:val="none" w:sz="0" w:space="0" w:color="auto"/>
      </w:divBdr>
    </w:div>
    <w:div w:id="745109847">
      <w:marLeft w:val="0"/>
      <w:marRight w:val="0"/>
      <w:marTop w:val="280"/>
      <w:marBottom w:val="0"/>
      <w:divBdr>
        <w:top w:val="none" w:sz="0" w:space="0" w:color="auto"/>
        <w:left w:val="none" w:sz="0" w:space="0" w:color="auto"/>
        <w:bottom w:val="none" w:sz="0" w:space="0" w:color="auto"/>
        <w:right w:val="none" w:sz="0" w:space="0" w:color="auto"/>
      </w:divBdr>
    </w:div>
    <w:div w:id="745226474">
      <w:marLeft w:val="0"/>
      <w:marRight w:val="0"/>
      <w:marTop w:val="60"/>
      <w:marBottom w:val="0"/>
      <w:divBdr>
        <w:top w:val="none" w:sz="0" w:space="0" w:color="auto"/>
        <w:left w:val="none" w:sz="0" w:space="0" w:color="auto"/>
        <w:bottom w:val="none" w:sz="0" w:space="0" w:color="auto"/>
        <w:right w:val="none" w:sz="0" w:space="0" w:color="auto"/>
      </w:divBdr>
    </w:div>
    <w:div w:id="746851684">
      <w:marLeft w:val="0"/>
      <w:marRight w:val="0"/>
      <w:marTop w:val="100"/>
      <w:marBottom w:val="0"/>
      <w:divBdr>
        <w:top w:val="none" w:sz="0" w:space="0" w:color="auto"/>
        <w:left w:val="none" w:sz="0" w:space="0" w:color="auto"/>
        <w:bottom w:val="none" w:sz="0" w:space="0" w:color="auto"/>
        <w:right w:val="none" w:sz="0" w:space="0" w:color="auto"/>
      </w:divBdr>
    </w:div>
    <w:div w:id="748037376">
      <w:marLeft w:val="0"/>
      <w:marRight w:val="0"/>
      <w:marTop w:val="0"/>
      <w:marBottom w:val="0"/>
      <w:divBdr>
        <w:top w:val="none" w:sz="0" w:space="0" w:color="auto"/>
        <w:left w:val="none" w:sz="0" w:space="0" w:color="auto"/>
        <w:bottom w:val="none" w:sz="0" w:space="0" w:color="auto"/>
        <w:right w:val="none" w:sz="0" w:space="0" w:color="auto"/>
      </w:divBdr>
      <w:divsChild>
        <w:div w:id="311760338">
          <w:marLeft w:val="0"/>
          <w:marRight w:val="0"/>
          <w:marTop w:val="0"/>
          <w:marBottom w:val="0"/>
          <w:divBdr>
            <w:top w:val="none" w:sz="0" w:space="0" w:color="auto"/>
            <w:left w:val="none" w:sz="0" w:space="0" w:color="auto"/>
            <w:bottom w:val="none" w:sz="0" w:space="0" w:color="auto"/>
            <w:right w:val="none" w:sz="0" w:space="0" w:color="auto"/>
          </w:divBdr>
        </w:div>
        <w:div w:id="471942573">
          <w:marLeft w:val="0"/>
          <w:marRight w:val="0"/>
          <w:marTop w:val="0"/>
          <w:marBottom w:val="0"/>
          <w:divBdr>
            <w:top w:val="none" w:sz="0" w:space="0" w:color="auto"/>
            <w:left w:val="none" w:sz="0" w:space="0" w:color="auto"/>
            <w:bottom w:val="none" w:sz="0" w:space="0" w:color="auto"/>
            <w:right w:val="none" w:sz="0" w:space="0" w:color="auto"/>
          </w:divBdr>
        </w:div>
      </w:divsChild>
    </w:div>
    <w:div w:id="748230654">
      <w:marLeft w:val="0"/>
      <w:marRight w:val="0"/>
      <w:marTop w:val="0"/>
      <w:marBottom w:val="0"/>
      <w:divBdr>
        <w:top w:val="none" w:sz="0" w:space="0" w:color="auto"/>
        <w:left w:val="none" w:sz="0" w:space="0" w:color="auto"/>
        <w:bottom w:val="none" w:sz="0" w:space="0" w:color="auto"/>
        <w:right w:val="none" w:sz="0" w:space="0" w:color="auto"/>
      </w:divBdr>
      <w:divsChild>
        <w:div w:id="1805468618">
          <w:marLeft w:val="0"/>
          <w:marRight w:val="0"/>
          <w:marTop w:val="0"/>
          <w:marBottom w:val="0"/>
          <w:divBdr>
            <w:top w:val="none" w:sz="0" w:space="0" w:color="auto"/>
            <w:left w:val="none" w:sz="0" w:space="0" w:color="auto"/>
            <w:bottom w:val="none" w:sz="0" w:space="0" w:color="auto"/>
            <w:right w:val="none" w:sz="0" w:space="0" w:color="auto"/>
          </w:divBdr>
        </w:div>
      </w:divsChild>
    </w:div>
    <w:div w:id="749236927">
      <w:marLeft w:val="0"/>
      <w:marRight w:val="0"/>
      <w:marTop w:val="100"/>
      <w:marBottom w:val="0"/>
      <w:divBdr>
        <w:top w:val="none" w:sz="0" w:space="0" w:color="auto"/>
        <w:left w:val="none" w:sz="0" w:space="0" w:color="auto"/>
        <w:bottom w:val="none" w:sz="0" w:space="0" w:color="auto"/>
        <w:right w:val="none" w:sz="0" w:space="0" w:color="auto"/>
      </w:divBdr>
    </w:div>
    <w:div w:id="749273227">
      <w:marLeft w:val="0"/>
      <w:marRight w:val="0"/>
      <w:marTop w:val="280"/>
      <w:marBottom w:val="0"/>
      <w:divBdr>
        <w:top w:val="none" w:sz="0" w:space="0" w:color="auto"/>
        <w:left w:val="none" w:sz="0" w:space="0" w:color="auto"/>
        <w:bottom w:val="none" w:sz="0" w:space="0" w:color="auto"/>
        <w:right w:val="none" w:sz="0" w:space="0" w:color="auto"/>
      </w:divBdr>
    </w:div>
    <w:div w:id="752629298">
      <w:marLeft w:val="0"/>
      <w:marRight w:val="0"/>
      <w:marTop w:val="100"/>
      <w:marBottom w:val="0"/>
      <w:divBdr>
        <w:top w:val="none" w:sz="0" w:space="0" w:color="auto"/>
        <w:left w:val="none" w:sz="0" w:space="0" w:color="auto"/>
        <w:bottom w:val="none" w:sz="0" w:space="0" w:color="auto"/>
        <w:right w:val="none" w:sz="0" w:space="0" w:color="auto"/>
      </w:divBdr>
    </w:div>
    <w:div w:id="753665582">
      <w:marLeft w:val="0"/>
      <w:marRight w:val="0"/>
      <w:marTop w:val="100"/>
      <w:marBottom w:val="0"/>
      <w:divBdr>
        <w:top w:val="none" w:sz="0" w:space="0" w:color="auto"/>
        <w:left w:val="none" w:sz="0" w:space="0" w:color="auto"/>
        <w:bottom w:val="none" w:sz="0" w:space="0" w:color="auto"/>
        <w:right w:val="none" w:sz="0" w:space="0" w:color="auto"/>
      </w:divBdr>
    </w:div>
    <w:div w:id="755831967">
      <w:marLeft w:val="0"/>
      <w:marRight w:val="0"/>
      <w:marTop w:val="280"/>
      <w:marBottom w:val="0"/>
      <w:divBdr>
        <w:top w:val="none" w:sz="0" w:space="0" w:color="auto"/>
        <w:left w:val="none" w:sz="0" w:space="0" w:color="auto"/>
        <w:bottom w:val="none" w:sz="0" w:space="0" w:color="auto"/>
        <w:right w:val="none" w:sz="0" w:space="0" w:color="auto"/>
      </w:divBdr>
    </w:div>
    <w:div w:id="757679975">
      <w:marLeft w:val="0"/>
      <w:marRight w:val="0"/>
      <w:marTop w:val="100"/>
      <w:marBottom w:val="0"/>
      <w:divBdr>
        <w:top w:val="none" w:sz="0" w:space="0" w:color="auto"/>
        <w:left w:val="none" w:sz="0" w:space="0" w:color="auto"/>
        <w:bottom w:val="none" w:sz="0" w:space="0" w:color="auto"/>
        <w:right w:val="none" w:sz="0" w:space="0" w:color="auto"/>
      </w:divBdr>
    </w:div>
    <w:div w:id="758405231">
      <w:marLeft w:val="0"/>
      <w:marRight w:val="0"/>
      <w:marTop w:val="100"/>
      <w:marBottom w:val="0"/>
      <w:divBdr>
        <w:top w:val="none" w:sz="0" w:space="0" w:color="auto"/>
        <w:left w:val="none" w:sz="0" w:space="0" w:color="auto"/>
        <w:bottom w:val="none" w:sz="0" w:space="0" w:color="auto"/>
        <w:right w:val="none" w:sz="0" w:space="0" w:color="auto"/>
      </w:divBdr>
    </w:div>
    <w:div w:id="758915165">
      <w:marLeft w:val="0"/>
      <w:marRight w:val="0"/>
      <w:marTop w:val="180"/>
      <w:marBottom w:val="0"/>
      <w:divBdr>
        <w:top w:val="none" w:sz="0" w:space="0" w:color="auto"/>
        <w:left w:val="none" w:sz="0" w:space="0" w:color="auto"/>
        <w:bottom w:val="none" w:sz="0" w:space="0" w:color="auto"/>
        <w:right w:val="none" w:sz="0" w:space="0" w:color="auto"/>
      </w:divBdr>
    </w:div>
    <w:div w:id="759062099">
      <w:marLeft w:val="0"/>
      <w:marRight w:val="0"/>
      <w:marTop w:val="180"/>
      <w:marBottom w:val="0"/>
      <w:divBdr>
        <w:top w:val="none" w:sz="0" w:space="0" w:color="auto"/>
        <w:left w:val="none" w:sz="0" w:space="0" w:color="auto"/>
        <w:bottom w:val="none" w:sz="0" w:space="0" w:color="auto"/>
        <w:right w:val="none" w:sz="0" w:space="0" w:color="auto"/>
      </w:divBdr>
    </w:div>
    <w:div w:id="759716090">
      <w:marLeft w:val="0"/>
      <w:marRight w:val="0"/>
      <w:marTop w:val="60"/>
      <w:marBottom w:val="0"/>
      <w:divBdr>
        <w:top w:val="none" w:sz="0" w:space="0" w:color="auto"/>
        <w:left w:val="none" w:sz="0" w:space="0" w:color="auto"/>
        <w:bottom w:val="none" w:sz="0" w:space="0" w:color="auto"/>
        <w:right w:val="none" w:sz="0" w:space="0" w:color="auto"/>
      </w:divBdr>
    </w:div>
    <w:div w:id="760178591">
      <w:marLeft w:val="0"/>
      <w:marRight w:val="0"/>
      <w:marTop w:val="100"/>
      <w:marBottom w:val="0"/>
      <w:divBdr>
        <w:top w:val="none" w:sz="0" w:space="0" w:color="auto"/>
        <w:left w:val="none" w:sz="0" w:space="0" w:color="auto"/>
        <w:bottom w:val="none" w:sz="0" w:space="0" w:color="auto"/>
        <w:right w:val="none" w:sz="0" w:space="0" w:color="auto"/>
      </w:divBdr>
    </w:div>
    <w:div w:id="760217876">
      <w:marLeft w:val="0"/>
      <w:marRight w:val="0"/>
      <w:marTop w:val="100"/>
      <w:marBottom w:val="0"/>
      <w:divBdr>
        <w:top w:val="none" w:sz="0" w:space="0" w:color="auto"/>
        <w:left w:val="none" w:sz="0" w:space="0" w:color="auto"/>
        <w:bottom w:val="none" w:sz="0" w:space="0" w:color="auto"/>
        <w:right w:val="none" w:sz="0" w:space="0" w:color="auto"/>
      </w:divBdr>
    </w:div>
    <w:div w:id="760371360">
      <w:marLeft w:val="0"/>
      <w:marRight w:val="0"/>
      <w:marTop w:val="0"/>
      <w:marBottom w:val="0"/>
      <w:divBdr>
        <w:top w:val="none" w:sz="0" w:space="0" w:color="auto"/>
        <w:left w:val="none" w:sz="0" w:space="0" w:color="auto"/>
        <w:bottom w:val="none" w:sz="0" w:space="0" w:color="auto"/>
        <w:right w:val="none" w:sz="0" w:space="0" w:color="auto"/>
      </w:divBdr>
      <w:divsChild>
        <w:div w:id="160513741">
          <w:marLeft w:val="0"/>
          <w:marRight w:val="0"/>
          <w:marTop w:val="0"/>
          <w:marBottom w:val="0"/>
          <w:divBdr>
            <w:top w:val="none" w:sz="0" w:space="0" w:color="auto"/>
            <w:left w:val="none" w:sz="0" w:space="0" w:color="auto"/>
            <w:bottom w:val="none" w:sz="0" w:space="0" w:color="auto"/>
            <w:right w:val="none" w:sz="0" w:space="0" w:color="auto"/>
          </w:divBdr>
        </w:div>
        <w:div w:id="1192458376">
          <w:marLeft w:val="0"/>
          <w:marRight w:val="0"/>
          <w:marTop w:val="0"/>
          <w:marBottom w:val="0"/>
          <w:divBdr>
            <w:top w:val="none" w:sz="0" w:space="0" w:color="auto"/>
            <w:left w:val="none" w:sz="0" w:space="0" w:color="auto"/>
            <w:bottom w:val="none" w:sz="0" w:space="0" w:color="auto"/>
            <w:right w:val="none" w:sz="0" w:space="0" w:color="auto"/>
          </w:divBdr>
        </w:div>
      </w:divsChild>
    </w:div>
    <w:div w:id="760492896">
      <w:marLeft w:val="0"/>
      <w:marRight w:val="0"/>
      <w:marTop w:val="60"/>
      <w:marBottom w:val="0"/>
      <w:divBdr>
        <w:top w:val="none" w:sz="0" w:space="0" w:color="auto"/>
        <w:left w:val="none" w:sz="0" w:space="0" w:color="auto"/>
        <w:bottom w:val="none" w:sz="0" w:space="0" w:color="auto"/>
        <w:right w:val="none" w:sz="0" w:space="0" w:color="auto"/>
      </w:divBdr>
    </w:div>
    <w:div w:id="760837013">
      <w:marLeft w:val="0"/>
      <w:marRight w:val="0"/>
      <w:marTop w:val="100"/>
      <w:marBottom w:val="0"/>
      <w:divBdr>
        <w:top w:val="none" w:sz="0" w:space="0" w:color="auto"/>
        <w:left w:val="none" w:sz="0" w:space="0" w:color="auto"/>
        <w:bottom w:val="none" w:sz="0" w:space="0" w:color="auto"/>
        <w:right w:val="none" w:sz="0" w:space="0" w:color="auto"/>
      </w:divBdr>
    </w:div>
    <w:div w:id="761687592">
      <w:marLeft w:val="0"/>
      <w:marRight w:val="0"/>
      <w:marTop w:val="100"/>
      <w:marBottom w:val="0"/>
      <w:divBdr>
        <w:top w:val="none" w:sz="0" w:space="0" w:color="auto"/>
        <w:left w:val="none" w:sz="0" w:space="0" w:color="auto"/>
        <w:bottom w:val="none" w:sz="0" w:space="0" w:color="auto"/>
        <w:right w:val="none" w:sz="0" w:space="0" w:color="auto"/>
      </w:divBdr>
    </w:div>
    <w:div w:id="761949255">
      <w:marLeft w:val="0"/>
      <w:marRight w:val="0"/>
      <w:marTop w:val="100"/>
      <w:marBottom w:val="0"/>
      <w:divBdr>
        <w:top w:val="none" w:sz="0" w:space="0" w:color="auto"/>
        <w:left w:val="none" w:sz="0" w:space="0" w:color="auto"/>
        <w:bottom w:val="none" w:sz="0" w:space="0" w:color="auto"/>
        <w:right w:val="none" w:sz="0" w:space="0" w:color="auto"/>
      </w:divBdr>
    </w:div>
    <w:div w:id="762410035">
      <w:marLeft w:val="0"/>
      <w:marRight w:val="0"/>
      <w:marTop w:val="100"/>
      <w:marBottom w:val="0"/>
      <w:divBdr>
        <w:top w:val="none" w:sz="0" w:space="0" w:color="auto"/>
        <w:left w:val="none" w:sz="0" w:space="0" w:color="auto"/>
        <w:bottom w:val="none" w:sz="0" w:space="0" w:color="auto"/>
        <w:right w:val="none" w:sz="0" w:space="0" w:color="auto"/>
      </w:divBdr>
    </w:div>
    <w:div w:id="763762868">
      <w:marLeft w:val="0"/>
      <w:marRight w:val="0"/>
      <w:marTop w:val="100"/>
      <w:marBottom w:val="0"/>
      <w:divBdr>
        <w:top w:val="none" w:sz="0" w:space="0" w:color="auto"/>
        <w:left w:val="none" w:sz="0" w:space="0" w:color="auto"/>
        <w:bottom w:val="none" w:sz="0" w:space="0" w:color="auto"/>
        <w:right w:val="none" w:sz="0" w:space="0" w:color="auto"/>
      </w:divBdr>
    </w:div>
    <w:div w:id="767847960">
      <w:marLeft w:val="0"/>
      <w:marRight w:val="0"/>
      <w:marTop w:val="0"/>
      <w:marBottom w:val="0"/>
      <w:divBdr>
        <w:top w:val="none" w:sz="0" w:space="0" w:color="auto"/>
        <w:left w:val="none" w:sz="0" w:space="0" w:color="auto"/>
        <w:bottom w:val="none" w:sz="0" w:space="0" w:color="auto"/>
        <w:right w:val="none" w:sz="0" w:space="0" w:color="auto"/>
      </w:divBdr>
      <w:divsChild>
        <w:div w:id="1533423687">
          <w:marLeft w:val="0"/>
          <w:marRight w:val="0"/>
          <w:marTop w:val="0"/>
          <w:marBottom w:val="0"/>
          <w:divBdr>
            <w:top w:val="none" w:sz="0" w:space="0" w:color="auto"/>
            <w:left w:val="none" w:sz="0" w:space="0" w:color="auto"/>
            <w:bottom w:val="none" w:sz="0" w:space="0" w:color="auto"/>
            <w:right w:val="none" w:sz="0" w:space="0" w:color="auto"/>
          </w:divBdr>
        </w:div>
      </w:divsChild>
    </w:div>
    <w:div w:id="768627515">
      <w:marLeft w:val="0"/>
      <w:marRight w:val="0"/>
      <w:marTop w:val="60"/>
      <w:marBottom w:val="0"/>
      <w:divBdr>
        <w:top w:val="none" w:sz="0" w:space="0" w:color="auto"/>
        <w:left w:val="none" w:sz="0" w:space="0" w:color="auto"/>
        <w:bottom w:val="none" w:sz="0" w:space="0" w:color="auto"/>
        <w:right w:val="none" w:sz="0" w:space="0" w:color="auto"/>
      </w:divBdr>
    </w:div>
    <w:div w:id="773868707">
      <w:marLeft w:val="0"/>
      <w:marRight w:val="0"/>
      <w:marTop w:val="0"/>
      <w:marBottom w:val="0"/>
      <w:divBdr>
        <w:top w:val="none" w:sz="0" w:space="0" w:color="auto"/>
        <w:left w:val="none" w:sz="0" w:space="0" w:color="auto"/>
        <w:bottom w:val="none" w:sz="0" w:space="0" w:color="auto"/>
        <w:right w:val="none" w:sz="0" w:space="0" w:color="auto"/>
      </w:divBdr>
      <w:divsChild>
        <w:div w:id="974528689">
          <w:marLeft w:val="0"/>
          <w:marRight w:val="0"/>
          <w:marTop w:val="0"/>
          <w:marBottom w:val="0"/>
          <w:divBdr>
            <w:top w:val="none" w:sz="0" w:space="0" w:color="auto"/>
            <w:left w:val="none" w:sz="0" w:space="0" w:color="auto"/>
            <w:bottom w:val="none" w:sz="0" w:space="0" w:color="auto"/>
            <w:right w:val="none" w:sz="0" w:space="0" w:color="auto"/>
          </w:divBdr>
        </w:div>
      </w:divsChild>
    </w:div>
    <w:div w:id="774058514">
      <w:marLeft w:val="0"/>
      <w:marRight w:val="0"/>
      <w:marTop w:val="0"/>
      <w:marBottom w:val="0"/>
      <w:divBdr>
        <w:top w:val="none" w:sz="0" w:space="0" w:color="auto"/>
        <w:left w:val="none" w:sz="0" w:space="0" w:color="auto"/>
        <w:bottom w:val="none" w:sz="0" w:space="0" w:color="auto"/>
        <w:right w:val="none" w:sz="0" w:space="0" w:color="auto"/>
      </w:divBdr>
      <w:divsChild>
        <w:div w:id="2030140319">
          <w:marLeft w:val="0"/>
          <w:marRight w:val="0"/>
          <w:marTop w:val="0"/>
          <w:marBottom w:val="0"/>
          <w:divBdr>
            <w:top w:val="none" w:sz="0" w:space="0" w:color="auto"/>
            <w:left w:val="none" w:sz="0" w:space="0" w:color="auto"/>
            <w:bottom w:val="none" w:sz="0" w:space="0" w:color="auto"/>
            <w:right w:val="none" w:sz="0" w:space="0" w:color="auto"/>
          </w:divBdr>
        </w:div>
        <w:div w:id="1074934649">
          <w:marLeft w:val="0"/>
          <w:marRight w:val="0"/>
          <w:marTop w:val="0"/>
          <w:marBottom w:val="0"/>
          <w:divBdr>
            <w:top w:val="none" w:sz="0" w:space="0" w:color="auto"/>
            <w:left w:val="none" w:sz="0" w:space="0" w:color="auto"/>
            <w:bottom w:val="none" w:sz="0" w:space="0" w:color="auto"/>
            <w:right w:val="none" w:sz="0" w:space="0" w:color="auto"/>
          </w:divBdr>
        </w:div>
      </w:divsChild>
    </w:div>
    <w:div w:id="774255162">
      <w:marLeft w:val="0"/>
      <w:marRight w:val="0"/>
      <w:marTop w:val="100"/>
      <w:marBottom w:val="0"/>
      <w:divBdr>
        <w:top w:val="none" w:sz="0" w:space="0" w:color="auto"/>
        <w:left w:val="none" w:sz="0" w:space="0" w:color="auto"/>
        <w:bottom w:val="none" w:sz="0" w:space="0" w:color="auto"/>
        <w:right w:val="none" w:sz="0" w:space="0" w:color="auto"/>
      </w:divBdr>
    </w:div>
    <w:div w:id="774979739">
      <w:marLeft w:val="0"/>
      <w:marRight w:val="0"/>
      <w:marTop w:val="100"/>
      <w:marBottom w:val="0"/>
      <w:divBdr>
        <w:top w:val="none" w:sz="0" w:space="0" w:color="auto"/>
        <w:left w:val="none" w:sz="0" w:space="0" w:color="auto"/>
        <w:bottom w:val="none" w:sz="0" w:space="0" w:color="auto"/>
        <w:right w:val="none" w:sz="0" w:space="0" w:color="auto"/>
      </w:divBdr>
    </w:div>
    <w:div w:id="775832264">
      <w:marLeft w:val="0"/>
      <w:marRight w:val="0"/>
      <w:marTop w:val="0"/>
      <w:marBottom w:val="0"/>
      <w:divBdr>
        <w:top w:val="none" w:sz="0" w:space="0" w:color="auto"/>
        <w:left w:val="none" w:sz="0" w:space="0" w:color="auto"/>
        <w:bottom w:val="none" w:sz="0" w:space="0" w:color="auto"/>
        <w:right w:val="none" w:sz="0" w:space="0" w:color="auto"/>
      </w:divBdr>
    </w:div>
    <w:div w:id="776944263">
      <w:marLeft w:val="0"/>
      <w:marRight w:val="0"/>
      <w:marTop w:val="100"/>
      <w:marBottom w:val="0"/>
      <w:divBdr>
        <w:top w:val="none" w:sz="0" w:space="0" w:color="auto"/>
        <w:left w:val="none" w:sz="0" w:space="0" w:color="auto"/>
        <w:bottom w:val="none" w:sz="0" w:space="0" w:color="auto"/>
        <w:right w:val="none" w:sz="0" w:space="0" w:color="auto"/>
      </w:divBdr>
    </w:div>
    <w:div w:id="777019809">
      <w:marLeft w:val="0"/>
      <w:marRight w:val="0"/>
      <w:marTop w:val="100"/>
      <w:marBottom w:val="0"/>
      <w:divBdr>
        <w:top w:val="none" w:sz="0" w:space="0" w:color="auto"/>
        <w:left w:val="none" w:sz="0" w:space="0" w:color="auto"/>
        <w:bottom w:val="none" w:sz="0" w:space="0" w:color="auto"/>
        <w:right w:val="none" w:sz="0" w:space="0" w:color="auto"/>
      </w:divBdr>
    </w:div>
    <w:div w:id="778573843">
      <w:marLeft w:val="0"/>
      <w:marRight w:val="0"/>
      <w:marTop w:val="100"/>
      <w:marBottom w:val="0"/>
      <w:divBdr>
        <w:top w:val="none" w:sz="0" w:space="0" w:color="auto"/>
        <w:left w:val="none" w:sz="0" w:space="0" w:color="auto"/>
        <w:bottom w:val="none" w:sz="0" w:space="0" w:color="auto"/>
        <w:right w:val="none" w:sz="0" w:space="0" w:color="auto"/>
      </w:divBdr>
    </w:div>
    <w:div w:id="778912888">
      <w:marLeft w:val="0"/>
      <w:marRight w:val="0"/>
      <w:marTop w:val="60"/>
      <w:marBottom w:val="0"/>
      <w:divBdr>
        <w:top w:val="none" w:sz="0" w:space="0" w:color="auto"/>
        <w:left w:val="none" w:sz="0" w:space="0" w:color="auto"/>
        <w:bottom w:val="none" w:sz="0" w:space="0" w:color="auto"/>
        <w:right w:val="none" w:sz="0" w:space="0" w:color="auto"/>
      </w:divBdr>
    </w:div>
    <w:div w:id="779492500">
      <w:marLeft w:val="0"/>
      <w:marRight w:val="0"/>
      <w:marTop w:val="100"/>
      <w:marBottom w:val="0"/>
      <w:divBdr>
        <w:top w:val="none" w:sz="0" w:space="0" w:color="auto"/>
        <w:left w:val="none" w:sz="0" w:space="0" w:color="auto"/>
        <w:bottom w:val="none" w:sz="0" w:space="0" w:color="auto"/>
        <w:right w:val="none" w:sz="0" w:space="0" w:color="auto"/>
      </w:divBdr>
    </w:div>
    <w:div w:id="779569427">
      <w:marLeft w:val="0"/>
      <w:marRight w:val="0"/>
      <w:marTop w:val="0"/>
      <w:marBottom w:val="0"/>
      <w:divBdr>
        <w:top w:val="none" w:sz="0" w:space="0" w:color="auto"/>
        <w:left w:val="none" w:sz="0" w:space="0" w:color="auto"/>
        <w:bottom w:val="none" w:sz="0" w:space="0" w:color="auto"/>
        <w:right w:val="none" w:sz="0" w:space="0" w:color="auto"/>
      </w:divBdr>
      <w:divsChild>
        <w:div w:id="1511408366">
          <w:marLeft w:val="0"/>
          <w:marRight w:val="0"/>
          <w:marTop w:val="0"/>
          <w:marBottom w:val="0"/>
          <w:divBdr>
            <w:top w:val="none" w:sz="0" w:space="0" w:color="auto"/>
            <w:left w:val="none" w:sz="0" w:space="0" w:color="auto"/>
            <w:bottom w:val="none" w:sz="0" w:space="0" w:color="auto"/>
            <w:right w:val="none" w:sz="0" w:space="0" w:color="auto"/>
          </w:divBdr>
        </w:div>
      </w:divsChild>
    </w:div>
    <w:div w:id="782918181">
      <w:marLeft w:val="0"/>
      <w:marRight w:val="0"/>
      <w:marTop w:val="60"/>
      <w:marBottom w:val="0"/>
      <w:divBdr>
        <w:top w:val="none" w:sz="0" w:space="0" w:color="auto"/>
        <w:left w:val="none" w:sz="0" w:space="0" w:color="auto"/>
        <w:bottom w:val="none" w:sz="0" w:space="0" w:color="auto"/>
        <w:right w:val="none" w:sz="0" w:space="0" w:color="auto"/>
      </w:divBdr>
    </w:div>
    <w:div w:id="787821309">
      <w:marLeft w:val="0"/>
      <w:marRight w:val="0"/>
      <w:marTop w:val="100"/>
      <w:marBottom w:val="0"/>
      <w:divBdr>
        <w:top w:val="none" w:sz="0" w:space="0" w:color="auto"/>
        <w:left w:val="none" w:sz="0" w:space="0" w:color="auto"/>
        <w:bottom w:val="none" w:sz="0" w:space="0" w:color="auto"/>
        <w:right w:val="none" w:sz="0" w:space="0" w:color="auto"/>
      </w:divBdr>
    </w:div>
    <w:div w:id="788546983">
      <w:marLeft w:val="0"/>
      <w:marRight w:val="0"/>
      <w:marTop w:val="0"/>
      <w:marBottom w:val="0"/>
      <w:divBdr>
        <w:top w:val="none" w:sz="0" w:space="0" w:color="auto"/>
        <w:left w:val="none" w:sz="0" w:space="0" w:color="auto"/>
        <w:bottom w:val="none" w:sz="0" w:space="0" w:color="auto"/>
        <w:right w:val="none" w:sz="0" w:space="0" w:color="auto"/>
      </w:divBdr>
      <w:divsChild>
        <w:div w:id="1072584783">
          <w:marLeft w:val="0"/>
          <w:marRight w:val="0"/>
          <w:marTop w:val="0"/>
          <w:marBottom w:val="0"/>
          <w:divBdr>
            <w:top w:val="none" w:sz="0" w:space="0" w:color="auto"/>
            <w:left w:val="none" w:sz="0" w:space="0" w:color="auto"/>
            <w:bottom w:val="none" w:sz="0" w:space="0" w:color="auto"/>
            <w:right w:val="none" w:sz="0" w:space="0" w:color="auto"/>
          </w:divBdr>
        </w:div>
        <w:div w:id="1742026317">
          <w:marLeft w:val="0"/>
          <w:marRight w:val="0"/>
          <w:marTop w:val="0"/>
          <w:marBottom w:val="0"/>
          <w:divBdr>
            <w:top w:val="none" w:sz="0" w:space="0" w:color="auto"/>
            <w:left w:val="none" w:sz="0" w:space="0" w:color="auto"/>
            <w:bottom w:val="none" w:sz="0" w:space="0" w:color="auto"/>
            <w:right w:val="none" w:sz="0" w:space="0" w:color="auto"/>
          </w:divBdr>
        </w:div>
      </w:divsChild>
    </w:div>
    <w:div w:id="789084853">
      <w:marLeft w:val="0"/>
      <w:marRight w:val="0"/>
      <w:marTop w:val="0"/>
      <w:marBottom w:val="0"/>
      <w:divBdr>
        <w:top w:val="none" w:sz="0" w:space="0" w:color="auto"/>
        <w:left w:val="none" w:sz="0" w:space="0" w:color="auto"/>
        <w:bottom w:val="none" w:sz="0" w:space="0" w:color="auto"/>
        <w:right w:val="none" w:sz="0" w:space="0" w:color="auto"/>
      </w:divBdr>
      <w:divsChild>
        <w:div w:id="874929745">
          <w:marLeft w:val="0"/>
          <w:marRight w:val="0"/>
          <w:marTop w:val="0"/>
          <w:marBottom w:val="0"/>
          <w:divBdr>
            <w:top w:val="none" w:sz="0" w:space="0" w:color="auto"/>
            <w:left w:val="none" w:sz="0" w:space="0" w:color="auto"/>
            <w:bottom w:val="none" w:sz="0" w:space="0" w:color="auto"/>
            <w:right w:val="none" w:sz="0" w:space="0" w:color="auto"/>
          </w:divBdr>
        </w:div>
        <w:div w:id="1523400853">
          <w:marLeft w:val="0"/>
          <w:marRight w:val="0"/>
          <w:marTop w:val="0"/>
          <w:marBottom w:val="0"/>
          <w:divBdr>
            <w:top w:val="none" w:sz="0" w:space="0" w:color="auto"/>
            <w:left w:val="none" w:sz="0" w:space="0" w:color="auto"/>
            <w:bottom w:val="none" w:sz="0" w:space="0" w:color="auto"/>
            <w:right w:val="none" w:sz="0" w:space="0" w:color="auto"/>
          </w:divBdr>
        </w:div>
      </w:divsChild>
    </w:div>
    <w:div w:id="789662578">
      <w:marLeft w:val="0"/>
      <w:marRight w:val="0"/>
      <w:marTop w:val="100"/>
      <w:marBottom w:val="0"/>
      <w:divBdr>
        <w:top w:val="none" w:sz="0" w:space="0" w:color="auto"/>
        <w:left w:val="none" w:sz="0" w:space="0" w:color="auto"/>
        <w:bottom w:val="none" w:sz="0" w:space="0" w:color="auto"/>
        <w:right w:val="none" w:sz="0" w:space="0" w:color="auto"/>
      </w:divBdr>
    </w:div>
    <w:div w:id="789784797">
      <w:marLeft w:val="0"/>
      <w:marRight w:val="0"/>
      <w:marTop w:val="100"/>
      <w:marBottom w:val="0"/>
      <w:divBdr>
        <w:top w:val="none" w:sz="0" w:space="0" w:color="auto"/>
        <w:left w:val="none" w:sz="0" w:space="0" w:color="auto"/>
        <w:bottom w:val="none" w:sz="0" w:space="0" w:color="auto"/>
        <w:right w:val="none" w:sz="0" w:space="0" w:color="auto"/>
      </w:divBdr>
    </w:div>
    <w:div w:id="790588105">
      <w:marLeft w:val="0"/>
      <w:marRight w:val="0"/>
      <w:marTop w:val="100"/>
      <w:marBottom w:val="0"/>
      <w:divBdr>
        <w:top w:val="none" w:sz="0" w:space="0" w:color="auto"/>
        <w:left w:val="none" w:sz="0" w:space="0" w:color="auto"/>
        <w:bottom w:val="none" w:sz="0" w:space="0" w:color="auto"/>
        <w:right w:val="none" w:sz="0" w:space="0" w:color="auto"/>
      </w:divBdr>
    </w:div>
    <w:div w:id="791362591">
      <w:marLeft w:val="0"/>
      <w:marRight w:val="0"/>
      <w:marTop w:val="100"/>
      <w:marBottom w:val="0"/>
      <w:divBdr>
        <w:top w:val="none" w:sz="0" w:space="0" w:color="auto"/>
        <w:left w:val="none" w:sz="0" w:space="0" w:color="auto"/>
        <w:bottom w:val="none" w:sz="0" w:space="0" w:color="auto"/>
        <w:right w:val="none" w:sz="0" w:space="0" w:color="auto"/>
      </w:divBdr>
    </w:div>
    <w:div w:id="792789388">
      <w:marLeft w:val="0"/>
      <w:marRight w:val="0"/>
      <w:marTop w:val="60"/>
      <w:marBottom w:val="0"/>
      <w:divBdr>
        <w:top w:val="none" w:sz="0" w:space="0" w:color="auto"/>
        <w:left w:val="none" w:sz="0" w:space="0" w:color="auto"/>
        <w:bottom w:val="none" w:sz="0" w:space="0" w:color="auto"/>
        <w:right w:val="none" w:sz="0" w:space="0" w:color="auto"/>
      </w:divBdr>
    </w:div>
    <w:div w:id="795374966">
      <w:marLeft w:val="0"/>
      <w:marRight w:val="0"/>
      <w:marTop w:val="360"/>
      <w:marBottom w:val="0"/>
      <w:divBdr>
        <w:top w:val="none" w:sz="0" w:space="0" w:color="auto"/>
        <w:left w:val="none" w:sz="0" w:space="0" w:color="auto"/>
        <w:bottom w:val="none" w:sz="0" w:space="0" w:color="auto"/>
        <w:right w:val="none" w:sz="0" w:space="0" w:color="auto"/>
      </w:divBdr>
    </w:div>
    <w:div w:id="795954458">
      <w:marLeft w:val="0"/>
      <w:marRight w:val="0"/>
      <w:marTop w:val="60"/>
      <w:marBottom w:val="0"/>
      <w:divBdr>
        <w:top w:val="none" w:sz="0" w:space="0" w:color="auto"/>
        <w:left w:val="none" w:sz="0" w:space="0" w:color="auto"/>
        <w:bottom w:val="none" w:sz="0" w:space="0" w:color="auto"/>
        <w:right w:val="none" w:sz="0" w:space="0" w:color="auto"/>
      </w:divBdr>
    </w:div>
    <w:div w:id="796528990">
      <w:marLeft w:val="0"/>
      <w:marRight w:val="0"/>
      <w:marTop w:val="0"/>
      <w:marBottom w:val="0"/>
      <w:divBdr>
        <w:top w:val="none" w:sz="0" w:space="0" w:color="auto"/>
        <w:left w:val="none" w:sz="0" w:space="0" w:color="auto"/>
        <w:bottom w:val="none" w:sz="0" w:space="0" w:color="auto"/>
        <w:right w:val="none" w:sz="0" w:space="0" w:color="auto"/>
      </w:divBdr>
      <w:divsChild>
        <w:div w:id="1004477203">
          <w:marLeft w:val="0"/>
          <w:marRight w:val="0"/>
          <w:marTop w:val="0"/>
          <w:marBottom w:val="0"/>
          <w:divBdr>
            <w:top w:val="none" w:sz="0" w:space="0" w:color="auto"/>
            <w:left w:val="none" w:sz="0" w:space="0" w:color="auto"/>
            <w:bottom w:val="none" w:sz="0" w:space="0" w:color="auto"/>
            <w:right w:val="none" w:sz="0" w:space="0" w:color="auto"/>
          </w:divBdr>
        </w:div>
      </w:divsChild>
    </w:div>
    <w:div w:id="796727568">
      <w:marLeft w:val="0"/>
      <w:marRight w:val="0"/>
      <w:marTop w:val="100"/>
      <w:marBottom w:val="0"/>
      <w:divBdr>
        <w:top w:val="none" w:sz="0" w:space="0" w:color="auto"/>
        <w:left w:val="none" w:sz="0" w:space="0" w:color="auto"/>
        <w:bottom w:val="none" w:sz="0" w:space="0" w:color="auto"/>
        <w:right w:val="none" w:sz="0" w:space="0" w:color="auto"/>
      </w:divBdr>
    </w:div>
    <w:div w:id="798885562">
      <w:marLeft w:val="0"/>
      <w:marRight w:val="0"/>
      <w:marTop w:val="100"/>
      <w:marBottom w:val="0"/>
      <w:divBdr>
        <w:top w:val="none" w:sz="0" w:space="0" w:color="auto"/>
        <w:left w:val="none" w:sz="0" w:space="0" w:color="auto"/>
        <w:bottom w:val="none" w:sz="0" w:space="0" w:color="auto"/>
        <w:right w:val="none" w:sz="0" w:space="0" w:color="auto"/>
      </w:divBdr>
    </w:div>
    <w:div w:id="799693483">
      <w:marLeft w:val="0"/>
      <w:marRight w:val="0"/>
      <w:marTop w:val="0"/>
      <w:marBottom w:val="0"/>
      <w:divBdr>
        <w:top w:val="none" w:sz="0" w:space="0" w:color="auto"/>
        <w:left w:val="none" w:sz="0" w:space="0" w:color="auto"/>
        <w:bottom w:val="none" w:sz="0" w:space="0" w:color="auto"/>
        <w:right w:val="none" w:sz="0" w:space="0" w:color="auto"/>
      </w:divBdr>
      <w:divsChild>
        <w:div w:id="2144806791">
          <w:marLeft w:val="0"/>
          <w:marRight w:val="0"/>
          <w:marTop w:val="0"/>
          <w:marBottom w:val="0"/>
          <w:divBdr>
            <w:top w:val="none" w:sz="0" w:space="0" w:color="auto"/>
            <w:left w:val="none" w:sz="0" w:space="0" w:color="auto"/>
            <w:bottom w:val="none" w:sz="0" w:space="0" w:color="auto"/>
            <w:right w:val="none" w:sz="0" w:space="0" w:color="auto"/>
          </w:divBdr>
        </w:div>
        <w:div w:id="1993366792">
          <w:marLeft w:val="0"/>
          <w:marRight w:val="0"/>
          <w:marTop w:val="0"/>
          <w:marBottom w:val="0"/>
          <w:divBdr>
            <w:top w:val="none" w:sz="0" w:space="0" w:color="auto"/>
            <w:left w:val="none" w:sz="0" w:space="0" w:color="auto"/>
            <w:bottom w:val="none" w:sz="0" w:space="0" w:color="auto"/>
            <w:right w:val="none" w:sz="0" w:space="0" w:color="auto"/>
          </w:divBdr>
        </w:div>
      </w:divsChild>
    </w:div>
    <w:div w:id="801070919">
      <w:marLeft w:val="0"/>
      <w:marRight w:val="0"/>
      <w:marTop w:val="0"/>
      <w:marBottom w:val="0"/>
      <w:divBdr>
        <w:top w:val="none" w:sz="0" w:space="0" w:color="auto"/>
        <w:left w:val="none" w:sz="0" w:space="0" w:color="auto"/>
        <w:bottom w:val="none" w:sz="0" w:space="0" w:color="auto"/>
        <w:right w:val="none" w:sz="0" w:space="0" w:color="auto"/>
      </w:divBdr>
    </w:div>
    <w:div w:id="803936626">
      <w:marLeft w:val="0"/>
      <w:marRight w:val="0"/>
      <w:marTop w:val="280"/>
      <w:marBottom w:val="0"/>
      <w:divBdr>
        <w:top w:val="none" w:sz="0" w:space="0" w:color="auto"/>
        <w:left w:val="none" w:sz="0" w:space="0" w:color="auto"/>
        <w:bottom w:val="none" w:sz="0" w:space="0" w:color="auto"/>
        <w:right w:val="none" w:sz="0" w:space="0" w:color="auto"/>
      </w:divBdr>
    </w:div>
    <w:div w:id="806820242">
      <w:marLeft w:val="0"/>
      <w:marRight w:val="0"/>
      <w:marTop w:val="100"/>
      <w:marBottom w:val="0"/>
      <w:divBdr>
        <w:top w:val="none" w:sz="0" w:space="0" w:color="auto"/>
        <w:left w:val="none" w:sz="0" w:space="0" w:color="auto"/>
        <w:bottom w:val="none" w:sz="0" w:space="0" w:color="auto"/>
        <w:right w:val="none" w:sz="0" w:space="0" w:color="auto"/>
      </w:divBdr>
    </w:div>
    <w:div w:id="808018062">
      <w:marLeft w:val="0"/>
      <w:marRight w:val="0"/>
      <w:marTop w:val="100"/>
      <w:marBottom w:val="0"/>
      <w:divBdr>
        <w:top w:val="none" w:sz="0" w:space="0" w:color="auto"/>
        <w:left w:val="none" w:sz="0" w:space="0" w:color="auto"/>
        <w:bottom w:val="none" w:sz="0" w:space="0" w:color="auto"/>
        <w:right w:val="none" w:sz="0" w:space="0" w:color="auto"/>
      </w:divBdr>
    </w:div>
    <w:div w:id="808597140">
      <w:marLeft w:val="0"/>
      <w:marRight w:val="0"/>
      <w:marTop w:val="60"/>
      <w:marBottom w:val="0"/>
      <w:divBdr>
        <w:top w:val="none" w:sz="0" w:space="0" w:color="auto"/>
        <w:left w:val="none" w:sz="0" w:space="0" w:color="auto"/>
        <w:bottom w:val="none" w:sz="0" w:space="0" w:color="auto"/>
        <w:right w:val="none" w:sz="0" w:space="0" w:color="auto"/>
      </w:divBdr>
    </w:div>
    <w:div w:id="810367358">
      <w:marLeft w:val="0"/>
      <w:marRight w:val="0"/>
      <w:marTop w:val="100"/>
      <w:marBottom w:val="0"/>
      <w:divBdr>
        <w:top w:val="none" w:sz="0" w:space="0" w:color="auto"/>
        <w:left w:val="none" w:sz="0" w:space="0" w:color="auto"/>
        <w:bottom w:val="none" w:sz="0" w:space="0" w:color="auto"/>
        <w:right w:val="none" w:sz="0" w:space="0" w:color="auto"/>
      </w:divBdr>
    </w:div>
    <w:div w:id="814027058">
      <w:marLeft w:val="0"/>
      <w:marRight w:val="0"/>
      <w:marTop w:val="100"/>
      <w:marBottom w:val="0"/>
      <w:divBdr>
        <w:top w:val="none" w:sz="0" w:space="0" w:color="auto"/>
        <w:left w:val="none" w:sz="0" w:space="0" w:color="auto"/>
        <w:bottom w:val="none" w:sz="0" w:space="0" w:color="auto"/>
        <w:right w:val="none" w:sz="0" w:space="0" w:color="auto"/>
      </w:divBdr>
    </w:div>
    <w:div w:id="814420858">
      <w:marLeft w:val="0"/>
      <w:marRight w:val="0"/>
      <w:marTop w:val="100"/>
      <w:marBottom w:val="100"/>
      <w:divBdr>
        <w:top w:val="none" w:sz="0" w:space="0" w:color="auto"/>
        <w:left w:val="none" w:sz="0" w:space="0" w:color="auto"/>
        <w:bottom w:val="none" w:sz="0" w:space="0" w:color="auto"/>
        <w:right w:val="none" w:sz="0" w:space="0" w:color="auto"/>
      </w:divBdr>
      <w:divsChild>
        <w:div w:id="1711762861">
          <w:marLeft w:val="0"/>
          <w:marRight w:val="0"/>
          <w:marTop w:val="0"/>
          <w:marBottom w:val="0"/>
          <w:divBdr>
            <w:top w:val="none" w:sz="0" w:space="0" w:color="auto"/>
            <w:left w:val="none" w:sz="0" w:space="0" w:color="auto"/>
            <w:bottom w:val="none" w:sz="0" w:space="0" w:color="auto"/>
            <w:right w:val="none" w:sz="0" w:space="0" w:color="auto"/>
          </w:divBdr>
        </w:div>
      </w:divsChild>
    </w:div>
    <w:div w:id="814955668">
      <w:marLeft w:val="0"/>
      <w:marRight w:val="0"/>
      <w:marTop w:val="100"/>
      <w:marBottom w:val="0"/>
      <w:divBdr>
        <w:top w:val="none" w:sz="0" w:space="0" w:color="auto"/>
        <w:left w:val="none" w:sz="0" w:space="0" w:color="auto"/>
        <w:bottom w:val="none" w:sz="0" w:space="0" w:color="auto"/>
        <w:right w:val="none" w:sz="0" w:space="0" w:color="auto"/>
      </w:divBdr>
    </w:div>
    <w:div w:id="815218455">
      <w:marLeft w:val="0"/>
      <w:marRight w:val="0"/>
      <w:marTop w:val="100"/>
      <w:marBottom w:val="0"/>
      <w:divBdr>
        <w:top w:val="none" w:sz="0" w:space="0" w:color="auto"/>
        <w:left w:val="none" w:sz="0" w:space="0" w:color="auto"/>
        <w:bottom w:val="none" w:sz="0" w:space="0" w:color="auto"/>
        <w:right w:val="none" w:sz="0" w:space="0" w:color="auto"/>
      </w:divBdr>
    </w:div>
    <w:div w:id="816261167">
      <w:marLeft w:val="0"/>
      <w:marRight w:val="0"/>
      <w:marTop w:val="280"/>
      <w:marBottom w:val="0"/>
      <w:divBdr>
        <w:top w:val="none" w:sz="0" w:space="0" w:color="auto"/>
        <w:left w:val="none" w:sz="0" w:space="0" w:color="auto"/>
        <w:bottom w:val="none" w:sz="0" w:space="0" w:color="auto"/>
        <w:right w:val="none" w:sz="0" w:space="0" w:color="auto"/>
      </w:divBdr>
    </w:div>
    <w:div w:id="820073820">
      <w:marLeft w:val="0"/>
      <w:marRight w:val="0"/>
      <w:marTop w:val="100"/>
      <w:marBottom w:val="0"/>
      <w:divBdr>
        <w:top w:val="none" w:sz="0" w:space="0" w:color="auto"/>
        <w:left w:val="none" w:sz="0" w:space="0" w:color="auto"/>
        <w:bottom w:val="none" w:sz="0" w:space="0" w:color="auto"/>
        <w:right w:val="none" w:sz="0" w:space="0" w:color="auto"/>
      </w:divBdr>
    </w:div>
    <w:div w:id="820391747">
      <w:marLeft w:val="0"/>
      <w:marRight w:val="0"/>
      <w:marTop w:val="60"/>
      <w:marBottom w:val="0"/>
      <w:divBdr>
        <w:top w:val="none" w:sz="0" w:space="0" w:color="auto"/>
        <w:left w:val="none" w:sz="0" w:space="0" w:color="auto"/>
        <w:bottom w:val="none" w:sz="0" w:space="0" w:color="auto"/>
        <w:right w:val="none" w:sz="0" w:space="0" w:color="auto"/>
      </w:divBdr>
    </w:div>
    <w:div w:id="821847634">
      <w:marLeft w:val="0"/>
      <w:marRight w:val="0"/>
      <w:marTop w:val="60"/>
      <w:marBottom w:val="0"/>
      <w:divBdr>
        <w:top w:val="none" w:sz="0" w:space="0" w:color="auto"/>
        <w:left w:val="none" w:sz="0" w:space="0" w:color="auto"/>
        <w:bottom w:val="none" w:sz="0" w:space="0" w:color="auto"/>
        <w:right w:val="none" w:sz="0" w:space="0" w:color="auto"/>
      </w:divBdr>
    </w:div>
    <w:div w:id="823812299">
      <w:marLeft w:val="0"/>
      <w:marRight w:val="0"/>
      <w:marTop w:val="280"/>
      <w:marBottom w:val="0"/>
      <w:divBdr>
        <w:top w:val="none" w:sz="0" w:space="0" w:color="auto"/>
        <w:left w:val="none" w:sz="0" w:space="0" w:color="auto"/>
        <w:bottom w:val="none" w:sz="0" w:space="0" w:color="auto"/>
        <w:right w:val="none" w:sz="0" w:space="0" w:color="auto"/>
      </w:divBdr>
    </w:div>
    <w:div w:id="825706051">
      <w:marLeft w:val="0"/>
      <w:marRight w:val="0"/>
      <w:marTop w:val="100"/>
      <w:marBottom w:val="0"/>
      <w:divBdr>
        <w:top w:val="none" w:sz="0" w:space="0" w:color="auto"/>
        <w:left w:val="none" w:sz="0" w:space="0" w:color="auto"/>
        <w:bottom w:val="none" w:sz="0" w:space="0" w:color="auto"/>
        <w:right w:val="none" w:sz="0" w:space="0" w:color="auto"/>
      </w:divBdr>
    </w:div>
    <w:div w:id="826169817">
      <w:marLeft w:val="0"/>
      <w:marRight w:val="0"/>
      <w:marTop w:val="0"/>
      <w:marBottom w:val="0"/>
      <w:divBdr>
        <w:top w:val="none" w:sz="0" w:space="0" w:color="auto"/>
        <w:left w:val="none" w:sz="0" w:space="0" w:color="auto"/>
        <w:bottom w:val="none" w:sz="0" w:space="0" w:color="auto"/>
        <w:right w:val="none" w:sz="0" w:space="0" w:color="auto"/>
      </w:divBdr>
      <w:divsChild>
        <w:div w:id="2102020883">
          <w:marLeft w:val="0"/>
          <w:marRight w:val="0"/>
          <w:marTop w:val="0"/>
          <w:marBottom w:val="0"/>
          <w:divBdr>
            <w:top w:val="none" w:sz="0" w:space="0" w:color="auto"/>
            <w:left w:val="none" w:sz="0" w:space="0" w:color="auto"/>
            <w:bottom w:val="none" w:sz="0" w:space="0" w:color="auto"/>
            <w:right w:val="none" w:sz="0" w:space="0" w:color="auto"/>
          </w:divBdr>
        </w:div>
      </w:divsChild>
    </w:div>
    <w:div w:id="826214792">
      <w:marLeft w:val="0"/>
      <w:marRight w:val="0"/>
      <w:marTop w:val="100"/>
      <w:marBottom w:val="0"/>
      <w:divBdr>
        <w:top w:val="none" w:sz="0" w:space="0" w:color="auto"/>
        <w:left w:val="none" w:sz="0" w:space="0" w:color="auto"/>
        <w:bottom w:val="none" w:sz="0" w:space="0" w:color="auto"/>
        <w:right w:val="none" w:sz="0" w:space="0" w:color="auto"/>
      </w:divBdr>
    </w:div>
    <w:div w:id="826676463">
      <w:marLeft w:val="0"/>
      <w:marRight w:val="0"/>
      <w:marTop w:val="0"/>
      <w:marBottom w:val="0"/>
      <w:divBdr>
        <w:top w:val="none" w:sz="0" w:space="0" w:color="auto"/>
        <w:left w:val="none" w:sz="0" w:space="0" w:color="auto"/>
        <w:bottom w:val="none" w:sz="0" w:space="0" w:color="auto"/>
        <w:right w:val="none" w:sz="0" w:space="0" w:color="auto"/>
      </w:divBdr>
    </w:div>
    <w:div w:id="827743077">
      <w:marLeft w:val="0"/>
      <w:marRight w:val="0"/>
      <w:marTop w:val="0"/>
      <w:marBottom w:val="0"/>
      <w:divBdr>
        <w:top w:val="none" w:sz="0" w:space="0" w:color="auto"/>
        <w:left w:val="none" w:sz="0" w:space="0" w:color="auto"/>
        <w:bottom w:val="none" w:sz="0" w:space="0" w:color="auto"/>
        <w:right w:val="none" w:sz="0" w:space="0" w:color="auto"/>
      </w:divBdr>
      <w:divsChild>
        <w:div w:id="1640528103">
          <w:marLeft w:val="0"/>
          <w:marRight w:val="0"/>
          <w:marTop w:val="0"/>
          <w:marBottom w:val="0"/>
          <w:divBdr>
            <w:top w:val="none" w:sz="0" w:space="0" w:color="auto"/>
            <w:left w:val="none" w:sz="0" w:space="0" w:color="auto"/>
            <w:bottom w:val="none" w:sz="0" w:space="0" w:color="auto"/>
            <w:right w:val="none" w:sz="0" w:space="0" w:color="auto"/>
          </w:divBdr>
        </w:div>
        <w:div w:id="1761171110">
          <w:marLeft w:val="0"/>
          <w:marRight w:val="0"/>
          <w:marTop w:val="0"/>
          <w:marBottom w:val="0"/>
          <w:divBdr>
            <w:top w:val="none" w:sz="0" w:space="0" w:color="auto"/>
            <w:left w:val="none" w:sz="0" w:space="0" w:color="auto"/>
            <w:bottom w:val="none" w:sz="0" w:space="0" w:color="auto"/>
            <w:right w:val="none" w:sz="0" w:space="0" w:color="auto"/>
          </w:divBdr>
        </w:div>
      </w:divsChild>
    </w:div>
    <w:div w:id="830368992">
      <w:marLeft w:val="0"/>
      <w:marRight w:val="0"/>
      <w:marTop w:val="280"/>
      <w:marBottom w:val="0"/>
      <w:divBdr>
        <w:top w:val="none" w:sz="0" w:space="0" w:color="auto"/>
        <w:left w:val="none" w:sz="0" w:space="0" w:color="auto"/>
        <w:bottom w:val="none" w:sz="0" w:space="0" w:color="auto"/>
        <w:right w:val="none" w:sz="0" w:space="0" w:color="auto"/>
      </w:divBdr>
    </w:div>
    <w:div w:id="830678807">
      <w:marLeft w:val="0"/>
      <w:marRight w:val="0"/>
      <w:marTop w:val="100"/>
      <w:marBottom w:val="0"/>
      <w:divBdr>
        <w:top w:val="none" w:sz="0" w:space="0" w:color="auto"/>
        <w:left w:val="none" w:sz="0" w:space="0" w:color="auto"/>
        <w:bottom w:val="none" w:sz="0" w:space="0" w:color="auto"/>
        <w:right w:val="none" w:sz="0" w:space="0" w:color="auto"/>
      </w:divBdr>
    </w:div>
    <w:div w:id="834959967">
      <w:marLeft w:val="0"/>
      <w:marRight w:val="0"/>
      <w:marTop w:val="0"/>
      <w:marBottom w:val="280"/>
      <w:divBdr>
        <w:top w:val="none" w:sz="0" w:space="0" w:color="auto"/>
        <w:left w:val="none" w:sz="0" w:space="0" w:color="auto"/>
        <w:bottom w:val="none" w:sz="0" w:space="0" w:color="auto"/>
        <w:right w:val="none" w:sz="0" w:space="0" w:color="auto"/>
      </w:divBdr>
    </w:div>
    <w:div w:id="835800068">
      <w:marLeft w:val="0"/>
      <w:marRight w:val="0"/>
      <w:marTop w:val="0"/>
      <w:marBottom w:val="0"/>
      <w:divBdr>
        <w:top w:val="none" w:sz="0" w:space="0" w:color="auto"/>
        <w:left w:val="none" w:sz="0" w:space="0" w:color="auto"/>
        <w:bottom w:val="none" w:sz="0" w:space="0" w:color="auto"/>
        <w:right w:val="none" w:sz="0" w:space="0" w:color="auto"/>
      </w:divBdr>
      <w:divsChild>
        <w:div w:id="1299720450">
          <w:marLeft w:val="0"/>
          <w:marRight w:val="0"/>
          <w:marTop w:val="0"/>
          <w:marBottom w:val="0"/>
          <w:divBdr>
            <w:top w:val="none" w:sz="0" w:space="0" w:color="auto"/>
            <w:left w:val="none" w:sz="0" w:space="0" w:color="auto"/>
            <w:bottom w:val="none" w:sz="0" w:space="0" w:color="auto"/>
            <w:right w:val="none" w:sz="0" w:space="0" w:color="auto"/>
          </w:divBdr>
        </w:div>
        <w:div w:id="906114486">
          <w:marLeft w:val="0"/>
          <w:marRight w:val="0"/>
          <w:marTop w:val="0"/>
          <w:marBottom w:val="0"/>
          <w:divBdr>
            <w:top w:val="none" w:sz="0" w:space="0" w:color="auto"/>
            <w:left w:val="none" w:sz="0" w:space="0" w:color="auto"/>
            <w:bottom w:val="none" w:sz="0" w:space="0" w:color="auto"/>
            <w:right w:val="none" w:sz="0" w:space="0" w:color="auto"/>
          </w:divBdr>
        </w:div>
      </w:divsChild>
    </w:div>
    <w:div w:id="838929224">
      <w:marLeft w:val="0"/>
      <w:marRight w:val="0"/>
      <w:marTop w:val="100"/>
      <w:marBottom w:val="0"/>
      <w:divBdr>
        <w:top w:val="none" w:sz="0" w:space="0" w:color="auto"/>
        <w:left w:val="none" w:sz="0" w:space="0" w:color="auto"/>
        <w:bottom w:val="none" w:sz="0" w:space="0" w:color="auto"/>
        <w:right w:val="none" w:sz="0" w:space="0" w:color="auto"/>
      </w:divBdr>
    </w:div>
    <w:div w:id="842859324">
      <w:marLeft w:val="0"/>
      <w:marRight w:val="0"/>
      <w:marTop w:val="100"/>
      <w:marBottom w:val="0"/>
      <w:divBdr>
        <w:top w:val="none" w:sz="0" w:space="0" w:color="auto"/>
        <w:left w:val="none" w:sz="0" w:space="0" w:color="auto"/>
        <w:bottom w:val="none" w:sz="0" w:space="0" w:color="auto"/>
        <w:right w:val="none" w:sz="0" w:space="0" w:color="auto"/>
      </w:divBdr>
    </w:div>
    <w:div w:id="843596406">
      <w:marLeft w:val="0"/>
      <w:marRight w:val="0"/>
      <w:marTop w:val="60"/>
      <w:marBottom w:val="0"/>
      <w:divBdr>
        <w:top w:val="none" w:sz="0" w:space="0" w:color="auto"/>
        <w:left w:val="none" w:sz="0" w:space="0" w:color="auto"/>
        <w:bottom w:val="none" w:sz="0" w:space="0" w:color="auto"/>
        <w:right w:val="none" w:sz="0" w:space="0" w:color="auto"/>
      </w:divBdr>
    </w:div>
    <w:div w:id="844201217">
      <w:marLeft w:val="0"/>
      <w:marRight w:val="0"/>
      <w:marTop w:val="100"/>
      <w:marBottom w:val="0"/>
      <w:divBdr>
        <w:top w:val="none" w:sz="0" w:space="0" w:color="auto"/>
        <w:left w:val="none" w:sz="0" w:space="0" w:color="auto"/>
        <w:bottom w:val="none" w:sz="0" w:space="0" w:color="auto"/>
        <w:right w:val="none" w:sz="0" w:space="0" w:color="auto"/>
      </w:divBdr>
    </w:div>
    <w:div w:id="845097686">
      <w:marLeft w:val="0"/>
      <w:marRight w:val="0"/>
      <w:marTop w:val="180"/>
      <w:marBottom w:val="0"/>
      <w:divBdr>
        <w:top w:val="none" w:sz="0" w:space="0" w:color="auto"/>
        <w:left w:val="none" w:sz="0" w:space="0" w:color="auto"/>
        <w:bottom w:val="none" w:sz="0" w:space="0" w:color="auto"/>
        <w:right w:val="none" w:sz="0" w:space="0" w:color="auto"/>
      </w:divBdr>
    </w:div>
    <w:div w:id="846679513">
      <w:marLeft w:val="0"/>
      <w:marRight w:val="0"/>
      <w:marTop w:val="280"/>
      <w:marBottom w:val="0"/>
      <w:divBdr>
        <w:top w:val="none" w:sz="0" w:space="0" w:color="auto"/>
        <w:left w:val="none" w:sz="0" w:space="0" w:color="auto"/>
        <w:bottom w:val="none" w:sz="0" w:space="0" w:color="auto"/>
        <w:right w:val="none" w:sz="0" w:space="0" w:color="auto"/>
      </w:divBdr>
    </w:div>
    <w:div w:id="851181838">
      <w:marLeft w:val="0"/>
      <w:marRight w:val="0"/>
      <w:marTop w:val="0"/>
      <w:marBottom w:val="0"/>
      <w:divBdr>
        <w:top w:val="none" w:sz="0" w:space="0" w:color="auto"/>
        <w:left w:val="none" w:sz="0" w:space="0" w:color="auto"/>
        <w:bottom w:val="none" w:sz="0" w:space="0" w:color="auto"/>
        <w:right w:val="none" w:sz="0" w:space="0" w:color="auto"/>
      </w:divBdr>
      <w:divsChild>
        <w:div w:id="1852917176">
          <w:marLeft w:val="0"/>
          <w:marRight w:val="0"/>
          <w:marTop w:val="0"/>
          <w:marBottom w:val="0"/>
          <w:divBdr>
            <w:top w:val="none" w:sz="0" w:space="0" w:color="auto"/>
            <w:left w:val="none" w:sz="0" w:space="0" w:color="auto"/>
            <w:bottom w:val="none" w:sz="0" w:space="0" w:color="auto"/>
            <w:right w:val="none" w:sz="0" w:space="0" w:color="auto"/>
          </w:divBdr>
        </w:div>
        <w:div w:id="1093628163">
          <w:marLeft w:val="0"/>
          <w:marRight w:val="0"/>
          <w:marTop w:val="0"/>
          <w:marBottom w:val="0"/>
          <w:divBdr>
            <w:top w:val="none" w:sz="0" w:space="0" w:color="auto"/>
            <w:left w:val="none" w:sz="0" w:space="0" w:color="auto"/>
            <w:bottom w:val="none" w:sz="0" w:space="0" w:color="auto"/>
            <w:right w:val="none" w:sz="0" w:space="0" w:color="auto"/>
          </w:divBdr>
        </w:div>
      </w:divsChild>
    </w:div>
    <w:div w:id="853613173">
      <w:marLeft w:val="0"/>
      <w:marRight w:val="0"/>
      <w:marTop w:val="280"/>
      <w:marBottom w:val="0"/>
      <w:divBdr>
        <w:top w:val="none" w:sz="0" w:space="0" w:color="auto"/>
        <w:left w:val="none" w:sz="0" w:space="0" w:color="auto"/>
        <w:bottom w:val="none" w:sz="0" w:space="0" w:color="auto"/>
        <w:right w:val="none" w:sz="0" w:space="0" w:color="auto"/>
      </w:divBdr>
    </w:div>
    <w:div w:id="855734893">
      <w:marLeft w:val="0"/>
      <w:marRight w:val="0"/>
      <w:marTop w:val="100"/>
      <w:marBottom w:val="0"/>
      <w:divBdr>
        <w:top w:val="none" w:sz="0" w:space="0" w:color="auto"/>
        <w:left w:val="none" w:sz="0" w:space="0" w:color="auto"/>
        <w:bottom w:val="none" w:sz="0" w:space="0" w:color="auto"/>
        <w:right w:val="none" w:sz="0" w:space="0" w:color="auto"/>
      </w:divBdr>
    </w:div>
    <w:div w:id="859464787">
      <w:marLeft w:val="0"/>
      <w:marRight w:val="0"/>
      <w:marTop w:val="0"/>
      <w:marBottom w:val="0"/>
      <w:divBdr>
        <w:top w:val="none" w:sz="0" w:space="0" w:color="auto"/>
        <w:left w:val="none" w:sz="0" w:space="0" w:color="auto"/>
        <w:bottom w:val="none" w:sz="0" w:space="0" w:color="auto"/>
        <w:right w:val="none" w:sz="0" w:space="0" w:color="auto"/>
      </w:divBdr>
      <w:divsChild>
        <w:div w:id="1233269428">
          <w:marLeft w:val="0"/>
          <w:marRight w:val="0"/>
          <w:marTop w:val="0"/>
          <w:marBottom w:val="0"/>
          <w:divBdr>
            <w:top w:val="none" w:sz="0" w:space="0" w:color="auto"/>
            <w:left w:val="none" w:sz="0" w:space="0" w:color="auto"/>
            <w:bottom w:val="none" w:sz="0" w:space="0" w:color="auto"/>
            <w:right w:val="none" w:sz="0" w:space="0" w:color="auto"/>
          </w:divBdr>
        </w:div>
      </w:divsChild>
    </w:div>
    <w:div w:id="864827032">
      <w:marLeft w:val="0"/>
      <w:marRight w:val="0"/>
      <w:marTop w:val="100"/>
      <w:marBottom w:val="0"/>
      <w:divBdr>
        <w:top w:val="none" w:sz="0" w:space="0" w:color="auto"/>
        <w:left w:val="none" w:sz="0" w:space="0" w:color="auto"/>
        <w:bottom w:val="none" w:sz="0" w:space="0" w:color="auto"/>
        <w:right w:val="none" w:sz="0" w:space="0" w:color="auto"/>
      </w:divBdr>
    </w:div>
    <w:div w:id="869420338">
      <w:marLeft w:val="0"/>
      <w:marRight w:val="0"/>
      <w:marTop w:val="40"/>
      <w:marBottom w:val="0"/>
      <w:divBdr>
        <w:top w:val="none" w:sz="0" w:space="0" w:color="auto"/>
        <w:left w:val="none" w:sz="0" w:space="0" w:color="auto"/>
        <w:bottom w:val="none" w:sz="0" w:space="0" w:color="auto"/>
        <w:right w:val="none" w:sz="0" w:space="0" w:color="auto"/>
      </w:divBdr>
    </w:div>
    <w:div w:id="869490328">
      <w:marLeft w:val="0"/>
      <w:marRight w:val="0"/>
      <w:marTop w:val="100"/>
      <w:marBottom w:val="0"/>
      <w:divBdr>
        <w:top w:val="none" w:sz="0" w:space="0" w:color="auto"/>
        <w:left w:val="none" w:sz="0" w:space="0" w:color="auto"/>
        <w:bottom w:val="none" w:sz="0" w:space="0" w:color="auto"/>
        <w:right w:val="none" w:sz="0" w:space="0" w:color="auto"/>
      </w:divBdr>
    </w:div>
    <w:div w:id="870457642">
      <w:marLeft w:val="0"/>
      <w:marRight w:val="0"/>
      <w:marTop w:val="100"/>
      <w:marBottom w:val="0"/>
      <w:divBdr>
        <w:top w:val="none" w:sz="0" w:space="0" w:color="auto"/>
        <w:left w:val="none" w:sz="0" w:space="0" w:color="auto"/>
        <w:bottom w:val="none" w:sz="0" w:space="0" w:color="auto"/>
        <w:right w:val="none" w:sz="0" w:space="0" w:color="auto"/>
      </w:divBdr>
    </w:div>
    <w:div w:id="876039573">
      <w:marLeft w:val="0"/>
      <w:marRight w:val="0"/>
      <w:marTop w:val="180"/>
      <w:marBottom w:val="0"/>
      <w:divBdr>
        <w:top w:val="none" w:sz="0" w:space="0" w:color="auto"/>
        <w:left w:val="none" w:sz="0" w:space="0" w:color="auto"/>
        <w:bottom w:val="none" w:sz="0" w:space="0" w:color="auto"/>
        <w:right w:val="none" w:sz="0" w:space="0" w:color="auto"/>
      </w:divBdr>
    </w:div>
    <w:div w:id="876085612">
      <w:marLeft w:val="0"/>
      <w:marRight w:val="0"/>
      <w:marTop w:val="100"/>
      <w:marBottom w:val="0"/>
      <w:divBdr>
        <w:top w:val="none" w:sz="0" w:space="0" w:color="auto"/>
        <w:left w:val="none" w:sz="0" w:space="0" w:color="auto"/>
        <w:bottom w:val="none" w:sz="0" w:space="0" w:color="auto"/>
        <w:right w:val="none" w:sz="0" w:space="0" w:color="auto"/>
      </w:divBdr>
    </w:div>
    <w:div w:id="876352629">
      <w:marLeft w:val="0"/>
      <w:marRight w:val="0"/>
      <w:marTop w:val="280"/>
      <w:marBottom w:val="0"/>
      <w:divBdr>
        <w:top w:val="none" w:sz="0" w:space="0" w:color="auto"/>
        <w:left w:val="none" w:sz="0" w:space="0" w:color="auto"/>
        <w:bottom w:val="none" w:sz="0" w:space="0" w:color="auto"/>
        <w:right w:val="none" w:sz="0" w:space="0" w:color="auto"/>
      </w:divBdr>
    </w:div>
    <w:div w:id="877090312">
      <w:marLeft w:val="0"/>
      <w:marRight w:val="0"/>
      <w:marTop w:val="0"/>
      <w:marBottom w:val="100"/>
      <w:divBdr>
        <w:top w:val="none" w:sz="0" w:space="0" w:color="auto"/>
        <w:left w:val="none" w:sz="0" w:space="0" w:color="auto"/>
        <w:bottom w:val="none" w:sz="0" w:space="0" w:color="auto"/>
        <w:right w:val="none" w:sz="0" w:space="0" w:color="auto"/>
      </w:divBdr>
      <w:divsChild>
        <w:div w:id="119692716">
          <w:marLeft w:val="0"/>
          <w:marRight w:val="0"/>
          <w:marTop w:val="0"/>
          <w:marBottom w:val="0"/>
          <w:divBdr>
            <w:top w:val="none" w:sz="0" w:space="0" w:color="auto"/>
            <w:left w:val="none" w:sz="0" w:space="0" w:color="auto"/>
            <w:bottom w:val="none" w:sz="0" w:space="0" w:color="auto"/>
            <w:right w:val="none" w:sz="0" w:space="0" w:color="auto"/>
          </w:divBdr>
        </w:div>
        <w:div w:id="1039470352">
          <w:marLeft w:val="0"/>
          <w:marRight w:val="0"/>
          <w:marTop w:val="0"/>
          <w:marBottom w:val="0"/>
          <w:divBdr>
            <w:top w:val="none" w:sz="0" w:space="0" w:color="auto"/>
            <w:left w:val="none" w:sz="0" w:space="0" w:color="auto"/>
            <w:bottom w:val="none" w:sz="0" w:space="0" w:color="auto"/>
            <w:right w:val="none" w:sz="0" w:space="0" w:color="auto"/>
          </w:divBdr>
        </w:div>
      </w:divsChild>
    </w:div>
    <w:div w:id="877204746">
      <w:marLeft w:val="0"/>
      <w:marRight w:val="0"/>
      <w:marTop w:val="100"/>
      <w:marBottom w:val="0"/>
      <w:divBdr>
        <w:top w:val="none" w:sz="0" w:space="0" w:color="auto"/>
        <w:left w:val="none" w:sz="0" w:space="0" w:color="auto"/>
        <w:bottom w:val="none" w:sz="0" w:space="0" w:color="auto"/>
        <w:right w:val="none" w:sz="0" w:space="0" w:color="auto"/>
      </w:divBdr>
    </w:div>
    <w:div w:id="878322482">
      <w:marLeft w:val="0"/>
      <w:marRight w:val="0"/>
      <w:marTop w:val="100"/>
      <w:marBottom w:val="0"/>
      <w:divBdr>
        <w:top w:val="none" w:sz="0" w:space="0" w:color="auto"/>
        <w:left w:val="none" w:sz="0" w:space="0" w:color="auto"/>
        <w:bottom w:val="none" w:sz="0" w:space="0" w:color="auto"/>
        <w:right w:val="none" w:sz="0" w:space="0" w:color="auto"/>
      </w:divBdr>
    </w:div>
    <w:div w:id="879435935">
      <w:marLeft w:val="0"/>
      <w:marRight w:val="0"/>
      <w:marTop w:val="40"/>
      <w:marBottom w:val="0"/>
      <w:divBdr>
        <w:top w:val="none" w:sz="0" w:space="0" w:color="auto"/>
        <w:left w:val="none" w:sz="0" w:space="0" w:color="auto"/>
        <w:bottom w:val="none" w:sz="0" w:space="0" w:color="auto"/>
        <w:right w:val="none" w:sz="0" w:space="0" w:color="auto"/>
      </w:divBdr>
    </w:div>
    <w:div w:id="880172505">
      <w:marLeft w:val="0"/>
      <w:marRight w:val="0"/>
      <w:marTop w:val="100"/>
      <w:marBottom w:val="0"/>
      <w:divBdr>
        <w:top w:val="none" w:sz="0" w:space="0" w:color="auto"/>
        <w:left w:val="none" w:sz="0" w:space="0" w:color="auto"/>
        <w:bottom w:val="none" w:sz="0" w:space="0" w:color="auto"/>
        <w:right w:val="none" w:sz="0" w:space="0" w:color="auto"/>
      </w:divBdr>
    </w:div>
    <w:div w:id="881012963">
      <w:marLeft w:val="0"/>
      <w:marRight w:val="0"/>
      <w:marTop w:val="0"/>
      <w:marBottom w:val="0"/>
      <w:divBdr>
        <w:top w:val="none" w:sz="0" w:space="0" w:color="auto"/>
        <w:left w:val="none" w:sz="0" w:space="0" w:color="auto"/>
        <w:bottom w:val="none" w:sz="0" w:space="0" w:color="auto"/>
        <w:right w:val="none" w:sz="0" w:space="0" w:color="auto"/>
      </w:divBdr>
      <w:divsChild>
        <w:div w:id="1933707580">
          <w:marLeft w:val="0"/>
          <w:marRight w:val="0"/>
          <w:marTop w:val="0"/>
          <w:marBottom w:val="0"/>
          <w:divBdr>
            <w:top w:val="none" w:sz="0" w:space="0" w:color="auto"/>
            <w:left w:val="none" w:sz="0" w:space="0" w:color="auto"/>
            <w:bottom w:val="none" w:sz="0" w:space="0" w:color="auto"/>
            <w:right w:val="none" w:sz="0" w:space="0" w:color="auto"/>
          </w:divBdr>
        </w:div>
        <w:div w:id="1399204631">
          <w:marLeft w:val="0"/>
          <w:marRight w:val="0"/>
          <w:marTop w:val="0"/>
          <w:marBottom w:val="0"/>
          <w:divBdr>
            <w:top w:val="none" w:sz="0" w:space="0" w:color="auto"/>
            <w:left w:val="none" w:sz="0" w:space="0" w:color="auto"/>
            <w:bottom w:val="none" w:sz="0" w:space="0" w:color="auto"/>
            <w:right w:val="none" w:sz="0" w:space="0" w:color="auto"/>
          </w:divBdr>
        </w:div>
      </w:divsChild>
    </w:div>
    <w:div w:id="881819578">
      <w:marLeft w:val="0"/>
      <w:marRight w:val="0"/>
      <w:marTop w:val="100"/>
      <w:marBottom w:val="0"/>
      <w:divBdr>
        <w:top w:val="none" w:sz="0" w:space="0" w:color="auto"/>
        <w:left w:val="none" w:sz="0" w:space="0" w:color="auto"/>
        <w:bottom w:val="none" w:sz="0" w:space="0" w:color="auto"/>
        <w:right w:val="none" w:sz="0" w:space="0" w:color="auto"/>
      </w:divBdr>
    </w:div>
    <w:div w:id="883517436">
      <w:marLeft w:val="0"/>
      <w:marRight w:val="0"/>
      <w:marTop w:val="100"/>
      <w:marBottom w:val="0"/>
      <w:divBdr>
        <w:top w:val="none" w:sz="0" w:space="0" w:color="auto"/>
        <w:left w:val="none" w:sz="0" w:space="0" w:color="auto"/>
        <w:bottom w:val="none" w:sz="0" w:space="0" w:color="auto"/>
        <w:right w:val="none" w:sz="0" w:space="0" w:color="auto"/>
      </w:divBdr>
    </w:div>
    <w:div w:id="883980682">
      <w:marLeft w:val="0"/>
      <w:marRight w:val="0"/>
      <w:marTop w:val="60"/>
      <w:marBottom w:val="0"/>
      <w:divBdr>
        <w:top w:val="none" w:sz="0" w:space="0" w:color="auto"/>
        <w:left w:val="none" w:sz="0" w:space="0" w:color="auto"/>
        <w:bottom w:val="none" w:sz="0" w:space="0" w:color="auto"/>
        <w:right w:val="none" w:sz="0" w:space="0" w:color="auto"/>
      </w:divBdr>
    </w:div>
    <w:div w:id="884415649">
      <w:marLeft w:val="0"/>
      <w:marRight w:val="0"/>
      <w:marTop w:val="60"/>
      <w:marBottom w:val="0"/>
      <w:divBdr>
        <w:top w:val="none" w:sz="0" w:space="0" w:color="auto"/>
        <w:left w:val="none" w:sz="0" w:space="0" w:color="auto"/>
        <w:bottom w:val="none" w:sz="0" w:space="0" w:color="auto"/>
        <w:right w:val="none" w:sz="0" w:space="0" w:color="auto"/>
      </w:divBdr>
    </w:div>
    <w:div w:id="884606163">
      <w:marLeft w:val="0"/>
      <w:marRight w:val="0"/>
      <w:marTop w:val="100"/>
      <w:marBottom w:val="0"/>
      <w:divBdr>
        <w:top w:val="none" w:sz="0" w:space="0" w:color="auto"/>
        <w:left w:val="none" w:sz="0" w:space="0" w:color="auto"/>
        <w:bottom w:val="none" w:sz="0" w:space="0" w:color="auto"/>
        <w:right w:val="none" w:sz="0" w:space="0" w:color="auto"/>
      </w:divBdr>
    </w:div>
    <w:div w:id="885215025">
      <w:marLeft w:val="0"/>
      <w:marRight w:val="0"/>
      <w:marTop w:val="100"/>
      <w:marBottom w:val="0"/>
      <w:divBdr>
        <w:top w:val="none" w:sz="0" w:space="0" w:color="auto"/>
        <w:left w:val="none" w:sz="0" w:space="0" w:color="auto"/>
        <w:bottom w:val="none" w:sz="0" w:space="0" w:color="auto"/>
        <w:right w:val="none" w:sz="0" w:space="0" w:color="auto"/>
      </w:divBdr>
    </w:div>
    <w:div w:id="885407648">
      <w:marLeft w:val="0"/>
      <w:marRight w:val="0"/>
      <w:marTop w:val="100"/>
      <w:marBottom w:val="0"/>
      <w:divBdr>
        <w:top w:val="none" w:sz="0" w:space="0" w:color="auto"/>
        <w:left w:val="none" w:sz="0" w:space="0" w:color="auto"/>
        <w:bottom w:val="none" w:sz="0" w:space="0" w:color="auto"/>
        <w:right w:val="none" w:sz="0" w:space="0" w:color="auto"/>
      </w:divBdr>
    </w:div>
    <w:div w:id="885870959">
      <w:marLeft w:val="0"/>
      <w:marRight w:val="0"/>
      <w:marTop w:val="100"/>
      <w:marBottom w:val="0"/>
      <w:divBdr>
        <w:top w:val="none" w:sz="0" w:space="0" w:color="auto"/>
        <w:left w:val="none" w:sz="0" w:space="0" w:color="auto"/>
        <w:bottom w:val="none" w:sz="0" w:space="0" w:color="auto"/>
        <w:right w:val="none" w:sz="0" w:space="0" w:color="auto"/>
      </w:divBdr>
    </w:div>
    <w:div w:id="888031173">
      <w:marLeft w:val="0"/>
      <w:marRight w:val="0"/>
      <w:marTop w:val="100"/>
      <w:marBottom w:val="0"/>
      <w:divBdr>
        <w:top w:val="none" w:sz="0" w:space="0" w:color="auto"/>
        <w:left w:val="none" w:sz="0" w:space="0" w:color="auto"/>
        <w:bottom w:val="none" w:sz="0" w:space="0" w:color="auto"/>
        <w:right w:val="none" w:sz="0" w:space="0" w:color="auto"/>
      </w:divBdr>
    </w:div>
    <w:div w:id="888148263">
      <w:marLeft w:val="0"/>
      <w:marRight w:val="0"/>
      <w:marTop w:val="100"/>
      <w:marBottom w:val="0"/>
      <w:divBdr>
        <w:top w:val="none" w:sz="0" w:space="0" w:color="auto"/>
        <w:left w:val="none" w:sz="0" w:space="0" w:color="auto"/>
        <w:bottom w:val="none" w:sz="0" w:space="0" w:color="auto"/>
        <w:right w:val="none" w:sz="0" w:space="0" w:color="auto"/>
      </w:divBdr>
    </w:div>
    <w:div w:id="889222585">
      <w:marLeft w:val="0"/>
      <w:marRight w:val="0"/>
      <w:marTop w:val="0"/>
      <w:marBottom w:val="0"/>
      <w:divBdr>
        <w:top w:val="none" w:sz="0" w:space="0" w:color="auto"/>
        <w:left w:val="none" w:sz="0" w:space="0" w:color="auto"/>
        <w:bottom w:val="none" w:sz="0" w:space="0" w:color="auto"/>
        <w:right w:val="none" w:sz="0" w:space="0" w:color="auto"/>
      </w:divBdr>
      <w:divsChild>
        <w:div w:id="1135369714">
          <w:marLeft w:val="0"/>
          <w:marRight w:val="0"/>
          <w:marTop w:val="0"/>
          <w:marBottom w:val="0"/>
          <w:divBdr>
            <w:top w:val="none" w:sz="0" w:space="0" w:color="auto"/>
            <w:left w:val="none" w:sz="0" w:space="0" w:color="auto"/>
            <w:bottom w:val="none" w:sz="0" w:space="0" w:color="auto"/>
            <w:right w:val="none" w:sz="0" w:space="0" w:color="auto"/>
          </w:divBdr>
        </w:div>
      </w:divsChild>
    </w:div>
    <w:div w:id="893084369">
      <w:marLeft w:val="0"/>
      <w:marRight w:val="0"/>
      <w:marTop w:val="0"/>
      <w:marBottom w:val="0"/>
      <w:divBdr>
        <w:top w:val="none" w:sz="0" w:space="0" w:color="auto"/>
        <w:left w:val="none" w:sz="0" w:space="0" w:color="auto"/>
        <w:bottom w:val="none" w:sz="0" w:space="0" w:color="auto"/>
        <w:right w:val="none" w:sz="0" w:space="0" w:color="auto"/>
      </w:divBdr>
      <w:divsChild>
        <w:div w:id="662124815">
          <w:marLeft w:val="0"/>
          <w:marRight w:val="0"/>
          <w:marTop w:val="0"/>
          <w:marBottom w:val="0"/>
          <w:divBdr>
            <w:top w:val="none" w:sz="0" w:space="0" w:color="auto"/>
            <w:left w:val="none" w:sz="0" w:space="0" w:color="auto"/>
            <w:bottom w:val="none" w:sz="0" w:space="0" w:color="auto"/>
            <w:right w:val="none" w:sz="0" w:space="0" w:color="auto"/>
          </w:divBdr>
        </w:div>
        <w:div w:id="163595971">
          <w:marLeft w:val="0"/>
          <w:marRight w:val="0"/>
          <w:marTop w:val="0"/>
          <w:marBottom w:val="0"/>
          <w:divBdr>
            <w:top w:val="none" w:sz="0" w:space="0" w:color="auto"/>
            <w:left w:val="none" w:sz="0" w:space="0" w:color="auto"/>
            <w:bottom w:val="none" w:sz="0" w:space="0" w:color="auto"/>
            <w:right w:val="none" w:sz="0" w:space="0" w:color="auto"/>
          </w:divBdr>
        </w:div>
      </w:divsChild>
    </w:div>
    <w:div w:id="893274552">
      <w:marLeft w:val="0"/>
      <w:marRight w:val="0"/>
      <w:marTop w:val="180"/>
      <w:marBottom w:val="0"/>
      <w:divBdr>
        <w:top w:val="none" w:sz="0" w:space="0" w:color="auto"/>
        <w:left w:val="none" w:sz="0" w:space="0" w:color="auto"/>
        <w:bottom w:val="none" w:sz="0" w:space="0" w:color="auto"/>
        <w:right w:val="none" w:sz="0" w:space="0" w:color="auto"/>
      </w:divBdr>
    </w:div>
    <w:div w:id="894007405">
      <w:marLeft w:val="0"/>
      <w:marRight w:val="0"/>
      <w:marTop w:val="60"/>
      <w:marBottom w:val="0"/>
      <w:divBdr>
        <w:top w:val="none" w:sz="0" w:space="0" w:color="auto"/>
        <w:left w:val="none" w:sz="0" w:space="0" w:color="auto"/>
        <w:bottom w:val="none" w:sz="0" w:space="0" w:color="auto"/>
        <w:right w:val="none" w:sz="0" w:space="0" w:color="auto"/>
      </w:divBdr>
    </w:div>
    <w:div w:id="897209463">
      <w:marLeft w:val="0"/>
      <w:marRight w:val="0"/>
      <w:marTop w:val="280"/>
      <w:marBottom w:val="0"/>
      <w:divBdr>
        <w:top w:val="none" w:sz="0" w:space="0" w:color="auto"/>
        <w:left w:val="none" w:sz="0" w:space="0" w:color="auto"/>
        <w:bottom w:val="none" w:sz="0" w:space="0" w:color="auto"/>
        <w:right w:val="none" w:sz="0" w:space="0" w:color="auto"/>
      </w:divBdr>
    </w:div>
    <w:div w:id="898325390">
      <w:marLeft w:val="0"/>
      <w:marRight w:val="0"/>
      <w:marTop w:val="60"/>
      <w:marBottom w:val="0"/>
      <w:divBdr>
        <w:top w:val="none" w:sz="0" w:space="0" w:color="auto"/>
        <w:left w:val="none" w:sz="0" w:space="0" w:color="auto"/>
        <w:bottom w:val="none" w:sz="0" w:space="0" w:color="auto"/>
        <w:right w:val="none" w:sz="0" w:space="0" w:color="auto"/>
      </w:divBdr>
    </w:div>
    <w:div w:id="898591791">
      <w:marLeft w:val="0"/>
      <w:marRight w:val="0"/>
      <w:marTop w:val="100"/>
      <w:marBottom w:val="0"/>
      <w:divBdr>
        <w:top w:val="none" w:sz="0" w:space="0" w:color="auto"/>
        <w:left w:val="none" w:sz="0" w:space="0" w:color="auto"/>
        <w:bottom w:val="none" w:sz="0" w:space="0" w:color="auto"/>
        <w:right w:val="none" w:sz="0" w:space="0" w:color="auto"/>
      </w:divBdr>
    </w:div>
    <w:div w:id="900098901">
      <w:marLeft w:val="0"/>
      <w:marRight w:val="0"/>
      <w:marTop w:val="0"/>
      <w:marBottom w:val="0"/>
      <w:divBdr>
        <w:top w:val="none" w:sz="0" w:space="0" w:color="auto"/>
        <w:left w:val="none" w:sz="0" w:space="0" w:color="auto"/>
        <w:bottom w:val="none" w:sz="0" w:space="0" w:color="auto"/>
        <w:right w:val="none" w:sz="0" w:space="0" w:color="auto"/>
      </w:divBdr>
      <w:divsChild>
        <w:div w:id="1894734716">
          <w:marLeft w:val="0"/>
          <w:marRight w:val="0"/>
          <w:marTop w:val="0"/>
          <w:marBottom w:val="0"/>
          <w:divBdr>
            <w:top w:val="none" w:sz="0" w:space="0" w:color="auto"/>
            <w:left w:val="none" w:sz="0" w:space="0" w:color="auto"/>
            <w:bottom w:val="none" w:sz="0" w:space="0" w:color="auto"/>
            <w:right w:val="none" w:sz="0" w:space="0" w:color="auto"/>
          </w:divBdr>
        </w:div>
        <w:div w:id="1360593758">
          <w:marLeft w:val="0"/>
          <w:marRight w:val="0"/>
          <w:marTop w:val="0"/>
          <w:marBottom w:val="0"/>
          <w:divBdr>
            <w:top w:val="none" w:sz="0" w:space="0" w:color="auto"/>
            <w:left w:val="none" w:sz="0" w:space="0" w:color="auto"/>
            <w:bottom w:val="none" w:sz="0" w:space="0" w:color="auto"/>
            <w:right w:val="none" w:sz="0" w:space="0" w:color="auto"/>
          </w:divBdr>
        </w:div>
      </w:divsChild>
    </w:div>
    <w:div w:id="901913459">
      <w:marLeft w:val="0"/>
      <w:marRight w:val="0"/>
      <w:marTop w:val="100"/>
      <w:marBottom w:val="0"/>
      <w:divBdr>
        <w:top w:val="none" w:sz="0" w:space="0" w:color="auto"/>
        <w:left w:val="none" w:sz="0" w:space="0" w:color="auto"/>
        <w:bottom w:val="none" w:sz="0" w:space="0" w:color="auto"/>
        <w:right w:val="none" w:sz="0" w:space="0" w:color="auto"/>
      </w:divBdr>
    </w:div>
    <w:div w:id="902256793">
      <w:marLeft w:val="0"/>
      <w:marRight w:val="0"/>
      <w:marTop w:val="100"/>
      <w:marBottom w:val="0"/>
      <w:divBdr>
        <w:top w:val="none" w:sz="0" w:space="0" w:color="auto"/>
        <w:left w:val="none" w:sz="0" w:space="0" w:color="auto"/>
        <w:bottom w:val="none" w:sz="0" w:space="0" w:color="auto"/>
        <w:right w:val="none" w:sz="0" w:space="0" w:color="auto"/>
      </w:divBdr>
    </w:div>
    <w:div w:id="902981239">
      <w:marLeft w:val="0"/>
      <w:marRight w:val="0"/>
      <w:marTop w:val="100"/>
      <w:marBottom w:val="0"/>
      <w:divBdr>
        <w:top w:val="none" w:sz="0" w:space="0" w:color="auto"/>
        <w:left w:val="none" w:sz="0" w:space="0" w:color="auto"/>
        <w:bottom w:val="none" w:sz="0" w:space="0" w:color="auto"/>
        <w:right w:val="none" w:sz="0" w:space="0" w:color="auto"/>
      </w:divBdr>
    </w:div>
    <w:div w:id="907157977">
      <w:marLeft w:val="0"/>
      <w:marRight w:val="0"/>
      <w:marTop w:val="0"/>
      <w:marBottom w:val="0"/>
      <w:divBdr>
        <w:top w:val="none" w:sz="0" w:space="0" w:color="auto"/>
        <w:left w:val="none" w:sz="0" w:space="0" w:color="auto"/>
        <w:bottom w:val="none" w:sz="0" w:space="0" w:color="auto"/>
        <w:right w:val="none" w:sz="0" w:space="0" w:color="auto"/>
      </w:divBdr>
      <w:divsChild>
        <w:div w:id="667025523">
          <w:marLeft w:val="0"/>
          <w:marRight w:val="0"/>
          <w:marTop w:val="0"/>
          <w:marBottom w:val="0"/>
          <w:divBdr>
            <w:top w:val="none" w:sz="0" w:space="0" w:color="auto"/>
            <w:left w:val="none" w:sz="0" w:space="0" w:color="auto"/>
            <w:bottom w:val="none" w:sz="0" w:space="0" w:color="auto"/>
            <w:right w:val="none" w:sz="0" w:space="0" w:color="auto"/>
          </w:divBdr>
        </w:div>
      </w:divsChild>
    </w:div>
    <w:div w:id="911233393">
      <w:marLeft w:val="0"/>
      <w:marRight w:val="0"/>
      <w:marTop w:val="100"/>
      <w:marBottom w:val="0"/>
      <w:divBdr>
        <w:top w:val="none" w:sz="0" w:space="0" w:color="auto"/>
        <w:left w:val="none" w:sz="0" w:space="0" w:color="auto"/>
        <w:bottom w:val="none" w:sz="0" w:space="0" w:color="auto"/>
        <w:right w:val="none" w:sz="0" w:space="0" w:color="auto"/>
      </w:divBdr>
    </w:div>
    <w:div w:id="912349592">
      <w:marLeft w:val="0"/>
      <w:marRight w:val="0"/>
      <w:marTop w:val="0"/>
      <w:marBottom w:val="0"/>
      <w:divBdr>
        <w:top w:val="none" w:sz="0" w:space="0" w:color="auto"/>
        <w:left w:val="none" w:sz="0" w:space="0" w:color="auto"/>
        <w:bottom w:val="none" w:sz="0" w:space="0" w:color="auto"/>
        <w:right w:val="none" w:sz="0" w:space="0" w:color="auto"/>
      </w:divBdr>
      <w:divsChild>
        <w:div w:id="571550701">
          <w:marLeft w:val="0"/>
          <w:marRight w:val="0"/>
          <w:marTop w:val="0"/>
          <w:marBottom w:val="0"/>
          <w:divBdr>
            <w:top w:val="none" w:sz="0" w:space="0" w:color="auto"/>
            <w:left w:val="none" w:sz="0" w:space="0" w:color="auto"/>
            <w:bottom w:val="none" w:sz="0" w:space="0" w:color="auto"/>
            <w:right w:val="none" w:sz="0" w:space="0" w:color="auto"/>
          </w:divBdr>
        </w:div>
      </w:divsChild>
    </w:div>
    <w:div w:id="914901526">
      <w:marLeft w:val="0"/>
      <w:marRight w:val="0"/>
      <w:marTop w:val="100"/>
      <w:marBottom w:val="0"/>
      <w:divBdr>
        <w:top w:val="none" w:sz="0" w:space="0" w:color="auto"/>
        <w:left w:val="none" w:sz="0" w:space="0" w:color="auto"/>
        <w:bottom w:val="none" w:sz="0" w:space="0" w:color="auto"/>
        <w:right w:val="none" w:sz="0" w:space="0" w:color="auto"/>
      </w:divBdr>
    </w:div>
    <w:div w:id="915936396">
      <w:marLeft w:val="0"/>
      <w:marRight w:val="0"/>
      <w:marTop w:val="0"/>
      <w:marBottom w:val="0"/>
      <w:divBdr>
        <w:top w:val="none" w:sz="0" w:space="0" w:color="auto"/>
        <w:left w:val="none" w:sz="0" w:space="0" w:color="auto"/>
        <w:bottom w:val="none" w:sz="0" w:space="0" w:color="auto"/>
        <w:right w:val="none" w:sz="0" w:space="0" w:color="auto"/>
      </w:divBdr>
      <w:divsChild>
        <w:div w:id="1564372958">
          <w:marLeft w:val="0"/>
          <w:marRight w:val="0"/>
          <w:marTop w:val="0"/>
          <w:marBottom w:val="0"/>
          <w:divBdr>
            <w:top w:val="none" w:sz="0" w:space="0" w:color="auto"/>
            <w:left w:val="none" w:sz="0" w:space="0" w:color="auto"/>
            <w:bottom w:val="none" w:sz="0" w:space="0" w:color="auto"/>
            <w:right w:val="none" w:sz="0" w:space="0" w:color="auto"/>
          </w:divBdr>
        </w:div>
        <w:div w:id="919801345">
          <w:marLeft w:val="0"/>
          <w:marRight w:val="0"/>
          <w:marTop w:val="0"/>
          <w:marBottom w:val="0"/>
          <w:divBdr>
            <w:top w:val="none" w:sz="0" w:space="0" w:color="auto"/>
            <w:left w:val="none" w:sz="0" w:space="0" w:color="auto"/>
            <w:bottom w:val="none" w:sz="0" w:space="0" w:color="auto"/>
            <w:right w:val="none" w:sz="0" w:space="0" w:color="auto"/>
          </w:divBdr>
        </w:div>
      </w:divsChild>
    </w:div>
    <w:div w:id="916742776">
      <w:marLeft w:val="0"/>
      <w:marRight w:val="0"/>
      <w:marTop w:val="280"/>
      <w:marBottom w:val="0"/>
      <w:divBdr>
        <w:top w:val="none" w:sz="0" w:space="0" w:color="auto"/>
        <w:left w:val="none" w:sz="0" w:space="0" w:color="auto"/>
        <w:bottom w:val="none" w:sz="0" w:space="0" w:color="auto"/>
        <w:right w:val="none" w:sz="0" w:space="0" w:color="auto"/>
      </w:divBdr>
    </w:div>
    <w:div w:id="922226659">
      <w:marLeft w:val="0"/>
      <w:marRight w:val="0"/>
      <w:marTop w:val="100"/>
      <w:marBottom w:val="0"/>
      <w:divBdr>
        <w:top w:val="none" w:sz="0" w:space="0" w:color="auto"/>
        <w:left w:val="none" w:sz="0" w:space="0" w:color="auto"/>
        <w:bottom w:val="none" w:sz="0" w:space="0" w:color="auto"/>
        <w:right w:val="none" w:sz="0" w:space="0" w:color="auto"/>
      </w:divBdr>
    </w:div>
    <w:div w:id="923762184">
      <w:marLeft w:val="0"/>
      <w:marRight w:val="0"/>
      <w:marTop w:val="0"/>
      <w:marBottom w:val="0"/>
      <w:divBdr>
        <w:top w:val="none" w:sz="0" w:space="0" w:color="auto"/>
        <w:left w:val="none" w:sz="0" w:space="0" w:color="auto"/>
        <w:bottom w:val="none" w:sz="0" w:space="0" w:color="auto"/>
        <w:right w:val="none" w:sz="0" w:space="0" w:color="auto"/>
      </w:divBdr>
      <w:divsChild>
        <w:div w:id="73549163">
          <w:marLeft w:val="0"/>
          <w:marRight w:val="0"/>
          <w:marTop w:val="0"/>
          <w:marBottom w:val="0"/>
          <w:divBdr>
            <w:top w:val="none" w:sz="0" w:space="0" w:color="auto"/>
            <w:left w:val="none" w:sz="0" w:space="0" w:color="auto"/>
            <w:bottom w:val="none" w:sz="0" w:space="0" w:color="auto"/>
            <w:right w:val="none" w:sz="0" w:space="0" w:color="auto"/>
          </w:divBdr>
        </w:div>
        <w:div w:id="916090052">
          <w:marLeft w:val="0"/>
          <w:marRight w:val="0"/>
          <w:marTop w:val="0"/>
          <w:marBottom w:val="0"/>
          <w:divBdr>
            <w:top w:val="none" w:sz="0" w:space="0" w:color="auto"/>
            <w:left w:val="none" w:sz="0" w:space="0" w:color="auto"/>
            <w:bottom w:val="none" w:sz="0" w:space="0" w:color="auto"/>
            <w:right w:val="none" w:sz="0" w:space="0" w:color="auto"/>
          </w:divBdr>
        </w:div>
      </w:divsChild>
    </w:div>
    <w:div w:id="924611207">
      <w:marLeft w:val="0"/>
      <w:marRight w:val="0"/>
      <w:marTop w:val="60"/>
      <w:marBottom w:val="0"/>
      <w:divBdr>
        <w:top w:val="none" w:sz="0" w:space="0" w:color="auto"/>
        <w:left w:val="none" w:sz="0" w:space="0" w:color="auto"/>
        <w:bottom w:val="none" w:sz="0" w:space="0" w:color="auto"/>
        <w:right w:val="none" w:sz="0" w:space="0" w:color="auto"/>
      </w:divBdr>
    </w:div>
    <w:div w:id="926697382">
      <w:marLeft w:val="0"/>
      <w:marRight w:val="0"/>
      <w:marTop w:val="60"/>
      <w:marBottom w:val="0"/>
      <w:divBdr>
        <w:top w:val="none" w:sz="0" w:space="0" w:color="auto"/>
        <w:left w:val="none" w:sz="0" w:space="0" w:color="auto"/>
        <w:bottom w:val="none" w:sz="0" w:space="0" w:color="auto"/>
        <w:right w:val="none" w:sz="0" w:space="0" w:color="auto"/>
      </w:divBdr>
    </w:div>
    <w:div w:id="926770230">
      <w:marLeft w:val="0"/>
      <w:marRight w:val="0"/>
      <w:marTop w:val="100"/>
      <w:marBottom w:val="0"/>
      <w:divBdr>
        <w:top w:val="none" w:sz="0" w:space="0" w:color="auto"/>
        <w:left w:val="none" w:sz="0" w:space="0" w:color="auto"/>
        <w:bottom w:val="none" w:sz="0" w:space="0" w:color="auto"/>
        <w:right w:val="none" w:sz="0" w:space="0" w:color="auto"/>
      </w:divBdr>
    </w:div>
    <w:div w:id="926842327">
      <w:marLeft w:val="0"/>
      <w:marRight w:val="0"/>
      <w:marTop w:val="0"/>
      <w:marBottom w:val="0"/>
      <w:divBdr>
        <w:top w:val="none" w:sz="0" w:space="0" w:color="auto"/>
        <w:left w:val="none" w:sz="0" w:space="0" w:color="auto"/>
        <w:bottom w:val="none" w:sz="0" w:space="0" w:color="auto"/>
        <w:right w:val="none" w:sz="0" w:space="0" w:color="auto"/>
      </w:divBdr>
    </w:div>
    <w:div w:id="928738736">
      <w:marLeft w:val="0"/>
      <w:marRight w:val="0"/>
      <w:marTop w:val="100"/>
      <w:marBottom w:val="0"/>
      <w:divBdr>
        <w:top w:val="none" w:sz="0" w:space="0" w:color="auto"/>
        <w:left w:val="none" w:sz="0" w:space="0" w:color="auto"/>
        <w:bottom w:val="none" w:sz="0" w:space="0" w:color="auto"/>
        <w:right w:val="none" w:sz="0" w:space="0" w:color="auto"/>
      </w:divBdr>
    </w:div>
    <w:div w:id="929898238">
      <w:marLeft w:val="0"/>
      <w:marRight w:val="0"/>
      <w:marTop w:val="100"/>
      <w:marBottom w:val="0"/>
      <w:divBdr>
        <w:top w:val="none" w:sz="0" w:space="0" w:color="auto"/>
        <w:left w:val="none" w:sz="0" w:space="0" w:color="auto"/>
        <w:bottom w:val="none" w:sz="0" w:space="0" w:color="auto"/>
        <w:right w:val="none" w:sz="0" w:space="0" w:color="auto"/>
      </w:divBdr>
    </w:div>
    <w:div w:id="932669379">
      <w:marLeft w:val="0"/>
      <w:marRight w:val="0"/>
      <w:marTop w:val="0"/>
      <w:marBottom w:val="0"/>
      <w:divBdr>
        <w:top w:val="none" w:sz="0" w:space="0" w:color="auto"/>
        <w:left w:val="none" w:sz="0" w:space="0" w:color="auto"/>
        <w:bottom w:val="none" w:sz="0" w:space="0" w:color="auto"/>
        <w:right w:val="none" w:sz="0" w:space="0" w:color="auto"/>
      </w:divBdr>
      <w:divsChild>
        <w:div w:id="1989164463">
          <w:marLeft w:val="0"/>
          <w:marRight w:val="0"/>
          <w:marTop w:val="0"/>
          <w:marBottom w:val="0"/>
          <w:divBdr>
            <w:top w:val="none" w:sz="0" w:space="0" w:color="auto"/>
            <w:left w:val="none" w:sz="0" w:space="0" w:color="auto"/>
            <w:bottom w:val="none" w:sz="0" w:space="0" w:color="auto"/>
            <w:right w:val="none" w:sz="0" w:space="0" w:color="auto"/>
          </w:divBdr>
        </w:div>
        <w:div w:id="1916815840">
          <w:marLeft w:val="0"/>
          <w:marRight w:val="0"/>
          <w:marTop w:val="0"/>
          <w:marBottom w:val="0"/>
          <w:divBdr>
            <w:top w:val="none" w:sz="0" w:space="0" w:color="auto"/>
            <w:left w:val="none" w:sz="0" w:space="0" w:color="auto"/>
            <w:bottom w:val="none" w:sz="0" w:space="0" w:color="auto"/>
            <w:right w:val="none" w:sz="0" w:space="0" w:color="auto"/>
          </w:divBdr>
        </w:div>
      </w:divsChild>
    </w:div>
    <w:div w:id="938030081">
      <w:marLeft w:val="0"/>
      <w:marRight w:val="0"/>
      <w:marTop w:val="100"/>
      <w:marBottom w:val="0"/>
      <w:divBdr>
        <w:top w:val="none" w:sz="0" w:space="0" w:color="auto"/>
        <w:left w:val="none" w:sz="0" w:space="0" w:color="auto"/>
        <w:bottom w:val="none" w:sz="0" w:space="0" w:color="auto"/>
        <w:right w:val="none" w:sz="0" w:space="0" w:color="auto"/>
      </w:divBdr>
    </w:div>
    <w:div w:id="939294447">
      <w:marLeft w:val="0"/>
      <w:marRight w:val="0"/>
      <w:marTop w:val="180"/>
      <w:marBottom w:val="180"/>
      <w:divBdr>
        <w:top w:val="none" w:sz="0" w:space="0" w:color="auto"/>
        <w:left w:val="none" w:sz="0" w:space="0" w:color="auto"/>
        <w:bottom w:val="none" w:sz="0" w:space="0" w:color="auto"/>
        <w:right w:val="none" w:sz="0" w:space="0" w:color="auto"/>
      </w:divBdr>
    </w:div>
    <w:div w:id="939407445">
      <w:marLeft w:val="0"/>
      <w:marRight w:val="0"/>
      <w:marTop w:val="100"/>
      <w:marBottom w:val="0"/>
      <w:divBdr>
        <w:top w:val="none" w:sz="0" w:space="0" w:color="auto"/>
        <w:left w:val="none" w:sz="0" w:space="0" w:color="auto"/>
        <w:bottom w:val="none" w:sz="0" w:space="0" w:color="auto"/>
        <w:right w:val="none" w:sz="0" w:space="0" w:color="auto"/>
      </w:divBdr>
    </w:div>
    <w:div w:id="940719806">
      <w:marLeft w:val="0"/>
      <w:marRight w:val="0"/>
      <w:marTop w:val="280"/>
      <w:marBottom w:val="0"/>
      <w:divBdr>
        <w:top w:val="none" w:sz="0" w:space="0" w:color="auto"/>
        <w:left w:val="none" w:sz="0" w:space="0" w:color="auto"/>
        <w:bottom w:val="none" w:sz="0" w:space="0" w:color="auto"/>
        <w:right w:val="none" w:sz="0" w:space="0" w:color="auto"/>
      </w:divBdr>
    </w:div>
    <w:div w:id="940720026">
      <w:marLeft w:val="0"/>
      <w:marRight w:val="0"/>
      <w:marTop w:val="100"/>
      <w:marBottom w:val="0"/>
      <w:divBdr>
        <w:top w:val="none" w:sz="0" w:space="0" w:color="auto"/>
        <w:left w:val="none" w:sz="0" w:space="0" w:color="auto"/>
        <w:bottom w:val="none" w:sz="0" w:space="0" w:color="auto"/>
        <w:right w:val="none" w:sz="0" w:space="0" w:color="auto"/>
      </w:divBdr>
    </w:div>
    <w:div w:id="940991837">
      <w:marLeft w:val="0"/>
      <w:marRight w:val="0"/>
      <w:marTop w:val="100"/>
      <w:marBottom w:val="0"/>
      <w:divBdr>
        <w:top w:val="none" w:sz="0" w:space="0" w:color="auto"/>
        <w:left w:val="none" w:sz="0" w:space="0" w:color="auto"/>
        <w:bottom w:val="none" w:sz="0" w:space="0" w:color="auto"/>
        <w:right w:val="none" w:sz="0" w:space="0" w:color="auto"/>
      </w:divBdr>
    </w:div>
    <w:div w:id="941380143">
      <w:marLeft w:val="0"/>
      <w:marRight w:val="0"/>
      <w:marTop w:val="100"/>
      <w:marBottom w:val="0"/>
      <w:divBdr>
        <w:top w:val="none" w:sz="0" w:space="0" w:color="auto"/>
        <w:left w:val="none" w:sz="0" w:space="0" w:color="auto"/>
        <w:bottom w:val="none" w:sz="0" w:space="0" w:color="auto"/>
        <w:right w:val="none" w:sz="0" w:space="0" w:color="auto"/>
      </w:divBdr>
    </w:div>
    <w:div w:id="941838761">
      <w:marLeft w:val="0"/>
      <w:marRight w:val="0"/>
      <w:marTop w:val="60"/>
      <w:marBottom w:val="0"/>
      <w:divBdr>
        <w:top w:val="none" w:sz="0" w:space="0" w:color="auto"/>
        <w:left w:val="none" w:sz="0" w:space="0" w:color="auto"/>
        <w:bottom w:val="none" w:sz="0" w:space="0" w:color="auto"/>
        <w:right w:val="none" w:sz="0" w:space="0" w:color="auto"/>
      </w:divBdr>
    </w:div>
    <w:div w:id="941843653">
      <w:marLeft w:val="0"/>
      <w:marRight w:val="0"/>
      <w:marTop w:val="0"/>
      <w:marBottom w:val="0"/>
      <w:divBdr>
        <w:top w:val="none" w:sz="0" w:space="0" w:color="auto"/>
        <w:left w:val="none" w:sz="0" w:space="0" w:color="auto"/>
        <w:bottom w:val="none" w:sz="0" w:space="0" w:color="auto"/>
        <w:right w:val="none" w:sz="0" w:space="0" w:color="auto"/>
      </w:divBdr>
      <w:divsChild>
        <w:div w:id="382566053">
          <w:marLeft w:val="0"/>
          <w:marRight w:val="0"/>
          <w:marTop w:val="0"/>
          <w:marBottom w:val="0"/>
          <w:divBdr>
            <w:top w:val="none" w:sz="0" w:space="0" w:color="auto"/>
            <w:left w:val="none" w:sz="0" w:space="0" w:color="auto"/>
            <w:bottom w:val="none" w:sz="0" w:space="0" w:color="auto"/>
            <w:right w:val="none" w:sz="0" w:space="0" w:color="auto"/>
          </w:divBdr>
        </w:div>
      </w:divsChild>
    </w:div>
    <w:div w:id="942616440">
      <w:marLeft w:val="0"/>
      <w:marRight w:val="0"/>
      <w:marTop w:val="100"/>
      <w:marBottom w:val="0"/>
      <w:divBdr>
        <w:top w:val="none" w:sz="0" w:space="0" w:color="auto"/>
        <w:left w:val="none" w:sz="0" w:space="0" w:color="auto"/>
        <w:bottom w:val="none" w:sz="0" w:space="0" w:color="auto"/>
        <w:right w:val="none" w:sz="0" w:space="0" w:color="auto"/>
      </w:divBdr>
    </w:div>
    <w:div w:id="945114346">
      <w:marLeft w:val="0"/>
      <w:marRight w:val="0"/>
      <w:marTop w:val="0"/>
      <w:marBottom w:val="0"/>
      <w:divBdr>
        <w:top w:val="none" w:sz="0" w:space="0" w:color="auto"/>
        <w:left w:val="none" w:sz="0" w:space="0" w:color="auto"/>
        <w:bottom w:val="none" w:sz="0" w:space="0" w:color="auto"/>
        <w:right w:val="none" w:sz="0" w:space="0" w:color="auto"/>
      </w:divBdr>
      <w:divsChild>
        <w:div w:id="876160644">
          <w:marLeft w:val="0"/>
          <w:marRight w:val="0"/>
          <w:marTop w:val="0"/>
          <w:marBottom w:val="0"/>
          <w:divBdr>
            <w:top w:val="none" w:sz="0" w:space="0" w:color="auto"/>
            <w:left w:val="none" w:sz="0" w:space="0" w:color="auto"/>
            <w:bottom w:val="none" w:sz="0" w:space="0" w:color="auto"/>
            <w:right w:val="none" w:sz="0" w:space="0" w:color="auto"/>
          </w:divBdr>
        </w:div>
      </w:divsChild>
    </w:div>
    <w:div w:id="945848285">
      <w:marLeft w:val="0"/>
      <w:marRight w:val="0"/>
      <w:marTop w:val="60"/>
      <w:marBottom w:val="0"/>
      <w:divBdr>
        <w:top w:val="none" w:sz="0" w:space="0" w:color="auto"/>
        <w:left w:val="none" w:sz="0" w:space="0" w:color="auto"/>
        <w:bottom w:val="none" w:sz="0" w:space="0" w:color="auto"/>
        <w:right w:val="none" w:sz="0" w:space="0" w:color="auto"/>
      </w:divBdr>
    </w:div>
    <w:div w:id="947085006">
      <w:marLeft w:val="0"/>
      <w:marRight w:val="0"/>
      <w:marTop w:val="100"/>
      <w:marBottom w:val="0"/>
      <w:divBdr>
        <w:top w:val="none" w:sz="0" w:space="0" w:color="auto"/>
        <w:left w:val="none" w:sz="0" w:space="0" w:color="auto"/>
        <w:bottom w:val="none" w:sz="0" w:space="0" w:color="auto"/>
        <w:right w:val="none" w:sz="0" w:space="0" w:color="auto"/>
      </w:divBdr>
    </w:div>
    <w:div w:id="947540574">
      <w:marLeft w:val="0"/>
      <w:marRight w:val="0"/>
      <w:marTop w:val="100"/>
      <w:marBottom w:val="0"/>
      <w:divBdr>
        <w:top w:val="none" w:sz="0" w:space="0" w:color="auto"/>
        <w:left w:val="none" w:sz="0" w:space="0" w:color="auto"/>
        <w:bottom w:val="none" w:sz="0" w:space="0" w:color="auto"/>
        <w:right w:val="none" w:sz="0" w:space="0" w:color="auto"/>
      </w:divBdr>
    </w:div>
    <w:div w:id="948706160">
      <w:marLeft w:val="0"/>
      <w:marRight w:val="0"/>
      <w:marTop w:val="180"/>
      <w:marBottom w:val="0"/>
      <w:divBdr>
        <w:top w:val="none" w:sz="0" w:space="0" w:color="auto"/>
        <w:left w:val="none" w:sz="0" w:space="0" w:color="auto"/>
        <w:bottom w:val="none" w:sz="0" w:space="0" w:color="auto"/>
        <w:right w:val="none" w:sz="0" w:space="0" w:color="auto"/>
      </w:divBdr>
    </w:div>
    <w:div w:id="950404510">
      <w:marLeft w:val="0"/>
      <w:marRight w:val="0"/>
      <w:marTop w:val="100"/>
      <w:marBottom w:val="0"/>
      <w:divBdr>
        <w:top w:val="none" w:sz="0" w:space="0" w:color="auto"/>
        <w:left w:val="none" w:sz="0" w:space="0" w:color="auto"/>
        <w:bottom w:val="none" w:sz="0" w:space="0" w:color="auto"/>
        <w:right w:val="none" w:sz="0" w:space="0" w:color="auto"/>
      </w:divBdr>
    </w:div>
    <w:div w:id="950942805">
      <w:marLeft w:val="0"/>
      <w:marRight w:val="0"/>
      <w:marTop w:val="100"/>
      <w:marBottom w:val="100"/>
      <w:divBdr>
        <w:top w:val="none" w:sz="0" w:space="0" w:color="auto"/>
        <w:left w:val="none" w:sz="0" w:space="0" w:color="auto"/>
        <w:bottom w:val="none" w:sz="0" w:space="0" w:color="auto"/>
        <w:right w:val="none" w:sz="0" w:space="0" w:color="auto"/>
      </w:divBdr>
      <w:divsChild>
        <w:div w:id="200441219">
          <w:marLeft w:val="0"/>
          <w:marRight w:val="0"/>
          <w:marTop w:val="0"/>
          <w:marBottom w:val="0"/>
          <w:divBdr>
            <w:top w:val="none" w:sz="0" w:space="0" w:color="auto"/>
            <w:left w:val="none" w:sz="0" w:space="0" w:color="auto"/>
            <w:bottom w:val="none" w:sz="0" w:space="0" w:color="auto"/>
            <w:right w:val="none" w:sz="0" w:space="0" w:color="auto"/>
          </w:divBdr>
        </w:div>
        <w:div w:id="743381711">
          <w:marLeft w:val="0"/>
          <w:marRight w:val="0"/>
          <w:marTop w:val="0"/>
          <w:marBottom w:val="0"/>
          <w:divBdr>
            <w:top w:val="none" w:sz="0" w:space="0" w:color="auto"/>
            <w:left w:val="none" w:sz="0" w:space="0" w:color="auto"/>
            <w:bottom w:val="none" w:sz="0" w:space="0" w:color="auto"/>
            <w:right w:val="none" w:sz="0" w:space="0" w:color="auto"/>
          </w:divBdr>
        </w:div>
      </w:divsChild>
    </w:div>
    <w:div w:id="952663708">
      <w:marLeft w:val="0"/>
      <w:marRight w:val="0"/>
      <w:marTop w:val="100"/>
      <w:marBottom w:val="0"/>
      <w:divBdr>
        <w:top w:val="none" w:sz="0" w:space="0" w:color="auto"/>
        <w:left w:val="none" w:sz="0" w:space="0" w:color="auto"/>
        <w:bottom w:val="none" w:sz="0" w:space="0" w:color="auto"/>
        <w:right w:val="none" w:sz="0" w:space="0" w:color="auto"/>
      </w:divBdr>
    </w:div>
    <w:div w:id="953050698">
      <w:marLeft w:val="0"/>
      <w:marRight w:val="0"/>
      <w:marTop w:val="100"/>
      <w:marBottom w:val="0"/>
      <w:divBdr>
        <w:top w:val="none" w:sz="0" w:space="0" w:color="auto"/>
        <w:left w:val="none" w:sz="0" w:space="0" w:color="auto"/>
        <w:bottom w:val="none" w:sz="0" w:space="0" w:color="auto"/>
        <w:right w:val="none" w:sz="0" w:space="0" w:color="auto"/>
      </w:divBdr>
    </w:div>
    <w:div w:id="953362607">
      <w:marLeft w:val="0"/>
      <w:marRight w:val="0"/>
      <w:marTop w:val="100"/>
      <w:marBottom w:val="0"/>
      <w:divBdr>
        <w:top w:val="none" w:sz="0" w:space="0" w:color="auto"/>
        <w:left w:val="none" w:sz="0" w:space="0" w:color="auto"/>
        <w:bottom w:val="none" w:sz="0" w:space="0" w:color="auto"/>
        <w:right w:val="none" w:sz="0" w:space="0" w:color="auto"/>
      </w:divBdr>
    </w:div>
    <w:div w:id="954217927">
      <w:marLeft w:val="0"/>
      <w:marRight w:val="0"/>
      <w:marTop w:val="100"/>
      <w:marBottom w:val="0"/>
      <w:divBdr>
        <w:top w:val="none" w:sz="0" w:space="0" w:color="auto"/>
        <w:left w:val="none" w:sz="0" w:space="0" w:color="auto"/>
        <w:bottom w:val="none" w:sz="0" w:space="0" w:color="auto"/>
        <w:right w:val="none" w:sz="0" w:space="0" w:color="auto"/>
      </w:divBdr>
    </w:div>
    <w:div w:id="954408538">
      <w:marLeft w:val="0"/>
      <w:marRight w:val="0"/>
      <w:marTop w:val="100"/>
      <w:marBottom w:val="0"/>
      <w:divBdr>
        <w:top w:val="none" w:sz="0" w:space="0" w:color="auto"/>
        <w:left w:val="none" w:sz="0" w:space="0" w:color="auto"/>
        <w:bottom w:val="none" w:sz="0" w:space="0" w:color="auto"/>
        <w:right w:val="none" w:sz="0" w:space="0" w:color="auto"/>
      </w:divBdr>
      <w:divsChild>
        <w:div w:id="1718239097">
          <w:marLeft w:val="0"/>
          <w:marRight w:val="0"/>
          <w:marTop w:val="0"/>
          <w:marBottom w:val="0"/>
          <w:divBdr>
            <w:top w:val="none" w:sz="0" w:space="0" w:color="auto"/>
            <w:left w:val="none" w:sz="0" w:space="0" w:color="auto"/>
            <w:bottom w:val="none" w:sz="0" w:space="0" w:color="auto"/>
            <w:right w:val="none" w:sz="0" w:space="0" w:color="auto"/>
          </w:divBdr>
        </w:div>
        <w:div w:id="772632333">
          <w:marLeft w:val="0"/>
          <w:marRight w:val="0"/>
          <w:marTop w:val="0"/>
          <w:marBottom w:val="0"/>
          <w:divBdr>
            <w:top w:val="none" w:sz="0" w:space="0" w:color="auto"/>
            <w:left w:val="none" w:sz="0" w:space="0" w:color="auto"/>
            <w:bottom w:val="none" w:sz="0" w:space="0" w:color="auto"/>
            <w:right w:val="none" w:sz="0" w:space="0" w:color="auto"/>
          </w:divBdr>
        </w:div>
      </w:divsChild>
    </w:div>
    <w:div w:id="956371641">
      <w:marLeft w:val="0"/>
      <w:marRight w:val="0"/>
      <w:marTop w:val="100"/>
      <w:marBottom w:val="0"/>
      <w:divBdr>
        <w:top w:val="none" w:sz="0" w:space="0" w:color="auto"/>
        <w:left w:val="none" w:sz="0" w:space="0" w:color="auto"/>
        <w:bottom w:val="none" w:sz="0" w:space="0" w:color="auto"/>
        <w:right w:val="none" w:sz="0" w:space="0" w:color="auto"/>
      </w:divBdr>
    </w:div>
    <w:div w:id="959065353">
      <w:marLeft w:val="0"/>
      <w:marRight w:val="0"/>
      <w:marTop w:val="100"/>
      <w:marBottom w:val="0"/>
      <w:divBdr>
        <w:top w:val="none" w:sz="0" w:space="0" w:color="auto"/>
        <w:left w:val="none" w:sz="0" w:space="0" w:color="auto"/>
        <w:bottom w:val="none" w:sz="0" w:space="0" w:color="auto"/>
        <w:right w:val="none" w:sz="0" w:space="0" w:color="auto"/>
      </w:divBdr>
    </w:div>
    <w:div w:id="959578736">
      <w:marLeft w:val="0"/>
      <w:marRight w:val="0"/>
      <w:marTop w:val="0"/>
      <w:marBottom w:val="0"/>
      <w:divBdr>
        <w:top w:val="none" w:sz="0" w:space="0" w:color="auto"/>
        <w:left w:val="none" w:sz="0" w:space="0" w:color="auto"/>
        <w:bottom w:val="none" w:sz="0" w:space="0" w:color="auto"/>
        <w:right w:val="none" w:sz="0" w:space="0" w:color="auto"/>
      </w:divBdr>
      <w:divsChild>
        <w:div w:id="2101094364">
          <w:marLeft w:val="0"/>
          <w:marRight w:val="0"/>
          <w:marTop w:val="0"/>
          <w:marBottom w:val="0"/>
          <w:divBdr>
            <w:top w:val="none" w:sz="0" w:space="0" w:color="auto"/>
            <w:left w:val="none" w:sz="0" w:space="0" w:color="auto"/>
            <w:bottom w:val="none" w:sz="0" w:space="0" w:color="auto"/>
            <w:right w:val="none" w:sz="0" w:space="0" w:color="auto"/>
          </w:divBdr>
        </w:div>
        <w:div w:id="1191996839">
          <w:marLeft w:val="0"/>
          <w:marRight w:val="0"/>
          <w:marTop w:val="0"/>
          <w:marBottom w:val="0"/>
          <w:divBdr>
            <w:top w:val="none" w:sz="0" w:space="0" w:color="auto"/>
            <w:left w:val="none" w:sz="0" w:space="0" w:color="auto"/>
            <w:bottom w:val="none" w:sz="0" w:space="0" w:color="auto"/>
            <w:right w:val="none" w:sz="0" w:space="0" w:color="auto"/>
          </w:divBdr>
        </w:div>
      </w:divsChild>
    </w:div>
    <w:div w:id="960578110">
      <w:marLeft w:val="0"/>
      <w:marRight w:val="0"/>
      <w:marTop w:val="60"/>
      <w:marBottom w:val="0"/>
      <w:divBdr>
        <w:top w:val="none" w:sz="0" w:space="0" w:color="auto"/>
        <w:left w:val="none" w:sz="0" w:space="0" w:color="auto"/>
        <w:bottom w:val="none" w:sz="0" w:space="0" w:color="auto"/>
        <w:right w:val="none" w:sz="0" w:space="0" w:color="auto"/>
      </w:divBdr>
    </w:div>
    <w:div w:id="961420767">
      <w:marLeft w:val="0"/>
      <w:marRight w:val="0"/>
      <w:marTop w:val="100"/>
      <w:marBottom w:val="0"/>
      <w:divBdr>
        <w:top w:val="none" w:sz="0" w:space="0" w:color="auto"/>
        <w:left w:val="none" w:sz="0" w:space="0" w:color="auto"/>
        <w:bottom w:val="none" w:sz="0" w:space="0" w:color="auto"/>
        <w:right w:val="none" w:sz="0" w:space="0" w:color="auto"/>
      </w:divBdr>
    </w:div>
    <w:div w:id="961573629">
      <w:marLeft w:val="0"/>
      <w:marRight w:val="0"/>
      <w:marTop w:val="0"/>
      <w:marBottom w:val="0"/>
      <w:divBdr>
        <w:top w:val="none" w:sz="0" w:space="0" w:color="auto"/>
        <w:left w:val="none" w:sz="0" w:space="0" w:color="auto"/>
        <w:bottom w:val="none" w:sz="0" w:space="0" w:color="auto"/>
        <w:right w:val="none" w:sz="0" w:space="0" w:color="auto"/>
      </w:divBdr>
      <w:divsChild>
        <w:div w:id="1066999183">
          <w:marLeft w:val="0"/>
          <w:marRight w:val="0"/>
          <w:marTop w:val="0"/>
          <w:marBottom w:val="0"/>
          <w:divBdr>
            <w:top w:val="none" w:sz="0" w:space="0" w:color="auto"/>
            <w:left w:val="none" w:sz="0" w:space="0" w:color="auto"/>
            <w:bottom w:val="none" w:sz="0" w:space="0" w:color="auto"/>
            <w:right w:val="none" w:sz="0" w:space="0" w:color="auto"/>
          </w:divBdr>
        </w:div>
        <w:div w:id="246311004">
          <w:marLeft w:val="0"/>
          <w:marRight w:val="0"/>
          <w:marTop w:val="0"/>
          <w:marBottom w:val="0"/>
          <w:divBdr>
            <w:top w:val="none" w:sz="0" w:space="0" w:color="auto"/>
            <w:left w:val="none" w:sz="0" w:space="0" w:color="auto"/>
            <w:bottom w:val="none" w:sz="0" w:space="0" w:color="auto"/>
            <w:right w:val="none" w:sz="0" w:space="0" w:color="auto"/>
          </w:divBdr>
        </w:div>
      </w:divsChild>
    </w:div>
    <w:div w:id="962855546">
      <w:marLeft w:val="0"/>
      <w:marRight w:val="0"/>
      <w:marTop w:val="100"/>
      <w:marBottom w:val="0"/>
      <w:divBdr>
        <w:top w:val="none" w:sz="0" w:space="0" w:color="auto"/>
        <w:left w:val="none" w:sz="0" w:space="0" w:color="auto"/>
        <w:bottom w:val="none" w:sz="0" w:space="0" w:color="auto"/>
        <w:right w:val="none" w:sz="0" w:space="0" w:color="auto"/>
      </w:divBdr>
    </w:div>
    <w:div w:id="963006285">
      <w:marLeft w:val="0"/>
      <w:marRight w:val="0"/>
      <w:marTop w:val="180"/>
      <w:marBottom w:val="0"/>
      <w:divBdr>
        <w:top w:val="none" w:sz="0" w:space="0" w:color="auto"/>
        <w:left w:val="none" w:sz="0" w:space="0" w:color="auto"/>
        <w:bottom w:val="none" w:sz="0" w:space="0" w:color="auto"/>
        <w:right w:val="none" w:sz="0" w:space="0" w:color="auto"/>
      </w:divBdr>
    </w:div>
    <w:div w:id="963271768">
      <w:marLeft w:val="0"/>
      <w:marRight w:val="0"/>
      <w:marTop w:val="280"/>
      <w:marBottom w:val="0"/>
      <w:divBdr>
        <w:top w:val="none" w:sz="0" w:space="0" w:color="auto"/>
        <w:left w:val="none" w:sz="0" w:space="0" w:color="auto"/>
        <w:bottom w:val="none" w:sz="0" w:space="0" w:color="auto"/>
        <w:right w:val="none" w:sz="0" w:space="0" w:color="auto"/>
      </w:divBdr>
    </w:div>
    <w:div w:id="966156372">
      <w:marLeft w:val="0"/>
      <w:marRight w:val="0"/>
      <w:marTop w:val="0"/>
      <w:marBottom w:val="0"/>
      <w:divBdr>
        <w:top w:val="none" w:sz="0" w:space="0" w:color="auto"/>
        <w:left w:val="none" w:sz="0" w:space="0" w:color="auto"/>
        <w:bottom w:val="none" w:sz="0" w:space="0" w:color="auto"/>
        <w:right w:val="none" w:sz="0" w:space="0" w:color="auto"/>
      </w:divBdr>
      <w:divsChild>
        <w:div w:id="2056081141">
          <w:marLeft w:val="0"/>
          <w:marRight w:val="0"/>
          <w:marTop w:val="0"/>
          <w:marBottom w:val="0"/>
          <w:divBdr>
            <w:top w:val="none" w:sz="0" w:space="0" w:color="auto"/>
            <w:left w:val="none" w:sz="0" w:space="0" w:color="auto"/>
            <w:bottom w:val="none" w:sz="0" w:space="0" w:color="auto"/>
            <w:right w:val="none" w:sz="0" w:space="0" w:color="auto"/>
          </w:divBdr>
        </w:div>
      </w:divsChild>
    </w:div>
    <w:div w:id="966662036">
      <w:marLeft w:val="0"/>
      <w:marRight w:val="0"/>
      <w:marTop w:val="100"/>
      <w:marBottom w:val="0"/>
      <w:divBdr>
        <w:top w:val="none" w:sz="0" w:space="0" w:color="auto"/>
        <w:left w:val="none" w:sz="0" w:space="0" w:color="auto"/>
        <w:bottom w:val="none" w:sz="0" w:space="0" w:color="auto"/>
        <w:right w:val="none" w:sz="0" w:space="0" w:color="auto"/>
      </w:divBdr>
    </w:div>
    <w:div w:id="967398584">
      <w:marLeft w:val="0"/>
      <w:marRight w:val="0"/>
      <w:marTop w:val="100"/>
      <w:marBottom w:val="0"/>
      <w:divBdr>
        <w:top w:val="none" w:sz="0" w:space="0" w:color="auto"/>
        <w:left w:val="none" w:sz="0" w:space="0" w:color="auto"/>
        <w:bottom w:val="none" w:sz="0" w:space="0" w:color="auto"/>
        <w:right w:val="none" w:sz="0" w:space="0" w:color="auto"/>
      </w:divBdr>
    </w:div>
    <w:div w:id="968626671">
      <w:marLeft w:val="0"/>
      <w:marRight w:val="0"/>
      <w:marTop w:val="100"/>
      <w:marBottom w:val="0"/>
      <w:divBdr>
        <w:top w:val="none" w:sz="0" w:space="0" w:color="auto"/>
        <w:left w:val="none" w:sz="0" w:space="0" w:color="auto"/>
        <w:bottom w:val="none" w:sz="0" w:space="0" w:color="auto"/>
        <w:right w:val="none" w:sz="0" w:space="0" w:color="auto"/>
      </w:divBdr>
    </w:div>
    <w:div w:id="969284249">
      <w:marLeft w:val="0"/>
      <w:marRight w:val="0"/>
      <w:marTop w:val="100"/>
      <w:marBottom w:val="0"/>
      <w:divBdr>
        <w:top w:val="none" w:sz="0" w:space="0" w:color="auto"/>
        <w:left w:val="none" w:sz="0" w:space="0" w:color="auto"/>
        <w:bottom w:val="none" w:sz="0" w:space="0" w:color="auto"/>
        <w:right w:val="none" w:sz="0" w:space="0" w:color="auto"/>
      </w:divBdr>
    </w:div>
    <w:div w:id="970482658">
      <w:marLeft w:val="0"/>
      <w:marRight w:val="0"/>
      <w:marTop w:val="0"/>
      <w:marBottom w:val="0"/>
      <w:divBdr>
        <w:top w:val="none" w:sz="0" w:space="0" w:color="auto"/>
        <w:left w:val="none" w:sz="0" w:space="0" w:color="auto"/>
        <w:bottom w:val="none" w:sz="0" w:space="0" w:color="auto"/>
        <w:right w:val="none" w:sz="0" w:space="0" w:color="auto"/>
      </w:divBdr>
      <w:divsChild>
        <w:div w:id="2034383083">
          <w:marLeft w:val="0"/>
          <w:marRight w:val="0"/>
          <w:marTop w:val="0"/>
          <w:marBottom w:val="0"/>
          <w:divBdr>
            <w:top w:val="none" w:sz="0" w:space="0" w:color="auto"/>
            <w:left w:val="none" w:sz="0" w:space="0" w:color="auto"/>
            <w:bottom w:val="none" w:sz="0" w:space="0" w:color="auto"/>
            <w:right w:val="none" w:sz="0" w:space="0" w:color="auto"/>
          </w:divBdr>
        </w:div>
      </w:divsChild>
    </w:div>
    <w:div w:id="970673984">
      <w:marLeft w:val="0"/>
      <w:marRight w:val="0"/>
      <w:marTop w:val="60"/>
      <w:marBottom w:val="0"/>
      <w:divBdr>
        <w:top w:val="none" w:sz="0" w:space="0" w:color="auto"/>
        <w:left w:val="none" w:sz="0" w:space="0" w:color="auto"/>
        <w:bottom w:val="none" w:sz="0" w:space="0" w:color="auto"/>
        <w:right w:val="none" w:sz="0" w:space="0" w:color="auto"/>
      </w:divBdr>
    </w:div>
    <w:div w:id="972828337">
      <w:marLeft w:val="0"/>
      <w:marRight w:val="0"/>
      <w:marTop w:val="100"/>
      <w:marBottom w:val="0"/>
      <w:divBdr>
        <w:top w:val="none" w:sz="0" w:space="0" w:color="auto"/>
        <w:left w:val="none" w:sz="0" w:space="0" w:color="auto"/>
        <w:bottom w:val="none" w:sz="0" w:space="0" w:color="auto"/>
        <w:right w:val="none" w:sz="0" w:space="0" w:color="auto"/>
      </w:divBdr>
    </w:div>
    <w:div w:id="973369464">
      <w:marLeft w:val="0"/>
      <w:marRight w:val="0"/>
      <w:marTop w:val="0"/>
      <w:marBottom w:val="0"/>
      <w:divBdr>
        <w:top w:val="none" w:sz="0" w:space="0" w:color="auto"/>
        <w:left w:val="none" w:sz="0" w:space="0" w:color="auto"/>
        <w:bottom w:val="none" w:sz="0" w:space="0" w:color="auto"/>
        <w:right w:val="none" w:sz="0" w:space="0" w:color="auto"/>
      </w:divBdr>
      <w:divsChild>
        <w:div w:id="778993554">
          <w:marLeft w:val="0"/>
          <w:marRight w:val="0"/>
          <w:marTop w:val="0"/>
          <w:marBottom w:val="0"/>
          <w:divBdr>
            <w:top w:val="none" w:sz="0" w:space="0" w:color="auto"/>
            <w:left w:val="none" w:sz="0" w:space="0" w:color="auto"/>
            <w:bottom w:val="none" w:sz="0" w:space="0" w:color="auto"/>
            <w:right w:val="none" w:sz="0" w:space="0" w:color="auto"/>
          </w:divBdr>
        </w:div>
      </w:divsChild>
    </w:div>
    <w:div w:id="973410611">
      <w:marLeft w:val="0"/>
      <w:marRight w:val="0"/>
      <w:marTop w:val="0"/>
      <w:marBottom w:val="160"/>
      <w:divBdr>
        <w:top w:val="none" w:sz="0" w:space="0" w:color="auto"/>
        <w:left w:val="none" w:sz="0" w:space="0" w:color="auto"/>
        <w:bottom w:val="none" w:sz="0" w:space="0" w:color="auto"/>
        <w:right w:val="none" w:sz="0" w:space="0" w:color="auto"/>
      </w:divBdr>
    </w:div>
    <w:div w:id="977566591">
      <w:marLeft w:val="0"/>
      <w:marRight w:val="0"/>
      <w:marTop w:val="100"/>
      <w:marBottom w:val="0"/>
      <w:divBdr>
        <w:top w:val="none" w:sz="0" w:space="0" w:color="auto"/>
        <w:left w:val="none" w:sz="0" w:space="0" w:color="auto"/>
        <w:bottom w:val="none" w:sz="0" w:space="0" w:color="auto"/>
        <w:right w:val="none" w:sz="0" w:space="0" w:color="auto"/>
      </w:divBdr>
    </w:div>
    <w:div w:id="977995249">
      <w:marLeft w:val="0"/>
      <w:marRight w:val="0"/>
      <w:marTop w:val="100"/>
      <w:marBottom w:val="0"/>
      <w:divBdr>
        <w:top w:val="none" w:sz="0" w:space="0" w:color="auto"/>
        <w:left w:val="none" w:sz="0" w:space="0" w:color="auto"/>
        <w:bottom w:val="none" w:sz="0" w:space="0" w:color="auto"/>
        <w:right w:val="none" w:sz="0" w:space="0" w:color="auto"/>
      </w:divBdr>
      <w:divsChild>
        <w:div w:id="1078478553">
          <w:marLeft w:val="0"/>
          <w:marRight w:val="0"/>
          <w:marTop w:val="100"/>
          <w:marBottom w:val="0"/>
          <w:divBdr>
            <w:top w:val="none" w:sz="0" w:space="0" w:color="auto"/>
            <w:left w:val="none" w:sz="0" w:space="0" w:color="auto"/>
            <w:bottom w:val="none" w:sz="0" w:space="0" w:color="auto"/>
            <w:right w:val="none" w:sz="0" w:space="0" w:color="auto"/>
          </w:divBdr>
        </w:div>
      </w:divsChild>
    </w:div>
    <w:div w:id="978875098">
      <w:marLeft w:val="0"/>
      <w:marRight w:val="0"/>
      <w:marTop w:val="60"/>
      <w:marBottom w:val="0"/>
      <w:divBdr>
        <w:top w:val="none" w:sz="0" w:space="0" w:color="auto"/>
        <w:left w:val="none" w:sz="0" w:space="0" w:color="auto"/>
        <w:bottom w:val="none" w:sz="0" w:space="0" w:color="auto"/>
        <w:right w:val="none" w:sz="0" w:space="0" w:color="auto"/>
      </w:divBdr>
    </w:div>
    <w:div w:id="980118925">
      <w:marLeft w:val="0"/>
      <w:marRight w:val="0"/>
      <w:marTop w:val="60"/>
      <w:marBottom w:val="0"/>
      <w:divBdr>
        <w:top w:val="none" w:sz="0" w:space="0" w:color="auto"/>
        <w:left w:val="none" w:sz="0" w:space="0" w:color="auto"/>
        <w:bottom w:val="none" w:sz="0" w:space="0" w:color="auto"/>
        <w:right w:val="none" w:sz="0" w:space="0" w:color="auto"/>
      </w:divBdr>
    </w:div>
    <w:div w:id="982660500">
      <w:marLeft w:val="0"/>
      <w:marRight w:val="0"/>
      <w:marTop w:val="280"/>
      <w:marBottom w:val="0"/>
      <w:divBdr>
        <w:top w:val="none" w:sz="0" w:space="0" w:color="auto"/>
        <w:left w:val="none" w:sz="0" w:space="0" w:color="auto"/>
        <w:bottom w:val="none" w:sz="0" w:space="0" w:color="auto"/>
        <w:right w:val="none" w:sz="0" w:space="0" w:color="auto"/>
      </w:divBdr>
    </w:div>
    <w:div w:id="983893194">
      <w:marLeft w:val="0"/>
      <w:marRight w:val="0"/>
      <w:marTop w:val="60"/>
      <w:marBottom w:val="0"/>
      <w:divBdr>
        <w:top w:val="none" w:sz="0" w:space="0" w:color="auto"/>
        <w:left w:val="none" w:sz="0" w:space="0" w:color="auto"/>
        <w:bottom w:val="none" w:sz="0" w:space="0" w:color="auto"/>
        <w:right w:val="none" w:sz="0" w:space="0" w:color="auto"/>
      </w:divBdr>
    </w:div>
    <w:div w:id="983893548">
      <w:marLeft w:val="0"/>
      <w:marRight w:val="0"/>
      <w:marTop w:val="60"/>
      <w:marBottom w:val="0"/>
      <w:divBdr>
        <w:top w:val="none" w:sz="0" w:space="0" w:color="auto"/>
        <w:left w:val="none" w:sz="0" w:space="0" w:color="auto"/>
        <w:bottom w:val="none" w:sz="0" w:space="0" w:color="auto"/>
        <w:right w:val="none" w:sz="0" w:space="0" w:color="auto"/>
      </w:divBdr>
    </w:div>
    <w:div w:id="984243506">
      <w:marLeft w:val="0"/>
      <w:marRight w:val="0"/>
      <w:marTop w:val="60"/>
      <w:marBottom w:val="0"/>
      <w:divBdr>
        <w:top w:val="none" w:sz="0" w:space="0" w:color="auto"/>
        <w:left w:val="none" w:sz="0" w:space="0" w:color="auto"/>
        <w:bottom w:val="none" w:sz="0" w:space="0" w:color="auto"/>
        <w:right w:val="none" w:sz="0" w:space="0" w:color="auto"/>
      </w:divBdr>
    </w:div>
    <w:div w:id="990717708">
      <w:marLeft w:val="0"/>
      <w:marRight w:val="0"/>
      <w:marTop w:val="0"/>
      <w:marBottom w:val="0"/>
      <w:divBdr>
        <w:top w:val="none" w:sz="0" w:space="0" w:color="auto"/>
        <w:left w:val="none" w:sz="0" w:space="0" w:color="auto"/>
        <w:bottom w:val="none" w:sz="0" w:space="0" w:color="auto"/>
        <w:right w:val="none" w:sz="0" w:space="0" w:color="auto"/>
      </w:divBdr>
      <w:divsChild>
        <w:div w:id="1315647696">
          <w:marLeft w:val="0"/>
          <w:marRight w:val="0"/>
          <w:marTop w:val="0"/>
          <w:marBottom w:val="0"/>
          <w:divBdr>
            <w:top w:val="none" w:sz="0" w:space="0" w:color="auto"/>
            <w:left w:val="none" w:sz="0" w:space="0" w:color="auto"/>
            <w:bottom w:val="none" w:sz="0" w:space="0" w:color="auto"/>
            <w:right w:val="none" w:sz="0" w:space="0" w:color="auto"/>
          </w:divBdr>
        </w:div>
      </w:divsChild>
    </w:div>
    <w:div w:id="991258357">
      <w:marLeft w:val="0"/>
      <w:marRight w:val="0"/>
      <w:marTop w:val="100"/>
      <w:marBottom w:val="0"/>
      <w:divBdr>
        <w:top w:val="none" w:sz="0" w:space="0" w:color="auto"/>
        <w:left w:val="none" w:sz="0" w:space="0" w:color="auto"/>
        <w:bottom w:val="none" w:sz="0" w:space="0" w:color="auto"/>
        <w:right w:val="none" w:sz="0" w:space="0" w:color="auto"/>
      </w:divBdr>
    </w:div>
    <w:div w:id="993409872">
      <w:marLeft w:val="0"/>
      <w:marRight w:val="0"/>
      <w:marTop w:val="60"/>
      <w:marBottom w:val="0"/>
      <w:divBdr>
        <w:top w:val="none" w:sz="0" w:space="0" w:color="auto"/>
        <w:left w:val="none" w:sz="0" w:space="0" w:color="auto"/>
        <w:bottom w:val="none" w:sz="0" w:space="0" w:color="auto"/>
        <w:right w:val="none" w:sz="0" w:space="0" w:color="auto"/>
      </w:divBdr>
    </w:div>
    <w:div w:id="994064461">
      <w:marLeft w:val="0"/>
      <w:marRight w:val="0"/>
      <w:marTop w:val="60"/>
      <w:marBottom w:val="0"/>
      <w:divBdr>
        <w:top w:val="none" w:sz="0" w:space="0" w:color="auto"/>
        <w:left w:val="none" w:sz="0" w:space="0" w:color="auto"/>
        <w:bottom w:val="none" w:sz="0" w:space="0" w:color="auto"/>
        <w:right w:val="none" w:sz="0" w:space="0" w:color="auto"/>
      </w:divBdr>
    </w:div>
    <w:div w:id="994138509">
      <w:marLeft w:val="0"/>
      <w:marRight w:val="0"/>
      <w:marTop w:val="180"/>
      <w:marBottom w:val="0"/>
      <w:divBdr>
        <w:top w:val="none" w:sz="0" w:space="0" w:color="auto"/>
        <w:left w:val="none" w:sz="0" w:space="0" w:color="auto"/>
        <w:bottom w:val="none" w:sz="0" w:space="0" w:color="auto"/>
        <w:right w:val="none" w:sz="0" w:space="0" w:color="auto"/>
      </w:divBdr>
    </w:div>
    <w:div w:id="995450614">
      <w:marLeft w:val="0"/>
      <w:marRight w:val="0"/>
      <w:marTop w:val="280"/>
      <w:marBottom w:val="0"/>
      <w:divBdr>
        <w:top w:val="none" w:sz="0" w:space="0" w:color="auto"/>
        <w:left w:val="none" w:sz="0" w:space="0" w:color="auto"/>
        <w:bottom w:val="none" w:sz="0" w:space="0" w:color="auto"/>
        <w:right w:val="none" w:sz="0" w:space="0" w:color="auto"/>
      </w:divBdr>
    </w:div>
    <w:div w:id="995768447">
      <w:marLeft w:val="0"/>
      <w:marRight w:val="0"/>
      <w:marTop w:val="280"/>
      <w:marBottom w:val="0"/>
      <w:divBdr>
        <w:top w:val="none" w:sz="0" w:space="0" w:color="auto"/>
        <w:left w:val="none" w:sz="0" w:space="0" w:color="auto"/>
        <w:bottom w:val="none" w:sz="0" w:space="0" w:color="auto"/>
        <w:right w:val="none" w:sz="0" w:space="0" w:color="auto"/>
      </w:divBdr>
    </w:div>
    <w:div w:id="996572155">
      <w:marLeft w:val="0"/>
      <w:marRight w:val="0"/>
      <w:marTop w:val="280"/>
      <w:marBottom w:val="0"/>
      <w:divBdr>
        <w:top w:val="none" w:sz="0" w:space="0" w:color="auto"/>
        <w:left w:val="none" w:sz="0" w:space="0" w:color="auto"/>
        <w:bottom w:val="none" w:sz="0" w:space="0" w:color="auto"/>
        <w:right w:val="none" w:sz="0" w:space="0" w:color="auto"/>
      </w:divBdr>
    </w:div>
    <w:div w:id="998117044">
      <w:marLeft w:val="0"/>
      <w:marRight w:val="0"/>
      <w:marTop w:val="60"/>
      <w:marBottom w:val="0"/>
      <w:divBdr>
        <w:top w:val="none" w:sz="0" w:space="0" w:color="auto"/>
        <w:left w:val="none" w:sz="0" w:space="0" w:color="auto"/>
        <w:bottom w:val="none" w:sz="0" w:space="0" w:color="auto"/>
        <w:right w:val="none" w:sz="0" w:space="0" w:color="auto"/>
      </w:divBdr>
    </w:div>
    <w:div w:id="998197190">
      <w:marLeft w:val="0"/>
      <w:marRight w:val="0"/>
      <w:marTop w:val="60"/>
      <w:marBottom w:val="0"/>
      <w:divBdr>
        <w:top w:val="none" w:sz="0" w:space="0" w:color="auto"/>
        <w:left w:val="none" w:sz="0" w:space="0" w:color="auto"/>
        <w:bottom w:val="none" w:sz="0" w:space="0" w:color="auto"/>
        <w:right w:val="none" w:sz="0" w:space="0" w:color="auto"/>
      </w:divBdr>
    </w:div>
    <w:div w:id="1001393506">
      <w:marLeft w:val="0"/>
      <w:marRight w:val="0"/>
      <w:marTop w:val="280"/>
      <w:marBottom w:val="0"/>
      <w:divBdr>
        <w:top w:val="none" w:sz="0" w:space="0" w:color="auto"/>
        <w:left w:val="none" w:sz="0" w:space="0" w:color="auto"/>
        <w:bottom w:val="none" w:sz="0" w:space="0" w:color="auto"/>
        <w:right w:val="none" w:sz="0" w:space="0" w:color="auto"/>
      </w:divBdr>
    </w:div>
    <w:div w:id="1001465061">
      <w:marLeft w:val="0"/>
      <w:marRight w:val="0"/>
      <w:marTop w:val="100"/>
      <w:marBottom w:val="100"/>
      <w:divBdr>
        <w:top w:val="none" w:sz="0" w:space="0" w:color="auto"/>
        <w:left w:val="none" w:sz="0" w:space="0" w:color="auto"/>
        <w:bottom w:val="none" w:sz="0" w:space="0" w:color="auto"/>
        <w:right w:val="none" w:sz="0" w:space="0" w:color="auto"/>
      </w:divBdr>
    </w:div>
    <w:div w:id="1001809754">
      <w:marLeft w:val="0"/>
      <w:marRight w:val="0"/>
      <w:marTop w:val="100"/>
      <w:marBottom w:val="0"/>
      <w:divBdr>
        <w:top w:val="none" w:sz="0" w:space="0" w:color="auto"/>
        <w:left w:val="none" w:sz="0" w:space="0" w:color="auto"/>
        <w:bottom w:val="none" w:sz="0" w:space="0" w:color="auto"/>
        <w:right w:val="none" w:sz="0" w:space="0" w:color="auto"/>
      </w:divBdr>
    </w:div>
    <w:div w:id="1002391185">
      <w:marLeft w:val="0"/>
      <w:marRight w:val="0"/>
      <w:marTop w:val="60"/>
      <w:marBottom w:val="0"/>
      <w:divBdr>
        <w:top w:val="none" w:sz="0" w:space="0" w:color="auto"/>
        <w:left w:val="none" w:sz="0" w:space="0" w:color="auto"/>
        <w:bottom w:val="none" w:sz="0" w:space="0" w:color="auto"/>
        <w:right w:val="none" w:sz="0" w:space="0" w:color="auto"/>
      </w:divBdr>
    </w:div>
    <w:div w:id="1005942823">
      <w:marLeft w:val="0"/>
      <w:marRight w:val="0"/>
      <w:marTop w:val="60"/>
      <w:marBottom w:val="0"/>
      <w:divBdr>
        <w:top w:val="none" w:sz="0" w:space="0" w:color="auto"/>
        <w:left w:val="none" w:sz="0" w:space="0" w:color="auto"/>
        <w:bottom w:val="none" w:sz="0" w:space="0" w:color="auto"/>
        <w:right w:val="none" w:sz="0" w:space="0" w:color="auto"/>
      </w:divBdr>
    </w:div>
    <w:div w:id="1006784454">
      <w:marLeft w:val="0"/>
      <w:marRight w:val="0"/>
      <w:marTop w:val="100"/>
      <w:marBottom w:val="0"/>
      <w:divBdr>
        <w:top w:val="none" w:sz="0" w:space="0" w:color="auto"/>
        <w:left w:val="none" w:sz="0" w:space="0" w:color="auto"/>
        <w:bottom w:val="none" w:sz="0" w:space="0" w:color="auto"/>
        <w:right w:val="none" w:sz="0" w:space="0" w:color="auto"/>
      </w:divBdr>
    </w:div>
    <w:div w:id="1007438398">
      <w:marLeft w:val="0"/>
      <w:marRight w:val="0"/>
      <w:marTop w:val="100"/>
      <w:marBottom w:val="0"/>
      <w:divBdr>
        <w:top w:val="none" w:sz="0" w:space="0" w:color="auto"/>
        <w:left w:val="none" w:sz="0" w:space="0" w:color="auto"/>
        <w:bottom w:val="none" w:sz="0" w:space="0" w:color="auto"/>
        <w:right w:val="none" w:sz="0" w:space="0" w:color="auto"/>
      </w:divBdr>
    </w:div>
    <w:div w:id="1008144518">
      <w:marLeft w:val="0"/>
      <w:marRight w:val="0"/>
      <w:marTop w:val="60"/>
      <w:marBottom w:val="0"/>
      <w:divBdr>
        <w:top w:val="none" w:sz="0" w:space="0" w:color="auto"/>
        <w:left w:val="none" w:sz="0" w:space="0" w:color="auto"/>
        <w:bottom w:val="none" w:sz="0" w:space="0" w:color="auto"/>
        <w:right w:val="none" w:sz="0" w:space="0" w:color="auto"/>
      </w:divBdr>
    </w:div>
    <w:div w:id="1010572332">
      <w:marLeft w:val="0"/>
      <w:marRight w:val="0"/>
      <w:marTop w:val="180"/>
      <w:marBottom w:val="180"/>
      <w:divBdr>
        <w:top w:val="none" w:sz="0" w:space="0" w:color="auto"/>
        <w:left w:val="none" w:sz="0" w:space="0" w:color="auto"/>
        <w:bottom w:val="none" w:sz="0" w:space="0" w:color="auto"/>
        <w:right w:val="none" w:sz="0" w:space="0" w:color="auto"/>
      </w:divBdr>
    </w:div>
    <w:div w:id="1012995623">
      <w:marLeft w:val="0"/>
      <w:marRight w:val="0"/>
      <w:marTop w:val="100"/>
      <w:marBottom w:val="0"/>
      <w:divBdr>
        <w:top w:val="none" w:sz="0" w:space="0" w:color="auto"/>
        <w:left w:val="none" w:sz="0" w:space="0" w:color="auto"/>
        <w:bottom w:val="none" w:sz="0" w:space="0" w:color="auto"/>
        <w:right w:val="none" w:sz="0" w:space="0" w:color="auto"/>
      </w:divBdr>
    </w:div>
    <w:div w:id="1013722323">
      <w:marLeft w:val="0"/>
      <w:marRight w:val="0"/>
      <w:marTop w:val="100"/>
      <w:marBottom w:val="0"/>
      <w:divBdr>
        <w:top w:val="none" w:sz="0" w:space="0" w:color="auto"/>
        <w:left w:val="none" w:sz="0" w:space="0" w:color="auto"/>
        <w:bottom w:val="none" w:sz="0" w:space="0" w:color="auto"/>
        <w:right w:val="none" w:sz="0" w:space="0" w:color="auto"/>
      </w:divBdr>
    </w:div>
    <w:div w:id="1014266342">
      <w:marLeft w:val="0"/>
      <w:marRight w:val="0"/>
      <w:marTop w:val="100"/>
      <w:marBottom w:val="0"/>
      <w:divBdr>
        <w:top w:val="none" w:sz="0" w:space="0" w:color="auto"/>
        <w:left w:val="none" w:sz="0" w:space="0" w:color="auto"/>
        <w:bottom w:val="none" w:sz="0" w:space="0" w:color="auto"/>
        <w:right w:val="none" w:sz="0" w:space="0" w:color="auto"/>
      </w:divBdr>
    </w:div>
    <w:div w:id="1014499216">
      <w:marLeft w:val="0"/>
      <w:marRight w:val="0"/>
      <w:marTop w:val="60"/>
      <w:marBottom w:val="0"/>
      <w:divBdr>
        <w:top w:val="none" w:sz="0" w:space="0" w:color="auto"/>
        <w:left w:val="none" w:sz="0" w:space="0" w:color="auto"/>
        <w:bottom w:val="none" w:sz="0" w:space="0" w:color="auto"/>
        <w:right w:val="none" w:sz="0" w:space="0" w:color="auto"/>
      </w:divBdr>
    </w:div>
    <w:div w:id="1014726236">
      <w:marLeft w:val="0"/>
      <w:marRight w:val="0"/>
      <w:marTop w:val="280"/>
      <w:marBottom w:val="0"/>
      <w:divBdr>
        <w:top w:val="none" w:sz="0" w:space="0" w:color="auto"/>
        <w:left w:val="none" w:sz="0" w:space="0" w:color="auto"/>
        <w:bottom w:val="none" w:sz="0" w:space="0" w:color="auto"/>
        <w:right w:val="none" w:sz="0" w:space="0" w:color="auto"/>
      </w:divBdr>
    </w:div>
    <w:div w:id="1017659287">
      <w:marLeft w:val="0"/>
      <w:marRight w:val="0"/>
      <w:marTop w:val="100"/>
      <w:marBottom w:val="0"/>
      <w:divBdr>
        <w:top w:val="none" w:sz="0" w:space="0" w:color="auto"/>
        <w:left w:val="none" w:sz="0" w:space="0" w:color="auto"/>
        <w:bottom w:val="none" w:sz="0" w:space="0" w:color="auto"/>
        <w:right w:val="none" w:sz="0" w:space="0" w:color="auto"/>
      </w:divBdr>
    </w:div>
    <w:div w:id="1017803812">
      <w:marLeft w:val="0"/>
      <w:marRight w:val="0"/>
      <w:marTop w:val="100"/>
      <w:marBottom w:val="0"/>
      <w:divBdr>
        <w:top w:val="none" w:sz="0" w:space="0" w:color="auto"/>
        <w:left w:val="none" w:sz="0" w:space="0" w:color="auto"/>
        <w:bottom w:val="none" w:sz="0" w:space="0" w:color="auto"/>
        <w:right w:val="none" w:sz="0" w:space="0" w:color="auto"/>
      </w:divBdr>
    </w:div>
    <w:div w:id="1019893007">
      <w:marLeft w:val="0"/>
      <w:marRight w:val="0"/>
      <w:marTop w:val="0"/>
      <w:marBottom w:val="0"/>
      <w:divBdr>
        <w:top w:val="none" w:sz="0" w:space="0" w:color="auto"/>
        <w:left w:val="none" w:sz="0" w:space="0" w:color="auto"/>
        <w:bottom w:val="none" w:sz="0" w:space="0" w:color="auto"/>
        <w:right w:val="none" w:sz="0" w:space="0" w:color="auto"/>
      </w:divBdr>
      <w:divsChild>
        <w:div w:id="1939217728">
          <w:marLeft w:val="0"/>
          <w:marRight w:val="0"/>
          <w:marTop w:val="0"/>
          <w:marBottom w:val="0"/>
          <w:divBdr>
            <w:top w:val="none" w:sz="0" w:space="0" w:color="auto"/>
            <w:left w:val="none" w:sz="0" w:space="0" w:color="auto"/>
            <w:bottom w:val="none" w:sz="0" w:space="0" w:color="auto"/>
            <w:right w:val="none" w:sz="0" w:space="0" w:color="auto"/>
          </w:divBdr>
        </w:div>
      </w:divsChild>
    </w:div>
    <w:div w:id="1020199555">
      <w:marLeft w:val="0"/>
      <w:marRight w:val="0"/>
      <w:marTop w:val="100"/>
      <w:marBottom w:val="0"/>
      <w:divBdr>
        <w:top w:val="none" w:sz="0" w:space="0" w:color="auto"/>
        <w:left w:val="none" w:sz="0" w:space="0" w:color="auto"/>
        <w:bottom w:val="none" w:sz="0" w:space="0" w:color="auto"/>
        <w:right w:val="none" w:sz="0" w:space="0" w:color="auto"/>
      </w:divBdr>
    </w:div>
    <w:div w:id="1021737707">
      <w:marLeft w:val="0"/>
      <w:marRight w:val="0"/>
      <w:marTop w:val="100"/>
      <w:marBottom w:val="0"/>
      <w:divBdr>
        <w:top w:val="none" w:sz="0" w:space="0" w:color="auto"/>
        <w:left w:val="none" w:sz="0" w:space="0" w:color="auto"/>
        <w:bottom w:val="none" w:sz="0" w:space="0" w:color="auto"/>
        <w:right w:val="none" w:sz="0" w:space="0" w:color="auto"/>
      </w:divBdr>
    </w:div>
    <w:div w:id="1023094217">
      <w:marLeft w:val="0"/>
      <w:marRight w:val="0"/>
      <w:marTop w:val="100"/>
      <w:marBottom w:val="0"/>
      <w:divBdr>
        <w:top w:val="none" w:sz="0" w:space="0" w:color="auto"/>
        <w:left w:val="none" w:sz="0" w:space="0" w:color="auto"/>
        <w:bottom w:val="none" w:sz="0" w:space="0" w:color="auto"/>
        <w:right w:val="none" w:sz="0" w:space="0" w:color="auto"/>
      </w:divBdr>
    </w:div>
    <w:div w:id="1023477586">
      <w:marLeft w:val="0"/>
      <w:marRight w:val="0"/>
      <w:marTop w:val="0"/>
      <w:marBottom w:val="40"/>
      <w:divBdr>
        <w:top w:val="none" w:sz="0" w:space="0" w:color="auto"/>
        <w:left w:val="none" w:sz="0" w:space="0" w:color="auto"/>
        <w:bottom w:val="none" w:sz="0" w:space="0" w:color="auto"/>
        <w:right w:val="none" w:sz="0" w:space="0" w:color="auto"/>
      </w:divBdr>
      <w:divsChild>
        <w:div w:id="521284585">
          <w:marLeft w:val="0"/>
          <w:marRight w:val="0"/>
          <w:marTop w:val="0"/>
          <w:marBottom w:val="0"/>
          <w:divBdr>
            <w:top w:val="none" w:sz="0" w:space="0" w:color="auto"/>
            <w:left w:val="none" w:sz="0" w:space="0" w:color="auto"/>
            <w:bottom w:val="none" w:sz="0" w:space="0" w:color="auto"/>
            <w:right w:val="none" w:sz="0" w:space="0" w:color="auto"/>
          </w:divBdr>
        </w:div>
      </w:divsChild>
    </w:div>
    <w:div w:id="1024406691">
      <w:marLeft w:val="0"/>
      <w:marRight w:val="0"/>
      <w:marTop w:val="280"/>
      <w:marBottom w:val="100"/>
      <w:divBdr>
        <w:top w:val="none" w:sz="0" w:space="0" w:color="auto"/>
        <w:left w:val="none" w:sz="0" w:space="0" w:color="auto"/>
        <w:bottom w:val="none" w:sz="0" w:space="0" w:color="auto"/>
        <w:right w:val="none" w:sz="0" w:space="0" w:color="auto"/>
      </w:divBdr>
    </w:div>
    <w:div w:id="1025441864">
      <w:marLeft w:val="0"/>
      <w:marRight w:val="0"/>
      <w:marTop w:val="240"/>
      <w:marBottom w:val="0"/>
      <w:divBdr>
        <w:top w:val="none" w:sz="0" w:space="0" w:color="auto"/>
        <w:left w:val="none" w:sz="0" w:space="0" w:color="auto"/>
        <w:bottom w:val="none" w:sz="0" w:space="0" w:color="auto"/>
        <w:right w:val="none" w:sz="0" w:space="0" w:color="auto"/>
      </w:divBdr>
    </w:div>
    <w:div w:id="1030883437">
      <w:marLeft w:val="0"/>
      <w:marRight w:val="0"/>
      <w:marTop w:val="40"/>
      <w:marBottom w:val="0"/>
      <w:divBdr>
        <w:top w:val="none" w:sz="0" w:space="0" w:color="auto"/>
        <w:left w:val="none" w:sz="0" w:space="0" w:color="auto"/>
        <w:bottom w:val="none" w:sz="0" w:space="0" w:color="auto"/>
        <w:right w:val="none" w:sz="0" w:space="0" w:color="auto"/>
      </w:divBdr>
    </w:div>
    <w:div w:id="1031884407">
      <w:marLeft w:val="0"/>
      <w:marRight w:val="0"/>
      <w:marTop w:val="0"/>
      <w:marBottom w:val="0"/>
      <w:divBdr>
        <w:top w:val="none" w:sz="0" w:space="0" w:color="auto"/>
        <w:left w:val="none" w:sz="0" w:space="0" w:color="auto"/>
        <w:bottom w:val="none" w:sz="0" w:space="0" w:color="auto"/>
        <w:right w:val="none" w:sz="0" w:space="0" w:color="auto"/>
      </w:divBdr>
      <w:divsChild>
        <w:div w:id="602034293">
          <w:marLeft w:val="0"/>
          <w:marRight w:val="0"/>
          <w:marTop w:val="0"/>
          <w:marBottom w:val="0"/>
          <w:divBdr>
            <w:top w:val="none" w:sz="0" w:space="0" w:color="auto"/>
            <w:left w:val="none" w:sz="0" w:space="0" w:color="auto"/>
            <w:bottom w:val="none" w:sz="0" w:space="0" w:color="auto"/>
            <w:right w:val="none" w:sz="0" w:space="0" w:color="auto"/>
          </w:divBdr>
        </w:div>
        <w:div w:id="1164393281">
          <w:marLeft w:val="0"/>
          <w:marRight w:val="0"/>
          <w:marTop w:val="0"/>
          <w:marBottom w:val="0"/>
          <w:divBdr>
            <w:top w:val="none" w:sz="0" w:space="0" w:color="auto"/>
            <w:left w:val="none" w:sz="0" w:space="0" w:color="auto"/>
            <w:bottom w:val="none" w:sz="0" w:space="0" w:color="auto"/>
            <w:right w:val="none" w:sz="0" w:space="0" w:color="auto"/>
          </w:divBdr>
        </w:div>
      </w:divsChild>
    </w:div>
    <w:div w:id="1033382160">
      <w:marLeft w:val="0"/>
      <w:marRight w:val="0"/>
      <w:marTop w:val="60"/>
      <w:marBottom w:val="0"/>
      <w:divBdr>
        <w:top w:val="none" w:sz="0" w:space="0" w:color="auto"/>
        <w:left w:val="none" w:sz="0" w:space="0" w:color="auto"/>
        <w:bottom w:val="none" w:sz="0" w:space="0" w:color="auto"/>
        <w:right w:val="none" w:sz="0" w:space="0" w:color="auto"/>
      </w:divBdr>
    </w:div>
    <w:div w:id="1034186058">
      <w:marLeft w:val="0"/>
      <w:marRight w:val="0"/>
      <w:marTop w:val="100"/>
      <w:marBottom w:val="0"/>
      <w:divBdr>
        <w:top w:val="none" w:sz="0" w:space="0" w:color="auto"/>
        <w:left w:val="none" w:sz="0" w:space="0" w:color="auto"/>
        <w:bottom w:val="none" w:sz="0" w:space="0" w:color="auto"/>
        <w:right w:val="none" w:sz="0" w:space="0" w:color="auto"/>
      </w:divBdr>
    </w:div>
    <w:div w:id="1035619658">
      <w:marLeft w:val="0"/>
      <w:marRight w:val="0"/>
      <w:marTop w:val="380"/>
      <w:marBottom w:val="100"/>
      <w:divBdr>
        <w:top w:val="none" w:sz="0" w:space="0" w:color="auto"/>
        <w:left w:val="none" w:sz="0" w:space="0" w:color="auto"/>
        <w:bottom w:val="none" w:sz="0" w:space="0" w:color="auto"/>
        <w:right w:val="none" w:sz="0" w:space="0" w:color="auto"/>
      </w:divBdr>
    </w:div>
    <w:div w:id="1036396159">
      <w:marLeft w:val="0"/>
      <w:marRight w:val="0"/>
      <w:marTop w:val="0"/>
      <w:marBottom w:val="0"/>
      <w:divBdr>
        <w:top w:val="none" w:sz="0" w:space="0" w:color="auto"/>
        <w:left w:val="none" w:sz="0" w:space="0" w:color="auto"/>
        <w:bottom w:val="none" w:sz="0" w:space="0" w:color="auto"/>
        <w:right w:val="none" w:sz="0" w:space="0" w:color="auto"/>
      </w:divBdr>
      <w:divsChild>
        <w:div w:id="505905049">
          <w:marLeft w:val="0"/>
          <w:marRight w:val="0"/>
          <w:marTop w:val="0"/>
          <w:marBottom w:val="0"/>
          <w:divBdr>
            <w:top w:val="none" w:sz="0" w:space="0" w:color="auto"/>
            <w:left w:val="none" w:sz="0" w:space="0" w:color="auto"/>
            <w:bottom w:val="none" w:sz="0" w:space="0" w:color="auto"/>
            <w:right w:val="none" w:sz="0" w:space="0" w:color="auto"/>
          </w:divBdr>
        </w:div>
        <w:div w:id="788551324">
          <w:marLeft w:val="0"/>
          <w:marRight w:val="0"/>
          <w:marTop w:val="0"/>
          <w:marBottom w:val="0"/>
          <w:divBdr>
            <w:top w:val="none" w:sz="0" w:space="0" w:color="auto"/>
            <w:left w:val="none" w:sz="0" w:space="0" w:color="auto"/>
            <w:bottom w:val="none" w:sz="0" w:space="0" w:color="auto"/>
            <w:right w:val="none" w:sz="0" w:space="0" w:color="auto"/>
          </w:divBdr>
        </w:div>
      </w:divsChild>
    </w:div>
    <w:div w:id="1037663851">
      <w:marLeft w:val="0"/>
      <w:marRight w:val="0"/>
      <w:marTop w:val="40"/>
      <w:marBottom w:val="100"/>
      <w:divBdr>
        <w:top w:val="none" w:sz="0" w:space="0" w:color="auto"/>
        <w:left w:val="none" w:sz="0" w:space="0" w:color="auto"/>
        <w:bottom w:val="none" w:sz="0" w:space="0" w:color="auto"/>
        <w:right w:val="none" w:sz="0" w:space="0" w:color="auto"/>
      </w:divBdr>
      <w:divsChild>
        <w:div w:id="1605262970">
          <w:marLeft w:val="0"/>
          <w:marRight w:val="0"/>
          <w:marTop w:val="0"/>
          <w:marBottom w:val="0"/>
          <w:divBdr>
            <w:top w:val="none" w:sz="0" w:space="0" w:color="auto"/>
            <w:left w:val="none" w:sz="0" w:space="0" w:color="auto"/>
            <w:bottom w:val="none" w:sz="0" w:space="0" w:color="auto"/>
            <w:right w:val="none" w:sz="0" w:space="0" w:color="auto"/>
          </w:divBdr>
        </w:div>
        <w:div w:id="621688634">
          <w:marLeft w:val="0"/>
          <w:marRight w:val="0"/>
          <w:marTop w:val="0"/>
          <w:marBottom w:val="0"/>
          <w:divBdr>
            <w:top w:val="none" w:sz="0" w:space="0" w:color="auto"/>
            <w:left w:val="none" w:sz="0" w:space="0" w:color="auto"/>
            <w:bottom w:val="none" w:sz="0" w:space="0" w:color="auto"/>
            <w:right w:val="none" w:sz="0" w:space="0" w:color="auto"/>
          </w:divBdr>
        </w:div>
        <w:div w:id="1061368785">
          <w:marLeft w:val="0"/>
          <w:marRight w:val="0"/>
          <w:marTop w:val="0"/>
          <w:marBottom w:val="0"/>
          <w:divBdr>
            <w:top w:val="none" w:sz="0" w:space="0" w:color="auto"/>
            <w:left w:val="none" w:sz="0" w:space="0" w:color="auto"/>
            <w:bottom w:val="none" w:sz="0" w:space="0" w:color="auto"/>
            <w:right w:val="none" w:sz="0" w:space="0" w:color="auto"/>
          </w:divBdr>
        </w:div>
      </w:divsChild>
    </w:div>
    <w:div w:id="1037706877">
      <w:marLeft w:val="0"/>
      <w:marRight w:val="0"/>
      <w:marTop w:val="100"/>
      <w:marBottom w:val="0"/>
      <w:divBdr>
        <w:top w:val="none" w:sz="0" w:space="0" w:color="auto"/>
        <w:left w:val="none" w:sz="0" w:space="0" w:color="auto"/>
        <w:bottom w:val="none" w:sz="0" w:space="0" w:color="auto"/>
        <w:right w:val="none" w:sz="0" w:space="0" w:color="auto"/>
      </w:divBdr>
    </w:div>
    <w:div w:id="1039622124">
      <w:marLeft w:val="0"/>
      <w:marRight w:val="0"/>
      <w:marTop w:val="0"/>
      <w:marBottom w:val="0"/>
      <w:divBdr>
        <w:top w:val="none" w:sz="0" w:space="0" w:color="auto"/>
        <w:left w:val="none" w:sz="0" w:space="0" w:color="auto"/>
        <w:bottom w:val="none" w:sz="0" w:space="0" w:color="auto"/>
        <w:right w:val="none" w:sz="0" w:space="0" w:color="auto"/>
      </w:divBdr>
    </w:div>
    <w:div w:id="1042630613">
      <w:marLeft w:val="0"/>
      <w:marRight w:val="0"/>
      <w:marTop w:val="100"/>
      <w:marBottom w:val="0"/>
      <w:divBdr>
        <w:top w:val="none" w:sz="0" w:space="0" w:color="auto"/>
        <w:left w:val="none" w:sz="0" w:space="0" w:color="auto"/>
        <w:bottom w:val="none" w:sz="0" w:space="0" w:color="auto"/>
        <w:right w:val="none" w:sz="0" w:space="0" w:color="auto"/>
      </w:divBdr>
    </w:div>
    <w:div w:id="1042746722">
      <w:marLeft w:val="0"/>
      <w:marRight w:val="0"/>
      <w:marTop w:val="100"/>
      <w:marBottom w:val="0"/>
      <w:divBdr>
        <w:top w:val="none" w:sz="0" w:space="0" w:color="auto"/>
        <w:left w:val="none" w:sz="0" w:space="0" w:color="auto"/>
        <w:bottom w:val="none" w:sz="0" w:space="0" w:color="auto"/>
        <w:right w:val="none" w:sz="0" w:space="0" w:color="auto"/>
      </w:divBdr>
      <w:divsChild>
        <w:div w:id="1739129932">
          <w:marLeft w:val="0"/>
          <w:marRight w:val="0"/>
          <w:marTop w:val="0"/>
          <w:marBottom w:val="0"/>
          <w:divBdr>
            <w:top w:val="none" w:sz="0" w:space="0" w:color="auto"/>
            <w:left w:val="none" w:sz="0" w:space="0" w:color="auto"/>
            <w:bottom w:val="none" w:sz="0" w:space="0" w:color="auto"/>
            <w:right w:val="none" w:sz="0" w:space="0" w:color="auto"/>
          </w:divBdr>
        </w:div>
        <w:div w:id="1807576701">
          <w:marLeft w:val="0"/>
          <w:marRight w:val="0"/>
          <w:marTop w:val="0"/>
          <w:marBottom w:val="0"/>
          <w:divBdr>
            <w:top w:val="none" w:sz="0" w:space="0" w:color="auto"/>
            <w:left w:val="none" w:sz="0" w:space="0" w:color="auto"/>
            <w:bottom w:val="none" w:sz="0" w:space="0" w:color="auto"/>
            <w:right w:val="none" w:sz="0" w:space="0" w:color="auto"/>
          </w:divBdr>
        </w:div>
      </w:divsChild>
    </w:div>
    <w:div w:id="1046681544">
      <w:marLeft w:val="0"/>
      <w:marRight w:val="0"/>
      <w:marTop w:val="280"/>
      <w:marBottom w:val="0"/>
      <w:divBdr>
        <w:top w:val="none" w:sz="0" w:space="0" w:color="auto"/>
        <w:left w:val="none" w:sz="0" w:space="0" w:color="auto"/>
        <w:bottom w:val="none" w:sz="0" w:space="0" w:color="auto"/>
        <w:right w:val="none" w:sz="0" w:space="0" w:color="auto"/>
      </w:divBdr>
    </w:div>
    <w:div w:id="1048719400">
      <w:marLeft w:val="0"/>
      <w:marRight w:val="0"/>
      <w:marTop w:val="0"/>
      <w:marBottom w:val="0"/>
      <w:divBdr>
        <w:top w:val="none" w:sz="0" w:space="0" w:color="auto"/>
        <w:left w:val="none" w:sz="0" w:space="0" w:color="auto"/>
        <w:bottom w:val="none" w:sz="0" w:space="0" w:color="auto"/>
        <w:right w:val="none" w:sz="0" w:space="0" w:color="auto"/>
      </w:divBdr>
      <w:divsChild>
        <w:div w:id="1066533960">
          <w:marLeft w:val="0"/>
          <w:marRight w:val="0"/>
          <w:marTop w:val="0"/>
          <w:marBottom w:val="0"/>
          <w:divBdr>
            <w:top w:val="none" w:sz="0" w:space="0" w:color="auto"/>
            <w:left w:val="none" w:sz="0" w:space="0" w:color="auto"/>
            <w:bottom w:val="none" w:sz="0" w:space="0" w:color="auto"/>
            <w:right w:val="none" w:sz="0" w:space="0" w:color="auto"/>
          </w:divBdr>
        </w:div>
        <w:div w:id="1154834173">
          <w:marLeft w:val="0"/>
          <w:marRight w:val="0"/>
          <w:marTop w:val="0"/>
          <w:marBottom w:val="0"/>
          <w:divBdr>
            <w:top w:val="none" w:sz="0" w:space="0" w:color="auto"/>
            <w:left w:val="none" w:sz="0" w:space="0" w:color="auto"/>
            <w:bottom w:val="none" w:sz="0" w:space="0" w:color="auto"/>
            <w:right w:val="none" w:sz="0" w:space="0" w:color="auto"/>
          </w:divBdr>
        </w:div>
      </w:divsChild>
    </w:div>
    <w:div w:id="1049720747">
      <w:marLeft w:val="0"/>
      <w:marRight w:val="0"/>
      <w:marTop w:val="100"/>
      <w:marBottom w:val="0"/>
      <w:divBdr>
        <w:top w:val="none" w:sz="0" w:space="0" w:color="auto"/>
        <w:left w:val="none" w:sz="0" w:space="0" w:color="auto"/>
        <w:bottom w:val="none" w:sz="0" w:space="0" w:color="auto"/>
        <w:right w:val="none" w:sz="0" w:space="0" w:color="auto"/>
      </w:divBdr>
    </w:div>
    <w:div w:id="1050230334">
      <w:marLeft w:val="0"/>
      <w:marRight w:val="0"/>
      <w:marTop w:val="60"/>
      <w:marBottom w:val="0"/>
      <w:divBdr>
        <w:top w:val="none" w:sz="0" w:space="0" w:color="auto"/>
        <w:left w:val="none" w:sz="0" w:space="0" w:color="auto"/>
        <w:bottom w:val="none" w:sz="0" w:space="0" w:color="auto"/>
        <w:right w:val="none" w:sz="0" w:space="0" w:color="auto"/>
      </w:divBdr>
    </w:div>
    <w:div w:id="1053113337">
      <w:marLeft w:val="0"/>
      <w:marRight w:val="0"/>
      <w:marTop w:val="60"/>
      <w:marBottom w:val="0"/>
      <w:divBdr>
        <w:top w:val="none" w:sz="0" w:space="0" w:color="auto"/>
        <w:left w:val="none" w:sz="0" w:space="0" w:color="auto"/>
        <w:bottom w:val="none" w:sz="0" w:space="0" w:color="auto"/>
        <w:right w:val="none" w:sz="0" w:space="0" w:color="auto"/>
      </w:divBdr>
    </w:div>
    <w:div w:id="1053626441">
      <w:marLeft w:val="0"/>
      <w:marRight w:val="0"/>
      <w:marTop w:val="80"/>
      <w:marBottom w:val="0"/>
      <w:divBdr>
        <w:top w:val="none" w:sz="0" w:space="0" w:color="auto"/>
        <w:left w:val="none" w:sz="0" w:space="0" w:color="auto"/>
        <w:bottom w:val="none" w:sz="0" w:space="0" w:color="auto"/>
        <w:right w:val="none" w:sz="0" w:space="0" w:color="auto"/>
      </w:divBdr>
    </w:div>
    <w:div w:id="1057046430">
      <w:marLeft w:val="0"/>
      <w:marRight w:val="0"/>
      <w:marTop w:val="100"/>
      <w:marBottom w:val="0"/>
      <w:divBdr>
        <w:top w:val="none" w:sz="0" w:space="0" w:color="auto"/>
        <w:left w:val="none" w:sz="0" w:space="0" w:color="auto"/>
        <w:bottom w:val="none" w:sz="0" w:space="0" w:color="auto"/>
        <w:right w:val="none" w:sz="0" w:space="0" w:color="auto"/>
      </w:divBdr>
    </w:div>
    <w:div w:id="1057127845">
      <w:marLeft w:val="0"/>
      <w:marRight w:val="0"/>
      <w:marTop w:val="100"/>
      <w:marBottom w:val="0"/>
      <w:divBdr>
        <w:top w:val="none" w:sz="0" w:space="0" w:color="auto"/>
        <w:left w:val="none" w:sz="0" w:space="0" w:color="auto"/>
        <w:bottom w:val="none" w:sz="0" w:space="0" w:color="auto"/>
        <w:right w:val="none" w:sz="0" w:space="0" w:color="auto"/>
      </w:divBdr>
    </w:div>
    <w:div w:id="1057509919">
      <w:marLeft w:val="0"/>
      <w:marRight w:val="0"/>
      <w:marTop w:val="100"/>
      <w:marBottom w:val="0"/>
      <w:divBdr>
        <w:top w:val="none" w:sz="0" w:space="0" w:color="auto"/>
        <w:left w:val="none" w:sz="0" w:space="0" w:color="auto"/>
        <w:bottom w:val="none" w:sz="0" w:space="0" w:color="auto"/>
        <w:right w:val="none" w:sz="0" w:space="0" w:color="auto"/>
      </w:divBdr>
    </w:div>
    <w:div w:id="1057780522">
      <w:marLeft w:val="0"/>
      <w:marRight w:val="0"/>
      <w:marTop w:val="100"/>
      <w:marBottom w:val="0"/>
      <w:divBdr>
        <w:top w:val="none" w:sz="0" w:space="0" w:color="auto"/>
        <w:left w:val="none" w:sz="0" w:space="0" w:color="auto"/>
        <w:bottom w:val="none" w:sz="0" w:space="0" w:color="auto"/>
        <w:right w:val="none" w:sz="0" w:space="0" w:color="auto"/>
      </w:divBdr>
    </w:div>
    <w:div w:id="1062098368">
      <w:marLeft w:val="0"/>
      <w:marRight w:val="0"/>
      <w:marTop w:val="0"/>
      <w:marBottom w:val="0"/>
      <w:divBdr>
        <w:top w:val="none" w:sz="0" w:space="0" w:color="auto"/>
        <w:left w:val="none" w:sz="0" w:space="0" w:color="auto"/>
        <w:bottom w:val="none" w:sz="0" w:space="0" w:color="auto"/>
        <w:right w:val="none" w:sz="0" w:space="0" w:color="auto"/>
      </w:divBdr>
      <w:divsChild>
        <w:div w:id="1932546499">
          <w:marLeft w:val="0"/>
          <w:marRight w:val="0"/>
          <w:marTop w:val="0"/>
          <w:marBottom w:val="0"/>
          <w:divBdr>
            <w:top w:val="none" w:sz="0" w:space="0" w:color="auto"/>
            <w:left w:val="none" w:sz="0" w:space="0" w:color="auto"/>
            <w:bottom w:val="none" w:sz="0" w:space="0" w:color="auto"/>
            <w:right w:val="none" w:sz="0" w:space="0" w:color="auto"/>
          </w:divBdr>
        </w:div>
        <w:div w:id="1343508527">
          <w:marLeft w:val="0"/>
          <w:marRight w:val="0"/>
          <w:marTop w:val="0"/>
          <w:marBottom w:val="0"/>
          <w:divBdr>
            <w:top w:val="none" w:sz="0" w:space="0" w:color="auto"/>
            <w:left w:val="none" w:sz="0" w:space="0" w:color="auto"/>
            <w:bottom w:val="none" w:sz="0" w:space="0" w:color="auto"/>
            <w:right w:val="none" w:sz="0" w:space="0" w:color="auto"/>
          </w:divBdr>
        </w:div>
      </w:divsChild>
    </w:div>
    <w:div w:id="1062363709">
      <w:marLeft w:val="0"/>
      <w:marRight w:val="0"/>
      <w:marTop w:val="100"/>
      <w:marBottom w:val="0"/>
      <w:divBdr>
        <w:top w:val="none" w:sz="0" w:space="0" w:color="auto"/>
        <w:left w:val="none" w:sz="0" w:space="0" w:color="auto"/>
        <w:bottom w:val="none" w:sz="0" w:space="0" w:color="auto"/>
        <w:right w:val="none" w:sz="0" w:space="0" w:color="auto"/>
      </w:divBdr>
    </w:div>
    <w:div w:id="1063482377">
      <w:marLeft w:val="0"/>
      <w:marRight w:val="0"/>
      <w:marTop w:val="100"/>
      <w:marBottom w:val="0"/>
      <w:divBdr>
        <w:top w:val="none" w:sz="0" w:space="0" w:color="auto"/>
        <w:left w:val="none" w:sz="0" w:space="0" w:color="auto"/>
        <w:bottom w:val="none" w:sz="0" w:space="0" w:color="auto"/>
        <w:right w:val="none" w:sz="0" w:space="0" w:color="auto"/>
      </w:divBdr>
    </w:div>
    <w:div w:id="1064253732">
      <w:marLeft w:val="0"/>
      <w:marRight w:val="0"/>
      <w:marTop w:val="60"/>
      <w:marBottom w:val="0"/>
      <w:divBdr>
        <w:top w:val="none" w:sz="0" w:space="0" w:color="auto"/>
        <w:left w:val="none" w:sz="0" w:space="0" w:color="auto"/>
        <w:bottom w:val="none" w:sz="0" w:space="0" w:color="auto"/>
        <w:right w:val="none" w:sz="0" w:space="0" w:color="auto"/>
      </w:divBdr>
    </w:div>
    <w:div w:id="1065760111">
      <w:marLeft w:val="0"/>
      <w:marRight w:val="0"/>
      <w:marTop w:val="100"/>
      <w:marBottom w:val="0"/>
      <w:divBdr>
        <w:top w:val="none" w:sz="0" w:space="0" w:color="auto"/>
        <w:left w:val="none" w:sz="0" w:space="0" w:color="auto"/>
        <w:bottom w:val="none" w:sz="0" w:space="0" w:color="auto"/>
        <w:right w:val="none" w:sz="0" w:space="0" w:color="auto"/>
      </w:divBdr>
    </w:div>
    <w:div w:id="1069424959">
      <w:marLeft w:val="0"/>
      <w:marRight w:val="0"/>
      <w:marTop w:val="60"/>
      <w:marBottom w:val="0"/>
      <w:divBdr>
        <w:top w:val="none" w:sz="0" w:space="0" w:color="auto"/>
        <w:left w:val="none" w:sz="0" w:space="0" w:color="auto"/>
        <w:bottom w:val="none" w:sz="0" w:space="0" w:color="auto"/>
        <w:right w:val="none" w:sz="0" w:space="0" w:color="auto"/>
      </w:divBdr>
    </w:div>
    <w:div w:id="1069886857">
      <w:marLeft w:val="0"/>
      <w:marRight w:val="0"/>
      <w:marTop w:val="280"/>
      <w:marBottom w:val="0"/>
      <w:divBdr>
        <w:top w:val="none" w:sz="0" w:space="0" w:color="auto"/>
        <w:left w:val="none" w:sz="0" w:space="0" w:color="auto"/>
        <w:bottom w:val="none" w:sz="0" w:space="0" w:color="auto"/>
        <w:right w:val="none" w:sz="0" w:space="0" w:color="auto"/>
      </w:divBdr>
    </w:div>
    <w:div w:id="1070270539">
      <w:marLeft w:val="0"/>
      <w:marRight w:val="0"/>
      <w:marTop w:val="100"/>
      <w:marBottom w:val="0"/>
      <w:divBdr>
        <w:top w:val="none" w:sz="0" w:space="0" w:color="auto"/>
        <w:left w:val="none" w:sz="0" w:space="0" w:color="auto"/>
        <w:bottom w:val="none" w:sz="0" w:space="0" w:color="auto"/>
        <w:right w:val="none" w:sz="0" w:space="0" w:color="auto"/>
      </w:divBdr>
    </w:div>
    <w:div w:id="1070277028">
      <w:marLeft w:val="0"/>
      <w:marRight w:val="0"/>
      <w:marTop w:val="40"/>
      <w:marBottom w:val="0"/>
      <w:divBdr>
        <w:top w:val="none" w:sz="0" w:space="0" w:color="auto"/>
        <w:left w:val="none" w:sz="0" w:space="0" w:color="auto"/>
        <w:bottom w:val="none" w:sz="0" w:space="0" w:color="auto"/>
        <w:right w:val="none" w:sz="0" w:space="0" w:color="auto"/>
      </w:divBdr>
    </w:div>
    <w:div w:id="1072200010">
      <w:marLeft w:val="0"/>
      <w:marRight w:val="0"/>
      <w:marTop w:val="0"/>
      <w:marBottom w:val="0"/>
      <w:divBdr>
        <w:top w:val="none" w:sz="0" w:space="0" w:color="auto"/>
        <w:left w:val="none" w:sz="0" w:space="0" w:color="auto"/>
        <w:bottom w:val="none" w:sz="0" w:space="0" w:color="auto"/>
        <w:right w:val="none" w:sz="0" w:space="0" w:color="auto"/>
      </w:divBdr>
      <w:divsChild>
        <w:div w:id="528564355">
          <w:marLeft w:val="0"/>
          <w:marRight w:val="0"/>
          <w:marTop w:val="0"/>
          <w:marBottom w:val="0"/>
          <w:divBdr>
            <w:top w:val="none" w:sz="0" w:space="0" w:color="auto"/>
            <w:left w:val="none" w:sz="0" w:space="0" w:color="auto"/>
            <w:bottom w:val="none" w:sz="0" w:space="0" w:color="auto"/>
            <w:right w:val="none" w:sz="0" w:space="0" w:color="auto"/>
          </w:divBdr>
        </w:div>
        <w:div w:id="1882860382">
          <w:marLeft w:val="0"/>
          <w:marRight w:val="0"/>
          <w:marTop w:val="0"/>
          <w:marBottom w:val="0"/>
          <w:divBdr>
            <w:top w:val="none" w:sz="0" w:space="0" w:color="auto"/>
            <w:left w:val="none" w:sz="0" w:space="0" w:color="auto"/>
            <w:bottom w:val="none" w:sz="0" w:space="0" w:color="auto"/>
            <w:right w:val="none" w:sz="0" w:space="0" w:color="auto"/>
          </w:divBdr>
        </w:div>
      </w:divsChild>
    </w:div>
    <w:div w:id="1072385981">
      <w:marLeft w:val="0"/>
      <w:marRight w:val="0"/>
      <w:marTop w:val="0"/>
      <w:marBottom w:val="0"/>
      <w:divBdr>
        <w:top w:val="none" w:sz="0" w:space="0" w:color="auto"/>
        <w:left w:val="none" w:sz="0" w:space="0" w:color="auto"/>
        <w:bottom w:val="none" w:sz="0" w:space="0" w:color="auto"/>
        <w:right w:val="none" w:sz="0" w:space="0" w:color="auto"/>
      </w:divBdr>
      <w:divsChild>
        <w:div w:id="893275084">
          <w:marLeft w:val="0"/>
          <w:marRight w:val="0"/>
          <w:marTop w:val="0"/>
          <w:marBottom w:val="0"/>
          <w:divBdr>
            <w:top w:val="none" w:sz="0" w:space="0" w:color="auto"/>
            <w:left w:val="none" w:sz="0" w:space="0" w:color="auto"/>
            <w:bottom w:val="none" w:sz="0" w:space="0" w:color="auto"/>
            <w:right w:val="none" w:sz="0" w:space="0" w:color="auto"/>
          </w:divBdr>
        </w:div>
        <w:div w:id="43331996">
          <w:marLeft w:val="0"/>
          <w:marRight w:val="0"/>
          <w:marTop w:val="0"/>
          <w:marBottom w:val="0"/>
          <w:divBdr>
            <w:top w:val="none" w:sz="0" w:space="0" w:color="auto"/>
            <w:left w:val="none" w:sz="0" w:space="0" w:color="auto"/>
            <w:bottom w:val="none" w:sz="0" w:space="0" w:color="auto"/>
            <w:right w:val="none" w:sz="0" w:space="0" w:color="auto"/>
          </w:divBdr>
        </w:div>
      </w:divsChild>
    </w:div>
    <w:div w:id="1075316593">
      <w:marLeft w:val="0"/>
      <w:marRight w:val="0"/>
      <w:marTop w:val="100"/>
      <w:marBottom w:val="0"/>
      <w:divBdr>
        <w:top w:val="none" w:sz="0" w:space="0" w:color="auto"/>
        <w:left w:val="none" w:sz="0" w:space="0" w:color="auto"/>
        <w:bottom w:val="none" w:sz="0" w:space="0" w:color="auto"/>
        <w:right w:val="none" w:sz="0" w:space="0" w:color="auto"/>
      </w:divBdr>
    </w:div>
    <w:div w:id="1075975964">
      <w:marLeft w:val="0"/>
      <w:marRight w:val="0"/>
      <w:marTop w:val="100"/>
      <w:marBottom w:val="0"/>
      <w:divBdr>
        <w:top w:val="none" w:sz="0" w:space="0" w:color="auto"/>
        <w:left w:val="none" w:sz="0" w:space="0" w:color="auto"/>
        <w:bottom w:val="none" w:sz="0" w:space="0" w:color="auto"/>
        <w:right w:val="none" w:sz="0" w:space="0" w:color="auto"/>
      </w:divBdr>
    </w:div>
    <w:div w:id="1076513656">
      <w:marLeft w:val="0"/>
      <w:marRight w:val="0"/>
      <w:marTop w:val="100"/>
      <w:marBottom w:val="0"/>
      <w:divBdr>
        <w:top w:val="none" w:sz="0" w:space="0" w:color="auto"/>
        <w:left w:val="none" w:sz="0" w:space="0" w:color="auto"/>
        <w:bottom w:val="none" w:sz="0" w:space="0" w:color="auto"/>
        <w:right w:val="none" w:sz="0" w:space="0" w:color="auto"/>
      </w:divBdr>
    </w:div>
    <w:div w:id="1078988615">
      <w:marLeft w:val="0"/>
      <w:marRight w:val="0"/>
      <w:marTop w:val="0"/>
      <w:marBottom w:val="0"/>
      <w:divBdr>
        <w:top w:val="none" w:sz="0" w:space="0" w:color="auto"/>
        <w:left w:val="none" w:sz="0" w:space="0" w:color="auto"/>
        <w:bottom w:val="none" w:sz="0" w:space="0" w:color="auto"/>
        <w:right w:val="none" w:sz="0" w:space="0" w:color="auto"/>
      </w:divBdr>
    </w:div>
    <w:div w:id="1079447602">
      <w:marLeft w:val="0"/>
      <w:marRight w:val="0"/>
      <w:marTop w:val="0"/>
      <w:marBottom w:val="0"/>
      <w:divBdr>
        <w:top w:val="none" w:sz="0" w:space="0" w:color="auto"/>
        <w:left w:val="none" w:sz="0" w:space="0" w:color="auto"/>
        <w:bottom w:val="none" w:sz="0" w:space="0" w:color="auto"/>
        <w:right w:val="none" w:sz="0" w:space="0" w:color="auto"/>
      </w:divBdr>
      <w:divsChild>
        <w:div w:id="851726043">
          <w:marLeft w:val="0"/>
          <w:marRight w:val="0"/>
          <w:marTop w:val="0"/>
          <w:marBottom w:val="0"/>
          <w:divBdr>
            <w:top w:val="none" w:sz="0" w:space="0" w:color="auto"/>
            <w:left w:val="none" w:sz="0" w:space="0" w:color="auto"/>
            <w:bottom w:val="none" w:sz="0" w:space="0" w:color="auto"/>
            <w:right w:val="none" w:sz="0" w:space="0" w:color="auto"/>
          </w:divBdr>
        </w:div>
      </w:divsChild>
    </w:div>
    <w:div w:id="1079790101">
      <w:marLeft w:val="0"/>
      <w:marRight w:val="0"/>
      <w:marTop w:val="240"/>
      <w:marBottom w:val="120"/>
      <w:divBdr>
        <w:top w:val="none" w:sz="0" w:space="0" w:color="auto"/>
        <w:left w:val="none" w:sz="0" w:space="0" w:color="auto"/>
        <w:bottom w:val="none" w:sz="0" w:space="0" w:color="auto"/>
        <w:right w:val="none" w:sz="0" w:space="0" w:color="auto"/>
      </w:divBdr>
    </w:div>
    <w:div w:id="1079867411">
      <w:marLeft w:val="0"/>
      <w:marRight w:val="0"/>
      <w:marTop w:val="280"/>
      <w:marBottom w:val="0"/>
      <w:divBdr>
        <w:top w:val="none" w:sz="0" w:space="0" w:color="auto"/>
        <w:left w:val="none" w:sz="0" w:space="0" w:color="auto"/>
        <w:bottom w:val="none" w:sz="0" w:space="0" w:color="auto"/>
        <w:right w:val="none" w:sz="0" w:space="0" w:color="auto"/>
      </w:divBdr>
    </w:div>
    <w:div w:id="1081638249">
      <w:marLeft w:val="0"/>
      <w:marRight w:val="0"/>
      <w:marTop w:val="180"/>
      <w:marBottom w:val="0"/>
      <w:divBdr>
        <w:top w:val="none" w:sz="0" w:space="0" w:color="auto"/>
        <w:left w:val="none" w:sz="0" w:space="0" w:color="auto"/>
        <w:bottom w:val="none" w:sz="0" w:space="0" w:color="auto"/>
        <w:right w:val="none" w:sz="0" w:space="0" w:color="auto"/>
      </w:divBdr>
    </w:div>
    <w:div w:id="1081952758">
      <w:marLeft w:val="0"/>
      <w:marRight w:val="0"/>
      <w:marTop w:val="100"/>
      <w:marBottom w:val="0"/>
      <w:divBdr>
        <w:top w:val="none" w:sz="0" w:space="0" w:color="auto"/>
        <w:left w:val="none" w:sz="0" w:space="0" w:color="auto"/>
        <w:bottom w:val="none" w:sz="0" w:space="0" w:color="auto"/>
        <w:right w:val="none" w:sz="0" w:space="0" w:color="auto"/>
      </w:divBdr>
    </w:div>
    <w:div w:id="1082222338">
      <w:marLeft w:val="0"/>
      <w:marRight w:val="0"/>
      <w:marTop w:val="60"/>
      <w:marBottom w:val="0"/>
      <w:divBdr>
        <w:top w:val="none" w:sz="0" w:space="0" w:color="auto"/>
        <w:left w:val="none" w:sz="0" w:space="0" w:color="auto"/>
        <w:bottom w:val="none" w:sz="0" w:space="0" w:color="auto"/>
        <w:right w:val="none" w:sz="0" w:space="0" w:color="auto"/>
      </w:divBdr>
    </w:div>
    <w:div w:id="1082918655">
      <w:marLeft w:val="0"/>
      <w:marRight w:val="0"/>
      <w:marTop w:val="100"/>
      <w:marBottom w:val="0"/>
      <w:divBdr>
        <w:top w:val="none" w:sz="0" w:space="0" w:color="auto"/>
        <w:left w:val="none" w:sz="0" w:space="0" w:color="auto"/>
        <w:bottom w:val="none" w:sz="0" w:space="0" w:color="auto"/>
        <w:right w:val="none" w:sz="0" w:space="0" w:color="auto"/>
      </w:divBdr>
    </w:div>
    <w:div w:id="1084451215">
      <w:marLeft w:val="0"/>
      <w:marRight w:val="0"/>
      <w:marTop w:val="100"/>
      <w:marBottom w:val="0"/>
      <w:divBdr>
        <w:top w:val="none" w:sz="0" w:space="0" w:color="auto"/>
        <w:left w:val="none" w:sz="0" w:space="0" w:color="auto"/>
        <w:bottom w:val="none" w:sz="0" w:space="0" w:color="auto"/>
        <w:right w:val="none" w:sz="0" w:space="0" w:color="auto"/>
      </w:divBdr>
    </w:div>
    <w:div w:id="1084568197">
      <w:marLeft w:val="0"/>
      <w:marRight w:val="0"/>
      <w:marTop w:val="100"/>
      <w:marBottom w:val="0"/>
      <w:divBdr>
        <w:top w:val="none" w:sz="0" w:space="0" w:color="auto"/>
        <w:left w:val="none" w:sz="0" w:space="0" w:color="auto"/>
        <w:bottom w:val="none" w:sz="0" w:space="0" w:color="auto"/>
        <w:right w:val="none" w:sz="0" w:space="0" w:color="auto"/>
      </w:divBdr>
    </w:div>
    <w:div w:id="1085497176">
      <w:marLeft w:val="0"/>
      <w:marRight w:val="0"/>
      <w:marTop w:val="0"/>
      <w:marBottom w:val="0"/>
      <w:divBdr>
        <w:top w:val="none" w:sz="0" w:space="0" w:color="auto"/>
        <w:left w:val="none" w:sz="0" w:space="0" w:color="auto"/>
        <w:bottom w:val="none" w:sz="0" w:space="0" w:color="auto"/>
        <w:right w:val="none" w:sz="0" w:space="0" w:color="auto"/>
      </w:divBdr>
      <w:divsChild>
        <w:div w:id="622737904">
          <w:marLeft w:val="0"/>
          <w:marRight w:val="0"/>
          <w:marTop w:val="0"/>
          <w:marBottom w:val="0"/>
          <w:divBdr>
            <w:top w:val="none" w:sz="0" w:space="0" w:color="auto"/>
            <w:left w:val="none" w:sz="0" w:space="0" w:color="auto"/>
            <w:bottom w:val="none" w:sz="0" w:space="0" w:color="auto"/>
            <w:right w:val="none" w:sz="0" w:space="0" w:color="auto"/>
          </w:divBdr>
        </w:div>
      </w:divsChild>
    </w:div>
    <w:div w:id="1086733589">
      <w:marLeft w:val="0"/>
      <w:marRight w:val="0"/>
      <w:marTop w:val="280"/>
      <w:marBottom w:val="0"/>
      <w:divBdr>
        <w:top w:val="none" w:sz="0" w:space="0" w:color="auto"/>
        <w:left w:val="none" w:sz="0" w:space="0" w:color="auto"/>
        <w:bottom w:val="none" w:sz="0" w:space="0" w:color="auto"/>
        <w:right w:val="none" w:sz="0" w:space="0" w:color="auto"/>
      </w:divBdr>
    </w:div>
    <w:div w:id="1086851549">
      <w:marLeft w:val="0"/>
      <w:marRight w:val="0"/>
      <w:marTop w:val="380"/>
      <w:marBottom w:val="100"/>
      <w:divBdr>
        <w:top w:val="none" w:sz="0" w:space="0" w:color="auto"/>
        <w:left w:val="none" w:sz="0" w:space="0" w:color="auto"/>
        <w:bottom w:val="none" w:sz="0" w:space="0" w:color="auto"/>
        <w:right w:val="none" w:sz="0" w:space="0" w:color="auto"/>
      </w:divBdr>
    </w:div>
    <w:div w:id="1090931794">
      <w:marLeft w:val="0"/>
      <w:marRight w:val="0"/>
      <w:marTop w:val="280"/>
      <w:marBottom w:val="0"/>
      <w:divBdr>
        <w:top w:val="none" w:sz="0" w:space="0" w:color="auto"/>
        <w:left w:val="none" w:sz="0" w:space="0" w:color="auto"/>
        <w:bottom w:val="none" w:sz="0" w:space="0" w:color="auto"/>
        <w:right w:val="none" w:sz="0" w:space="0" w:color="auto"/>
      </w:divBdr>
    </w:div>
    <w:div w:id="1091201742">
      <w:marLeft w:val="0"/>
      <w:marRight w:val="0"/>
      <w:marTop w:val="100"/>
      <w:marBottom w:val="0"/>
      <w:divBdr>
        <w:top w:val="none" w:sz="0" w:space="0" w:color="auto"/>
        <w:left w:val="none" w:sz="0" w:space="0" w:color="auto"/>
        <w:bottom w:val="none" w:sz="0" w:space="0" w:color="auto"/>
        <w:right w:val="none" w:sz="0" w:space="0" w:color="auto"/>
      </w:divBdr>
    </w:div>
    <w:div w:id="1093938013">
      <w:marLeft w:val="0"/>
      <w:marRight w:val="0"/>
      <w:marTop w:val="100"/>
      <w:marBottom w:val="0"/>
      <w:divBdr>
        <w:top w:val="none" w:sz="0" w:space="0" w:color="auto"/>
        <w:left w:val="none" w:sz="0" w:space="0" w:color="auto"/>
        <w:bottom w:val="none" w:sz="0" w:space="0" w:color="auto"/>
        <w:right w:val="none" w:sz="0" w:space="0" w:color="auto"/>
      </w:divBdr>
    </w:div>
    <w:div w:id="1094860973">
      <w:marLeft w:val="0"/>
      <w:marRight w:val="0"/>
      <w:marTop w:val="100"/>
      <w:marBottom w:val="0"/>
      <w:divBdr>
        <w:top w:val="none" w:sz="0" w:space="0" w:color="auto"/>
        <w:left w:val="none" w:sz="0" w:space="0" w:color="auto"/>
        <w:bottom w:val="none" w:sz="0" w:space="0" w:color="auto"/>
        <w:right w:val="none" w:sz="0" w:space="0" w:color="auto"/>
      </w:divBdr>
    </w:div>
    <w:div w:id="1096946648">
      <w:marLeft w:val="0"/>
      <w:marRight w:val="0"/>
      <w:marTop w:val="280"/>
      <w:marBottom w:val="0"/>
      <w:divBdr>
        <w:top w:val="none" w:sz="0" w:space="0" w:color="auto"/>
        <w:left w:val="none" w:sz="0" w:space="0" w:color="auto"/>
        <w:bottom w:val="none" w:sz="0" w:space="0" w:color="auto"/>
        <w:right w:val="none" w:sz="0" w:space="0" w:color="auto"/>
      </w:divBdr>
    </w:div>
    <w:div w:id="1097017416">
      <w:marLeft w:val="0"/>
      <w:marRight w:val="0"/>
      <w:marTop w:val="0"/>
      <w:marBottom w:val="0"/>
      <w:divBdr>
        <w:top w:val="none" w:sz="0" w:space="0" w:color="auto"/>
        <w:left w:val="none" w:sz="0" w:space="0" w:color="auto"/>
        <w:bottom w:val="none" w:sz="0" w:space="0" w:color="auto"/>
        <w:right w:val="none" w:sz="0" w:space="0" w:color="auto"/>
      </w:divBdr>
      <w:divsChild>
        <w:div w:id="298455823">
          <w:marLeft w:val="0"/>
          <w:marRight w:val="0"/>
          <w:marTop w:val="0"/>
          <w:marBottom w:val="0"/>
          <w:divBdr>
            <w:top w:val="none" w:sz="0" w:space="0" w:color="auto"/>
            <w:left w:val="none" w:sz="0" w:space="0" w:color="auto"/>
            <w:bottom w:val="none" w:sz="0" w:space="0" w:color="auto"/>
            <w:right w:val="none" w:sz="0" w:space="0" w:color="auto"/>
          </w:divBdr>
        </w:div>
      </w:divsChild>
    </w:div>
    <w:div w:id="1098602358">
      <w:marLeft w:val="0"/>
      <w:marRight w:val="0"/>
      <w:marTop w:val="100"/>
      <w:marBottom w:val="120"/>
      <w:divBdr>
        <w:top w:val="none" w:sz="0" w:space="0" w:color="auto"/>
        <w:left w:val="none" w:sz="0" w:space="0" w:color="auto"/>
        <w:bottom w:val="none" w:sz="0" w:space="0" w:color="auto"/>
        <w:right w:val="none" w:sz="0" w:space="0" w:color="auto"/>
      </w:divBdr>
    </w:div>
    <w:div w:id="1100025816">
      <w:marLeft w:val="0"/>
      <w:marRight w:val="0"/>
      <w:marTop w:val="60"/>
      <w:marBottom w:val="0"/>
      <w:divBdr>
        <w:top w:val="none" w:sz="0" w:space="0" w:color="auto"/>
        <w:left w:val="none" w:sz="0" w:space="0" w:color="auto"/>
        <w:bottom w:val="none" w:sz="0" w:space="0" w:color="auto"/>
        <w:right w:val="none" w:sz="0" w:space="0" w:color="auto"/>
      </w:divBdr>
    </w:div>
    <w:div w:id="1101536495">
      <w:marLeft w:val="0"/>
      <w:marRight w:val="0"/>
      <w:marTop w:val="100"/>
      <w:marBottom w:val="0"/>
      <w:divBdr>
        <w:top w:val="none" w:sz="0" w:space="0" w:color="auto"/>
        <w:left w:val="none" w:sz="0" w:space="0" w:color="auto"/>
        <w:bottom w:val="none" w:sz="0" w:space="0" w:color="auto"/>
        <w:right w:val="none" w:sz="0" w:space="0" w:color="auto"/>
      </w:divBdr>
    </w:div>
    <w:div w:id="1106854290">
      <w:marLeft w:val="0"/>
      <w:marRight w:val="0"/>
      <w:marTop w:val="100"/>
      <w:marBottom w:val="0"/>
      <w:divBdr>
        <w:top w:val="none" w:sz="0" w:space="0" w:color="auto"/>
        <w:left w:val="none" w:sz="0" w:space="0" w:color="auto"/>
        <w:bottom w:val="none" w:sz="0" w:space="0" w:color="auto"/>
        <w:right w:val="none" w:sz="0" w:space="0" w:color="auto"/>
      </w:divBdr>
    </w:div>
    <w:div w:id="1109853527">
      <w:marLeft w:val="0"/>
      <w:marRight w:val="0"/>
      <w:marTop w:val="100"/>
      <w:marBottom w:val="0"/>
      <w:divBdr>
        <w:top w:val="none" w:sz="0" w:space="0" w:color="auto"/>
        <w:left w:val="none" w:sz="0" w:space="0" w:color="auto"/>
        <w:bottom w:val="none" w:sz="0" w:space="0" w:color="auto"/>
        <w:right w:val="none" w:sz="0" w:space="0" w:color="auto"/>
      </w:divBdr>
    </w:div>
    <w:div w:id="1113553610">
      <w:marLeft w:val="0"/>
      <w:marRight w:val="0"/>
      <w:marTop w:val="280"/>
      <w:marBottom w:val="0"/>
      <w:divBdr>
        <w:top w:val="none" w:sz="0" w:space="0" w:color="auto"/>
        <w:left w:val="none" w:sz="0" w:space="0" w:color="auto"/>
        <w:bottom w:val="none" w:sz="0" w:space="0" w:color="auto"/>
        <w:right w:val="none" w:sz="0" w:space="0" w:color="auto"/>
      </w:divBdr>
    </w:div>
    <w:div w:id="1113982094">
      <w:marLeft w:val="0"/>
      <w:marRight w:val="0"/>
      <w:marTop w:val="60"/>
      <w:marBottom w:val="0"/>
      <w:divBdr>
        <w:top w:val="none" w:sz="0" w:space="0" w:color="auto"/>
        <w:left w:val="none" w:sz="0" w:space="0" w:color="auto"/>
        <w:bottom w:val="none" w:sz="0" w:space="0" w:color="auto"/>
        <w:right w:val="none" w:sz="0" w:space="0" w:color="auto"/>
      </w:divBdr>
    </w:div>
    <w:div w:id="1114403924">
      <w:marLeft w:val="0"/>
      <w:marRight w:val="0"/>
      <w:marTop w:val="100"/>
      <w:marBottom w:val="0"/>
      <w:divBdr>
        <w:top w:val="none" w:sz="0" w:space="0" w:color="auto"/>
        <w:left w:val="none" w:sz="0" w:space="0" w:color="auto"/>
        <w:bottom w:val="none" w:sz="0" w:space="0" w:color="auto"/>
        <w:right w:val="none" w:sz="0" w:space="0" w:color="auto"/>
      </w:divBdr>
    </w:div>
    <w:div w:id="1115831249">
      <w:marLeft w:val="0"/>
      <w:marRight w:val="0"/>
      <w:marTop w:val="100"/>
      <w:marBottom w:val="0"/>
      <w:divBdr>
        <w:top w:val="none" w:sz="0" w:space="0" w:color="auto"/>
        <w:left w:val="none" w:sz="0" w:space="0" w:color="auto"/>
        <w:bottom w:val="none" w:sz="0" w:space="0" w:color="auto"/>
        <w:right w:val="none" w:sz="0" w:space="0" w:color="auto"/>
      </w:divBdr>
    </w:div>
    <w:div w:id="1117411021">
      <w:marLeft w:val="0"/>
      <w:marRight w:val="0"/>
      <w:marTop w:val="100"/>
      <w:marBottom w:val="0"/>
      <w:divBdr>
        <w:top w:val="none" w:sz="0" w:space="0" w:color="auto"/>
        <w:left w:val="none" w:sz="0" w:space="0" w:color="auto"/>
        <w:bottom w:val="none" w:sz="0" w:space="0" w:color="auto"/>
        <w:right w:val="none" w:sz="0" w:space="0" w:color="auto"/>
      </w:divBdr>
      <w:divsChild>
        <w:div w:id="645017626">
          <w:marLeft w:val="0"/>
          <w:marRight w:val="0"/>
          <w:marTop w:val="0"/>
          <w:marBottom w:val="0"/>
          <w:divBdr>
            <w:top w:val="none" w:sz="0" w:space="0" w:color="auto"/>
            <w:left w:val="none" w:sz="0" w:space="0" w:color="auto"/>
            <w:bottom w:val="none" w:sz="0" w:space="0" w:color="auto"/>
            <w:right w:val="none" w:sz="0" w:space="0" w:color="auto"/>
          </w:divBdr>
        </w:div>
        <w:div w:id="1746604316">
          <w:marLeft w:val="0"/>
          <w:marRight w:val="0"/>
          <w:marTop w:val="100"/>
          <w:marBottom w:val="0"/>
          <w:divBdr>
            <w:top w:val="none" w:sz="0" w:space="0" w:color="auto"/>
            <w:left w:val="none" w:sz="0" w:space="0" w:color="auto"/>
            <w:bottom w:val="none" w:sz="0" w:space="0" w:color="auto"/>
            <w:right w:val="none" w:sz="0" w:space="0" w:color="auto"/>
          </w:divBdr>
        </w:div>
      </w:divsChild>
    </w:div>
    <w:div w:id="1118572151">
      <w:marLeft w:val="0"/>
      <w:marRight w:val="0"/>
      <w:marTop w:val="100"/>
      <w:marBottom w:val="0"/>
      <w:divBdr>
        <w:top w:val="none" w:sz="0" w:space="0" w:color="auto"/>
        <w:left w:val="none" w:sz="0" w:space="0" w:color="auto"/>
        <w:bottom w:val="none" w:sz="0" w:space="0" w:color="auto"/>
        <w:right w:val="none" w:sz="0" w:space="0" w:color="auto"/>
      </w:divBdr>
    </w:div>
    <w:div w:id="1122306925">
      <w:marLeft w:val="0"/>
      <w:marRight w:val="0"/>
      <w:marTop w:val="100"/>
      <w:marBottom w:val="0"/>
      <w:divBdr>
        <w:top w:val="none" w:sz="0" w:space="0" w:color="auto"/>
        <w:left w:val="none" w:sz="0" w:space="0" w:color="auto"/>
        <w:bottom w:val="none" w:sz="0" w:space="0" w:color="auto"/>
        <w:right w:val="none" w:sz="0" w:space="0" w:color="auto"/>
      </w:divBdr>
    </w:div>
    <w:div w:id="1122380378">
      <w:marLeft w:val="0"/>
      <w:marRight w:val="0"/>
      <w:marTop w:val="60"/>
      <w:marBottom w:val="0"/>
      <w:divBdr>
        <w:top w:val="none" w:sz="0" w:space="0" w:color="auto"/>
        <w:left w:val="none" w:sz="0" w:space="0" w:color="auto"/>
        <w:bottom w:val="none" w:sz="0" w:space="0" w:color="auto"/>
        <w:right w:val="none" w:sz="0" w:space="0" w:color="auto"/>
      </w:divBdr>
    </w:div>
    <w:div w:id="1126582221">
      <w:marLeft w:val="0"/>
      <w:marRight w:val="0"/>
      <w:marTop w:val="100"/>
      <w:marBottom w:val="0"/>
      <w:divBdr>
        <w:top w:val="none" w:sz="0" w:space="0" w:color="auto"/>
        <w:left w:val="none" w:sz="0" w:space="0" w:color="auto"/>
        <w:bottom w:val="none" w:sz="0" w:space="0" w:color="auto"/>
        <w:right w:val="none" w:sz="0" w:space="0" w:color="auto"/>
      </w:divBdr>
      <w:divsChild>
        <w:div w:id="2036154366">
          <w:marLeft w:val="0"/>
          <w:marRight w:val="0"/>
          <w:marTop w:val="0"/>
          <w:marBottom w:val="0"/>
          <w:divBdr>
            <w:top w:val="none" w:sz="0" w:space="0" w:color="auto"/>
            <w:left w:val="none" w:sz="0" w:space="0" w:color="auto"/>
            <w:bottom w:val="none" w:sz="0" w:space="0" w:color="auto"/>
            <w:right w:val="none" w:sz="0" w:space="0" w:color="auto"/>
          </w:divBdr>
        </w:div>
        <w:div w:id="88550784">
          <w:marLeft w:val="0"/>
          <w:marRight w:val="0"/>
          <w:marTop w:val="0"/>
          <w:marBottom w:val="0"/>
          <w:divBdr>
            <w:top w:val="none" w:sz="0" w:space="0" w:color="auto"/>
            <w:left w:val="none" w:sz="0" w:space="0" w:color="auto"/>
            <w:bottom w:val="none" w:sz="0" w:space="0" w:color="auto"/>
            <w:right w:val="none" w:sz="0" w:space="0" w:color="auto"/>
          </w:divBdr>
        </w:div>
        <w:div w:id="376129875">
          <w:marLeft w:val="0"/>
          <w:marRight w:val="0"/>
          <w:marTop w:val="0"/>
          <w:marBottom w:val="0"/>
          <w:divBdr>
            <w:top w:val="none" w:sz="0" w:space="0" w:color="auto"/>
            <w:left w:val="none" w:sz="0" w:space="0" w:color="auto"/>
            <w:bottom w:val="none" w:sz="0" w:space="0" w:color="auto"/>
            <w:right w:val="none" w:sz="0" w:space="0" w:color="auto"/>
          </w:divBdr>
        </w:div>
      </w:divsChild>
    </w:div>
    <w:div w:id="1128233010">
      <w:marLeft w:val="0"/>
      <w:marRight w:val="0"/>
      <w:marTop w:val="60"/>
      <w:marBottom w:val="0"/>
      <w:divBdr>
        <w:top w:val="none" w:sz="0" w:space="0" w:color="auto"/>
        <w:left w:val="none" w:sz="0" w:space="0" w:color="auto"/>
        <w:bottom w:val="none" w:sz="0" w:space="0" w:color="auto"/>
        <w:right w:val="none" w:sz="0" w:space="0" w:color="auto"/>
      </w:divBdr>
    </w:div>
    <w:div w:id="1129395611">
      <w:marLeft w:val="0"/>
      <w:marRight w:val="0"/>
      <w:marTop w:val="100"/>
      <w:marBottom w:val="0"/>
      <w:divBdr>
        <w:top w:val="none" w:sz="0" w:space="0" w:color="auto"/>
        <w:left w:val="none" w:sz="0" w:space="0" w:color="auto"/>
        <w:bottom w:val="none" w:sz="0" w:space="0" w:color="auto"/>
        <w:right w:val="none" w:sz="0" w:space="0" w:color="auto"/>
      </w:divBdr>
    </w:div>
    <w:div w:id="1130393966">
      <w:marLeft w:val="0"/>
      <w:marRight w:val="0"/>
      <w:marTop w:val="280"/>
      <w:marBottom w:val="0"/>
      <w:divBdr>
        <w:top w:val="none" w:sz="0" w:space="0" w:color="auto"/>
        <w:left w:val="none" w:sz="0" w:space="0" w:color="auto"/>
        <w:bottom w:val="none" w:sz="0" w:space="0" w:color="auto"/>
        <w:right w:val="none" w:sz="0" w:space="0" w:color="auto"/>
      </w:divBdr>
    </w:div>
    <w:div w:id="1131049504">
      <w:marLeft w:val="0"/>
      <w:marRight w:val="0"/>
      <w:marTop w:val="100"/>
      <w:marBottom w:val="0"/>
      <w:divBdr>
        <w:top w:val="none" w:sz="0" w:space="0" w:color="auto"/>
        <w:left w:val="none" w:sz="0" w:space="0" w:color="auto"/>
        <w:bottom w:val="none" w:sz="0" w:space="0" w:color="auto"/>
        <w:right w:val="none" w:sz="0" w:space="0" w:color="auto"/>
      </w:divBdr>
    </w:div>
    <w:div w:id="1131170273">
      <w:marLeft w:val="0"/>
      <w:marRight w:val="0"/>
      <w:marTop w:val="60"/>
      <w:marBottom w:val="0"/>
      <w:divBdr>
        <w:top w:val="none" w:sz="0" w:space="0" w:color="auto"/>
        <w:left w:val="none" w:sz="0" w:space="0" w:color="auto"/>
        <w:bottom w:val="none" w:sz="0" w:space="0" w:color="auto"/>
        <w:right w:val="none" w:sz="0" w:space="0" w:color="auto"/>
      </w:divBdr>
    </w:div>
    <w:div w:id="1132289131">
      <w:marLeft w:val="0"/>
      <w:marRight w:val="0"/>
      <w:marTop w:val="280"/>
      <w:marBottom w:val="0"/>
      <w:divBdr>
        <w:top w:val="none" w:sz="0" w:space="0" w:color="auto"/>
        <w:left w:val="none" w:sz="0" w:space="0" w:color="auto"/>
        <w:bottom w:val="none" w:sz="0" w:space="0" w:color="auto"/>
        <w:right w:val="none" w:sz="0" w:space="0" w:color="auto"/>
      </w:divBdr>
    </w:div>
    <w:div w:id="1133325050">
      <w:marLeft w:val="0"/>
      <w:marRight w:val="0"/>
      <w:marTop w:val="100"/>
      <w:marBottom w:val="0"/>
      <w:divBdr>
        <w:top w:val="none" w:sz="0" w:space="0" w:color="auto"/>
        <w:left w:val="none" w:sz="0" w:space="0" w:color="auto"/>
        <w:bottom w:val="none" w:sz="0" w:space="0" w:color="auto"/>
        <w:right w:val="none" w:sz="0" w:space="0" w:color="auto"/>
      </w:divBdr>
      <w:divsChild>
        <w:div w:id="975842693">
          <w:marLeft w:val="0"/>
          <w:marRight w:val="0"/>
          <w:marTop w:val="0"/>
          <w:marBottom w:val="0"/>
          <w:divBdr>
            <w:top w:val="none" w:sz="0" w:space="0" w:color="auto"/>
            <w:left w:val="none" w:sz="0" w:space="0" w:color="auto"/>
            <w:bottom w:val="none" w:sz="0" w:space="0" w:color="auto"/>
            <w:right w:val="none" w:sz="0" w:space="0" w:color="auto"/>
          </w:divBdr>
        </w:div>
        <w:div w:id="1783188439">
          <w:marLeft w:val="0"/>
          <w:marRight w:val="0"/>
          <w:marTop w:val="60"/>
          <w:marBottom w:val="0"/>
          <w:divBdr>
            <w:top w:val="none" w:sz="0" w:space="0" w:color="auto"/>
            <w:left w:val="none" w:sz="0" w:space="0" w:color="auto"/>
            <w:bottom w:val="none" w:sz="0" w:space="0" w:color="auto"/>
            <w:right w:val="none" w:sz="0" w:space="0" w:color="auto"/>
          </w:divBdr>
        </w:div>
      </w:divsChild>
    </w:div>
    <w:div w:id="1136139281">
      <w:marLeft w:val="0"/>
      <w:marRight w:val="0"/>
      <w:marTop w:val="40"/>
      <w:marBottom w:val="0"/>
      <w:divBdr>
        <w:top w:val="none" w:sz="0" w:space="0" w:color="auto"/>
        <w:left w:val="none" w:sz="0" w:space="0" w:color="auto"/>
        <w:bottom w:val="none" w:sz="0" w:space="0" w:color="auto"/>
        <w:right w:val="none" w:sz="0" w:space="0" w:color="auto"/>
      </w:divBdr>
    </w:div>
    <w:div w:id="1137337104">
      <w:marLeft w:val="0"/>
      <w:marRight w:val="0"/>
      <w:marTop w:val="100"/>
      <w:marBottom w:val="0"/>
      <w:divBdr>
        <w:top w:val="none" w:sz="0" w:space="0" w:color="auto"/>
        <w:left w:val="none" w:sz="0" w:space="0" w:color="auto"/>
        <w:bottom w:val="none" w:sz="0" w:space="0" w:color="auto"/>
        <w:right w:val="none" w:sz="0" w:space="0" w:color="auto"/>
      </w:divBdr>
    </w:div>
    <w:div w:id="1137380292">
      <w:marLeft w:val="0"/>
      <w:marRight w:val="0"/>
      <w:marTop w:val="100"/>
      <w:marBottom w:val="0"/>
      <w:divBdr>
        <w:top w:val="none" w:sz="0" w:space="0" w:color="auto"/>
        <w:left w:val="none" w:sz="0" w:space="0" w:color="auto"/>
        <w:bottom w:val="none" w:sz="0" w:space="0" w:color="auto"/>
        <w:right w:val="none" w:sz="0" w:space="0" w:color="auto"/>
      </w:divBdr>
    </w:div>
    <w:div w:id="1137408692">
      <w:marLeft w:val="0"/>
      <w:marRight w:val="0"/>
      <w:marTop w:val="280"/>
      <w:marBottom w:val="0"/>
      <w:divBdr>
        <w:top w:val="none" w:sz="0" w:space="0" w:color="auto"/>
        <w:left w:val="none" w:sz="0" w:space="0" w:color="auto"/>
        <w:bottom w:val="none" w:sz="0" w:space="0" w:color="auto"/>
        <w:right w:val="none" w:sz="0" w:space="0" w:color="auto"/>
      </w:divBdr>
    </w:div>
    <w:div w:id="1137723270">
      <w:marLeft w:val="0"/>
      <w:marRight w:val="0"/>
      <w:marTop w:val="0"/>
      <w:marBottom w:val="0"/>
      <w:divBdr>
        <w:top w:val="none" w:sz="0" w:space="0" w:color="auto"/>
        <w:left w:val="none" w:sz="0" w:space="0" w:color="auto"/>
        <w:bottom w:val="none" w:sz="0" w:space="0" w:color="auto"/>
        <w:right w:val="none" w:sz="0" w:space="0" w:color="auto"/>
      </w:divBdr>
      <w:divsChild>
        <w:div w:id="1822425950">
          <w:marLeft w:val="0"/>
          <w:marRight w:val="0"/>
          <w:marTop w:val="0"/>
          <w:marBottom w:val="0"/>
          <w:divBdr>
            <w:top w:val="none" w:sz="0" w:space="0" w:color="auto"/>
            <w:left w:val="none" w:sz="0" w:space="0" w:color="auto"/>
            <w:bottom w:val="none" w:sz="0" w:space="0" w:color="auto"/>
            <w:right w:val="none" w:sz="0" w:space="0" w:color="auto"/>
          </w:divBdr>
        </w:div>
        <w:div w:id="1087266944">
          <w:marLeft w:val="0"/>
          <w:marRight w:val="0"/>
          <w:marTop w:val="0"/>
          <w:marBottom w:val="0"/>
          <w:divBdr>
            <w:top w:val="none" w:sz="0" w:space="0" w:color="auto"/>
            <w:left w:val="none" w:sz="0" w:space="0" w:color="auto"/>
            <w:bottom w:val="none" w:sz="0" w:space="0" w:color="auto"/>
            <w:right w:val="none" w:sz="0" w:space="0" w:color="auto"/>
          </w:divBdr>
        </w:div>
      </w:divsChild>
    </w:div>
    <w:div w:id="1138648620">
      <w:marLeft w:val="0"/>
      <w:marRight w:val="0"/>
      <w:marTop w:val="280"/>
      <w:marBottom w:val="0"/>
      <w:divBdr>
        <w:top w:val="none" w:sz="0" w:space="0" w:color="auto"/>
        <w:left w:val="none" w:sz="0" w:space="0" w:color="auto"/>
        <w:bottom w:val="none" w:sz="0" w:space="0" w:color="auto"/>
        <w:right w:val="none" w:sz="0" w:space="0" w:color="auto"/>
      </w:divBdr>
    </w:div>
    <w:div w:id="1141725297">
      <w:marLeft w:val="0"/>
      <w:marRight w:val="0"/>
      <w:marTop w:val="0"/>
      <w:marBottom w:val="0"/>
      <w:divBdr>
        <w:top w:val="none" w:sz="0" w:space="0" w:color="auto"/>
        <w:left w:val="none" w:sz="0" w:space="0" w:color="auto"/>
        <w:bottom w:val="none" w:sz="0" w:space="0" w:color="auto"/>
        <w:right w:val="none" w:sz="0" w:space="0" w:color="auto"/>
      </w:divBdr>
    </w:div>
    <w:div w:id="1142045284">
      <w:marLeft w:val="0"/>
      <w:marRight w:val="0"/>
      <w:marTop w:val="60"/>
      <w:marBottom w:val="0"/>
      <w:divBdr>
        <w:top w:val="none" w:sz="0" w:space="0" w:color="auto"/>
        <w:left w:val="none" w:sz="0" w:space="0" w:color="auto"/>
        <w:bottom w:val="none" w:sz="0" w:space="0" w:color="auto"/>
        <w:right w:val="none" w:sz="0" w:space="0" w:color="auto"/>
      </w:divBdr>
    </w:div>
    <w:div w:id="1145051968">
      <w:marLeft w:val="0"/>
      <w:marRight w:val="0"/>
      <w:marTop w:val="280"/>
      <w:marBottom w:val="0"/>
      <w:divBdr>
        <w:top w:val="none" w:sz="0" w:space="0" w:color="auto"/>
        <w:left w:val="none" w:sz="0" w:space="0" w:color="auto"/>
        <w:bottom w:val="none" w:sz="0" w:space="0" w:color="auto"/>
        <w:right w:val="none" w:sz="0" w:space="0" w:color="auto"/>
      </w:divBdr>
    </w:div>
    <w:div w:id="1146555866">
      <w:marLeft w:val="0"/>
      <w:marRight w:val="0"/>
      <w:marTop w:val="160"/>
      <w:marBottom w:val="0"/>
      <w:divBdr>
        <w:top w:val="none" w:sz="0" w:space="0" w:color="auto"/>
        <w:left w:val="none" w:sz="0" w:space="0" w:color="auto"/>
        <w:bottom w:val="none" w:sz="0" w:space="0" w:color="auto"/>
        <w:right w:val="none" w:sz="0" w:space="0" w:color="auto"/>
      </w:divBdr>
    </w:div>
    <w:div w:id="1149370908">
      <w:marLeft w:val="0"/>
      <w:marRight w:val="0"/>
      <w:marTop w:val="280"/>
      <w:marBottom w:val="0"/>
      <w:divBdr>
        <w:top w:val="none" w:sz="0" w:space="0" w:color="auto"/>
        <w:left w:val="none" w:sz="0" w:space="0" w:color="auto"/>
        <w:bottom w:val="none" w:sz="0" w:space="0" w:color="auto"/>
        <w:right w:val="none" w:sz="0" w:space="0" w:color="auto"/>
      </w:divBdr>
    </w:div>
    <w:div w:id="1149975911">
      <w:marLeft w:val="0"/>
      <w:marRight w:val="0"/>
      <w:marTop w:val="100"/>
      <w:marBottom w:val="0"/>
      <w:divBdr>
        <w:top w:val="none" w:sz="0" w:space="0" w:color="auto"/>
        <w:left w:val="none" w:sz="0" w:space="0" w:color="auto"/>
        <w:bottom w:val="none" w:sz="0" w:space="0" w:color="auto"/>
        <w:right w:val="none" w:sz="0" w:space="0" w:color="auto"/>
      </w:divBdr>
    </w:div>
    <w:div w:id="1150438451">
      <w:marLeft w:val="0"/>
      <w:marRight w:val="0"/>
      <w:marTop w:val="60"/>
      <w:marBottom w:val="0"/>
      <w:divBdr>
        <w:top w:val="none" w:sz="0" w:space="0" w:color="auto"/>
        <w:left w:val="none" w:sz="0" w:space="0" w:color="auto"/>
        <w:bottom w:val="none" w:sz="0" w:space="0" w:color="auto"/>
        <w:right w:val="none" w:sz="0" w:space="0" w:color="auto"/>
      </w:divBdr>
    </w:div>
    <w:div w:id="1151672235">
      <w:marLeft w:val="0"/>
      <w:marRight w:val="0"/>
      <w:marTop w:val="100"/>
      <w:marBottom w:val="0"/>
      <w:divBdr>
        <w:top w:val="none" w:sz="0" w:space="0" w:color="auto"/>
        <w:left w:val="none" w:sz="0" w:space="0" w:color="auto"/>
        <w:bottom w:val="none" w:sz="0" w:space="0" w:color="auto"/>
        <w:right w:val="none" w:sz="0" w:space="0" w:color="auto"/>
      </w:divBdr>
    </w:div>
    <w:div w:id="1153370720">
      <w:marLeft w:val="0"/>
      <w:marRight w:val="0"/>
      <w:marTop w:val="60"/>
      <w:marBottom w:val="0"/>
      <w:divBdr>
        <w:top w:val="none" w:sz="0" w:space="0" w:color="auto"/>
        <w:left w:val="none" w:sz="0" w:space="0" w:color="auto"/>
        <w:bottom w:val="none" w:sz="0" w:space="0" w:color="auto"/>
        <w:right w:val="none" w:sz="0" w:space="0" w:color="auto"/>
      </w:divBdr>
    </w:div>
    <w:div w:id="1154181070">
      <w:marLeft w:val="0"/>
      <w:marRight w:val="0"/>
      <w:marTop w:val="0"/>
      <w:marBottom w:val="0"/>
      <w:divBdr>
        <w:top w:val="none" w:sz="0" w:space="0" w:color="auto"/>
        <w:left w:val="none" w:sz="0" w:space="0" w:color="auto"/>
        <w:bottom w:val="none" w:sz="0" w:space="0" w:color="auto"/>
        <w:right w:val="none" w:sz="0" w:space="0" w:color="auto"/>
      </w:divBdr>
      <w:divsChild>
        <w:div w:id="1539316029">
          <w:marLeft w:val="0"/>
          <w:marRight w:val="0"/>
          <w:marTop w:val="0"/>
          <w:marBottom w:val="0"/>
          <w:divBdr>
            <w:top w:val="none" w:sz="0" w:space="0" w:color="auto"/>
            <w:left w:val="none" w:sz="0" w:space="0" w:color="auto"/>
            <w:bottom w:val="none" w:sz="0" w:space="0" w:color="auto"/>
            <w:right w:val="none" w:sz="0" w:space="0" w:color="auto"/>
          </w:divBdr>
        </w:div>
        <w:div w:id="1536192558">
          <w:marLeft w:val="0"/>
          <w:marRight w:val="0"/>
          <w:marTop w:val="0"/>
          <w:marBottom w:val="0"/>
          <w:divBdr>
            <w:top w:val="none" w:sz="0" w:space="0" w:color="auto"/>
            <w:left w:val="none" w:sz="0" w:space="0" w:color="auto"/>
            <w:bottom w:val="none" w:sz="0" w:space="0" w:color="auto"/>
            <w:right w:val="none" w:sz="0" w:space="0" w:color="auto"/>
          </w:divBdr>
        </w:div>
      </w:divsChild>
    </w:div>
    <w:div w:id="1157307933">
      <w:marLeft w:val="0"/>
      <w:marRight w:val="0"/>
      <w:marTop w:val="0"/>
      <w:marBottom w:val="0"/>
      <w:divBdr>
        <w:top w:val="none" w:sz="0" w:space="0" w:color="auto"/>
        <w:left w:val="none" w:sz="0" w:space="0" w:color="auto"/>
        <w:bottom w:val="none" w:sz="0" w:space="0" w:color="auto"/>
        <w:right w:val="none" w:sz="0" w:space="0" w:color="auto"/>
      </w:divBdr>
      <w:divsChild>
        <w:div w:id="1509248321">
          <w:marLeft w:val="0"/>
          <w:marRight w:val="0"/>
          <w:marTop w:val="0"/>
          <w:marBottom w:val="0"/>
          <w:divBdr>
            <w:top w:val="none" w:sz="0" w:space="0" w:color="auto"/>
            <w:left w:val="none" w:sz="0" w:space="0" w:color="auto"/>
            <w:bottom w:val="none" w:sz="0" w:space="0" w:color="auto"/>
            <w:right w:val="none" w:sz="0" w:space="0" w:color="auto"/>
          </w:divBdr>
        </w:div>
      </w:divsChild>
    </w:div>
    <w:div w:id="1157570196">
      <w:marLeft w:val="0"/>
      <w:marRight w:val="0"/>
      <w:marTop w:val="100"/>
      <w:marBottom w:val="0"/>
      <w:divBdr>
        <w:top w:val="none" w:sz="0" w:space="0" w:color="auto"/>
        <w:left w:val="none" w:sz="0" w:space="0" w:color="auto"/>
        <w:bottom w:val="none" w:sz="0" w:space="0" w:color="auto"/>
        <w:right w:val="none" w:sz="0" w:space="0" w:color="auto"/>
      </w:divBdr>
    </w:div>
    <w:div w:id="1160191200">
      <w:marLeft w:val="0"/>
      <w:marRight w:val="0"/>
      <w:marTop w:val="100"/>
      <w:marBottom w:val="0"/>
      <w:divBdr>
        <w:top w:val="none" w:sz="0" w:space="0" w:color="auto"/>
        <w:left w:val="none" w:sz="0" w:space="0" w:color="auto"/>
        <w:bottom w:val="none" w:sz="0" w:space="0" w:color="auto"/>
        <w:right w:val="none" w:sz="0" w:space="0" w:color="auto"/>
      </w:divBdr>
    </w:div>
    <w:div w:id="1162430142">
      <w:marLeft w:val="0"/>
      <w:marRight w:val="0"/>
      <w:marTop w:val="60"/>
      <w:marBottom w:val="0"/>
      <w:divBdr>
        <w:top w:val="none" w:sz="0" w:space="0" w:color="auto"/>
        <w:left w:val="none" w:sz="0" w:space="0" w:color="auto"/>
        <w:bottom w:val="none" w:sz="0" w:space="0" w:color="auto"/>
        <w:right w:val="none" w:sz="0" w:space="0" w:color="auto"/>
      </w:divBdr>
    </w:div>
    <w:div w:id="1162815068">
      <w:marLeft w:val="0"/>
      <w:marRight w:val="0"/>
      <w:marTop w:val="100"/>
      <w:marBottom w:val="0"/>
      <w:divBdr>
        <w:top w:val="none" w:sz="0" w:space="0" w:color="auto"/>
        <w:left w:val="none" w:sz="0" w:space="0" w:color="auto"/>
        <w:bottom w:val="none" w:sz="0" w:space="0" w:color="auto"/>
        <w:right w:val="none" w:sz="0" w:space="0" w:color="auto"/>
      </w:divBdr>
    </w:div>
    <w:div w:id="1163819463">
      <w:marLeft w:val="0"/>
      <w:marRight w:val="0"/>
      <w:marTop w:val="100"/>
      <w:marBottom w:val="0"/>
      <w:divBdr>
        <w:top w:val="none" w:sz="0" w:space="0" w:color="auto"/>
        <w:left w:val="none" w:sz="0" w:space="0" w:color="auto"/>
        <w:bottom w:val="none" w:sz="0" w:space="0" w:color="auto"/>
        <w:right w:val="none" w:sz="0" w:space="0" w:color="auto"/>
      </w:divBdr>
    </w:div>
    <w:div w:id="1164083015">
      <w:marLeft w:val="0"/>
      <w:marRight w:val="0"/>
      <w:marTop w:val="0"/>
      <w:marBottom w:val="0"/>
      <w:divBdr>
        <w:top w:val="none" w:sz="0" w:space="0" w:color="auto"/>
        <w:left w:val="none" w:sz="0" w:space="0" w:color="auto"/>
        <w:bottom w:val="none" w:sz="0" w:space="0" w:color="auto"/>
        <w:right w:val="none" w:sz="0" w:space="0" w:color="auto"/>
      </w:divBdr>
      <w:divsChild>
        <w:div w:id="1967156897">
          <w:marLeft w:val="0"/>
          <w:marRight w:val="0"/>
          <w:marTop w:val="0"/>
          <w:marBottom w:val="0"/>
          <w:divBdr>
            <w:top w:val="none" w:sz="0" w:space="0" w:color="auto"/>
            <w:left w:val="none" w:sz="0" w:space="0" w:color="auto"/>
            <w:bottom w:val="none" w:sz="0" w:space="0" w:color="auto"/>
            <w:right w:val="none" w:sz="0" w:space="0" w:color="auto"/>
          </w:divBdr>
        </w:div>
      </w:divsChild>
    </w:div>
    <w:div w:id="1166625440">
      <w:marLeft w:val="0"/>
      <w:marRight w:val="0"/>
      <w:marTop w:val="100"/>
      <w:marBottom w:val="0"/>
      <w:divBdr>
        <w:top w:val="none" w:sz="0" w:space="0" w:color="auto"/>
        <w:left w:val="none" w:sz="0" w:space="0" w:color="auto"/>
        <w:bottom w:val="none" w:sz="0" w:space="0" w:color="auto"/>
        <w:right w:val="none" w:sz="0" w:space="0" w:color="auto"/>
      </w:divBdr>
    </w:div>
    <w:div w:id="1167405148">
      <w:marLeft w:val="0"/>
      <w:marRight w:val="0"/>
      <w:marTop w:val="100"/>
      <w:marBottom w:val="0"/>
      <w:divBdr>
        <w:top w:val="none" w:sz="0" w:space="0" w:color="auto"/>
        <w:left w:val="none" w:sz="0" w:space="0" w:color="auto"/>
        <w:bottom w:val="none" w:sz="0" w:space="0" w:color="auto"/>
        <w:right w:val="none" w:sz="0" w:space="0" w:color="auto"/>
      </w:divBdr>
    </w:div>
    <w:div w:id="1167553800">
      <w:marLeft w:val="0"/>
      <w:marRight w:val="0"/>
      <w:marTop w:val="60"/>
      <w:marBottom w:val="0"/>
      <w:divBdr>
        <w:top w:val="none" w:sz="0" w:space="0" w:color="auto"/>
        <w:left w:val="none" w:sz="0" w:space="0" w:color="auto"/>
        <w:bottom w:val="none" w:sz="0" w:space="0" w:color="auto"/>
        <w:right w:val="none" w:sz="0" w:space="0" w:color="auto"/>
      </w:divBdr>
    </w:div>
    <w:div w:id="1167743368">
      <w:marLeft w:val="0"/>
      <w:marRight w:val="0"/>
      <w:marTop w:val="100"/>
      <w:marBottom w:val="0"/>
      <w:divBdr>
        <w:top w:val="none" w:sz="0" w:space="0" w:color="auto"/>
        <w:left w:val="none" w:sz="0" w:space="0" w:color="auto"/>
        <w:bottom w:val="none" w:sz="0" w:space="0" w:color="auto"/>
        <w:right w:val="none" w:sz="0" w:space="0" w:color="auto"/>
      </w:divBdr>
    </w:div>
    <w:div w:id="1169178410">
      <w:marLeft w:val="0"/>
      <w:marRight w:val="0"/>
      <w:marTop w:val="100"/>
      <w:marBottom w:val="0"/>
      <w:divBdr>
        <w:top w:val="none" w:sz="0" w:space="0" w:color="auto"/>
        <w:left w:val="none" w:sz="0" w:space="0" w:color="auto"/>
        <w:bottom w:val="none" w:sz="0" w:space="0" w:color="auto"/>
        <w:right w:val="none" w:sz="0" w:space="0" w:color="auto"/>
      </w:divBdr>
    </w:div>
    <w:div w:id="1170100685">
      <w:marLeft w:val="0"/>
      <w:marRight w:val="0"/>
      <w:marTop w:val="100"/>
      <w:marBottom w:val="0"/>
      <w:divBdr>
        <w:top w:val="none" w:sz="0" w:space="0" w:color="auto"/>
        <w:left w:val="none" w:sz="0" w:space="0" w:color="auto"/>
        <w:bottom w:val="none" w:sz="0" w:space="0" w:color="auto"/>
        <w:right w:val="none" w:sz="0" w:space="0" w:color="auto"/>
      </w:divBdr>
    </w:div>
    <w:div w:id="1173716873">
      <w:marLeft w:val="0"/>
      <w:marRight w:val="0"/>
      <w:marTop w:val="0"/>
      <w:marBottom w:val="0"/>
      <w:divBdr>
        <w:top w:val="none" w:sz="0" w:space="0" w:color="auto"/>
        <w:left w:val="none" w:sz="0" w:space="0" w:color="auto"/>
        <w:bottom w:val="none" w:sz="0" w:space="0" w:color="auto"/>
        <w:right w:val="none" w:sz="0" w:space="0" w:color="auto"/>
      </w:divBdr>
      <w:divsChild>
        <w:div w:id="1713116266">
          <w:marLeft w:val="0"/>
          <w:marRight w:val="0"/>
          <w:marTop w:val="0"/>
          <w:marBottom w:val="0"/>
          <w:divBdr>
            <w:top w:val="none" w:sz="0" w:space="0" w:color="auto"/>
            <w:left w:val="none" w:sz="0" w:space="0" w:color="auto"/>
            <w:bottom w:val="none" w:sz="0" w:space="0" w:color="auto"/>
            <w:right w:val="none" w:sz="0" w:space="0" w:color="auto"/>
          </w:divBdr>
        </w:div>
      </w:divsChild>
    </w:div>
    <w:div w:id="1175261756">
      <w:marLeft w:val="0"/>
      <w:marRight w:val="0"/>
      <w:marTop w:val="0"/>
      <w:marBottom w:val="0"/>
      <w:divBdr>
        <w:top w:val="none" w:sz="0" w:space="0" w:color="auto"/>
        <w:left w:val="none" w:sz="0" w:space="0" w:color="auto"/>
        <w:bottom w:val="none" w:sz="0" w:space="0" w:color="auto"/>
        <w:right w:val="none" w:sz="0" w:space="0" w:color="auto"/>
      </w:divBdr>
      <w:divsChild>
        <w:div w:id="188761265">
          <w:marLeft w:val="0"/>
          <w:marRight w:val="0"/>
          <w:marTop w:val="0"/>
          <w:marBottom w:val="0"/>
          <w:divBdr>
            <w:top w:val="none" w:sz="0" w:space="0" w:color="auto"/>
            <w:left w:val="none" w:sz="0" w:space="0" w:color="auto"/>
            <w:bottom w:val="none" w:sz="0" w:space="0" w:color="auto"/>
            <w:right w:val="none" w:sz="0" w:space="0" w:color="auto"/>
          </w:divBdr>
        </w:div>
      </w:divsChild>
    </w:div>
    <w:div w:id="1175538867">
      <w:marLeft w:val="0"/>
      <w:marRight w:val="0"/>
      <w:marTop w:val="280"/>
      <w:marBottom w:val="0"/>
      <w:divBdr>
        <w:top w:val="none" w:sz="0" w:space="0" w:color="auto"/>
        <w:left w:val="none" w:sz="0" w:space="0" w:color="auto"/>
        <w:bottom w:val="none" w:sz="0" w:space="0" w:color="auto"/>
        <w:right w:val="none" w:sz="0" w:space="0" w:color="auto"/>
      </w:divBdr>
    </w:div>
    <w:div w:id="1180311707">
      <w:marLeft w:val="0"/>
      <w:marRight w:val="0"/>
      <w:marTop w:val="100"/>
      <w:marBottom w:val="0"/>
      <w:divBdr>
        <w:top w:val="none" w:sz="0" w:space="0" w:color="auto"/>
        <w:left w:val="none" w:sz="0" w:space="0" w:color="auto"/>
        <w:bottom w:val="none" w:sz="0" w:space="0" w:color="auto"/>
        <w:right w:val="none" w:sz="0" w:space="0" w:color="auto"/>
      </w:divBdr>
    </w:div>
    <w:div w:id="1181823674">
      <w:marLeft w:val="0"/>
      <w:marRight w:val="0"/>
      <w:marTop w:val="100"/>
      <w:marBottom w:val="0"/>
      <w:divBdr>
        <w:top w:val="none" w:sz="0" w:space="0" w:color="auto"/>
        <w:left w:val="none" w:sz="0" w:space="0" w:color="auto"/>
        <w:bottom w:val="none" w:sz="0" w:space="0" w:color="auto"/>
        <w:right w:val="none" w:sz="0" w:space="0" w:color="auto"/>
      </w:divBdr>
    </w:div>
    <w:div w:id="1183129391">
      <w:marLeft w:val="0"/>
      <w:marRight w:val="0"/>
      <w:marTop w:val="60"/>
      <w:marBottom w:val="0"/>
      <w:divBdr>
        <w:top w:val="none" w:sz="0" w:space="0" w:color="auto"/>
        <w:left w:val="none" w:sz="0" w:space="0" w:color="auto"/>
        <w:bottom w:val="none" w:sz="0" w:space="0" w:color="auto"/>
        <w:right w:val="none" w:sz="0" w:space="0" w:color="auto"/>
      </w:divBdr>
    </w:div>
    <w:div w:id="1183468828">
      <w:marLeft w:val="0"/>
      <w:marRight w:val="0"/>
      <w:marTop w:val="100"/>
      <w:marBottom w:val="0"/>
      <w:divBdr>
        <w:top w:val="none" w:sz="0" w:space="0" w:color="auto"/>
        <w:left w:val="none" w:sz="0" w:space="0" w:color="auto"/>
        <w:bottom w:val="none" w:sz="0" w:space="0" w:color="auto"/>
        <w:right w:val="none" w:sz="0" w:space="0" w:color="auto"/>
      </w:divBdr>
    </w:div>
    <w:div w:id="1183784658">
      <w:marLeft w:val="0"/>
      <w:marRight w:val="0"/>
      <w:marTop w:val="0"/>
      <w:marBottom w:val="0"/>
      <w:divBdr>
        <w:top w:val="none" w:sz="0" w:space="0" w:color="auto"/>
        <w:left w:val="none" w:sz="0" w:space="0" w:color="auto"/>
        <w:bottom w:val="none" w:sz="0" w:space="0" w:color="auto"/>
        <w:right w:val="none" w:sz="0" w:space="0" w:color="auto"/>
      </w:divBdr>
      <w:divsChild>
        <w:div w:id="1446578134">
          <w:marLeft w:val="0"/>
          <w:marRight w:val="0"/>
          <w:marTop w:val="0"/>
          <w:marBottom w:val="0"/>
          <w:divBdr>
            <w:top w:val="none" w:sz="0" w:space="0" w:color="auto"/>
            <w:left w:val="none" w:sz="0" w:space="0" w:color="auto"/>
            <w:bottom w:val="none" w:sz="0" w:space="0" w:color="auto"/>
            <w:right w:val="none" w:sz="0" w:space="0" w:color="auto"/>
          </w:divBdr>
        </w:div>
        <w:div w:id="866483664">
          <w:marLeft w:val="0"/>
          <w:marRight w:val="0"/>
          <w:marTop w:val="0"/>
          <w:marBottom w:val="0"/>
          <w:divBdr>
            <w:top w:val="none" w:sz="0" w:space="0" w:color="auto"/>
            <w:left w:val="none" w:sz="0" w:space="0" w:color="auto"/>
            <w:bottom w:val="none" w:sz="0" w:space="0" w:color="auto"/>
            <w:right w:val="none" w:sz="0" w:space="0" w:color="auto"/>
          </w:divBdr>
        </w:div>
      </w:divsChild>
    </w:div>
    <w:div w:id="1184635677">
      <w:marLeft w:val="0"/>
      <w:marRight w:val="0"/>
      <w:marTop w:val="280"/>
      <w:marBottom w:val="0"/>
      <w:divBdr>
        <w:top w:val="none" w:sz="0" w:space="0" w:color="auto"/>
        <w:left w:val="none" w:sz="0" w:space="0" w:color="auto"/>
        <w:bottom w:val="none" w:sz="0" w:space="0" w:color="auto"/>
        <w:right w:val="none" w:sz="0" w:space="0" w:color="auto"/>
      </w:divBdr>
    </w:div>
    <w:div w:id="1185559752">
      <w:marLeft w:val="0"/>
      <w:marRight w:val="0"/>
      <w:marTop w:val="280"/>
      <w:marBottom w:val="0"/>
      <w:divBdr>
        <w:top w:val="none" w:sz="0" w:space="0" w:color="auto"/>
        <w:left w:val="none" w:sz="0" w:space="0" w:color="auto"/>
        <w:bottom w:val="none" w:sz="0" w:space="0" w:color="auto"/>
        <w:right w:val="none" w:sz="0" w:space="0" w:color="auto"/>
      </w:divBdr>
    </w:div>
    <w:div w:id="1188258200">
      <w:marLeft w:val="0"/>
      <w:marRight w:val="0"/>
      <w:marTop w:val="60"/>
      <w:marBottom w:val="0"/>
      <w:divBdr>
        <w:top w:val="none" w:sz="0" w:space="0" w:color="auto"/>
        <w:left w:val="none" w:sz="0" w:space="0" w:color="auto"/>
        <w:bottom w:val="none" w:sz="0" w:space="0" w:color="auto"/>
        <w:right w:val="none" w:sz="0" w:space="0" w:color="auto"/>
      </w:divBdr>
    </w:div>
    <w:div w:id="1190802611">
      <w:marLeft w:val="0"/>
      <w:marRight w:val="0"/>
      <w:marTop w:val="100"/>
      <w:marBottom w:val="0"/>
      <w:divBdr>
        <w:top w:val="none" w:sz="0" w:space="0" w:color="auto"/>
        <w:left w:val="none" w:sz="0" w:space="0" w:color="auto"/>
        <w:bottom w:val="none" w:sz="0" w:space="0" w:color="auto"/>
        <w:right w:val="none" w:sz="0" w:space="0" w:color="auto"/>
      </w:divBdr>
    </w:div>
    <w:div w:id="1191601209">
      <w:marLeft w:val="0"/>
      <w:marRight w:val="0"/>
      <w:marTop w:val="100"/>
      <w:marBottom w:val="0"/>
      <w:divBdr>
        <w:top w:val="none" w:sz="0" w:space="0" w:color="auto"/>
        <w:left w:val="none" w:sz="0" w:space="0" w:color="auto"/>
        <w:bottom w:val="none" w:sz="0" w:space="0" w:color="auto"/>
        <w:right w:val="none" w:sz="0" w:space="0" w:color="auto"/>
      </w:divBdr>
    </w:div>
    <w:div w:id="1191916932">
      <w:marLeft w:val="0"/>
      <w:marRight w:val="0"/>
      <w:marTop w:val="100"/>
      <w:marBottom w:val="0"/>
      <w:divBdr>
        <w:top w:val="none" w:sz="0" w:space="0" w:color="auto"/>
        <w:left w:val="none" w:sz="0" w:space="0" w:color="auto"/>
        <w:bottom w:val="none" w:sz="0" w:space="0" w:color="auto"/>
        <w:right w:val="none" w:sz="0" w:space="0" w:color="auto"/>
      </w:divBdr>
    </w:div>
    <w:div w:id="1193300120">
      <w:marLeft w:val="0"/>
      <w:marRight w:val="0"/>
      <w:marTop w:val="60"/>
      <w:marBottom w:val="0"/>
      <w:divBdr>
        <w:top w:val="none" w:sz="0" w:space="0" w:color="auto"/>
        <w:left w:val="none" w:sz="0" w:space="0" w:color="auto"/>
        <w:bottom w:val="none" w:sz="0" w:space="0" w:color="auto"/>
        <w:right w:val="none" w:sz="0" w:space="0" w:color="auto"/>
      </w:divBdr>
    </w:div>
    <w:div w:id="1193348563">
      <w:marLeft w:val="0"/>
      <w:marRight w:val="0"/>
      <w:marTop w:val="100"/>
      <w:marBottom w:val="0"/>
      <w:divBdr>
        <w:top w:val="none" w:sz="0" w:space="0" w:color="auto"/>
        <w:left w:val="none" w:sz="0" w:space="0" w:color="auto"/>
        <w:bottom w:val="none" w:sz="0" w:space="0" w:color="auto"/>
        <w:right w:val="none" w:sz="0" w:space="0" w:color="auto"/>
      </w:divBdr>
    </w:div>
    <w:div w:id="1196624966">
      <w:marLeft w:val="0"/>
      <w:marRight w:val="0"/>
      <w:marTop w:val="0"/>
      <w:marBottom w:val="0"/>
      <w:divBdr>
        <w:top w:val="none" w:sz="0" w:space="0" w:color="auto"/>
        <w:left w:val="none" w:sz="0" w:space="0" w:color="auto"/>
        <w:bottom w:val="none" w:sz="0" w:space="0" w:color="auto"/>
        <w:right w:val="none" w:sz="0" w:space="0" w:color="auto"/>
      </w:divBdr>
      <w:divsChild>
        <w:div w:id="551310369">
          <w:marLeft w:val="0"/>
          <w:marRight w:val="0"/>
          <w:marTop w:val="0"/>
          <w:marBottom w:val="0"/>
          <w:divBdr>
            <w:top w:val="none" w:sz="0" w:space="0" w:color="auto"/>
            <w:left w:val="none" w:sz="0" w:space="0" w:color="auto"/>
            <w:bottom w:val="none" w:sz="0" w:space="0" w:color="auto"/>
            <w:right w:val="none" w:sz="0" w:space="0" w:color="auto"/>
          </w:divBdr>
        </w:div>
        <w:div w:id="201793286">
          <w:marLeft w:val="0"/>
          <w:marRight w:val="0"/>
          <w:marTop w:val="0"/>
          <w:marBottom w:val="0"/>
          <w:divBdr>
            <w:top w:val="none" w:sz="0" w:space="0" w:color="auto"/>
            <w:left w:val="none" w:sz="0" w:space="0" w:color="auto"/>
            <w:bottom w:val="none" w:sz="0" w:space="0" w:color="auto"/>
            <w:right w:val="none" w:sz="0" w:space="0" w:color="auto"/>
          </w:divBdr>
        </w:div>
      </w:divsChild>
    </w:div>
    <w:div w:id="1196653772">
      <w:marLeft w:val="0"/>
      <w:marRight w:val="0"/>
      <w:marTop w:val="100"/>
      <w:marBottom w:val="0"/>
      <w:divBdr>
        <w:top w:val="none" w:sz="0" w:space="0" w:color="auto"/>
        <w:left w:val="none" w:sz="0" w:space="0" w:color="auto"/>
        <w:bottom w:val="none" w:sz="0" w:space="0" w:color="auto"/>
        <w:right w:val="none" w:sz="0" w:space="0" w:color="auto"/>
      </w:divBdr>
    </w:div>
    <w:div w:id="1197281451">
      <w:marLeft w:val="0"/>
      <w:marRight w:val="0"/>
      <w:marTop w:val="100"/>
      <w:marBottom w:val="0"/>
      <w:divBdr>
        <w:top w:val="none" w:sz="0" w:space="0" w:color="auto"/>
        <w:left w:val="none" w:sz="0" w:space="0" w:color="auto"/>
        <w:bottom w:val="none" w:sz="0" w:space="0" w:color="auto"/>
        <w:right w:val="none" w:sz="0" w:space="0" w:color="auto"/>
      </w:divBdr>
    </w:div>
    <w:div w:id="1198733209">
      <w:marLeft w:val="0"/>
      <w:marRight w:val="0"/>
      <w:marTop w:val="0"/>
      <w:marBottom w:val="0"/>
      <w:divBdr>
        <w:top w:val="none" w:sz="0" w:space="0" w:color="auto"/>
        <w:left w:val="none" w:sz="0" w:space="0" w:color="auto"/>
        <w:bottom w:val="none" w:sz="0" w:space="0" w:color="auto"/>
        <w:right w:val="none" w:sz="0" w:space="0" w:color="auto"/>
      </w:divBdr>
      <w:divsChild>
        <w:div w:id="1389525348">
          <w:marLeft w:val="0"/>
          <w:marRight w:val="0"/>
          <w:marTop w:val="0"/>
          <w:marBottom w:val="0"/>
          <w:divBdr>
            <w:top w:val="none" w:sz="0" w:space="0" w:color="auto"/>
            <w:left w:val="none" w:sz="0" w:space="0" w:color="auto"/>
            <w:bottom w:val="none" w:sz="0" w:space="0" w:color="auto"/>
            <w:right w:val="none" w:sz="0" w:space="0" w:color="auto"/>
          </w:divBdr>
        </w:div>
        <w:div w:id="366567456">
          <w:marLeft w:val="0"/>
          <w:marRight w:val="0"/>
          <w:marTop w:val="0"/>
          <w:marBottom w:val="0"/>
          <w:divBdr>
            <w:top w:val="none" w:sz="0" w:space="0" w:color="auto"/>
            <w:left w:val="none" w:sz="0" w:space="0" w:color="auto"/>
            <w:bottom w:val="none" w:sz="0" w:space="0" w:color="auto"/>
            <w:right w:val="none" w:sz="0" w:space="0" w:color="auto"/>
          </w:divBdr>
        </w:div>
      </w:divsChild>
    </w:div>
    <w:div w:id="1204248484">
      <w:marLeft w:val="0"/>
      <w:marRight w:val="0"/>
      <w:marTop w:val="60"/>
      <w:marBottom w:val="0"/>
      <w:divBdr>
        <w:top w:val="none" w:sz="0" w:space="0" w:color="auto"/>
        <w:left w:val="none" w:sz="0" w:space="0" w:color="auto"/>
        <w:bottom w:val="none" w:sz="0" w:space="0" w:color="auto"/>
        <w:right w:val="none" w:sz="0" w:space="0" w:color="auto"/>
      </w:divBdr>
    </w:div>
    <w:div w:id="1204636008">
      <w:marLeft w:val="0"/>
      <w:marRight w:val="0"/>
      <w:marTop w:val="0"/>
      <w:marBottom w:val="0"/>
      <w:divBdr>
        <w:top w:val="none" w:sz="0" w:space="0" w:color="auto"/>
        <w:left w:val="none" w:sz="0" w:space="0" w:color="auto"/>
        <w:bottom w:val="none" w:sz="0" w:space="0" w:color="auto"/>
        <w:right w:val="none" w:sz="0" w:space="0" w:color="auto"/>
      </w:divBdr>
      <w:divsChild>
        <w:div w:id="1133326298">
          <w:marLeft w:val="0"/>
          <w:marRight w:val="0"/>
          <w:marTop w:val="0"/>
          <w:marBottom w:val="0"/>
          <w:divBdr>
            <w:top w:val="none" w:sz="0" w:space="0" w:color="auto"/>
            <w:left w:val="none" w:sz="0" w:space="0" w:color="auto"/>
            <w:bottom w:val="none" w:sz="0" w:space="0" w:color="auto"/>
            <w:right w:val="none" w:sz="0" w:space="0" w:color="auto"/>
          </w:divBdr>
        </w:div>
        <w:div w:id="1604531265">
          <w:marLeft w:val="0"/>
          <w:marRight w:val="0"/>
          <w:marTop w:val="0"/>
          <w:marBottom w:val="0"/>
          <w:divBdr>
            <w:top w:val="none" w:sz="0" w:space="0" w:color="auto"/>
            <w:left w:val="none" w:sz="0" w:space="0" w:color="auto"/>
            <w:bottom w:val="none" w:sz="0" w:space="0" w:color="auto"/>
            <w:right w:val="none" w:sz="0" w:space="0" w:color="auto"/>
          </w:divBdr>
        </w:div>
      </w:divsChild>
    </w:div>
    <w:div w:id="1206335249">
      <w:marLeft w:val="0"/>
      <w:marRight w:val="0"/>
      <w:marTop w:val="100"/>
      <w:marBottom w:val="0"/>
      <w:divBdr>
        <w:top w:val="none" w:sz="0" w:space="0" w:color="auto"/>
        <w:left w:val="none" w:sz="0" w:space="0" w:color="auto"/>
        <w:bottom w:val="none" w:sz="0" w:space="0" w:color="auto"/>
        <w:right w:val="none" w:sz="0" w:space="0" w:color="auto"/>
      </w:divBdr>
    </w:div>
    <w:div w:id="1206718649">
      <w:marLeft w:val="0"/>
      <w:marRight w:val="0"/>
      <w:marTop w:val="100"/>
      <w:marBottom w:val="0"/>
      <w:divBdr>
        <w:top w:val="none" w:sz="0" w:space="0" w:color="auto"/>
        <w:left w:val="none" w:sz="0" w:space="0" w:color="auto"/>
        <w:bottom w:val="none" w:sz="0" w:space="0" w:color="auto"/>
        <w:right w:val="none" w:sz="0" w:space="0" w:color="auto"/>
      </w:divBdr>
    </w:div>
    <w:div w:id="1209223768">
      <w:marLeft w:val="0"/>
      <w:marRight w:val="0"/>
      <w:marTop w:val="60"/>
      <w:marBottom w:val="0"/>
      <w:divBdr>
        <w:top w:val="none" w:sz="0" w:space="0" w:color="auto"/>
        <w:left w:val="none" w:sz="0" w:space="0" w:color="auto"/>
        <w:bottom w:val="none" w:sz="0" w:space="0" w:color="auto"/>
        <w:right w:val="none" w:sz="0" w:space="0" w:color="auto"/>
      </w:divBdr>
    </w:div>
    <w:div w:id="1210265845">
      <w:marLeft w:val="0"/>
      <w:marRight w:val="0"/>
      <w:marTop w:val="100"/>
      <w:marBottom w:val="0"/>
      <w:divBdr>
        <w:top w:val="none" w:sz="0" w:space="0" w:color="auto"/>
        <w:left w:val="none" w:sz="0" w:space="0" w:color="auto"/>
        <w:bottom w:val="none" w:sz="0" w:space="0" w:color="auto"/>
        <w:right w:val="none" w:sz="0" w:space="0" w:color="auto"/>
      </w:divBdr>
    </w:div>
    <w:div w:id="1211721521">
      <w:marLeft w:val="0"/>
      <w:marRight w:val="0"/>
      <w:marTop w:val="0"/>
      <w:marBottom w:val="0"/>
      <w:divBdr>
        <w:top w:val="none" w:sz="0" w:space="0" w:color="auto"/>
        <w:left w:val="none" w:sz="0" w:space="0" w:color="auto"/>
        <w:bottom w:val="none" w:sz="0" w:space="0" w:color="auto"/>
        <w:right w:val="none" w:sz="0" w:space="0" w:color="auto"/>
      </w:divBdr>
    </w:div>
    <w:div w:id="1212961897">
      <w:marLeft w:val="0"/>
      <w:marRight w:val="0"/>
      <w:marTop w:val="60"/>
      <w:marBottom w:val="0"/>
      <w:divBdr>
        <w:top w:val="none" w:sz="0" w:space="0" w:color="auto"/>
        <w:left w:val="none" w:sz="0" w:space="0" w:color="auto"/>
        <w:bottom w:val="none" w:sz="0" w:space="0" w:color="auto"/>
        <w:right w:val="none" w:sz="0" w:space="0" w:color="auto"/>
      </w:divBdr>
    </w:div>
    <w:div w:id="1214199212">
      <w:marLeft w:val="0"/>
      <w:marRight w:val="0"/>
      <w:marTop w:val="100"/>
      <w:marBottom w:val="0"/>
      <w:divBdr>
        <w:top w:val="none" w:sz="0" w:space="0" w:color="auto"/>
        <w:left w:val="none" w:sz="0" w:space="0" w:color="auto"/>
        <w:bottom w:val="none" w:sz="0" w:space="0" w:color="auto"/>
        <w:right w:val="none" w:sz="0" w:space="0" w:color="auto"/>
      </w:divBdr>
    </w:div>
    <w:div w:id="1214384859">
      <w:marLeft w:val="0"/>
      <w:marRight w:val="0"/>
      <w:marTop w:val="100"/>
      <w:marBottom w:val="0"/>
      <w:divBdr>
        <w:top w:val="none" w:sz="0" w:space="0" w:color="auto"/>
        <w:left w:val="none" w:sz="0" w:space="0" w:color="auto"/>
        <w:bottom w:val="none" w:sz="0" w:space="0" w:color="auto"/>
        <w:right w:val="none" w:sz="0" w:space="0" w:color="auto"/>
      </w:divBdr>
    </w:div>
    <w:div w:id="1216427762">
      <w:marLeft w:val="0"/>
      <w:marRight w:val="0"/>
      <w:marTop w:val="280"/>
      <w:marBottom w:val="0"/>
      <w:divBdr>
        <w:top w:val="none" w:sz="0" w:space="0" w:color="auto"/>
        <w:left w:val="none" w:sz="0" w:space="0" w:color="auto"/>
        <w:bottom w:val="none" w:sz="0" w:space="0" w:color="auto"/>
        <w:right w:val="none" w:sz="0" w:space="0" w:color="auto"/>
      </w:divBdr>
    </w:div>
    <w:div w:id="1216816158">
      <w:marLeft w:val="0"/>
      <w:marRight w:val="0"/>
      <w:marTop w:val="60"/>
      <w:marBottom w:val="0"/>
      <w:divBdr>
        <w:top w:val="none" w:sz="0" w:space="0" w:color="auto"/>
        <w:left w:val="none" w:sz="0" w:space="0" w:color="auto"/>
        <w:bottom w:val="none" w:sz="0" w:space="0" w:color="auto"/>
        <w:right w:val="none" w:sz="0" w:space="0" w:color="auto"/>
      </w:divBdr>
    </w:div>
    <w:div w:id="1217737835">
      <w:marLeft w:val="0"/>
      <w:marRight w:val="0"/>
      <w:marTop w:val="100"/>
      <w:marBottom w:val="100"/>
      <w:divBdr>
        <w:top w:val="none" w:sz="0" w:space="0" w:color="auto"/>
        <w:left w:val="none" w:sz="0" w:space="0" w:color="auto"/>
        <w:bottom w:val="none" w:sz="0" w:space="0" w:color="auto"/>
        <w:right w:val="none" w:sz="0" w:space="0" w:color="auto"/>
      </w:divBdr>
    </w:div>
    <w:div w:id="1218202808">
      <w:marLeft w:val="0"/>
      <w:marRight w:val="0"/>
      <w:marTop w:val="280"/>
      <w:marBottom w:val="0"/>
      <w:divBdr>
        <w:top w:val="none" w:sz="0" w:space="0" w:color="auto"/>
        <w:left w:val="none" w:sz="0" w:space="0" w:color="auto"/>
        <w:bottom w:val="none" w:sz="0" w:space="0" w:color="auto"/>
        <w:right w:val="none" w:sz="0" w:space="0" w:color="auto"/>
      </w:divBdr>
    </w:div>
    <w:div w:id="1218317892">
      <w:marLeft w:val="0"/>
      <w:marRight w:val="0"/>
      <w:marTop w:val="60"/>
      <w:marBottom w:val="0"/>
      <w:divBdr>
        <w:top w:val="none" w:sz="0" w:space="0" w:color="auto"/>
        <w:left w:val="none" w:sz="0" w:space="0" w:color="auto"/>
        <w:bottom w:val="none" w:sz="0" w:space="0" w:color="auto"/>
        <w:right w:val="none" w:sz="0" w:space="0" w:color="auto"/>
      </w:divBdr>
    </w:div>
    <w:div w:id="1219246706">
      <w:marLeft w:val="0"/>
      <w:marRight w:val="0"/>
      <w:marTop w:val="100"/>
      <w:marBottom w:val="0"/>
      <w:divBdr>
        <w:top w:val="none" w:sz="0" w:space="0" w:color="auto"/>
        <w:left w:val="none" w:sz="0" w:space="0" w:color="auto"/>
        <w:bottom w:val="none" w:sz="0" w:space="0" w:color="auto"/>
        <w:right w:val="none" w:sz="0" w:space="0" w:color="auto"/>
      </w:divBdr>
    </w:div>
    <w:div w:id="1219364669">
      <w:marLeft w:val="0"/>
      <w:marRight w:val="0"/>
      <w:marTop w:val="100"/>
      <w:marBottom w:val="0"/>
      <w:divBdr>
        <w:top w:val="none" w:sz="0" w:space="0" w:color="auto"/>
        <w:left w:val="none" w:sz="0" w:space="0" w:color="auto"/>
        <w:bottom w:val="none" w:sz="0" w:space="0" w:color="auto"/>
        <w:right w:val="none" w:sz="0" w:space="0" w:color="auto"/>
      </w:divBdr>
    </w:div>
    <w:div w:id="1219780959">
      <w:marLeft w:val="0"/>
      <w:marRight w:val="0"/>
      <w:marTop w:val="60"/>
      <w:marBottom w:val="0"/>
      <w:divBdr>
        <w:top w:val="none" w:sz="0" w:space="0" w:color="auto"/>
        <w:left w:val="none" w:sz="0" w:space="0" w:color="auto"/>
        <w:bottom w:val="none" w:sz="0" w:space="0" w:color="auto"/>
        <w:right w:val="none" w:sz="0" w:space="0" w:color="auto"/>
      </w:divBdr>
    </w:div>
    <w:div w:id="1221020766">
      <w:marLeft w:val="0"/>
      <w:marRight w:val="0"/>
      <w:marTop w:val="100"/>
      <w:marBottom w:val="0"/>
      <w:divBdr>
        <w:top w:val="none" w:sz="0" w:space="0" w:color="auto"/>
        <w:left w:val="none" w:sz="0" w:space="0" w:color="auto"/>
        <w:bottom w:val="none" w:sz="0" w:space="0" w:color="auto"/>
        <w:right w:val="none" w:sz="0" w:space="0" w:color="auto"/>
      </w:divBdr>
    </w:div>
    <w:div w:id="1221360108">
      <w:marLeft w:val="0"/>
      <w:marRight w:val="0"/>
      <w:marTop w:val="0"/>
      <w:marBottom w:val="0"/>
      <w:divBdr>
        <w:top w:val="none" w:sz="0" w:space="0" w:color="auto"/>
        <w:left w:val="none" w:sz="0" w:space="0" w:color="auto"/>
        <w:bottom w:val="none" w:sz="0" w:space="0" w:color="auto"/>
        <w:right w:val="none" w:sz="0" w:space="0" w:color="auto"/>
      </w:divBdr>
      <w:divsChild>
        <w:div w:id="1903054854">
          <w:marLeft w:val="0"/>
          <w:marRight w:val="0"/>
          <w:marTop w:val="0"/>
          <w:marBottom w:val="0"/>
          <w:divBdr>
            <w:top w:val="none" w:sz="0" w:space="0" w:color="auto"/>
            <w:left w:val="none" w:sz="0" w:space="0" w:color="auto"/>
            <w:bottom w:val="none" w:sz="0" w:space="0" w:color="auto"/>
            <w:right w:val="none" w:sz="0" w:space="0" w:color="auto"/>
          </w:divBdr>
        </w:div>
        <w:div w:id="528252648">
          <w:marLeft w:val="0"/>
          <w:marRight w:val="0"/>
          <w:marTop w:val="0"/>
          <w:marBottom w:val="0"/>
          <w:divBdr>
            <w:top w:val="none" w:sz="0" w:space="0" w:color="auto"/>
            <w:left w:val="none" w:sz="0" w:space="0" w:color="auto"/>
            <w:bottom w:val="none" w:sz="0" w:space="0" w:color="auto"/>
            <w:right w:val="none" w:sz="0" w:space="0" w:color="auto"/>
          </w:divBdr>
        </w:div>
      </w:divsChild>
    </w:div>
    <w:div w:id="1221747565">
      <w:marLeft w:val="0"/>
      <w:marRight w:val="0"/>
      <w:marTop w:val="100"/>
      <w:marBottom w:val="0"/>
      <w:divBdr>
        <w:top w:val="none" w:sz="0" w:space="0" w:color="auto"/>
        <w:left w:val="none" w:sz="0" w:space="0" w:color="auto"/>
        <w:bottom w:val="none" w:sz="0" w:space="0" w:color="auto"/>
        <w:right w:val="none" w:sz="0" w:space="0" w:color="auto"/>
      </w:divBdr>
    </w:div>
    <w:div w:id="1223062093">
      <w:marLeft w:val="0"/>
      <w:marRight w:val="0"/>
      <w:marTop w:val="100"/>
      <w:marBottom w:val="0"/>
      <w:divBdr>
        <w:top w:val="none" w:sz="0" w:space="0" w:color="auto"/>
        <w:left w:val="none" w:sz="0" w:space="0" w:color="auto"/>
        <w:bottom w:val="none" w:sz="0" w:space="0" w:color="auto"/>
        <w:right w:val="none" w:sz="0" w:space="0" w:color="auto"/>
      </w:divBdr>
    </w:div>
    <w:div w:id="1225288474">
      <w:marLeft w:val="0"/>
      <w:marRight w:val="0"/>
      <w:marTop w:val="100"/>
      <w:marBottom w:val="0"/>
      <w:divBdr>
        <w:top w:val="none" w:sz="0" w:space="0" w:color="auto"/>
        <w:left w:val="none" w:sz="0" w:space="0" w:color="auto"/>
        <w:bottom w:val="none" w:sz="0" w:space="0" w:color="auto"/>
        <w:right w:val="none" w:sz="0" w:space="0" w:color="auto"/>
      </w:divBdr>
    </w:div>
    <w:div w:id="1226333503">
      <w:marLeft w:val="0"/>
      <w:marRight w:val="0"/>
      <w:marTop w:val="60"/>
      <w:marBottom w:val="0"/>
      <w:divBdr>
        <w:top w:val="none" w:sz="0" w:space="0" w:color="auto"/>
        <w:left w:val="none" w:sz="0" w:space="0" w:color="auto"/>
        <w:bottom w:val="none" w:sz="0" w:space="0" w:color="auto"/>
        <w:right w:val="none" w:sz="0" w:space="0" w:color="auto"/>
      </w:divBdr>
    </w:div>
    <w:div w:id="1231842976">
      <w:marLeft w:val="0"/>
      <w:marRight w:val="0"/>
      <w:marTop w:val="100"/>
      <w:marBottom w:val="100"/>
      <w:divBdr>
        <w:top w:val="none" w:sz="0" w:space="0" w:color="auto"/>
        <w:left w:val="none" w:sz="0" w:space="0" w:color="auto"/>
        <w:bottom w:val="none" w:sz="0" w:space="0" w:color="auto"/>
        <w:right w:val="none" w:sz="0" w:space="0" w:color="auto"/>
      </w:divBdr>
      <w:divsChild>
        <w:div w:id="128938922">
          <w:marLeft w:val="0"/>
          <w:marRight w:val="0"/>
          <w:marTop w:val="0"/>
          <w:marBottom w:val="0"/>
          <w:divBdr>
            <w:top w:val="none" w:sz="0" w:space="0" w:color="auto"/>
            <w:left w:val="none" w:sz="0" w:space="0" w:color="auto"/>
            <w:bottom w:val="none" w:sz="0" w:space="0" w:color="auto"/>
            <w:right w:val="none" w:sz="0" w:space="0" w:color="auto"/>
          </w:divBdr>
        </w:div>
        <w:div w:id="1673023755">
          <w:marLeft w:val="0"/>
          <w:marRight w:val="0"/>
          <w:marTop w:val="0"/>
          <w:marBottom w:val="0"/>
          <w:divBdr>
            <w:top w:val="none" w:sz="0" w:space="0" w:color="auto"/>
            <w:left w:val="none" w:sz="0" w:space="0" w:color="auto"/>
            <w:bottom w:val="none" w:sz="0" w:space="0" w:color="auto"/>
            <w:right w:val="none" w:sz="0" w:space="0" w:color="auto"/>
          </w:divBdr>
        </w:div>
      </w:divsChild>
    </w:div>
    <w:div w:id="1234000758">
      <w:marLeft w:val="0"/>
      <w:marRight w:val="0"/>
      <w:marTop w:val="60"/>
      <w:marBottom w:val="0"/>
      <w:divBdr>
        <w:top w:val="none" w:sz="0" w:space="0" w:color="auto"/>
        <w:left w:val="none" w:sz="0" w:space="0" w:color="auto"/>
        <w:bottom w:val="none" w:sz="0" w:space="0" w:color="auto"/>
        <w:right w:val="none" w:sz="0" w:space="0" w:color="auto"/>
      </w:divBdr>
    </w:div>
    <w:div w:id="1236546181">
      <w:marLeft w:val="0"/>
      <w:marRight w:val="0"/>
      <w:marTop w:val="100"/>
      <w:marBottom w:val="0"/>
      <w:divBdr>
        <w:top w:val="none" w:sz="0" w:space="0" w:color="auto"/>
        <w:left w:val="none" w:sz="0" w:space="0" w:color="auto"/>
        <w:bottom w:val="none" w:sz="0" w:space="0" w:color="auto"/>
        <w:right w:val="none" w:sz="0" w:space="0" w:color="auto"/>
      </w:divBdr>
    </w:div>
    <w:div w:id="1236861867">
      <w:marLeft w:val="0"/>
      <w:marRight w:val="0"/>
      <w:marTop w:val="280"/>
      <w:marBottom w:val="0"/>
      <w:divBdr>
        <w:top w:val="none" w:sz="0" w:space="0" w:color="auto"/>
        <w:left w:val="none" w:sz="0" w:space="0" w:color="auto"/>
        <w:bottom w:val="none" w:sz="0" w:space="0" w:color="auto"/>
        <w:right w:val="none" w:sz="0" w:space="0" w:color="auto"/>
      </w:divBdr>
    </w:div>
    <w:div w:id="1237205599">
      <w:marLeft w:val="0"/>
      <w:marRight w:val="0"/>
      <w:marTop w:val="60"/>
      <w:marBottom w:val="0"/>
      <w:divBdr>
        <w:top w:val="none" w:sz="0" w:space="0" w:color="auto"/>
        <w:left w:val="none" w:sz="0" w:space="0" w:color="auto"/>
        <w:bottom w:val="none" w:sz="0" w:space="0" w:color="auto"/>
        <w:right w:val="none" w:sz="0" w:space="0" w:color="auto"/>
      </w:divBdr>
    </w:div>
    <w:div w:id="1237858972">
      <w:marLeft w:val="0"/>
      <w:marRight w:val="0"/>
      <w:marTop w:val="100"/>
      <w:marBottom w:val="0"/>
      <w:divBdr>
        <w:top w:val="none" w:sz="0" w:space="0" w:color="auto"/>
        <w:left w:val="none" w:sz="0" w:space="0" w:color="auto"/>
        <w:bottom w:val="none" w:sz="0" w:space="0" w:color="auto"/>
        <w:right w:val="none" w:sz="0" w:space="0" w:color="auto"/>
      </w:divBdr>
    </w:div>
    <w:div w:id="1242257144">
      <w:marLeft w:val="0"/>
      <w:marRight w:val="0"/>
      <w:marTop w:val="60"/>
      <w:marBottom w:val="0"/>
      <w:divBdr>
        <w:top w:val="none" w:sz="0" w:space="0" w:color="auto"/>
        <w:left w:val="none" w:sz="0" w:space="0" w:color="auto"/>
        <w:bottom w:val="none" w:sz="0" w:space="0" w:color="auto"/>
        <w:right w:val="none" w:sz="0" w:space="0" w:color="auto"/>
      </w:divBdr>
    </w:div>
    <w:div w:id="1244101574">
      <w:marLeft w:val="0"/>
      <w:marRight w:val="0"/>
      <w:marTop w:val="100"/>
      <w:marBottom w:val="0"/>
      <w:divBdr>
        <w:top w:val="none" w:sz="0" w:space="0" w:color="auto"/>
        <w:left w:val="none" w:sz="0" w:space="0" w:color="auto"/>
        <w:bottom w:val="none" w:sz="0" w:space="0" w:color="auto"/>
        <w:right w:val="none" w:sz="0" w:space="0" w:color="auto"/>
      </w:divBdr>
    </w:div>
    <w:div w:id="1244266888">
      <w:marLeft w:val="0"/>
      <w:marRight w:val="0"/>
      <w:marTop w:val="0"/>
      <w:marBottom w:val="0"/>
      <w:divBdr>
        <w:top w:val="none" w:sz="0" w:space="0" w:color="auto"/>
        <w:left w:val="none" w:sz="0" w:space="0" w:color="auto"/>
        <w:bottom w:val="none" w:sz="0" w:space="0" w:color="auto"/>
        <w:right w:val="none" w:sz="0" w:space="0" w:color="auto"/>
      </w:divBdr>
      <w:divsChild>
        <w:div w:id="1464812350">
          <w:marLeft w:val="0"/>
          <w:marRight w:val="0"/>
          <w:marTop w:val="0"/>
          <w:marBottom w:val="0"/>
          <w:divBdr>
            <w:top w:val="none" w:sz="0" w:space="0" w:color="auto"/>
            <w:left w:val="none" w:sz="0" w:space="0" w:color="auto"/>
            <w:bottom w:val="none" w:sz="0" w:space="0" w:color="auto"/>
            <w:right w:val="none" w:sz="0" w:space="0" w:color="auto"/>
          </w:divBdr>
        </w:div>
      </w:divsChild>
    </w:div>
    <w:div w:id="1244409850">
      <w:marLeft w:val="0"/>
      <w:marRight w:val="0"/>
      <w:marTop w:val="280"/>
      <w:marBottom w:val="0"/>
      <w:divBdr>
        <w:top w:val="none" w:sz="0" w:space="0" w:color="auto"/>
        <w:left w:val="none" w:sz="0" w:space="0" w:color="auto"/>
        <w:bottom w:val="none" w:sz="0" w:space="0" w:color="auto"/>
        <w:right w:val="none" w:sz="0" w:space="0" w:color="auto"/>
      </w:divBdr>
    </w:div>
    <w:div w:id="1245260247">
      <w:marLeft w:val="0"/>
      <w:marRight w:val="0"/>
      <w:marTop w:val="100"/>
      <w:marBottom w:val="0"/>
      <w:divBdr>
        <w:top w:val="none" w:sz="0" w:space="0" w:color="auto"/>
        <w:left w:val="none" w:sz="0" w:space="0" w:color="auto"/>
        <w:bottom w:val="none" w:sz="0" w:space="0" w:color="auto"/>
        <w:right w:val="none" w:sz="0" w:space="0" w:color="auto"/>
      </w:divBdr>
    </w:div>
    <w:div w:id="1247152479">
      <w:marLeft w:val="0"/>
      <w:marRight w:val="0"/>
      <w:marTop w:val="100"/>
      <w:marBottom w:val="0"/>
      <w:divBdr>
        <w:top w:val="none" w:sz="0" w:space="0" w:color="auto"/>
        <w:left w:val="none" w:sz="0" w:space="0" w:color="auto"/>
        <w:bottom w:val="none" w:sz="0" w:space="0" w:color="auto"/>
        <w:right w:val="none" w:sz="0" w:space="0" w:color="auto"/>
      </w:divBdr>
    </w:div>
    <w:div w:id="1247810210">
      <w:marLeft w:val="0"/>
      <w:marRight w:val="0"/>
      <w:marTop w:val="100"/>
      <w:marBottom w:val="0"/>
      <w:divBdr>
        <w:top w:val="none" w:sz="0" w:space="0" w:color="auto"/>
        <w:left w:val="none" w:sz="0" w:space="0" w:color="auto"/>
        <w:bottom w:val="none" w:sz="0" w:space="0" w:color="auto"/>
        <w:right w:val="none" w:sz="0" w:space="0" w:color="auto"/>
      </w:divBdr>
    </w:div>
    <w:div w:id="1249265025">
      <w:marLeft w:val="0"/>
      <w:marRight w:val="0"/>
      <w:marTop w:val="100"/>
      <w:marBottom w:val="0"/>
      <w:divBdr>
        <w:top w:val="none" w:sz="0" w:space="0" w:color="auto"/>
        <w:left w:val="none" w:sz="0" w:space="0" w:color="auto"/>
        <w:bottom w:val="none" w:sz="0" w:space="0" w:color="auto"/>
        <w:right w:val="none" w:sz="0" w:space="0" w:color="auto"/>
      </w:divBdr>
    </w:div>
    <w:div w:id="1252354328">
      <w:marLeft w:val="0"/>
      <w:marRight w:val="0"/>
      <w:marTop w:val="0"/>
      <w:marBottom w:val="0"/>
      <w:divBdr>
        <w:top w:val="none" w:sz="0" w:space="0" w:color="auto"/>
        <w:left w:val="none" w:sz="0" w:space="0" w:color="auto"/>
        <w:bottom w:val="none" w:sz="0" w:space="0" w:color="auto"/>
        <w:right w:val="none" w:sz="0" w:space="0" w:color="auto"/>
      </w:divBdr>
      <w:divsChild>
        <w:div w:id="864905539">
          <w:marLeft w:val="0"/>
          <w:marRight w:val="0"/>
          <w:marTop w:val="0"/>
          <w:marBottom w:val="0"/>
          <w:divBdr>
            <w:top w:val="none" w:sz="0" w:space="0" w:color="auto"/>
            <w:left w:val="none" w:sz="0" w:space="0" w:color="auto"/>
            <w:bottom w:val="none" w:sz="0" w:space="0" w:color="auto"/>
            <w:right w:val="none" w:sz="0" w:space="0" w:color="auto"/>
          </w:divBdr>
        </w:div>
        <w:div w:id="1527057854">
          <w:marLeft w:val="0"/>
          <w:marRight w:val="0"/>
          <w:marTop w:val="0"/>
          <w:marBottom w:val="0"/>
          <w:divBdr>
            <w:top w:val="none" w:sz="0" w:space="0" w:color="auto"/>
            <w:left w:val="none" w:sz="0" w:space="0" w:color="auto"/>
            <w:bottom w:val="none" w:sz="0" w:space="0" w:color="auto"/>
            <w:right w:val="none" w:sz="0" w:space="0" w:color="auto"/>
          </w:divBdr>
        </w:div>
      </w:divsChild>
    </w:div>
    <w:div w:id="1255670517">
      <w:marLeft w:val="0"/>
      <w:marRight w:val="0"/>
      <w:marTop w:val="100"/>
      <w:marBottom w:val="0"/>
      <w:divBdr>
        <w:top w:val="none" w:sz="0" w:space="0" w:color="auto"/>
        <w:left w:val="none" w:sz="0" w:space="0" w:color="auto"/>
        <w:bottom w:val="none" w:sz="0" w:space="0" w:color="auto"/>
        <w:right w:val="none" w:sz="0" w:space="0" w:color="auto"/>
      </w:divBdr>
    </w:div>
    <w:div w:id="1256130125">
      <w:marLeft w:val="0"/>
      <w:marRight w:val="0"/>
      <w:marTop w:val="280"/>
      <w:marBottom w:val="0"/>
      <w:divBdr>
        <w:top w:val="none" w:sz="0" w:space="0" w:color="auto"/>
        <w:left w:val="none" w:sz="0" w:space="0" w:color="auto"/>
        <w:bottom w:val="none" w:sz="0" w:space="0" w:color="auto"/>
        <w:right w:val="none" w:sz="0" w:space="0" w:color="auto"/>
      </w:divBdr>
    </w:div>
    <w:div w:id="1259946545">
      <w:marLeft w:val="0"/>
      <w:marRight w:val="0"/>
      <w:marTop w:val="60"/>
      <w:marBottom w:val="0"/>
      <w:divBdr>
        <w:top w:val="none" w:sz="0" w:space="0" w:color="auto"/>
        <w:left w:val="none" w:sz="0" w:space="0" w:color="auto"/>
        <w:bottom w:val="none" w:sz="0" w:space="0" w:color="auto"/>
        <w:right w:val="none" w:sz="0" w:space="0" w:color="auto"/>
      </w:divBdr>
    </w:div>
    <w:div w:id="1261061317">
      <w:marLeft w:val="0"/>
      <w:marRight w:val="0"/>
      <w:marTop w:val="100"/>
      <w:marBottom w:val="0"/>
      <w:divBdr>
        <w:top w:val="none" w:sz="0" w:space="0" w:color="auto"/>
        <w:left w:val="none" w:sz="0" w:space="0" w:color="auto"/>
        <w:bottom w:val="none" w:sz="0" w:space="0" w:color="auto"/>
        <w:right w:val="none" w:sz="0" w:space="0" w:color="auto"/>
      </w:divBdr>
    </w:div>
    <w:div w:id="1262031774">
      <w:marLeft w:val="0"/>
      <w:marRight w:val="0"/>
      <w:marTop w:val="100"/>
      <w:marBottom w:val="0"/>
      <w:divBdr>
        <w:top w:val="none" w:sz="0" w:space="0" w:color="auto"/>
        <w:left w:val="none" w:sz="0" w:space="0" w:color="auto"/>
        <w:bottom w:val="none" w:sz="0" w:space="0" w:color="auto"/>
        <w:right w:val="none" w:sz="0" w:space="0" w:color="auto"/>
      </w:divBdr>
    </w:div>
    <w:div w:id="1262450518">
      <w:marLeft w:val="0"/>
      <w:marRight w:val="0"/>
      <w:marTop w:val="100"/>
      <w:marBottom w:val="0"/>
      <w:divBdr>
        <w:top w:val="none" w:sz="0" w:space="0" w:color="auto"/>
        <w:left w:val="none" w:sz="0" w:space="0" w:color="auto"/>
        <w:bottom w:val="none" w:sz="0" w:space="0" w:color="auto"/>
        <w:right w:val="none" w:sz="0" w:space="0" w:color="auto"/>
      </w:divBdr>
    </w:div>
    <w:div w:id="1263492684">
      <w:marLeft w:val="0"/>
      <w:marRight w:val="0"/>
      <w:marTop w:val="100"/>
      <w:marBottom w:val="0"/>
      <w:divBdr>
        <w:top w:val="none" w:sz="0" w:space="0" w:color="auto"/>
        <w:left w:val="none" w:sz="0" w:space="0" w:color="auto"/>
        <w:bottom w:val="none" w:sz="0" w:space="0" w:color="auto"/>
        <w:right w:val="none" w:sz="0" w:space="0" w:color="auto"/>
      </w:divBdr>
    </w:div>
    <w:div w:id="1264612940">
      <w:marLeft w:val="0"/>
      <w:marRight w:val="0"/>
      <w:marTop w:val="60"/>
      <w:marBottom w:val="0"/>
      <w:divBdr>
        <w:top w:val="none" w:sz="0" w:space="0" w:color="auto"/>
        <w:left w:val="none" w:sz="0" w:space="0" w:color="auto"/>
        <w:bottom w:val="none" w:sz="0" w:space="0" w:color="auto"/>
        <w:right w:val="none" w:sz="0" w:space="0" w:color="auto"/>
      </w:divBdr>
    </w:div>
    <w:div w:id="1271626485">
      <w:marLeft w:val="0"/>
      <w:marRight w:val="0"/>
      <w:marTop w:val="0"/>
      <w:marBottom w:val="0"/>
      <w:divBdr>
        <w:top w:val="none" w:sz="0" w:space="0" w:color="auto"/>
        <w:left w:val="none" w:sz="0" w:space="0" w:color="auto"/>
        <w:bottom w:val="none" w:sz="0" w:space="0" w:color="auto"/>
        <w:right w:val="none" w:sz="0" w:space="0" w:color="auto"/>
      </w:divBdr>
      <w:divsChild>
        <w:div w:id="208687175">
          <w:marLeft w:val="0"/>
          <w:marRight w:val="0"/>
          <w:marTop w:val="0"/>
          <w:marBottom w:val="0"/>
          <w:divBdr>
            <w:top w:val="none" w:sz="0" w:space="0" w:color="auto"/>
            <w:left w:val="none" w:sz="0" w:space="0" w:color="auto"/>
            <w:bottom w:val="none" w:sz="0" w:space="0" w:color="auto"/>
            <w:right w:val="none" w:sz="0" w:space="0" w:color="auto"/>
          </w:divBdr>
        </w:div>
      </w:divsChild>
    </w:div>
    <w:div w:id="1272084925">
      <w:marLeft w:val="0"/>
      <w:marRight w:val="0"/>
      <w:marTop w:val="60"/>
      <w:marBottom w:val="0"/>
      <w:divBdr>
        <w:top w:val="none" w:sz="0" w:space="0" w:color="auto"/>
        <w:left w:val="none" w:sz="0" w:space="0" w:color="auto"/>
        <w:bottom w:val="none" w:sz="0" w:space="0" w:color="auto"/>
        <w:right w:val="none" w:sz="0" w:space="0" w:color="auto"/>
      </w:divBdr>
    </w:div>
    <w:div w:id="1272473474">
      <w:marLeft w:val="0"/>
      <w:marRight w:val="0"/>
      <w:marTop w:val="60"/>
      <w:marBottom w:val="0"/>
      <w:divBdr>
        <w:top w:val="none" w:sz="0" w:space="0" w:color="auto"/>
        <w:left w:val="none" w:sz="0" w:space="0" w:color="auto"/>
        <w:bottom w:val="none" w:sz="0" w:space="0" w:color="auto"/>
        <w:right w:val="none" w:sz="0" w:space="0" w:color="auto"/>
      </w:divBdr>
    </w:div>
    <w:div w:id="1275136563">
      <w:marLeft w:val="0"/>
      <w:marRight w:val="0"/>
      <w:marTop w:val="60"/>
      <w:marBottom w:val="0"/>
      <w:divBdr>
        <w:top w:val="none" w:sz="0" w:space="0" w:color="auto"/>
        <w:left w:val="none" w:sz="0" w:space="0" w:color="auto"/>
        <w:bottom w:val="none" w:sz="0" w:space="0" w:color="auto"/>
        <w:right w:val="none" w:sz="0" w:space="0" w:color="auto"/>
      </w:divBdr>
    </w:div>
    <w:div w:id="1275595365">
      <w:marLeft w:val="0"/>
      <w:marRight w:val="0"/>
      <w:marTop w:val="280"/>
      <w:marBottom w:val="0"/>
      <w:divBdr>
        <w:top w:val="none" w:sz="0" w:space="0" w:color="auto"/>
        <w:left w:val="none" w:sz="0" w:space="0" w:color="auto"/>
        <w:bottom w:val="none" w:sz="0" w:space="0" w:color="auto"/>
        <w:right w:val="none" w:sz="0" w:space="0" w:color="auto"/>
      </w:divBdr>
    </w:div>
    <w:div w:id="1275672592">
      <w:marLeft w:val="0"/>
      <w:marRight w:val="0"/>
      <w:marTop w:val="100"/>
      <w:marBottom w:val="0"/>
      <w:divBdr>
        <w:top w:val="none" w:sz="0" w:space="0" w:color="auto"/>
        <w:left w:val="none" w:sz="0" w:space="0" w:color="auto"/>
        <w:bottom w:val="none" w:sz="0" w:space="0" w:color="auto"/>
        <w:right w:val="none" w:sz="0" w:space="0" w:color="auto"/>
      </w:divBdr>
    </w:div>
    <w:div w:id="1276059155">
      <w:marLeft w:val="0"/>
      <w:marRight w:val="0"/>
      <w:marTop w:val="280"/>
      <w:marBottom w:val="0"/>
      <w:divBdr>
        <w:top w:val="none" w:sz="0" w:space="0" w:color="auto"/>
        <w:left w:val="none" w:sz="0" w:space="0" w:color="auto"/>
        <w:bottom w:val="none" w:sz="0" w:space="0" w:color="auto"/>
        <w:right w:val="none" w:sz="0" w:space="0" w:color="auto"/>
      </w:divBdr>
    </w:div>
    <w:div w:id="1277102997">
      <w:marLeft w:val="0"/>
      <w:marRight w:val="0"/>
      <w:marTop w:val="280"/>
      <w:marBottom w:val="0"/>
      <w:divBdr>
        <w:top w:val="none" w:sz="0" w:space="0" w:color="auto"/>
        <w:left w:val="none" w:sz="0" w:space="0" w:color="auto"/>
        <w:bottom w:val="none" w:sz="0" w:space="0" w:color="auto"/>
        <w:right w:val="none" w:sz="0" w:space="0" w:color="auto"/>
      </w:divBdr>
    </w:div>
    <w:div w:id="1277132129">
      <w:marLeft w:val="0"/>
      <w:marRight w:val="0"/>
      <w:marTop w:val="60"/>
      <w:marBottom w:val="0"/>
      <w:divBdr>
        <w:top w:val="none" w:sz="0" w:space="0" w:color="auto"/>
        <w:left w:val="none" w:sz="0" w:space="0" w:color="auto"/>
        <w:bottom w:val="none" w:sz="0" w:space="0" w:color="auto"/>
        <w:right w:val="none" w:sz="0" w:space="0" w:color="auto"/>
      </w:divBdr>
    </w:div>
    <w:div w:id="1277980366">
      <w:marLeft w:val="0"/>
      <w:marRight w:val="0"/>
      <w:marTop w:val="100"/>
      <w:marBottom w:val="0"/>
      <w:divBdr>
        <w:top w:val="none" w:sz="0" w:space="0" w:color="auto"/>
        <w:left w:val="none" w:sz="0" w:space="0" w:color="auto"/>
        <w:bottom w:val="none" w:sz="0" w:space="0" w:color="auto"/>
        <w:right w:val="none" w:sz="0" w:space="0" w:color="auto"/>
      </w:divBdr>
    </w:div>
    <w:div w:id="1284460739">
      <w:marLeft w:val="0"/>
      <w:marRight w:val="0"/>
      <w:marTop w:val="60"/>
      <w:marBottom w:val="0"/>
      <w:divBdr>
        <w:top w:val="none" w:sz="0" w:space="0" w:color="auto"/>
        <w:left w:val="none" w:sz="0" w:space="0" w:color="auto"/>
        <w:bottom w:val="none" w:sz="0" w:space="0" w:color="auto"/>
        <w:right w:val="none" w:sz="0" w:space="0" w:color="auto"/>
      </w:divBdr>
    </w:div>
    <w:div w:id="1287354347">
      <w:marLeft w:val="0"/>
      <w:marRight w:val="0"/>
      <w:marTop w:val="60"/>
      <w:marBottom w:val="0"/>
      <w:divBdr>
        <w:top w:val="none" w:sz="0" w:space="0" w:color="auto"/>
        <w:left w:val="none" w:sz="0" w:space="0" w:color="auto"/>
        <w:bottom w:val="none" w:sz="0" w:space="0" w:color="auto"/>
        <w:right w:val="none" w:sz="0" w:space="0" w:color="auto"/>
      </w:divBdr>
    </w:div>
    <w:div w:id="1289894590">
      <w:marLeft w:val="0"/>
      <w:marRight w:val="0"/>
      <w:marTop w:val="280"/>
      <w:marBottom w:val="0"/>
      <w:divBdr>
        <w:top w:val="none" w:sz="0" w:space="0" w:color="auto"/>
        <w:left w:val="none" w:sz="0" w:space="0" w:color="auto"/>
        <w:bottom w:val="none" w:sz="0" w:space="0" w:color="auto"/>
        <w:right w:val="none" w:sz="0" w:space="0" w:color="auto"/>
      </w:divBdr>
    </w:div>
    <w:div w:id="1292247271">
      <w:marLeft w:val="0"/>
      <w:marRight w:val="0"/>
      <w:marTop w:val="0"/>
      <w:marBottom w:val="0"/>
      <w:divBdr>
        <w:top w:val="none" w:sz="0" w:space="0" w:color="auto"/>
        <w:left w:val="none" w:sz="0" w:space="0" w:color="auto"/>
        <w:bottom w:val="none" w:sz="0" w:space="0" w:color="auto"/>
        <w:right w:val="none" w:sz="0" w:space="0" w:color="auto"/>
      </w:divBdr>
    </w:div>
    <w:div w:id="1292590876">
      <w:marLeft w:val="0"/>
      <w:marRight w:val="0"/>
      <w:marTop w:val="100"/>
      <w:marBottom w:val="0"/>
      <w:divBdr>
        <w:top w:val="none" w:sz="0" w:space="0" w:color="auto"/>
        <w:left w:val="none" w:sz="0" w:space="0" w:color="auto"/>
        <w:bottom w:val="none" w:sz="0" w:space="0" w:color="auto"/>
        <w:right w:val="none" w:sz="0" w:space="0" w:color="auto"/>
      </w:divBdr>
    </w:div>
    <w:div w:id="1295022052">
      <w:marLeft w:val="0"/>
      <w:marRight w:val="0"/>
      <w:marTop w:val="100"/>
      <w:marBottom w:val="0"/>
      <w:divBdr>
        <w:top w:val="none" w:sz="0" w:space="0" w:color="auto"/>
        <w:left w:val="none" w:sz="0" w:space="0" w:color="auto"/>
        <w:bottom w:val="none" w:sz="0" w:space="0" w:color="auto"/>
        <w:right w:val="none" w:sz="0" w:space="0" w:color="auto"/>
      </w:divBdr>
    </w:div>
    <w:div w:id="1295137795">
      <w:marLeft w:val="0"/>
      <w:marRight w:val="0"/>
      <w:marTop w:val="60"/>
      <w:marBottom w:val="0"/>
      <w:divBdr>
        <w:top w:val="none" w:sz="0" w:space="0" w:color="auto"/>
        <w:left w:val="none" w:sz="0" w:space="0" w:color="auto"/>
        <w:bottom w:val="none" w:sz="0" w:space="0" w:color="auto"/>
        <w:right w:val="none" w:sz="0" w:space="0" w:color="auto"/>
      </w:divBdr>
    </w:div>
    <w:div w:id="1298334566">
      <w:marLeft w:val="0"/>
      <w:marRight w:val="0"/>
      <w:marTop w:val="180"/>
      <w:marBottom w:val="180"/>
      <w:divBdr>
        <w:top w:val="none" w:sz="0" w:space="0" w:color="auto"/>
        <w:left w:val="none" w:sz="0" w:space="0" w:color="auto"/>
        <w:bottom w:val="none" w:sz="0" w:space="0" w:color="auto"/>
        <w:right w:val="none" w:sz="0" w:space="0" w:color="auto"/>
      </w:divBdr>
    </w:div>
    <w:div w:id="1301113841">
      <w:marLeft w:val="0"/>
      <w:marRight w:val="0"/>
      <w:marTop w:val="100"/>
      <w:marBottom w:val="0"/>
      <w:divBdr>
        <w:top w:val="none" w:sz="0" w:space="0" w:color="auto"/>
        <w:left w:val="none" w:sz="0" w:space="0" w:color="auto"/>
        <w:bottom w:val="none" w:sz="0" w:space="0" w:color="auto"/>
        <w:right w:val="none" w:sz="0" w:space="0" w:color="auto"/>
      </w:divBdr>
    </w:div>
    <w:div w:id="1301687933">
      <w:marLeft w:val="0"/>
      <w:marRight w:val="0"/>
      <w:marTop w:val="100"/>
      <w:marBottom w:val="0"/>
      <w:divBdr>
        <w:top w:val="none" w:sz="0" w:space="0" w:color="auto"/>
        <w:left w:val="none" w:sz="0" w:space="0" w:color="auto"/>
        <w:bottom w:val="none" w:sz="0" w:space="0" w:color="auto"/>
        <w:right w:val="none" w:sz="0" w:space="0" w:color="auto"/>
      </w:divBdr>
    </w:div>
    <w:div w:id="1303316652">
      <w:marLeft w:val="0"/>
      <w:marRight w:val="0"/>
      <w:marTop w:val="100"/>
      <w:marBottom w:val="0"/>
      <w:divBdr>
        <w:top w:val="none" w:sz="0" w:space="0" w:color="auto"/>
        <w:left w:val="none" w:sz="0" w:space="0" w:color="auto"/>
        <w:bottom w:val="none" w:sz="0" w:space="0" w:color="auto"/>
        <w:right w:val="none" w:sz="0" w:space="0" w:color="auto"/>
      </w:divBdr>
    </w:div>
    <w:div w:id="1303731636">
      <w:marLeft w:val="0"/>
      <w:marRight w:val="0"/>
      <w:marTop w:val="100"/>
      <w:marBottom w:val="0"/>
      <w:divBdr>
        <w:top w:val="none" w:sz="0" w:space="0" w:color="auto"/>
        <w:left w:val="none" w:sz="0" w:space="0" w:color="auto"/>
        <w:bottom w:val="none" w:sz="0" w:space="0" w:color="auto"/>
        <w:right w:val="none" w:sz="0" w:space="0" w:color="auto"/>
      </w:divBdr>
    </w:div>
    <w:div w:id="1304966220">
      <w:marLeft w:val="0"/>
      <w:marRight w:val="0"/>
      <w:marTop w:val="100"/>
      <w:marBottom w:val="0"/>
      <w:divBdr>
        <w:top w:val="none" w:sz="0" w:space="0" w:color="auto"/>
        <w:left w:val="none" w:sz="0" w:space="0" w:color="auto"/>
        <w:bottom w:val="none" w:sz="0" w:space="0" w:color="auto"/>
        <w:right w:val="none" w:sz="0" w:space="0" w:color="auto"/>
      </w:divBdr>
    </w:div>
    <w:div w:id="1305239637">
      <w:marLeft w:val="0"/>
      <w:marRight w:val="0"/>
      <w:marTop w:val="280"/>
      <w:marBottom w:val="0"/>
      <w:divBdr>
        <w:top w:val="none" w:sz="0" w:space="0" w:color="auto"/>
        <w:left w:val="none" w:sz="0" w:space="0" w:color="auto"/>
        <w:bottom w:val="none" w:sz="0" w:space="0" w:color="auto"/>
        <w:right w:val="none" w:sz="0" w:space="0" w:color="auto"/>
      </w:divBdr>
    </w:div>
    <w:div w:id="1307588577">
      <w:marLeft w:val="0"/>
      <w:marRight w:val="0"/>
      <w:marTop w:val="280"/>
      <w:marBottom w:val="0"/>
      <w:divBdr>
        <w:top w:val="none" w:sz="0" w:space="0" w:color="auto"/>
        <w:left w:val="none" w:sz="0" w:space="0" w:color="auto"/>
        <w:bottom w:val="none" w:sz="0" w:space="0" w:color="auto"/>
        <w:right w:val="none" w:sz="0" w:space="0" w:color="auto"/>
      </w:divBdr>
    </w:div>
    <w:div w:id="1307972488">
      <w:marLeft w:val="0"/>
      <w:marRight w:val="0"/>
      <w:marTop w:val="0"/>
      <w:marBottom w:val="0"/>
      <w:divBdr>
        <w:top w:val="none" w:sz="0" w:space="0" w:color="auto"/>
        <w:left w:val="none" w:sz="0" w:space="0" w:color="auto"/>
        <w:bottom w:val="none" w:sz="0" w:space="0" w:color="auto"/>
        <w:right w:val="none" w:sz="0" w:space="0" w:color="auto"/>
      </w:divBdr>
      <w:divsChild>
        <w:div w:id="1129933306">
          <w:marLeft w:val="0"/>
          <w:marRight w:val="0"/>
          <w:marTop w:val="0"/>
          <w:marBottom w:val="0"/>
          <w:divBdr>
            <w:top w:val="none" w:sz="0" w:space="0" w:color="auto"/>
            <w:left w:val="none" w:sz="0" w:space="0" w:color="auto"/>
            <w:bottom w:val="none" w:sz="0" w:space="0" w:color="auto"/>
            <w:right w:val="none" w:sz="0" w:space="0" w:color="auto"/>
          </w:divBdr>
        </w:div>
      </w:divsChild>
    </w:div>
    <w:div w:id="1309241574">
      <w:marLeft w:val="0"/>
      <w:marRight w:val="0"/>
      <w:marTop w:val="0"/>
      <w:marBottom w:val="0"/>
      <w:divBdr>
        <w:top w:val="none" w:sz="0" w:space="0" w:color="auto"/>
        <w:left w:val="none" w:sz="0" w:space="0" w:color="auto"/>
        <w:bottom w:val="none" w:sz="0" w:space="0" w:color="auto"/>
        <w:right w:val="none" w:sz="0" w:space="0" w:color="auto"/>
      </w:divBdr>
      <w:divsChild>
        <w:div w:id="650643242">
          <w:marLeft w:val="0"/>
          <w:marRight w:val="0"/>
          <w:marTop w:val="0"/>
          <w:marBottom w:val="0"/>
          <w:divBdr>
            <w:top w:val="none" w:sz="0" w:space="0" w:color="auto"/>
            <w:left w:val="none" w:sz="0" w:space="0" w:color="auto"/>
            <w:bottom w:val="none" w:sz="0" w:space="0" w:color="auto"/>
            <w:right w:val="none" w:sz="0" w:space="0" w:color="auto"/>
          </w:divBdr>
        </w:div>
      </w:divsChild>
    </w:div>
    <w:div w:id="1309286693">
      <w:marLeft w:val="0"/>
      <w:marRight w:val="0"/>
      <w:marTop w:val="100"/>
      <w:marBottom w:val="0"/>
      <w:divBdr>
        <w:top w:val="none" w:sz="0" w:space="0" w:color="auto"/>
        <w:left w:val="none" w:sz="0" w:space="0" w:color="auto"/>
        <w:bottom w:val="none" w:sz="0" w:space="0" w:color="auto"/>
        <w:right w:val="none" w:sz="0" w:space="0" w:color="auto"/>
      </w:divBdr>
    </w:div>
    <w:div w:id="1311133410">
      <w:marLeft w:val="0"/>
      <w:marRight w:val="0"/>
      <w:marTop w:val="60"/>
      <w:marBottom w:val="0"/>
      <w:divBdr>
        <w:top w:val="none" w:sz="0" w:space="0" w:color="auto"/>
        <w:left w:val="none" w:sz="0" w:space="0" w:color="auto"/>
        <w:bottom w:val="none" w:sz="0" w:space="0" w:color="auto"/>
        <w:right w:val="none" w:sz="0" w:space="0" w:color="auto"/>
      </w:divBdr>
    </w:div>
    <w:div w:id="1312558175">
      <w:marLeft w:val="0"/>
      <w:marRight w:val="0"/>
      <w:marTop w:val="40"/>
      <w:marBottom w:val="0"/>
      <w:divBdr>
        <w:top w:val="none" w:sz="0" w:space="0" w:color="auto"/>
        <w:left w:val="none" w:sz="0" w:space="0" w:color="auto"/>
        <w:bottom w:val="none" w:sz="0" w:space="0" w:color="auto"/>
        <w:right w:val="none" w:sz="0" w:space="0" w:color="auto"/>
      </w:divBdr>
    </w:div>
    <w:div w:id="1314405293">
      <w:marLeft w:val="0"/>
      <w:marRight w:val="0"/>
      <w:marTop w:val="280"/>
      <w:marBottom w:val="0"/>
      <w:divBdr>
        <w:top w:val="none" w:sz="0" w:space="0" w:color="auto"/>
        <w:left w:val="none" w:sz="0" w:space="0" w:color="auto"/>
        <w:bottom w:val="none" w:sz="0" w:space="0" w:color="auto"/>
        <w:right w:val="none" w:sz="0" w:space="0" w:color="auto"/>
      </w:divBdr>
    </w:div>
    <w:div w:id="1314799985">
      <w:marLeft w:val="0"/>
      <w:marRight w:val="0"/>
      <w:marTop w:val="280"/>
      <w:marBottom w:val="0"/>
      <w:divBdr>
        <w:top w:val="none" w:sz="0" w:space="0" w:color="auto"/>
        <w:left w:val="none" w:sz="0" w:space="0" w:color="auto"/>
        <w:bottom w:val="none" w:sz="0" w:space="0" w:color="auto"/>
        <w:right w:val="none" w:sz="0" w:space="0" w:color="auto"/>
      </w:divBdr>
    </w:div>
    <w:div w:id="1315379084">
      <w:marLeft w:val="0"/>
      <w:marRight w:val="0"/>
      <w:marTop w:val="0"/>
      <w:marBottom w:val="0"/>
      <w:divBdr>
        <w:top w:val="none" w:sz="0" w:space="0" w:color="auto"/>
        <w:left w:val="none" w:sz="0" w:space="0" w:color="auto"/>
        <w:bottom w:val="none" w:sz="0" w:space="0" w:color="auto"/>
        <w:right w:val="none" w:sz="0" w:space="0" w:color="auto"/>
      </w:divBdr>
      <w:divsChild>
        <w:div w:id="1968509215">
          <w:marLeft w:val="0"/>
          <w:marRight w:val="0"/>
          <w:marTop w:val="0"/>
          <w:marBottom w:val="0"/>
          <w:divBdr>
            <w:top w:val="none" w:sz="0" w:space="0" w:color="auto"/>
            <w:left w:val="none" w:sz="0" w:space="0" w:color="auto"/>
            <w:bottom w:val="none" w:sz="0" w:space="0" w:color="auto"/>
            <w:right w:val="none" w:sz="0" w:space="0" w:color="auto"/>
          </w:divBdr>
        </w:div>
      </w:divsChild>
    </w:div>
    <w:div w:id="1315836049">
      <w:marLeft w:val="0"/>
      <w:marRight w:val="0"/>
      <w:marTop w:val="280"/>
      <w:marBottom w:val="0"/>
      <w:divBdr>
        <w:top w:val="none" w:sz="0" w:space="0" w:color="auto"/>
        <w:left w:val="none" w:sz="0" w:space="0" w:color="auto"/>
        <w:bottom w:val="none" w:sz="0" w:space="0" w:color="auto"/>
        <w:right w:val="none" w:sz="0" w:space="0" w:color="auto"/>
      </w:divBdr>
    </w:div>
    <w:div w:id="1316107810">
      <w:marLeft w:val="0"/>
      <w:marRight w:val="0"/>
      <w:marTop w:val="100"/>
      <w:marBottom w:val="0"/>
      <w:divBdr>
        <w:top w:val="none" w:sz="0" w:space="0" w:color="auto"/>
        <w:left w:val="none" w:sz="0" w:space="0" w:color="auto"/>
        <w:bottom w:val="none" w:sz="0" w:space="0" w:color="auto"/>
        <w:right w:val="none" w:sz="0" w:space="0" w:color="auto"/>
      </w:divBdr>
    </w:div>
    <w:div w:id="1318147705">
      <w:marLeft w:val="0"/>
      <w:marRight w:val="0"/>
      <w:marTop w:val="60"/>
      <w:marBottom w:val="0"/>
      <w:divBdr>
        <w:top w:val="none" w:sz="0" w:space="0" w:color="auto"/>
        <w:left w:val="none" w:sz="0" w:space="0" w:color="auto"/>
        <w:bottom w:val="none" w:sz="0" w:space="0" w:color="auto"/>
        <w:right w:val="none" w:sz="0" w:space="0" w:color="auto"/>
      </w:divBdr>
    </w:div>
    <w:div w:id="1318606734">
      <w:marLeft w:val="0"/>
      <w:marRight w:val="0"/>
      <w:marTop w:val="100"/>
      <w:marBottom w:val="0"/>
      <w:divBdr>
        <w:top w:val="none" w:sz="0" w:space="0" w:color="auto"/>
        <w:left w:val="none" w:sz="0" w:space="0" w:color="auto"/>
        <w:bottom w:val="none" w:sz="0" w:space="0" w:color="auto"/>
        <w:right w:val="none" w:sz="0" w:space="0" w:color="auto"/>
      </w:divBdr>
    </w:div>
    <w:div w:id="1318998635">
      <w:marLeft w:val="0"/>
      <w:marRight w:val="0"/>
      <w:marTop w:val="0"/>
      <w:marBottom w:val="0"/>
      <w:divBdr>
        <w:top w:val="none" w:sz="0" w:space="0" w:color="auto"/>
        <w:left w:val="none" w:sz="0" w:space="0" w:color="auto"/>
        <w:bottom w:val="none" w:sz="0" w:space="0" w:color="auto"/>
        <w:right w:val="none" w:sz="0" w:space="0" w:color="auto"/>
      </w:divBdr>
      <w:divsChild>
        <w:div w:id="1257396245">
          <w:marLeft w:val="0"/>
          <w:marRight w:val="0"/>
          <w:marTop w:val="0"/>
          <w:marBottom w:val="0"/>
          <w:divBdr>
            <w:top w:val="none" w:sz="0" w:space="0" w:color="auto"/>
            <w:left w:val="none" w:sz="0" w:space="0" w:color="auto"/>
            <w:bottom w:val="none" w:sz="0" w:space="0" w:color="auto"/>
            <w:right w:val="none" w:sz="0" w:space="0" w:color="auto"/>
          </w:divBdr>
        </w:div>
        <w:div w:id="1083838030">
          <w:marLeft w:val="0"/>
          <w:marRight w:val="0"/>
          <w:marTop w:val="0"/>
          <w:marBottom w:val="0"/>
          <w:divBdr>
            <w:top w:val="none" w:sz="0" w:space="0" w:color="auto"/>
            <w:left w:val="none" w:sz="0" w:space="0" w:color="auto"/>
            <w:bottom w:val="none" w:sz="0" w:space="0" w:color="auto"/>
            <w:right w:val="none" w:sz="0" w:space="0" w:color="auto"/>
          </w:divBdr>
        </w:div>
      </w:divsChild>
    </w:div>
    <w:div w:id="1322007725">
      <w:marLeft w:val="0"/>
      <w:marRight w:val="0"/>
      <w:marTop w:val="60"/>
      <w:marBottom w:val="0"/>
      <w:divBdr>
        <w:top w:val="none" w:sz="0" w:space="0" w:color="auto"/>
        <w:left w:val="none" w:sz="0" w:space="0" w:color="auto"/>
        <w:bottom w:val="none" w:sz="0" w:space="0" w:color="auto"/>
        <w:right w:val="none" w:sz="0" w:space="0" w:color="auto"/>
      </w:divBdr>
    </w:div>
    <w:div w:id="1322153285">
      <w:marLeft w:val="0"/>
      <w:marRight w:val="0"/>
      <w:marTop w:val="100"/>
      <w:marBottom w:val="0"/>
      <w:divBdr>
        <w:top w:val="none" w:sz="0" w:space="0" w:color="auto"/>
        <w:left w:val="none" w:sz="0" w:space="0" w:color="auto"/>
        <w:bottom w:val="none" w:sz="0" w:space="0" w:color="auto"/>
        <w:right w:val="none" w:sz="0" w:space="0" w:color="auto"/>
      </w:divBdr>
    </w:div>
    <w:div w:id="1322154895">
      <w:marLeft w:val="0"/>
      <w:marRight w:val="0"/>
      <w:marTop w:val="60"/>
      <w:marBottom w:val="0"/>
      <w:divBdr>
        <w:top w:val="none" w:sz="0" w:space="0" w:color="auto"/>
        <w:left w:val="none" w:sz="0" w:space="0" w:color="auto"/>
        <w:bottom w:val="none" w:sz="0" w:space="0" w:color="auto"/>
        <w:right w:val="none" w:sz="0" w:space="0" w:color="auto"/>
      </w:divBdr>
    </w:div>
    <w:div w:id="1322542238">
      <w:marLeft w:val="0"/>
      <w:marRight w:val="0"/>
      <w:marTop w:val="0"/>
      <w:marBottom w:val="0"/>
      <w:divBdr>
        <w:top w:val="none" w:sz="0" w:space="0" w:color="auto"/>
        <w:left w:val="none" w:sz="0" w:space="0" w:color="auto"/>
        <w:bottom w:val="none" w:sz="0" w:space="0" w:color="auto"/>
        <w:right w:val="none" w:sz="0" w:space="0" w:color="auto"/>
      </w:divBdr>
      <w:divsChild>
        <w:div w:id="1112675445">
          <w:marLeft w:val="0"/>
          <w:marRight w:val="0"/>
          <w:marTop w:val="0"/>
          <w:marBottom w:val="0"/>
          <w:divBdr>
            <w:top w:val="none" w:sz="0" w:space="0" w:color="auto"/>
            <w:left w:val="none" w:sz="0" w:space="0" w:color="auto"/>
            <w:bottom w:val="none" w:sz="0" w:space="0" w:color="auto"/>
            <w:right w:val="none" w:sz="0" w:space="0" w:color="auto"/>
          </w:divBdr>
        </w:div>
      </w:divsChild>
    </w:div>
    <w:div w:id="1323856313">
      <w:marLeft w:val="0"/>
      <w:marRight w:val="0"/>
      <w:marTop w:val="120"/>
      <w:marBottom w:val="0"/>
      <w:divBdr>
        <w:top w:val="none" w:sz="0" w:space="0" w:color="auto"/>
        <w:left w:val="none" w:sz="0" w:space="0" w:color="auto"/>
        <w:bottom w:val="none" w:sz="0" w:space="0" w:color="auto"/>
        <w:right w:val="none" w:sz="0" w:space="0" w:color="auto"/>
      </w:divBdr>
    </w:div>
    <w:div w:id="1323965364">
      <w:marLeft w:val="0"/>
      <w:marRight w:val="0"/>
      <w:marTop w:val="100"/>
      <w:marBottom w:val="0"/>
      <w:divBdr>
        <w:top w:val="none" w:sz="0" w:space="0" w:color="auto"/>
        <w:left w:val="none" w:sz="0" w:space="0" w:color="auto"/>
        <w:bottom w:val="none" w:sz="0" w:space="0" w:color="auto"/>
        <w:right w:val="none" w:sz="0" w:space="0" w:color="auto"/>
      </w:divBdr>
    </w:div>
    <w:div w:id="1324234877">
      <w:marLeft w:val="0"/>
      <w:marRight w:val="0"/>
      <w:marTop w:val="100"/>
      <w:marBottom w:val="0"/>
      <w:divBdr>
        <w:top w:val="none" w:sz="0" w:space="0" w:color="auto"/>
        <w:left w:val="none" w:sz="0" w:space="0" w:color="auto"/>
        <w:bottom w:val="none" w:sz="0" w:space="0" w:color="auto"/>
        <w:right w:val="none" w:sz="0" w:space="0" w:color="auto"/>
      </w:divBdr>
    </w:div>
    <w:div w:id="1324360288">
      <w:marLeft w:val="0"/>
      <w:marRight w:val="0"/>
      <w:marTop w:val="100"/>
      <w:marBottom w:val="0"/>
      <w:divBdr>
        <w:top w:val="none" w:sz="0" w:space="0" w:color="auto"/>
        <w:left w:val="none" w:sz="0" w:space="0" w:color="auto"/>
        <w:bottom w:val="none" w:sz="0" w:space="0" w:color="auto"/>
        <w:right w:val="none" w:sz="0" w:space="0" w:color="auto"/>
      </w:divBdr>
    </w:div>
    <w:div w:id="1324698706">
      <w:marLeft w:val="0"/>
      <w:marRight w:val="0"/>
      <w:marTop w:val="100"/>
      <w:marBottom w:val="0"/>
      <w:divBdr>
        <w:top w:val="none" w:sz="0" w:space="0" w:color="auto"/>
        <w:left w:val="none" w:sz="0" w:space="0" w:color="auto"/>
        <w:bottom w:val="none" w:sz="0" w:space="0" w:color="auto"/>
        <w:right w:val="none" w:sz="0" w:space="0" w:color="auto"/>
      </w:divBdr>
    </w:div>
    <w:div w:id="1324703480">
      <w:marLeft w:val="0"/>
      <w:marRight w:val="0"/>
      <w:marTop w:val="60"/>
      <w:marBottom w:val="0"/>
      <w:divBdr>
        <w:top w:val="none" w:sz="0" w:space="0" w:color="auto"/>
        <w:left w:val="none" w:sz="0" w:space="0" w:color="auto"/>
        <w:bottom w:val="none" w:sz="0" w:space="0" w:color="auto"/>
        <w:right w:val="none" w:sz="0" w:space="0" w:color="auto"/>
      </w:divBdr>
    </w:div>
    <w:div w:id="1325889789">
      <w:marLeft w:val="0"/>
      <w:marRight w:val="0"/>
      <w:marTop w:val="60"/>
      <w:marBottom w:val="0"/>
      <w:divBdr>
        <w:top w:val="none" w:sz="0" w:space="0" w:color="auto"/>
        <w:left w:val="none" w:sz="0" w:space="0" w:color="auto"/>
        <w:bottom w:val="none" w:sz="0" w:space="0" w:color="auto"/>
        <w:right w:val="none" w:sz="0" w:space="0" w:color="auto"/>
      </w:divBdr>
    </w:div>
    <w:div w:id="1326515842">
      <w:marLeft w:val="0"/>
      <w:marRight w:val="0"/>
      <w:marTop w:val="100"/>
      <w:marBottom w:val="100"/>
      <w:divBdr>
        <w:top w:val="none" w:sz="0" w:space="0" w:color="auto"/>
        <w:left w:val="none" w:sz="0" w:space="0" w:color="auto"/>
        <w:bottom w:val="none" w:sz="0" w:space="0" w:color="auto"/>
        <w:right w:val="none" w:sz="0" w:space="0" w:color="auto"/>
      </w:divBdr>
    </w:div>
    <w:div w:id="1326519233">
      <w:marLeft w:val="0"/>
      <w:marRight w:val="0"/>
      <w:marTop w:val="100"/>
      <w:marBottom w:val="0"/>
      <w:divBdr>
        <w:top w:val="none" w:sz="0" w:space="0" w:color="auto"/>
        <w:left w:val="none" w:sz="0" w:space="0" w:color="auto"/>
        <w:bottom w:val="none" w:sz="0" w:space="0" w:color="auto"/>
        <w:right w:val="none" w:sz="0" w:space="0" w:color="auto"/>
      </w:divBdr>
    </w:div>
    <w:div w:id="1326593187">
      <w:marLeft w:val="0"/>
      <w:marRight w:val="0"/>
      <w:marTop w:val="0"/>
      <w:marBottom w:val="0"/>
      <w:divBdr>
        <w:top w:val="none" w:sz="0" w:space="0" w:color="auto"/>
        <w:left w:val="none" w:sz="0" w:space="0" w:color="auto"/>
        <w:bottom w:val="none" w:sz="0" w:space="0" w:color="auto"/>
        <w:right w:val="none" w:sz="0" w:space="0" w:color="auto"/>
      </w:divBdr>
      <w:divsChild>
        <w:div w:id="1160121437">
          <w:marLeft w:val="0"/>
          <w:marRight w:val="0"/>
          <w:marTop w:val="0"/>
          <w:marBottom w:val="0"/>
          <w:divBdr>
            <w:top w:val="none" w:sz="0" w:space="0" w:color="auto"/>
            <w:left w:val="none" w:sz="0" w:space="0" w:color="auto"/>
            <w:bottom w:val="none" w:sz="0" w:space="0" w:color="auto"/>
            <w:right w:val="none" w:sz="0" w:space="0" w:color="auto"/>
          </w:divBdr>
        </w:div>
      </w:divsChild>
    </w:div>
    <w:div w:id="1326668920">
      <w:marLeft w:val="0"/>
      <w:marRight w:val="0"/>
      <w:marTop w:val="0"/>
      <w:marBottom w:val="0"/>
      <w:divBdr>
        <w:top w:val="none" w:sz="0" w:space="0" w:color="auto"/>
        <w:left w:val="none" w:sz="0" w:space="0" w:color="auto"/>
        <w:bottom w:val="none" w:sz="0" w:space="0" w:color="auto"/>
        <w:right w:val="none" w:sz="0" w:space="0" w:color="auto"/>
      </w:divBdr>
      <w:divsChild>
        <w:div w:id="1323192672">
          <w:marLeft w:val="0"/>
          <w:marRight w:val="0"/>
          <w:marTop w:val="0"/>
          <w:marBottom w:val="0"/>
          <w:divBdr>
            <w:top w:val="none" w:sz="0" w:space="0" w:color="auto"/>
            <w:left w:val="none" w:sz="0" w:space="0" w:color="auto"/>
            <w:bottom w:val="none" w:sz="0" w:space="0" w:color="auto"/>
            <w:right w:val="none" w:sz="0" w:space="0" w:color="auto"/>
          </w:divBdr>
        </w:div>
        <w:div w:id="2114126403">
          <w:marLeft w:val="0"/>
          <w:marRight w:val="0"/>
          <w:marTop w:val="0"/>
          <w:marBottom w:val="0"/>
          <w:divBdr>
            <w:top w:val="none" w:sz="0" w:space="0" w:color="auto"/>
            <w:left w:val="none" w:sz="0" w:space="0" w:color="auto"/>
            <w:bottom w:val="none" w:sz="0" w:space="0" w:color="auto"/>
            <w:right w:val="none" w:sz="0" w:space="0" w:color="auto"/>
          </w:divBdr>
        </w:div>
      </w:divsChild>
    </w:div>
    <w:div w:id="1326981110">
      <w:marLeft w:val="0"/>
      <w:marRight w:val="0"/>
      <w:marTop w:val="40"/>
      <w:marBottom w:val="0"/>
      <w:divBdr>
        <w:top w:val="none" w:sz="0" w:space="0" w:color="auto"/>
        <w:left w:val="none" w:sz="0" w:space="0" w:color="auto"/>
        <w:bottom w:val="none" w:sz="0" w:space="0" w:color="auto"/>
        <w:right w:val="none" w:sz="0" w:space="0" w:color="auto"/>
      </w:divBdr>
    </w:div>
    <w:div w:id="1327318369">
      <w:marLeft w:val="0"/>
      <w:marRight w:val="0"/>
      <w:marTop w:val="100"/>
      <w:marBottom w:val="0"/>
      <w:divBdr>
        <w:top w:val="none" w:sz="0" w:space="0" w:color="auto"/>
        <w:left w:val="none" w:sz="0" w:space="0" w:color="auto"/>
        <w:bottom w:val="none" w:sz="0" w:space="0" w:color="auto"/>
        <w:right w:val="none" w:sz="0" w:space="0" w:color="auto"/>
      </w:divBdr>
    </w:div>
    <w:div w:id="1328436000">
      <w:marLeft w:val="0"/>
      <w:marRight w:val="0"/>
      <w:marTop w:val="100"/>
      <w:marBottom w:val="0"/>
      <w:divBdr>
        <w:top w:val="none" w:sz="0" w:space="0" w:color="auto"/>
        <w:left w:val="none" w:sz="0" w:space="0" w:color="auto"/>
        <w:bottom w:val="none" w:sz="0" w:space="0" w:color="auto"/>
        <w:right w:val="none" w:sz="0" w:space="0" w:color="auto"/>
      </w:divBdr>
    </w:div>
    <w:div w:id="1329595639">
      <w:marLeft w:val="0"/>
      <w:marRight w:val="0"/>
      <w:marTop w:val="240"/>
      <w:marBottom w:val="100"/>
      <w:divBdr>
        <w:top w:val="none" w:sz="0" w:space="0" w:color="auto"/>
        <w:left w:val="none" w:sz="0" w:space="0" w:color="auto"/>
        <w:bottom w:val="none" w:sz="0" w:space="0" w:color="auto"/>
        <w:right w:val="none" w:sz="0" w:space="0" w:color="auto"/>
      </w:divBdr>
      <w:divsChild>
        <w:div w:id="995033489">
          <w:marLeft w:val="0"/>
          <w:marRight w:val="0"/>
          <w:marTop w:val="0"/>
          <w:marBottom w:val="0"/>
          <w:divBdr>
            <w:top w:val="none" w:sz="0" w:space="0" w:color="auto"/>
            <w:left w:val="none" w:sz="0" w:space="0" w:color="auto"/>
            <w:bottom w:val="none" w:sz="0" w:space="0" w:color="auto"/>
            <w:right w:val="none" w:sz="0" w:space="0" w:color="auto"/>
          </w:divBdr>
        </w:div>
        <w:div w:id="684358294">
          <w:marLeft w:val="0"/>
          <w:marRight w:val="0"/>
          <w:marTop w:val="0"/>
          <w:marBottom w:val="0"/>
          <w:divBdr>
            <w:top w:val="none" w:sz="0" w:space="0" w:color="auto"/>
            <w:left w:val="none" w:sz="0" w:space="0" w:color="auto"/>
            <w:bottom w:val="none" w:sz="0" w:space="0" w:color="auto"/>
            <w:right w:val="none" w:sz="0" w:space="0" w:color="auto"/>
          </w:divBdr>
        </w:div>
        <w:div w:id="138770001">
          <w:marLeft w:val="0"/>
          <w:marRight w:val="0"/>
          <w:marTop w:val="0"/>
          <w:marBottom w:val="0"/>
          <w:divBdr>
            <w:top w:val="none" w:sz="0" w:space="0" w:color="auto"/>
            <w:left w:val="none" w:sz="0" w:space="0" w:color="auto"/>
            <w:bottom w:val="none" w:sz="0" w:space="0" w:color="auto"/>
            <w:right w:val="none" w:sz="0" w:space="0" w:color="auto"/>
          </w:divBdr>
        </w:div>
        <w:div w:id="569776171">
          <w:marLeft w:val="0"/>
          <w:marRight w:val="0"/>
          <w:marTop w:val="0"/>
          <w:marBottom w:val="0"/>
          <w:divBdr>
            <w:top w:val="none" w:sz="0" w:space="0" w:color="auto"/>
            <w:left w:val="none" w:sz="0" w:space="0" w:color="auto"/>
            <w:bottom w:val="none" w:sz="0" w:space="0" w:color="auto"/>
            <w:right w:val="none" w:sz="0" w:space="0" w:color="auto"/>
          </w:divBdr>
        </w:div>
        <w:div w:id="1073283855">
          <w:marLeft w:val="0"/>
          <w:marRight w:val="0"/>
          <w:marTop w:val="0"/>
          <w:marBottom w:val="0"/>
          <w:divBdr>
            <w:top w:val="none" w:sz="0" w:space="0" w:color="auto"/>
            <w:left w:val="none" w:sz="0" w:space="0" w:color="auto"/>
            <w:bottom w:val="none" w:sz="0" w:space="0" w:color="auto"/>
            <w:right w:val="none" w:sz="0" w:space="0" w:color="auto"/>
          </w:divBdr>
        </w:div>
        <w:div w:id="1418938119">
          <w:marLeft w:val="0"/>
          <w:marRight w:val="0"/>
          <w:marTop w:val="0"/>
          <w:marBottom w:val="0"/>
          <w:divBdr>
            <w:top w:val="none" w:sz="0" w:space="0" w:color="auto"/>
            <w:left w:val="none" w:sz="0" w:space="0" w:color="auto"/>
            <w:bottom w:val="none" w:sz="0" w:space="0" w:color="auto"/>
            <w:right w:val="none" w:sz="0" w:space="0" w:color="auto"/>
          </w:divBdr>
        </w:div>
        <w:div w:id="108203475">
          <w:marLeft w:val="0"/>
          <w:marRight w:val="0"/>
          <w:marTop w:val="0"/>
          <w:marBottom w:val="0"/>
          <w:divBdr>
            <w:top w:val="none" w:sz="0" w:space="0" w:color="auto"/>
            <w:left w:val="none" w:sz="0" w:space="0" w:color="auto"/>
            <w:bottom w:val="none" w:sz="0" w:space="0" w:color="auto"/>
            <w:right w:val="none" w:sz="0" w:space="0" w:color="auto"/>
          </w:divBdr>
        </w:div>
        <w:div w:id="1746685607">
          <w:marLeft w:val="0"/>
          <w:marRight w:val="0"/>
          <w:marTop w:val="0"/>
          <w:marBottom w:val="0"/>
          <w:divBdr>
            <w:top w:val="none" w:sz="0" w:space="0" w:color="auto"/>
            <w:left w:val="none" w:sz="0" w:space="0" w:color="auto"/>
            <w:bottom w:val="none" w:sz="0" w:space="0" w:color="auto"/>
            <w:right w:val="none" w:sz="0" w:space="0" w:color="auto"/>
          </w:divBdr>
        </w:div>
        <w:div w:id="136725708">
          <w:marLeft w:val="0"/>
          <w:marRight w:val="0"/>
          <w:marTop w:val="0"/>
          <w:marBottom w:val="0"/>
          <w:divBdr>
            <w:top w:val="none" w:sz="0" w:space="0" w:color="auto"/>
            <w:left w:val="none" w:sz="0" w:space="0" w:color="auto"/>
            <w:bottom w:val="none" w:sz="0" w:space="0" w:color="auto"/>
            <w:right w:val="none" w:sz="0" w:space="0" w:color="auto"/>
          </w:divBdr>
        </w:div>
      </w:divsChild>
    </w:div>
    <w:div w:id="1331060747">
      <w:marLeft w:val="0"/>
      <w:marRight w:val="0"/>
      <w:marTop w:val="100"/>
      <w:marBottom w:val="0"/>
      <w:divBdr>
        <w:top w:val="none" w:sz="0" w:space="0" w:color="auto"/>
        <w:left w:val="none" w:sz="0" w:space="0" w:color="auto"/>
        <w:bottom w:val="none" w:sz="0" w:space="0" w:color="auto"/>
        <w:right w:val="none" w:sz="0" w:space="0" w:color="auto"/>
      </w:divBdr>
    </w:div>
    <w:div w:id="1333071561">
      <w:marLeft w:val="0"/>
      <w:marRight w:val="0"/>
      <w:marTop w:val="60"/>
      <w:marBottom w:val="0"/>
      <w:divBdr>
        <w:top w:val="none" w:sz="0" w:space="0" w:color="auto"/>
        <w:left w:val="none" w:sz="0" w:space="0" w:color="auto"/>
        <w:bottom w:val="none" w:sz="0" w:space="0" w:color="auto"/>
        <w:right w:val="none" w:sz="0" w:space="0" w:color="auto"/>
      </w:divBdr>
    </w:div>
    <w:div w:id="1333333600">
      <w:marLeft w:val="0"/>
      <w:marRight w:val="0"/>
      <w:marTop w:val="60"/>
      <w:marBottom w:val="0"/>
      <w:divBdr>
        <w:top w:val="none" w:sz="0" w:space="0" w:color="auto"/>
        <w:left w:val="none" w:sz="0" w:space="0" w:color="auto"/>
        <w:bottom w:val="none" w:sz="0" w:space="0" w:color="auto"/>
        <w:right w:val="none" w:sz="0" w:space="0" w:color="auto"/>
      </w:divBdr>
    </w:div>
    <w:div w:id="1334186391">
      <w:marLeft w:val="0"/>
      <w:marRight w:val="0"/>
      <w:marTop w:val="280"/>
      <w:marBottom w:val="0"/>
      <w:divBdr>
        <w:top w:val="none" w:sz="0" w:space="0" w:color="auto"/>
        <w:left w:val="none" w:sz="0" w:space="0" w:color="auto"/>
        <w:bottom w:val="none" w:sz="0" w:space="0" w:color="auto"/>
        <w:right w:val="none" w:sz="0" w:space="0" w:color="auto"/>
      </w:divBdr>
    </w:div>
    <w:div w:id="1336492508">
      <w:marLeft w:val="0"/>
      <w:marRight w:val="0"/>
      <w:marTop w:val="100"/>
      <w:marBottom w:val="0"/>
      <w:divBdr>
        <w:top w:val="none" w:sz="0" w:space="0" w:color="auto"/>
        <w:left w:val="none" w:sz="0" w:space="0" w:color="auto"/>
        <w:bottom w:val="none" w:sz="0" w:space="0" w:color="auto"/>
        <w:right w:val="none" w:sz="0" w:space="0" w:color="auto"/>
      </w:divBdr>
    </w:div>
    <w:div w:id="1337002314">
      <w:marLeft w:val="0"/>
      <w:marRight w:val="0"/>
      <w:marTop w:val="280"/>
      <w:marBottom w:val="0"/>
      <w:divBdr>
        <w:top w:val="none" w:sz="0" w:space="0" w:color="auto"/>
        <w:left w:val="none" w:sz="0" w:space="0" w:color="auto"/>
        <w:bottom w:val="none" w:sz="0" w:space="0" w:color="auto"/>
        <w:right w:val="none" w:sz="0" w:space="0" w:color="auto"/>
      </w:divBdr>
    </w:div>
    <w:div w:id="1337616055">
      <w:marLeft w:val="0"/>
      <w:marRight w:val="0"/>
      <w:marTop w:val="100"/>
      <w:marBottom w:val="0"/>
      <w:divBdr>
        <w:top w:val="none" w:sz="0" w:space="0" w:color="auto"/>
        <w:left w:val="none" w:sz="0" w:space="0" w:color="auto"/>
        <w:bottom w:val="none" w:sz="0" w:space="0" w:color="auto"/>
        <w:right w:val="none" w:sz="0" w:space="0" w:color="auto"/>
      </w:divBdr>
    </w:div>
    <w:div w:id="1337919434">
      <w:marLeft w:val="0"/>
      <w:marRight w:val="0"/>
      <w:marTop w:val="100"/>
      <w:marBottom w:val="0"/>
      <w:divBdr>
        <w:top w:val="none" w:sz="0" w:space="0" w:color="auto"/>
        <w:left w:val="none" w:sz="0" w:space="0" w:color="auto"/>
        <w:bottom w:val="none" w:sz="0" w:space="0" w:color="auto"/>
        <w:right w:val="none" w:sz="0" w:space="0" w:color="auto"/>
      </w:divBdr>
    </w:div>
    <w:div w:id="1338776169">
      <w:marLeft w:val="0"/>
      <w:marRight w:val="0"/>
      <w:marTop w:val="60"/>
      <w:marBottom w:val="0"/>
      <w:divBdr>
        <w:top w:val="none" w:sz="0" w:space="0" w:color="auto"/>
        <w:left w:val="none" w:sz="0" w:space="0" w:color="auto"/>
        <w:bottom w:val="none" w:sz="0" w:space="0" w:color="auto"/>
        <w:right w:val="none" w:sz="0" w:space="0" w:color="auto"/>
      </w:divBdr>
    </w:div>
    <w:div w:id="1339233919">
      <w:marLeft w:val="0"/>
      <w:marRight w:val="0"/>
      <w:marTop w:val="0"/>
      <w:marBottom w:val="0"/>
      <w:divBdr>
        <w:top w:val="none" w:sz="0" w:space="0" w:color="auto"/>
        <w:left w:val="none" w:sz="0" w:space="0" w:color="auto"/>
        <w:bottom w:val="none" w:sz="0" w:space="0" w:color="auto"/>
        <w:right w:val="none" w:sz="0" w:space="0" w:color="auto"/>
      </w:divBdr>
      <w:divsChild>
        <w:div w:id="741177704">
          <w:marLeft w:val="0"/>
          <w:marRight w:val="0"/>
          <w:marTop w:val="0"/>
          <w:marBottom w:val="0"/>
          <w:divBdr>
            <w:top w:val="none" w:sz="0" w:space="0" w:color="auto"/>
            <w:left w:val="none" w:sz="0" w:space="0" w:color="auto"/>
            <w:bottom w:val="none" w:sz="0" w:space="0" w:color="auto"/>
            <w:right w:val="none" w:sz="0" w:space="0" w:color="auto"/>
          </w:divBdr>
        </w:div>
        <w:div w:id="820926362">
          <w:marLeft w:val="0"/>
          <w:marRight w:val="0"/>
          <w:marTop w:val="0"/>
          <w:marBottom w:val="0"/>
          <w:divBdr>
            <w:top w:val="none" w:sz="0" w:space="0" w:color="auto"/>
            <w:left w:val="none" w:sz="0" w:space="0" w:color="auto"/>
            <w:bottom w:val="none" w:sz="0" w:space="0" w:color="auto"/>
            <w:right w:val="none" w:sz="0" w:space="0" w:color="auto"/>
          </w:divBdr>
        </w:div>
      </w:divsChild>
    </w:div>
    <w:div w:id="1339649851">
      <w:marLeft w:val="0"/>
      <w:marRight w:val="0"/>
      <w:marTop w:val="100"/>
      <w:marBottom w:val="0"/>
      <w:divBdr>
        <w:top w:val="none" w:sz="0" w:space="0" w:color="auto"/>
        <w:left w:val="none" w:sz="0" w:space="0" w:color="auto"/>
        <w:bottom w:val="none" w:sz="0" w:space="0" w:color="auto"/>
        <w:right w:val="none" w:sz="0" w:space="0" w:color="auto"/>
      </w:divBdr>
    </w:div>
    <w:div w:id="1339848681">
      <w:marLeft w:val="0"/>
      <w:marRight w:val="0"/>
      <w:marTop w:val="100"/>
      <w:marBottom w:val="0"/>
      <w:divBdr>
        <w:top w:val="none" w:sz="0" w:space="0" w:color="auto"/>
        <w:left w:val="none" w:sz="0" w:space="0" w:color="auto"/>
        <w:bottom w:val="none" w:sz="0" w:space="0" w:color="auto"/>
        <w:right w:val="none" w:sz="0" w:space="0" w:color="auto"/>
      </w:divBdr>
    </w:div>
    <w:div w:id="1340230728">
      <w:marLeft w:val="0"/>
      <w:marRight w:val="0"/>
      <w:marTop w:val="0"/>
      <w:marBottom w:val="0"/>
      <w:divBdr>
        <w:top w:val="none" w:sz="0" w:space="0" w:color="auto"/>
        <w:left w:val="none" w:sz="0" w:space="0" w:color="auto"/>
        <w:bottom w:val="none" w:sz="0" w:space="0" w:color="auto"/>
        <w:right w:val="none" w:sz="0" w:space="0" w:color="auto"/>
      </w:divBdr>
      <w:divsChild>
        <w:div w:id="1187251790">
          <w:marLeft w:val="0"/>
          <w:marRight w:val="0"/>
          <w:marTop w:val="0"/>
          <w:marBottom w:val="0"/>
          <w:divBdr>
            <w:top w:val="none" w:sz="0" w:space="0" w:color="auto"/>
            <w:left w:val="none" w:sz="0" w:space="0" w:color="auto"/>
            <w:bottom w:val="none" w:sz="0" w:space="0" w:color="auto"/>
            <w:right w:val="none" w:sz="0" w:space="0" w:color="auto"/>
          </w:divBdr>
        </w:div>
        <w:div w:id="1594901928">
          <w:marLeft w:val="0"/>
          <w:marRight w:val="0"/>
          <w:marTop w:val="0"/>
          <w:marBottom w:val="0"/>
          <w:divBdr>
            <w:top w:val="none" w:sz="0" w:space="0" w:color="auto"/>
            <w:left w:val="none" w:sz="0" w:space="0" w:color="auto"/>
            <w:bottom w:val="none" w:sz="0" w:space="0" w:color="auto"/>
            <w:right w:val="none" w:sz="0" w:space="0" w:color="auto"/>
          </w:divBdr>
        </w:div>
      </w:divsChild>
    </w:div>
    <w:div w:id="1340545682">
      <w:marLeft w:val="0"/>
      <w:marRight w:val="0"/>
      <w:marTop w:val="0"/>
      <w:marBottom w:val="0"/>
      <w:divBdr>
        <w:top w:val="none" w:sz="0" w:space="0" w:color="auto"/>
        <w:left w:val="none" w:sz="0" w:space="0" w:color="auto"/>
        <w:bottom w:val="none" w:sz="0" w:space="0" w:color="auto"/>
        <w:right w:val="none" w:sz="0" w:space="0" w:color="auto"/>
      </w:divBdr>
      <w:divsChild>
        <w:div w:id="1868981601">
          <w:marLeft w:val="0"/>
          <w:marRight w:val="0"/>
          <w:marTop w:val="0"/>
          <w:marBottom w:val="0"/>
          <w:divBdr>
            <w:top w:val="none" w:sz="0" w:space="0" w:color="auto"/>
            <w:left w:val="none" w:sz="0" w:space="0" w:color="auto"/>
            <w:bottom w:val="none" w:sz="0" w:space="0" w:color="auto"/>
            <w:right w:val="none" w:sz="0" w:space="0" w:color="auto"/>
          </w:divBdr>
        </w:div>
        <w:div w:id="1313868873">
          <w:marLeft w:val="0"/>
          <w:marRight w:val="0"/>
          <w:marTop w:val="0"/>
          <w:marBottom w:val="0"/>
          <w:divBdr>
            <w:top w:val="none" w:sz="0" w:space="0" w:color="auto"/>
            <w:left w:val="none" w:sz="0" w:space="0" w:color="auto"/>
            <w:bottom w:val="none" w:sz="0" w:space="0" w:color="auto"/>
            <w:right w:val="none" w:sz="0" w:space="0" w:color="auto"/>
          </w:divBdr>
        </w:div>
      </w:divsChild>
    </w:div>
    <w:div w:id="1342393300">
      <w:marLeft w:val="0"/>
      <w:marRight w:val="0"/>
      <w:marTop w:val="100"/>
      <w:marBottom w:val="0"/>
      <w:divBdr>
        <w:top w:val="none" w:sz="0" w:space="0" w:color="auto"/>
        <w:left w:val="none" w:sz="0" w:space="0" w:color="auto"/>
        <w:bottom w:val="none" w:sz="0" w:space="0" w:color="auto"/>
        <w:right w:val="none" w:sz="0" w:space="0" w:color="auto"/>
      </w:divBdr>
    </w:div>
    <w:div w:id="1343967567">
      <w:marLeft w:val="0"/>
      <w:marRight w:val="0"/>
      <w:marTop w:val="180"/>
      <w:marBottom w:val="180"/>
      <w:divBdr>
        <w:top w:val="none" w:sz="0" w:space="0" w:color="auto"/>
        <w:left w:val="none" w:sz="0" w:space="0" w:color="auto"/>
        <w:bottom w:val="none" w:sz="0" w:space="0" w:color="auto"/>
        <w:right w:val="none" w:sz="0" w:space="0" w:color="auto"/>
      </w:divBdr>
    </w:div>
    <w:div w:id="1344162728">
      <w:marLeft w:val="0"/>
      <w:marRight w:val="0"/>
      <w:marTop w:val="100"/>
      <w:marBottom w:val="0"/>
      <w:divBdr>
        <w:top w:val="none" w:sz="0" w:space="0" w:color="auto"/>
        <w:left w:val="none" w:sz="0" w:space="0" w:color="auto"/>
        <w:bottom w:val="none" w:sz="0" w:space="0" w:color="auto"/>
        <w:right w:val="none" w:sz="0" w:space="0" w:color="auto"/>
      </w:divBdr>
    </w:div>
    <w:div w:id="1346590988">
      <w:marLeft w:val="0"/>
      <w:marRight w:val="0"/>
      <w:marTop w:val="100"/>
      <w:marBottom w:val="0"/>
      <w:divBdr>
        <w:top w:val="none" w:sz="0" w:space="0" w:color="auto"/>
        <w:left w:val="none" w:sz="0" w:space="0" w:color="auto"/>
        <w:bottom w:val="none" w:sz="0" w:space="0" w:color="auto"/>
        <w:right w:val="none" w:sz="0" w:space="0" w:color="auto"/>
      </w:divBdr>
    </w:div>
    <w:div w:id="1346974632">
      <w:marLeft w:val="0"/>
      <w:marRight w:val="0"/>
      <w:marTop w:val="100"/>
      <w:marBottom w:val="0"/>
      <w:divBdr>
        <w:top w:val="none" w:sz="0" w:space="0" w:color="auto"/>
        <w:left w:val="none" w:sz="0" w:space="0" w:color="auto"/>
        <w:bottom w:val="none" w:sz="0" w:space="0" w:color="auto"/>
        <w:right w:val="none" w:sz="0" w:space="0" w:color="auto"/>
      </w:divBdr>
    </w:div>
    <w:div w:id="1347051032">
      <w:marLeft w:val="0"/>
      <w:marRight w:val="0"/>
      <w:marTop w:val="280"/>
      <w:marBottom w:val="0"/>
      <w:divBdr>
        <w:top w:val="none" w:sz="0" w:space="0" w:color="auto"/>
        <w:left w:val="none" w:sz="0" w:space="0" w:color="auto"/>
        <w:bottom w:val="none" w:sz="0" w:space="0" w:color="auto"/>
        <w:right w:val="none" w:sz="0" w:space="0" w:color="auto"/>
      </w:divBdr>
    </w:div>
    <w:div w:id="1349480121">
      <w:marLeft w:val="0"/>
      <w:marRight w:val="0"/>
      <w:marTop w:val="100"/>
      <w:marBottom w:val="0"/>
      <w:divBdr>
        <w:top w:val="none" w:sz="0" w:space="0" w:color="auto"/>
        <w:left w:val="none" w:sz="0" w:space="0" w:color="auto"/>
        <w:bottom w:val="none" w:sz="0" w:space="0" w:color="auto"/>
        <w:right w:val="none" w:sz="0" w:space="0" w:color="auto"/>
      </w:divBdr>
    </w:div>
    <w:div w:id="1350907811">
      <w:marLeft w:val="0"/>
      <w:marRight w:val="0"/>
      <w:marTop w:val="0"/>
      <w:marBottom w:val="0"/>
      <w:divBdr>
        <w:top w:val="none" w:sz="0" w:space="0" w:color="auto"/>
        <w:left w:val="none" w:sz="0" w:space="0" w:color="auto"/>
        <w:bottom w:val="none" w:sz="0" w:space="0" w:color="auto"/>
        <w:right w:val="none" w:sz="0" w:space="0" w:color="auto"/>
      </w:divBdr>
      <w:divsChild>
        <w:div w:id="25373484">
          <w:marLeft w:val="0"/>
          <w:marRight w:val="0"/>
          <w:marTop w:val="0"/>
          <w:marBottom w:val="0"/>
          <w:divBdr>
            <w:top w:val="none" w:sz="0" w:space="0" w:color="auto"/>
            <w:left w:val="none" w:sz="0" w:space="0" w:color="auto"/>
            <w:bottom w:val="none" w:sz="0" w:space="0" w:color="auto"/>
            <w:right w:val="none" w:sz="0" w:space="0" w:color="auto"/>
          </w:divBdr>
        </w:div>
      </w:divsChild>
    </w:div>
    <w:div w:id="1354961153">
      <w:marLeft w:val="0"/>
      <w:marRight w:val="0"/>
      <w:marTop w:val="100"/>
      <w:marBottom w:val="0"/>
      <w:divBdr>
        <w:top w:val="none" w:sz="0" w:space="0" w:color="auto"/>
        <w:left w:val="none" w:sz="0" w:space="0" w:color="auto"/>
        <w:bottom w:val="none" w:sz="0" w:space="0" w:color="auto"/>
        <w:right w:val="none" w:sz="0" w:space="0" w:color="auto"/>
      </w:divBdr>
    </w:div>
    <w:div w:id="1355956153">
      <w:marLeft w:val="0"/>
      <w:marRight w:val="0"/>
      <w:marTop w:val="100"/>
      <w:marBottom w:val="100"/>
      <w:divBdr>
        <w:top w:val="none" w:sz="0" w:space="0" w:color="auto"/>
        <w:left w:val="none" w:sz="0" w:space="0" w:color="auto"/>
        <w:bottom w:val="none" w:sz="0" w:space="0" w:color="auto"/>
        <w:right w:val="none" w:sz="0" w:space="0" w:color="auto"/>
      </w:divBdr>
      <w:divsChild>
        <w:div w:id="1657340876">
          <w:marLeft w:val="0"/>
          <w:marRight w:val="0"/>
          <w:marTop w:val="0"/>
          <w:marBottom w:val="0"/>
          <w:divBdr>
            <w:top w:val="none" w:sz="0" w:space="0" w:color="auto"/>
            <w:left w:val="none" w:sz="0" w:space="0" w:color="auto"/>
            <w:bottom w:val="none" w:sz="0" w:space="0" w:color="auto"/>
            <w:right w:val="none" w:sz="0" w:space="0" w:color="auto"/>
          </w:divBdr>
        </w:div>
        <w:div w:id="652875161">
          <w:marLeft w:val="0"/>
          <w:marRight w:val="0"/>
          <w:marTop w:val="0"/>
          <w:marBottom w:val="0"/>
          <w:divBdr>
            <w:top w:val="none" w:sz="0" w:space="0" w:color="auto"/>
            <w:left w:val="none" w:sz="0" w:space="0" w:color="auto"/>
            <w:bottom w:val="none" w:sz="0" w:space="0" w:color="auto"/>
            <w:right w:val="none" w:sz="0" w:space="0" w:color="auto"/>
          </w:divBdr>
        </w:div>
        <w:div w:id="393283629">
          <w:marLeft w:val="0"/>
          <w:marRight w:val="0"/>
          <w:marTop w:val="0"/>
          <w:marBottom w:val="0"/>
          <w:divBdr>
            <w:top w:val="none" w:sz="0" w:space="0" w:color="auto"/>
            <w:left w:val="none" w:sz="0" w:space="0" w:color="auto"/>
            <w:bottom w:val="none" w:sz="0" w:space="0" w:color="auto"/>
            <w:right w:val="none" w:sz="0" w:space="0" w:color="auto"/>
          </w:divBdr>
        </w:div>
        <w:div w:id="691802258">
          <w:marLeft w:val="0"/>
          <w:marRight w:val="0"/>
          <w:marTop w:val="0"/>
          <w:marBottom w:val="0"/>
          <w:divBdr>
            <w:top w:val="none" w:sz="0" w:space="0" w:color="auto"/>
            <w:left w:val="none" w:sz="0" w:space="0" w:color="auto"/>
            <w:bottom w:val="none" w:sz="0" w:space="0" w:color="auto"/>
            <w:right w:val="none" w:sz="0" w:space="0" w:color="auto"/>
          </w:divBdr>
        </w:div>
      </w:divsChild>
    </w:div>
    <w:div w:id="1358695994">
      <w:marLeft w:val="0"/>
      <w:marRight w:val="0"/>
      <w:marTop w:val="180"/>
      <w:marBottom w:val="180"/>
      <w:divBdr>
        <w:top w:val="none" w:sz="0" w:space="0" w:color="auto"/>
        <w:left w:val="none" w:sz="0" w:space="0" w:color="auto"/>
        <w:bottom w:val="none" w:sz="0" w:space="0" w:color="auto"/>
        <w:right w:val="none" w:sz="0" w:space="0" w:color="auto"/>
      </w:divBdr>
    </w:div>
    <w:div w:id="1362046220">
      <w:marLeft w:val="0"/>
      <w:marRight w:val="0"/>
      <w:marTop w:val="100"/>
      <w:marBottom w:val="0"/>
      <w:divBdr>
        <w:top w:val="none" w:sz="0" w:space="0" w:color="auto"/>
        <w:left w:val="none" w:sz="0" w:space="0" w:color="auto"/>
        <w:bottom w:val="none" w:sz="0" w:space="0" w:color="auto"/>
        <w:right w:val="none" w:sz="0" w:space="0" w:color="auto"/>
      </w:divBdr>
    </w:div>
    <w:div w:id="1366981284">
      <w:marLeft w:val="0"/>
      <w:marRight w:val="0"/>
      <w:marTop w:val="100"/>
      <w:marBottom w:val="0"/>
      <w:divBdr>
        <w:top w:val="none" w:sz="0" w:space="0" w:color="auto"/>
        <w:left w:val="none" w:sz="0" w:space="0" w:color="auto"/>
        <w:bottom w:val="none" w:sz="0" w:space="0" w:color="auto"/>
        <w:right w:val="none" w:sz="0" w:space="0" w:color="auto"/>
      </w:divBdr>
    </w:div>
    <w:div w:id="1367945392">
      <w:marLeft w:val="0"/>
      <w:marRight w:val="0"/>
      <w:marTop w:val="100"/>
      <w:marBottom w:val="0"/>
      <w:divBdr>
        <w:top w:val="none" w:sz="0" w:space="0" w:color="auto"/>
        <w:left w:val="none" w:sz="0" w:space="0" w:color="auto"/>
        <w:bottom w:val="none" w:sz="0" w:space="0" w:color="auto"/>
        <w:right w:val="none" w:sz="0" w:space="0" w:color="auto"/>
      </w:divBdr>
    </w:div>
    <w:div w:id="1368068659">
      <w:marLeft w:val="0"/>
      <w:marRight w:val="0"/>
      <w:marTop w:val="60"/>
      <w:marBottom w:val="0"/>
      <w:divBdr>
        <w:top w:val="none" w:sz="0" w:space="0" w:color="auto"/>
        <w:left w:val="none" w:sz="0" w:space="0" w:color="auto"/>
        <w:bottom w:val="none" w:sz="0" w:space="0" w:color="auto"/>
        <w:right w:val="none" w:sz="0" w:space="0" w:color="auto"/>
      </w:divBdr>
    </w:div>
    <w:div w:id="1370106359">
      <w:marLeft w:val="0"/>
      <w:marRight w:val="0"/>
      <w:marTop w:val="0"/>
      <w:marBottom w:val="0"/>
      <w:divBdr>
        <w:top w:val="none" w:sz="0" w:space="0" w:color="auto"/>
        <w:left w:val="none" w:sz="0" w:space="0" w:color="auto"/>
        <w:bottom w:val="none" w:sz="0" w:space="0" w:color="auto"/>
        <w:right w:val="none" w:sz="0" w:space="0" w:color="auto"/>
      </w:divBdr>
      <w:divsChild>
        <w:div w:id="653218187">
          <w:marLeft w:val="0"/>
          <w:marRight w:val="0"/>
          <w:marTop w:val="0"/>
          <w:marBottom w:val="0"/>
          <w:divBdr>
            <w:top w:val="none" w:sz="0" w:space="0" w:color="auto"/>
            <w:left w:val="none" w:sz="0" w:space="0" w:color="auto"/>
            <w:bottom w:val="none" w:sz="0" w:space="0" w:color="auto"/>
            <w:right w:val="none" w:sz="0" w:space="0" w:color="auto"/>
          </w:divBdr>
        </w:div>
      </w:divsChild>
    </w:div>
    <w:div w:id="1371684737">
      <w:marLeft w:val="0"/>
      <w:marRight w:val="0"/>
      <w:marTop w:val="100"/>
      <w:marBottom w:val="0"/>
      <w:divBdr>
        <w:top w:val="none" w:sz="0" w:space="0" w:color="auto"/>
        <w:left w:val="none" w:sz="0" w:space="0" w:color="auto"/>
        <w:bottom w:val="none" w:sz="0" w:space="0" w:color="auto"/>
        <w:right w:val="none" w:sz="0" w:space="0" w:color="auto"/>
      </w:divBdr>
    </w:div>
    <w:div w:id="1371761173">
      <w:marLeft w:val="0"/>
      <w:marRight w:val="0"/>
      <w:marTop w:val="0"/>
      <w:marBottom w:val="0"/>
      <w:divBdr>
        <w:top w:val="none" w:sz="0" w:space="0" w:color="auto"/>
        <w:left w:val="none" w:sz="0" w:space="0" w:color="auto"/>
        <w:bottom w:val="none" w:sz="0" w:space="0" w:color="auto"/>
        <w:right w:val="none" w:sz="0" w:space="0" w:color="auto"/>
      </w:divBdr>
      <w:divsChild>
        <w:div w:id="771050844">
          <w:marLeft w:val="0"/>
          <w:marRight w:val="0"/>
          <w:marTop w:val="0"/>
          <w:marBottom w:val="0"/>
          <w:divBdr>
            <w:top w:val="none" w:sz="0" w:space="0" w:color="auto"/>
            <w:left w:val="none" w:sz="0" w:space="0" w:color="auto"/>
            <w:bottom w:val="none" w:sz="0" w:space="0" w:color="auto"/>
            <w:right w:val="none" w:sz="0" w:space="0" w:color="auto"/>
          </w:divBdr>
        </w:div>
      </w:divsChild>
    </w:div>
    <w:div w:id="1372337416">
      <w:marLeft w:val="0"/>
      <w:marRight w:val="0"/>
      <w:marTop w:val="100"/>
      <w:marBottom w:val="0"/>
      <w:divBdr>
        <w:top w:val="none" w:sz="0" w:space="0" w:color="auto"/>
        <w:left w:val="none" w:sz="0" w:space="0" w:color="auto"/>
        <w:bottom w:val="none" w:sz="0" w:space="0" w:color="auto"/>
        <w:right w:val="none" w:sz="0" w:space="0" w:color="auto"/>
      </w:divBdr>
    </w:div>
    <w:div w:id="1374159872">
      <w:marLeft w:val="0"/>
      <w:marRight w:val="0"/>
      <w:marTop w:val="280"/>
      <w:marBottom w:val="0"/>
      <w:divBdr>
        <w:top w:val="none" w:sz="0" w:space="0" w:color="auto"/>
        <w:left w:val="none" w:sz="0" w:space="0" w:color="auto"/>
        <w:bottom w:val="none" w:sz="0" w:space="0" w:color="auto"/>
        <w:right w:val="none" w:sz="0" w:space="0" w:color="auto"/>
      </w:divBdr>
    </w:div>
    <w:div w:id="1375501147">
      <w:marLeft w:val="0"/>
      <w:marRight w:val="0"/>
      <w:marTop w:val="100"/>
      <w:marBottom w:val="0"/>
      <w:divBdr>
        <w:top w:val="none" w:sz="0" w:space="0" w:color="auto"/>
        <w:left w:val="none" w:sz="0" w:space="0" w:color="auto"/>
        <w:bottom w:val="none" w:sz="0" w:space="0" w:color="auto"/>
        <w:right w:val="none" w:sz="0" w:space="0" w:color="auto"/>
      </w:divBdr>
    </w:div>
    <w:div w:id="1377241406">
      <w:marLeft w:val="0"/>
      <w:marRight w:val="0"/>
      <w:marTop w:val="100"/>
      <w:marBottom w:val="0"/>
      <w:divBdr>
        <w:top w:val="none" w:sz="0" w:space="0" w:color="auto"/>
        <w:left w:val="none" w:sz="0" w:space="0" w:color="auto"/>
        <w:bottom w:val="none" w:sz="0" w:space="0" w:color="auto"/>
        <w:right w:val="none" w:sz="0" w:space="0" w:color="auto"/>
      </w:divBdr>
    </w:div>
    <w:div w:id="1377656625">
      <w:marLeft w:val="0"/>
      <w:marRight w:val="0"/>
      <w:marTop w:val="100"/>
      <w:marBottom w:val="0"/>
      <w:divBdr>
        <w:top w:val="none" w:sz="0" w:space="0" w:color="auto"/>
        <w:left w:val="none" w:sz="0" w:space="0" w:color="auto"/>
        <w:bottom w:val="none" w:sz="0" w:space="0" w:color="auto"/>
        <w:right w:val="none" w:sz="0" w:space="0" w:color="auto"/>
      </w:divBdr>
    </w:div>
    <w:div w:id="1378239069">
      <w:marLeft w:val="0"/>
      <w:marRight w:val="0"/>
      <w:marTop w:val="60"/>
      <w:marBottom w:val="0"/>
      <w:divBdr>
        <w:top w:val="none" w:sz="0" w:space="0" w:color="auto"/>
        <w:left w:val="none" w:sz="0" w:space="0" w:color="auto"/>
        <w:bottom w:val="none" w:sz="0" w:space="0" w:color="auto"/>
        <w:right w:val="none" w:sz="0" w:space="0" w:color="auto"/>
      </w:divBdr>
    </w:div>
    <w:div w:id="1379356345">
      <w:marLeft w:val="0"/>
      <w:marRight w:val="0"/>
      <w:marTop w:val="0"/>
      <w:marBottom w:val="0"/>
      <w:divBdr>
        <w:top w:val="none" w:sz="0" w:space="0" w:color="auto"/>
        <w:left w:val="none" w:sz="0" w:space="0" w:color="auto"/>
        <w:bottom w:val="none" w:sz="0" w:space="0" w:color="auto"/>
        <w:right w:val="none" w:sz="0" w:space="0" w:color="auto"/>
      </w:divBdr>
    </w:div>
    <w:div w:id="1382940709">
      <w:marLeft w:val="0"/>
      <w:marRight w:val="0"/>
      <w:marTop w:val="100"/>
      <w:marBottom w:val="0"/>
      <w:divBdr>
        <w:top w:val="none" w:sz="0" w:space="0" w:color="auto"/>
        <w:left w:val="none" w:sz="0" w:space="0" w:color="auto"/>
        <w:bottom w:val="none" w:sz="0" w:space="0" w:color="auto"/>
        <w:right w:val="none" w:sz="0" w:space="0" w:color="auto"/>
      </w:divBdr>
    </w:div>
    <w:div w:id="1385985675">
      <w:marLeft w:val="0"/>
      <w:marRight w:val="0"/>
      <w:marTop w:val="100"/>
      <w:marBottom w:val="0"/>
      <w:divBdr>
        <w:top w:val="none" w:sz="0" w:space="0" w:color="auto"/>
        <w:left w:val="none" w:sz="0" w:space="0" w:color="auto"/>
        <w:bottom w:val="none" w:sz="0" w:space="0" w:color="auto"/>
        <w:right w:val="none" w:sz="0" w:space="0" w:color="auto"/>
      </w:divBdr>
    </w:div>
    <w:div w:id="1388576923">
      <w:marLeft w:val="0"/>
      <w:marRight w:val="0"/>
      <w:marTop w:val="100"/>
      <w:marBottom w:val="0"/>
      <w:divBdr>
        <w:top w:val="none" w:sz="0" w:space="0" w:color="auto"/>
        <w:left w:val="none" w:sz="0" w:space="0" w:color="auto"/>
        <w:bottom w:val="none" w:sz="0" w:space="0" w:color="auto"/>
        <w:right w:val="none" w:sz="0" w:space="0" w:color="auto"/>
      </w:divBdr>
    </w:div>
    <w:div w:id="1389723074">
      <w:marLeft w:val="0"/>
      <w:marRight w:val="0"/>
      <w:marTop w:val="0"/>
      <w:marBottom w:val="0"/>
      <w:divBdr>
        <w:top w:val="none" w:sz="0" w:space="0" w:color="auto"/>
        <w:left w:val="none" w:sz="0" w:space="0" w:color="auto"/>
        <w:bottom w:val="none" w:sz="0" w:space="0" w:color="auto"/>
        <w:right w:val="none" w:sz="0" w:space="0" w:color="auto"/>
      </w:divBdr>
      <w:divsChild>
        <w:div w:id="1082721141">
          <w:marLeft w:val="0"/>
          <w:marRight w:val="0"/>
          <w:marTop w:val="0"/>
          <w:marBottom w:val="0"/>
          <w:divBdr>
            <w:top w:val="none" w:sz="0" w:space="0" w:color="auto"/>
            <w:left w:val="none" w:sz="0" w:space="0" w:color="auto"/>
            <w:bottom w:val="none" w:sz="0" w:space="0" w:color="auto"/>
            <w:right w:val="none" w:sz="0" w:space="0" w:color="auto"/>
          </w:divBdr>
        </w:div>
        <w:div w:id="705372505">
          <w:marLeft w:val="0"/>
          <w:marRight w:val="0"/>
          <w:marTop w:val="0"/>
          <w:marBottom w:val="0"/>
          <w:divBdr>
            <w:top w:val="none" w:sz="0" w:space="0" w:color="auto"/>
            <w:left w:val="none" w:sz="0" w:space="0" w:color="auto"/>
            <w:bottom w:val="none" w:sz="0" w:space="0" w:color="auto"/>
            <w:right w:val="none" w:sz="0" w:space="0" w:color="auto"/>
          </w:divBdr>
        </w:div>
      </w:divsChild>
    </w:div>
    <w:div w:id="1392927792">
      <w:marLeft w:val="0"/>
      <w:marRight w:val="0"/>
      <w:marTop w:val="100"/>
      <w:marBottom w:val="0"/>
      <w:divBdr>
        <w:top w:val="none" w:sz="0" w:space="0" w:color="auto"/>
        <w:left w:val="none" w:sz="0" w:space="0" w:color="auto"/>
        <w:bottom w:val="none" w:sz="0" w:space="0" w:color="auto"/>
        <w:right w:val="none" w:sz="0" w:space="0" w:color="auto"/>
      </w:divBdr>
    </w:div>
    <w:div w:id="1393885592">
      <w:marLeft w:val="0"/>
      <w:marRight w:val="0"/>
      <w:marTop w:val="100"/>
      <w:marBottom w:val="0"/>
      <w:divBdr>
        <w:top w:val="none" w:sz="0" w:space="0" w:color="auto"/>
        <w:left w:val="none" w:sz="0" w:space="0" w:color="auto"/>
        <w:bottom w:val="none" w:sz="0" w:space="0" w:color="auto"/>
        <w:right w:val="none" w:sz="0" w:space="0" w:color="auto"/>
      </w:divBdr>
    </w:div>
    <w:div w:id="1394156089">
      <w:marLeft w:val="0"/>
      <w:marRight w:val="0"/>
      <w:marTop w:val="60"/>
      <w:marBottom w:val="0"/>
      <w:divBdr>
        <w:top w:val="none" w:sz="0" w:space="0" w:color="auto"/>
        <w:left w:val="none" w:sz="0" w:space="0" w:color="auto"/>
        <w:bottom w:val="none" w:sz="0" w:space="0" w:color="auto"/>
        <w:right w:val="none" w:sz="0" w:space="0" w:color="auto"/>
      </w:divBdr>
    </w:div>
    <w:div w:id="1395204733">
      <w:marLeft w:val="0"/>
      <w:marRight w:val="0"/>
      <w:marTop w:val="100"/>
      <w:marBottom w:val="0"/>
      <w:divBdr>
        <w:top w:val="none" w:sz="0" w:space="0" w:color="auto"/>
        <w:left w:val="none" w:sz="0" w:space="0" w:color="auto"/>
        <w:bottom w:val="none" w:sz="0" w:space="0" w:color="auto"/>
        <w:right w:val="none" w:sz="0" w:space="0" w:color="auto"/>
      </w:divBdr>
    </w:div>
    <w:div w:id="1395204919">
      <w:marLeft w:val="0"/>
      <w:marRight w:val="0"/>
      <w:marTop w:val="100"/>
      <w:marBottom w:val="100"/>
      <w:divBdr>
        <w:top w:val="none" w:sz="0" w:space="0" w:color="auto"/>
        <w:left w:val="none" w:sz="0" w:space="0" w:color="auto"/>
        <w:bottom w:val="none" w:sz="0" w:space="0" w:color="auto"/>
        <w:right w:val="none" w:sz="0" w:space="0" w:color="auto"/>
      </w:divBdr>
      <w:divsChild>
        <w:div w:id="1058355865">
          <w:marLeft w:val="0"/>
          <w:marRight w:val="0"/>
          <w:marTop w:val="40"/>
          <w:marBottom w:val="0"/>
          <w:divBdr>
            <w:top w:val="none" w:sz="0" w:space="0" w:color="auto"/>
            <w:left w:val="none" w:sz="0" w:space="0" w:color="auto"/>
            <w:bottom w:val="none" w:sz="0" w:space="0" w:color="auto"/>
            <w:right w:val="none" w:sz="0" w:space="0" w:color="auto"/>
          </w:divBdr>
        </w:div>
      </w:divsChild>
    </w:div>
    <w:div w:id="1396703416">
      <w:marLeft w:val="0"/>
      <w:marRight w:val="0"/>
      <w:marTop w:val="100"/>
      <w:marBottom w:val="0"/>
      <w:divBdr>
        <w:top w:val="none" w:sz="0" w:space="0" w:color="auto"/>
        <w:left w:val="none" w:sz="0" w:space="0" w:color="auto"/>
        <w:bottom w:val="none" w:sz="0" w:space="0" w:color="auto"/>
        <w:right w:val="none" w:sz="0" w:space="0" w:color="auto"/>
      </w:divBdr>
    </w:div>
    <w:div w:id="1397241707">
      <w:marLeft w:val="0"/>
      <w:marRight w:val="0"/>
      <w:marTop w:val="280"/>
      <w:marBottom w:val="0"/>
      <w:divBdr>
        <w:top w:val="none" w:sz="0" w:space="0" w:color="auto"/>
        <w:left w:val="none" w:sz="0" w:space="0" w:color="auto"/>
        <w:bottom w:val="none" w:sz="0" w:space="0" w:color="auto"/>
        <w:right w:val="none" w:sz="0" w:space="0" w:color="auto"/>
      </w:divBdr>
    </w:div>
    <w:div w:id="1397510876">
      <w:marLeft w:val="0"/>
      <w:marRight w:val="0"/>
      <w:marTop w:val="100"/>
      <w:marBottom w:val="0"/>
      <w:divBdr>
        <w:top w:val="none" w:sz="0" w:space="0" w:color="auto"/>
        <w:left w:val="none" w:sz="0" w:space="0" w:color="auto"/>
        <w:bottom w:val="none" w:sz="0" w:space="0" w:color="auto"/>
        <w:right w:val="none" w:sz="0" w:space="0" w:color="auto"/>
      </w:divBdr>
    </w:div>
    <w:div w:id="1404059899">
      <w:marLeft w:val="0"/>
      <w:marRight w:val="0"/>
      <w:marTop w:val="280"/>
      <w:marBottom w:val="0"/>
      <w:divBdr>
        <w:top w:val="none" w:sz="0" w:space="0" w:color="auto"/>
        <w:left w:val="none" w:sz="0" w:space="0" w:color="auto"/>
        <w:bottom w:val="none" w:sz="0" w:space="0" w:color="auto"/>
        <w:right w:val="none" w:sz="0" w:space="0" w:color="auto"/>
      </w:divBdr>
    </w:div>
    <w:div w:id="1404835975">
      <w:marLeft w:val="0"/>
      <w:marRight w:val="0"/>
      <w:marTop w:val="180"/>
      <w:marBottom w:val="180"/>
      <w:divBdr>
        <w:top w:val="none" w:sz="0" w:space="0" w:color="auto"/>
        <w:left w:val="none" w:sz="0" w:space="0" w:color="auto"/>
        <w:bottom w:val="none" w:sz="0" w:space="0" w:color="auto"/>
        <w:right w:val="none" w:sz="0" w:space="0" w:color="auto"/>
      </w:divBdr>
    </w:div>
    <w:div w:id="1407143535">
      <w:marLeft w:val="0"/>
      <w:marRight w:val="0"/>
      <w:marTop w:val="280"/>
      <w:marBottom w:val="0"/>
      <w:divBdr>
        <w:top w:val="none" w:sz="0" w:space="0" w:color="auto"/>
        <w:left w:val="none" w:sz="0" w:space="0" w:color="auto"/>
        <w:bottom w:val="none" w:sz="0" w:space="0" w:color="auto"/>
        <w:right w:val="none" w:sz="0" w:space="0" w:color="auto"/>
      </w:divBdr>
    </w:div>
    <w:div w:id="1407340316">
      <w:marLeft w:val="0"/>
      <w:marRight w:val="0"/>
      <w:marTop w:val="0"/>
      <w:marBottom w:val="0"/>
      <w:divBdr>
        <w:top w:val="none" w:sz="0" w:space="0" w:color="auto"/>
        <w:left w:val="none" w:sz="0" w:space="0" w:color="auto"/>
        <w:bottom w:val="none" w:sz="0" w:space="0" w:color="auto"/>
        <w:right w:val="none" w:sz="0" w:space="0" w:color="auto"/>
      </w:divBdr>
      <w:divsChild>
        <w:div w:id="141428592">
          <w:marLeft w:val="0"/>
          <w:marRight w:val="0"/>
          <w:marTop w:val="0"/>
          <w:marBottom w:val="0"/>
          <w:divBdr>
            <w:top w:val="none" w:sz="0" w:space="0" w:color="auto"/>
            <w:left w:val="none" w:sz="0" w:space="0" w:color="auto"/>
            <w:bottom w:val="none" w:sz="0" w:space="0" w:color="auto"/>
            <w:right w:val="none" w:sz="0" w:space="0" w:color="auto"/>
          </w:divBdr>
        </w:div>
      </w:divsChild>
    </w:div>
    <w:div w:id="1408965137">
      <w:marLeft w:val="0"/>
      <w:marRight w:val="0"/>
      <w:marTop w:val="280"/>
      <w:marBottom w:val="0"/>
      <w:divBdr>
        <w:top w:val="none" w:sz="0" w:space="0" w:color="auto"/>
        <w:left w:val="none" w:sz="0" w:space="0" w:color="auto"/>
        <w:bottom w:val="none" w:sz="0" w:space="0" w:color="auto"/>
        <w:right w:val="none" w:sz="0" w:space="0" w:color="auto"/>
      </w:divBdr>
    </w:div>
    <w:div w:id="1409310342">
      <w:marLeft w:val="0"/>
      <w:marRight w:val="0"/>
      <w:marTop w:val="100"/>
      <w:marBottom w:val="0"/>
      <w:divBdr>
        <w:top w:val="none" w:sz="0" w:space="0" w:color="auto"/>
        <w:left w:val="none" w:sz="0" w:space="0" w:color="auto"/>
        <w:bottom w:val="none" w:sz="0" w:space="0" w:color="auto"/>
        <w:right w:val="none" w:sz="0" w:space="0" w:color="auto"/>
      </w:divBdr>
    </w:div>
    <w:div w:id="1411390662">
      <w:marLeft w:val="0"/>
      <w:marRight w:val="0"/>
      <w:marTop w:val="100"/>
      <w:marBottom w:val="0"/>
      <w:divBdr>
        <w:top w:val="none" w:sz="0" w:space="0" w:color="auto"/>
        <w:left w:val="none" w:sz="0" w:space="0" w:color="auto"/>
        <w:bottom w:val="none" w:sz="0" w:space="0" w:color="auto"/>
        <w:right w:val="none" w:sz="0" w:space="0" w:color="auto"/>
      </w:divBdr>
    </w:div>
    <w:div w:id="1412585228">
      <w:marLeft w:val="0"/>
      <w:marRight w:val="0"/>
      <w:marTop w:val="100"/>
      <w:marBottom w:val="0"/>
      <w:divBdr>
        <w:top w:val="none" w:sz="0" w:space="0" w:color="auto"/>
        <w:left w:val="none" w:sz="0" w:space="0" w:color="auto"/>
        <w:bottom w:val="none" w:sz="0" w:space="0" w:color="auto"/>
        <w:right w:val="none" w:sz="0" w:space="0" w:color="auto"/>
      </w:divBdr>
    </w:div>
    <w:div w:id="1413774557">
      <w:marLeft w:val="0"/>
      <w:marRight w:val="0"/>
      <w:marTop w:val="60"/>
      <w:marBottom w:val="0"/>
      <w:divBdr>
        <w:top w:val="none" w:sz="0" w:space="0" w:color="auto"/>
        <w:left w:val="none" w:sz="0" w:space="0" w:color="auto"/>
        <w:bottom w:val="none" w:sz="0" w:space="0" w:color="auto"/>
        <w:right w:val="none" w:sz="0" w:space="0" w:color="auto"/>
      </w:divBdr>
    </w:div>
    <w:div w:id="1413967161">
      <w:marLeft w:val="0"/>
      <w:marRight w:val="0"/>
      <w:marTop w:val="100"/>
      <w:marBottom w:val="0"/>
      <w:divBdr>
        <w:top w:val="none" w:sz="0" w:space="0" w:color="auto"/>
        <w:left w:val="none" w:sz="0" w:space="0" w:color="auto"/>
        <w:bottom w:val="none" w:sz="0" w:space="0" w:color="auto"/>
        <w:right w:val="none" w:sz="0" w:space="0" w:color="auto"/>
      </w:divBdr>
    </w:div>
    <w:div w:id="1416122504">
      <w:marLeft w:val="0"/>
      <w:marRight w:val="0"/>
      <w:marTop w:val="40"/>
      <w:marBottom w:val="0"/>
      <w:divBdr>
        <w:top w:val="none" w:sz="0" w:space="0" w:color="auto"/>
        <w:left w:val="none" w:sz="0" w:space="0" w:color="auto"/>
        <w:bottom w:val="none" w:sz="0" w:space="0" w:color="auto"/>
        <w:right w:val="none" w:sz="0" w:space="0" w:color="auto"/>
      </w:divBdr>
    </w:div>
    <w:div w:id="1417166262">
      <w:marLeft w:val="0"/>
      <w:marRight w:val="0"/>
      <w:marTop w:val="280"/>
      <w:marBottom w:val="0"/>
      <w:divBdr>
        <w:top w:val="none" w:sz="0" w:space="0" w:color="auto"/>
        <w:left w:val="none" w:sz="0" w:space="0" w:color="auto"/>
        <w:bottom w:val="none" w:sz="0" w:space="0" w:color="auto"/>
        <w:right w:val="none" w:sz="0" w:space="0" w:color="auto"/>
      </w:divBdr>
    </w:div>
    <w:div w:id="1417358156">
      <w:marLeft w:val="0"/>
      <w:marRight w:val="0"/>
      <w:marTop w:val="100"/>
      <w:marBottom w:val="0"/>
      <w:divBdr>
        <w:top w:val="none" w:sz="0" w:space="0" w:color="auto"/>
        <w:left w:val="none" w:sz="0" w:space="0" w:color="auto"/>
        <w:bottom w:val="none" w:sz="0" w:space="0" w:color="auto"/>
        <w:right w:val="none" w:sz="0" w:space="0" w:color="auto"/>
      </w:divBdr>
    </w:div>
    <w:div w:id="1417750219">
      <w:marLeft w:val="0"/>
      <w:marRight w:val="0"/>
      <w:marTop w:val="100"/>
      <w:marBottom w:val="0"/>
      <w:divBdr>
        <w:top w:val="none" w:sz="0" w:space="0" w:color="auto"/>
        <w:left w:val="none" w:sz="0" w:space="0" w:color="auto"/>
        <w:bottom w:val="none" w:sz="0" w:space="0" w:color="auto"/>
        <w:right w:val="none" w:sz="0" w:space="0" w:color="auto"/>
      </w:divBdr>
    </w:div>
    <w:div w:id="1418474441">
      <w:marLeft w:val="0"/>
      <w:marRight w:val="0"/>
      <w:marTop w:val="100"/>
      <w:marBottom w:val="0"/>
      <w:divBdr>
        <w:top w:val="none" w:sz="0" w:space="0" w:color="auto"/>
        <w:left w:val="none" w:sz="0" w:space="0" w:color="auto"/>
        <w:bottom w:val="none" w:sz="0" w:space="0" w:color="auto"/>
        <w:right w:val="none" w:sz="0" w:space="0" w:color="auto"/>
      </w:divBdr>
    </w:div>
    <w:div w:id="1419909895">
      <w:marLeft w:val="0"/>
      <w:marRight w:val="0"/>
      <w:marTop w:val="0"/>
      <w:marBottom w:val="0"/>
      <w:divBdr>
        <w:top w:val="none" w:sz="0" w:space="0" w:color="auto"/>
        <w:left w:val="none" w:sz="0" w:space="0" w:color="auto"/>
        <w:bottom w:val="none" w:sz="0" w:space="0" w:color="auto"/>
        <w:right w:val="none" w:sz="0" w:space="0" w:color="auto"/>
      </w:divBdr>
      <w:divsChild>
        <w:div w:id="139613589">
          <w:marLeft w:val="0"/>
          <w:marRight w:val="0"/>
          <w:marTop w:val="0"/>
          <w:marBottom w:val="0"/>
          <w:divBdr>
            <w:top w:val="none" w:sz="0" w:space="0" w:color="auto"/>
            <w:left w:val="none" w:sz="0" w:space="0" w:color="auto"/>
            <w:bottom w:val="none" w:sz="0" w:space="0" w:color="auto"/>
            <w:right w:val="none" w:sz="0" w:space="0" w:color="auto"/>
          </w:divBdr>
          <w:divsChild>
            <w:div w:id="15751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897">
      <w:marLeft w:val="0"/>
      <w:marRight w:val="0"/>
      <w:marTop w:val="60"/>
      <w:marBottom w:val="0"/>
      <w:divBdr>
        <w:top w:val="none" w:sz="0" w:space="0" w:color="auto"/>
        <w:left w:val="none" w:sz="0" w:space="0" w:color="auto"/>
        <w:bottom w:val="none" w:sz="0" w:space="0" w:color="auto"/>
        <w:right w:val="none" w:sz="0" w:space="0" w:color="auto"/>
      </w:divBdr>
    </w:div>
    <w:div w:id="1421366134">
      <w:marLeft w:val="0"/>
      <w:marRight w:val="0"/>
      <w:marTop w:val="280"/>
      <w:marBottom w:val="0"/>
      <w:divBdr>
        <w:top w:val="none" w:sz="0" w:space="0" w:color="auto"/>
        <w:left w:val="none" w:sz="0" w:space="0" w:color="auto"/>
        <w:bottom w:val="none" w:sz="0" w:space="0" w:color="auto"/>
        <w:right w:val="none" w:sz="0" w:space="0" w:color="auto"/>
      </w:divBdr>
    </w:div>
    <w:div w:id="1421945707">
      <w:marLeft w:val="0"/>
      <w:marRight w:val="0"/>
      <w:marTop w:val="100"/>
      <w:marBottom w:val="0"/>
      <w:divBdr>
        <w:top w:val="none" w:sz="0" w:space="0" w:color="auto"/>
        <w:left w:val="none" w:sz="0" w:space="0" w:color="auto"/>
        <w:bottom w:val="none" w:sz="0" w:space="0" w:color="auto"/>
        <w:right w:val="none" w:sz="0" w:space="0" w:color="auto"/>
      </w:divBdr>
    </w:div>
    <w:div w:id="1422340249">
      <w:marLeft w:val="0"/>
      <w:marRight w:val="0"/>
      <w:marTop w:val="60"/>
      <w:marBottom w:val="0"/>
      <w:divBdr>
        <w:top w:val="none" w:sz="0" w:space="0" w:color="auto"/>
        <w:left w:val="none" w:sz="0" w:space="0" w:color="auto"/>
        <w:bottom w:val="none" w:sz="0" w:space="0" w:color="auto"/>
        <w:right w:val="none" w:sz="0" w:space="0" w:color="auto"/>
      </w:divBdr>
    </w:div>
    <w:div w:id="1423721843">
      <w:marLeft w:val="0"/>
      <w:marRight w:val="0"/>
      <w:marTop w:val="0"/>
      <w:marBottom w:val="0"/>
      <w:divBdr>
        <w:top w:val="none" w:sz="0" w:space="0" w:color="auto"/>
        <w:left w:val="none" w:sz="0" w:space="0" w:color="auto"/>
        <w:bottom w:val="none" w:sz="0" w:space="0" w:color="auto"/>
        <w:right w:val="none" w:sz="0" w:space="0" w:color="auto"/>
      </w:divBdr>
      <w:divsChild>
        <w:div w:id="1095443911">
          <w:marLeft w:val="0"/>
          <w:marRight w:val="0"/>
          <w:marTop w:val="0"/>
          <w:marBottom w:val="0"/>
          <w:divBdr>
            <w:top w:val="none" w:sz="0" w:space="0" w:color="auto"/>
            <w:left w:val="none" w:sz="0" w:space="0" w:color="auto"/>
            <w:bottom w:val="none" w:sz="0" w:space="0" w:color="auto"/>
            <w:right w:val="none" w:sz="0" w:space="0" w:color="auto"/>
          </w:divBdr>
        </w:div>
      </w:divsChild>
    </w:div>
    <w:div w:id="1425493406">
      <w:marLeft w:val="0"/>
      <w:marRight w:val="0"/>
      <w:marTop w:val="60"/>
      <w:marBottom w:val="0"/>
      <w:divBdr>
        <w:top w:val="none" w:sz="0" w:space="0" w:color="auto"/>
        <w:left w:val="none" w:sz="0" w:space="0" w:color="auto"/>
        <w:bottom w:val="none" w:sz="0" w:space="0" w:color="auto"/>
        <w:right w:val="none" w:sz="0" w:space="0" w:color="auto"/>
      </w:divBdr>
    </w:div>
    <w:div w:id="1426223885">
      <w:marLeft w:val="0"/>
      <w:marRight w:val="0"/>
      <w:marTop w:val="100"/>
      <w:marBottom w:val="100"/>
      <w:divBdr>
        <w:top w:val="none" w:sz="0" w:space="0" w:color="auto"/>
        <w:left w:val="none" w:sz="0" w:space="0" w:color="auto"/>
        <w:bottom w:val="none" w:sz="0" w:space="0" w:color="auto"/>
        <w:right w:val="none" w:sz="0" w:space="0" w:color="auto"/>
      </w:divBdr>
      <w:divsChild>
        <w:div w:id="257257287">
          <w:marLeft w:val="0"/>
          <w:marRight w:val="0"/>
          <w:marTop w:val="0"/>
          <w:marBottom w:val="0"/>
          <w:divBdr>
            <w:top w:val="none" w:sz="0" w:space="0" w:color="auto"/>
            <w:left w:val="none" w:sz="0" w:space="0" w:color="auto"/>
            <w:bottom w:val="none" w:sz="0" w:space="0" w:color="auto"/>
            <w:right w:val="none" w:sz="0" w:space="0" w:color="auto"/>
          </w:divBdr>
        </w:div>
        <w:div w:id="611397318">
          <w:marLeft w:val="0"/>
          <w:marRight w:val="0"/>
          <w:marTop w:val="0"/>
          <w:marBottom w:val="0"/>
          <w:divBdr>
            <w:top w:val="none" w:sz="0" w:space="0" w:color="auto"/>
            <w:left w:val="none" w:sz="0" w:space="0" w:color="auto"/>
            <w:bottom w:val="none" w:sz="0" w:space="0" w:color="auto"/>
            <w:right w:val="none" w:sz="0" w:space="0" w:color="auto"/>
          </w:divBdr>
        </w:div>
      </w:divsChild>
    </w:div>
    <w:div w:id="1426263299">
      <w:marLeft w:val="0"/>
      <w:marRight w:val="0"/>
      <w:marTop w:val="280"/>
      <w:marBottom w:val="0"/>
      <w:divBdr>
        <w:top w:val="none" w:sz="0" w:space="0" w:color="auto"/>
        <w:left w:val="none" w:sz="0" w:space="0" w:color="auto"/>
        <w:bottom w:val="none" w:sz="0" w:space="0" w:color="auto"/>
        <w:right w:val="none" w:sz="0" w:space="0" w:color="auto"/>
      </w:divBdr>
    </w:div>
    <w:div w:id="1427536020">
      <w:marLeft w:val="0"/>
      <w:marRight w:val="0"/>
      <w:marTop w:val="100"/>
      <w:marBottom w:val="0"/>
      <w:divBdr>
        <w:top w:val="none" w:sz="0" w:space="0" w:color="auto"/>
        <w:left w:val="none" w:sz="0" w:space="0" w:color="auto"/>
        <w:bottom w:val="none" w:sz="0" w:space="0" w:color="auto"/>
        <w:right w:val="none" w:sz="0" w:space="0" w:color="auto"/>
      </w:divBdr>
    </w:div>
    <w:div w:id="1428648878">
      <w:marLeft w:val="0"/>
      <w:marRight w:val="0"/>
      <w:marTop w:val="100"/>
      <w:marBottom w:val="0"/>
      <w:divBdr>
        <w:top w:val="none" w:sz="0" w:space="0" w:color="auto"/>
        <w:left w:val="none" w:sz="0" w:space="0" w:color="auto"/>
        <w:bottom w:val="none" w:sz="0" w:space="0" w:color="auto"/>
        <w:right w:val="none" w:sz="0" w:space="0" w:color="auto"/>
      </w:divBdr>
    </w:div>
    <w:div w:id="1428963391">
      <w:marLeft w:val="0"/>
      <w:marRight w:val="0"/>
      <w:marTop w:val="100"/>
      <w:marBottom w:val="100"/>
      <w:divBdr>
        <w:top w:val="none" w:sz="0" w:space="0" w:color="auto"/>
        <w:left w:val="none" w:sz="0" w:space="0" w:color="auto"/>
        <w:bottom w:val="none" w:sz="0" w:space="0" w:color="auto"/>
        <w:right w:val="none" w:sz="0" w:space="0" w:color="auto"/>
      </w:divBdr>
    </w:div>
    <w:div w:id="1430471268">
      <w:marLeft w:val="0"/>
      <w:marRight w:val="0"/>
      <w:marTop w:val="100"/>
      <w:marBottom w:val="0"/>
      <w:divBdr>
        <w:top w:val="none" w:sz="0" w:space="0" w:color="auto"/>
        <w:left w:val="none" w:sz="0" w:space="0" w:color="auto"/>
        <w:bottom w:val="none" w:sz="0" w:space="0" w:color="auto"/>
        <w:right w:val="none" w:sz="0" w:space="0" w:color="auto"/>
      </w:divBdr>
    </w:div>
    <w:div w:id="1431660593">
      <w:marLeft w:val="0"/>
      <w:marRight w:val="0"/>
      <w:marTop w:val="280"/>
      <w:marBottom w:val="0"/>
      <w:divBdr>
        <w:top w:val="none" w:sz="0" w:space="0" w:color="auto"/>
        <w:left w:val="none" w:sz="0" w:space="0" w:color="auto"/>
        <w:bottom w:val="none" w:sz="0" w:space="0" w:color="auto"/>
        <w:right w:val="none" w:sz="0" w:space="0" w:color="auto"/>
      </w:divBdr>
    </w:div>
    <w:div w:id="1431774482">
      <w:marLeft w:val="0"/>
      <w:marRight w:val="0"/>
      <w:marTop w:val="100"/>
      <w:marBottom w:val="0"/>
      <w:divBdr>
        <w:top w:val="none" w:sz="0" w:space="0" w:color="auto"/>
        <w:left w:val="none" w:sz="0" w:space="0" w:color="auto"/>
        <w:bottom w:val="none" w:sz="0" w:space="0" w:color="auto"/>
        <w:right w:val="none" w:sz="0" w:space="0" w:color="auto"/>
      </w:divBdr>
    </w:div>
    <w:div w:id="1432897428">
      <w:marLeft w:val="0"/>
      <w:marRight w:val="0"/>
      <w:marTop w:val="280"/>
      <w:marBottom w:val="0"/>
      <w:divBdr>
        <w:top w:val="none" w:sz="0" w:space="0" w:color="auto"/>
        <w:left w:val="none" w:sz="0" w:space="0" w:color="auto"/>
        <w:bottom w:val="none" w:sz="0" w:space="0" w:color="auto"/>
        <w:right w:val="none" w:sz="0" w:space="0" w:color="auto"/>
      </w:divBdr>
    </w:div>
    <w:div w:id="1433166711">
      <w:marLeft w:val="0"/>
      <w:marRight w:val="0"/>
      <w:marTop w:val="280"/>
      <w:marBottom w:val="0"/>
      <w:divBdr>
        <w:top w:val="none" w:sz="0" w:space="0" w:color="auto"/>
        <w:left w:val="none" w:sz="0" w:space="0" w:color="auto"/>
        <w:bottom w:val="none" w:sz="0" w:space="0" w:color="auto"/>
        <w:right w:val="none" w:sz="0" w:space="0" w:color="auto"/>
      </w:divBdr>
    </w:div>
    <w:div w:id="1434132645">
      <w:marLeft w:val="0"/>
      <w:marRight w:val="0"/>
      <w:marTop w:val="0"/>
      <w:marBottom w:val="0"/>
      <w:divBdr>
        <w:top w:val="none" w:sz="0" w:space="0" w:color="auto"/>
        <w:left w:val="none" w:sz="0" w:space="0" w:color="auto"/>
        <w:bottom w:val="none" w:sz="0" w:space="0" w:color="auto"/>
        <w:right w:val="none" w:sz="0" w:space="0" w:color="auto"/>
      </w:divBdr>
    </w:div>
    <w:div w:id="1438791392">
      <w:marLeft w:val="0"/>
      <w:marRight w:val="0"/>
      <w:marTop w:val="100"/>
      <w:marBottom w:val="0"/>
      <w:divBdr>
        <w:top w:val="none" w:sz="0" w:space="0" w:color="auto"/>
        <w:left w:val="none" w:sz="0" w:space="0" w:color="auto"/>
        <w:bottom w:val="none" w:sz="0" w:space="0" w:color="auto"/>
        <w:right w:val="none" w:sz="0" w:space="0" w:color="auto"/>
      </w:divBdr>
    </w:div>
    <w:div w:id="1440639973">
      <w:marLeft w:val="0"/>
      <w:marRight w:val="0"/>
      <w:marTop w:val="100"/>
      <w:marBottom w:val="0"/>
      <w:divBdr>
        <w:top w:val="none" w:sz="0" w:space="0" w:color="auto"/>
        <w:left w:val="none" w:sz="0" w:space="0" w:color="auto"/>
        <w:bottom w:val="none" w:sz="0" w:space="0" w:color="auto"/>
        <w:right w:val="none" w:sz="0" w:space="0" w:color="auto"/>
      </w:divBdr>
    </w:div>
    <w:div w:id="1442528659">
      <w:marLeft w:val="0"/>
      <w:marRight w:val="0"/>
      <w:marTop w:val="100"/>
      <w:marBottom w:val="0"/>
      <w:divBdr>
        <w:top w:val="none" w:sz="0" w:space="0" w:color="auto"/>
        <w:left w:val="none" w:sz="0" w:space="0" w:color="auto"/>
        <w:bottom w:val="none" w:sz="0" w:space="0" w:color="auto"/>
        <w:right w:val="none" w:sz="0" w:space="0" w:color="auto"/>
      </w:divBdr>
    </w:div>
    <w:div w:id="1445730822">
      <w:marLeft w:val="0"/>
      <w:marRight w:val="0"/>
      <w:marTop w:val="100"/>
      <w:marBottom w:val="0"/>
      <w:divBdr>
        <w:top w:val="none" w:sz="0" w:space="0" w:color="auto"/>
        <w:left w:val="none" w:sz="0" w:space="0" w:color="auto"/>
        <w:bottom w:val="none" w:sz="0" w:space="0" w:color="auto"/>
        <w:right w:val="none" w:sz="0" w:space="0" w:color="auto"/>
      </w:divBdr>
    </w:div>
    <w:div w:id="1447113059">
      <w:marLeft w:val="0"/>
      <w:marRight w:val="0"/>
      <w:marTop w:val="100"/>
      <w:marBottom w:val="0"/>
      <w:divBdr>
        <w:top w:val="none" w:sz="0" w:space="0" w:color="auto"/>
        <w:left w:val="none" w:sz="0" w:space="0" w:color="auto"/>
        <w:bottom w:val="none" w:sz="0" w:space="0" w:color="auto"/>
        <w:right w:val="none" w:sz="0" w:space="0" w:color="auto"/>
      </w:divBdr>
    </w:div>
    <w:div w:id="1449356939">
      <w:marLeft w:val="0"/>
      <w:marRight w:val="0"/>
      <w:marTop w:val="60"/>
      <w:marBottom w:val="0"/>
      <w:divBdr>
        <w:top w:val="none" w:sz="0" w:space="0" w:color="auto"/>
        <w:left w:val="none" w:sz="0" w:space="0" w:color="auto"/>
        <w:bottom w:val="none" w:sz="0" w:space="0" w:color="auto"/>
        <w:right w:val="none" w:sz="0" w:space="0" w:color="auto"/>
      </w:divBdr>
    </w:div>
    <w:div w:id="1454203981">
      <w:marLeft w:val="0"/>
      <w:marRight w:val="0"/>
      <w:marTop w:val="0"/>
      <w:marBottom w:val="0"/>
      <w:divBdr>
        <w:top w:val="none" w:sz="0" w:space="0" w:color="auto"/>
        <w:left w:val="none" w:sz="0" w:space="0" w:color="auto"/>
        <w:bottom w:val="none" w:sz="0" w:space="0" w:color="auto"/>
        <w:right w:val="none" w:sz="0" w:space="0" w:color="auto"/>
      </w:divBdr>
      <w:divsChild>
        <w:div w:id="1348292293">
          <w:marLeft w:val="0"/>
          <w:marRight w:val="0"/>
          <w:marTop w:val="0"/>
          <w:marBottom w:val="0"/>
          <w:divBdr>
            <w:top w:val="none" w:sz="0" w:space="0" w:color="auto"/>
            <w:left w:val="none" w:sz="0" w:space="0" w:color="auto"/>
            <w:bottom w:val="none" w:sz="0" w:space="0" w:color="auto"/>
            <w:right w:val="none" w:sz="0" w:space="0" w:color="auto"/>
          </w:divBdr>
        </w:div>
        <w:div w:id="122697330">
          <w:marLeft w:val="0"/>
          <w:marRight w:val="0"/>
          <w:marTop w:val="0"/>
          <w:marBottom w:val="0"/>
          <w:divBdr>
            <w:top w:val="none" w:sz="0" w:space="0" w:color="auto"/>
            <w:left w:val="none" w:sz="0" w:space="0" w:color="auto"/>
            <w:bottom w:val="none" w:sz="0" w:space="0" w:color="auto"/>
            <w:right w:val="none" w:sz="0" w:space="0" w:color="auto"/>
          </w:divBdr>
        </w:div>
      </w:divsChild>
    </w:div>
    <w:div w:id="1454327219">
      <w:marLeft w:val="0"/>
      <w:marRight w:val="0"/>
      <w:marTop w:val="100"/>
      <w:marBottom w:val="0"/>
      <w:divBdr>
        <w:top w:val="none" w:sz="0" w:space="0" w:color="auto"/>
        <w:left w:val="none" w:sz="0" w:space="0" w:color="auto"/>
        <w:bottom w:val="none" w:sz="0" w:space="0" w:color="auto"/>
        <w:right w:val="none" w:sz="0" w:space="0" w:color="auto"/>
      </w:divBdr>
    </w:div>
    <w:div w:id="1454667181">
      <w:marLeft w:val="0"/>
      <w:marRight w:val="0"/>
      <w:marTop w:val="0"/>
      <w:marBottom w:val="0"/>
      <w:divBdr>
        <w:top w:val="none" w:sz="0" w:space="0" w:color="auto"/>
        <w:left w:val="none" w:sz="0" w:space="0" w:color="auto"/>
        <w:bottom w:val="none" w:sz="0" w:space="0" w:color="auto"/>
        <w:right w:val="none" w:sz="0" w:space="0" w:color="auto"/>
      </w:divBdr>
      <w:divsChild>
        <w:div w:id="1239947552">
          <w:marLeft w:val="0"/>
          <w:marRight w:val="0"/>
          <w:marTop w:val="0"/>
          <w:marBottom w:val="0"/>
          <w:divBdr>
            <w:top w:val="none" w:sz="0" w:space="0" w:color="auto"/>
            <w:left w:val="none" w:sz="0" w:space="0" w:color="auto"/>
            <w:bottom w:val="none" w:sz="0" w:space="0" w:color="auto"/>
            <w:right w:val="none" w:sz="0" w:space="0" w:color="auto"/>
          </w:divBdr>
        </w:div>
        <w:div w:id="1692099733">
          <w:marLeft w:val="0"/>
          <w:marRight w:val="0"/>
          <w:marTop w:val="0"/>
          <w:marBottom w:val="0"/>
          <w:divBdr>
            <w:top w:val="none" w:sz="0" w:space="0" w:color="auto"/>
            <w:left w:val="none" w:sz="0" w:space="0" w:color="auto"/>
            <w:bottom w:val="none" w:sz="0" w:space="0" w:color="auto"/>
            <w:right w:val="none" w:sz="0" w:space="0" w:color="auto"/>
          </w:divBdr>
        </w:div>
      </w:divsChild>
    </w:div>
    <w:div w:id="1456603148">
      <w:marLeft w:val="0"/>
      <w:marRight w:val="0"/>
      <w:marTop w:val="100"/>
      <w:marBottom w:val="0"/>
      <w:divBdr>
        <w:top w:val="none" w:sz="0" w:space="0" w:color="auto"/>
        <w:left w:val="none" w:sz="0" w:space="0" w:color="auto"/>
        <w:bottom w:val="none" w:sz="0" w:space="0" w:color="auto"/>
        <w:right w:val="none" w:sz="0" w:space="0" w:color="auto"/>
      </w:divBdr>
    </w:div>
    <w:div w:id="1457481882">
      <w:marLeft w:val="0"/>
      <w:marRight w:val="0"/>
      <w:marTop w:val="60"/>
      <w:marBottom w:val="0"/>
      <w:divBdr>
        <w:top w:val="none" w:sz="0" w:space="0" w:color="auto"/>
        <w:left w:val="none" w:sz="0" w:space="0" w:color="auto"/>
        <w:bottom w:val="none" w:sz="0" w:space="0" w:color="auto"/>
        <w:right w:val="none" w:sz="0" w:space="0" w:color="auto"/>
      </w:divBdr>
    </w:div>
    <w:div w:id="1457865946">
      <w:marLeft w:val="0"/>
      <w:marRight w:val="0"/>
      <w:marTop w:val="280"/>
      <w:marBottom w:val="0"/>
      <w:divBdr>
        <w:top w:val="none" w:sz="0" w:space="0" w:color="auto"/>
        <w:left w:val="none" w:sz="0" w:space="0" w:color="auto"/>
        <w:bottom w:val="none" w:sz="0" w:space="0" w:color="auto"/>
        <w:right w:val="none" w:sz="0" w:space="0" w:color="auto"/>
      </w:divBdr>
    </w:div>
    <w:div w:id="1462115516">
      <w:marLeft w:val="0"/>
      <w:marRight w:val="0"/>
      <w:marTop w:val="100"/>
      <w:marBottom w:val="100"/>
      <w:divBdr>
        <w:top w:val="none" w:sz="0" w:space="0" w:color="auto"/>
        <w:left w:val="none" w:sz="0" w:space="0" w:color="auto"/>
        <w:bottom w:val="none" w:sz="0" w:space="0" w:color="auto"/>
        <w:right w:val="none" w:sz="0" w:space="0" w:color="auto"/>
      </w:divBdr>
    </w:div>
    <w:div w:id="1462504708">
      <w:marLeft w:val="0"/>
      <w:marRight w:val="0"/>
      <w:marTop w:val="240"/>
      <w:marBottom w:val="0"/>
      <w:divBdr>
        <w:top w:val="none" w:sz="0" w:space="0" w:color="auto"/>
        <w:left w:val="none" w:sz="0" w:space="0" w:color="auto"/>
        <w:bottom w:val="none" w:sz="0" w:space="0" w:color="auto"/>
        <w:right w:val="none" w:sz="0" w:space="0" w:color="auto"/>
      </w:divBdr>
    </w:div>
    <w:div w:id="1462918952">
      <w:marLeft w:val="0"/>
      <w:marRight w:val="0"/>
      <w:marTop w:val="100"/>
      <w:marBottom w:val="100"/>
      <w:divBdr>
        <w:top w:val="none" w:sz="0" w:space="0" w:color="auto"/>
        <w:left w:val="none" w:sz="0" w:space="0" w:color="auto"/>
        <w:bottom w:val="none" w:sz="0" w:space="0" w:color="auto"/>
        <w:right w:val="none" w:sz="0" w:space="0" w:color="auto"/>
      </w:divBdr>
      <w:divsChild>
        <w:div w:id="142816233">
          <w:marLeft w:val="0"/>
          <w:marRight w:val="0"/>
          <w:marTop w:val="0"/>
          <w:marBottom w:val="0"/>
          <w:divBdr>
            <w:top w:val="none" w:sz="0" w:space="0" w:color="auto"/>
            <w:left w:val="none" w:sz="0" w:space="0" w:color="auto"/>
            <w:bottom w:val="none" w:sz="0" w:space="0" w:color="auto"/>
            <w:right w:val="none" w:sz="0" w:space="0" w:color="auto"/>
          </w:divBdr>
        </w:div>
      </w:divsChild>
    </w:div>
    <w:div w:id="1464346732">
      <w:marLeft w:val="0"/>
      <w:marRight w:val="0"/>
      <w:marTop w:val="60"/>
      <w:marBottom w:val="0"/>
      <w:divBdr>
        <w:top w:val="none" w:sz="0" w:space="0" w:color="auto"/>
        <w:left w:val="none" w:sz="0" w:space="0" w:color="auto"/>
        <w:bottom w:val="none" w:sz="0" w:space="0" w:color="auto"/>
        <w:right w:val="none" w:sz="0" w:space="0" w:color="auto"/>
      </w:divBdr>
    </w:div>
    <w:div w:id="1465005327">
      <w:marLeft w:val="0"/>
      <w:marRight w:val="0"/>
      <w:marTop w:val="280"/>
      <w:marBottom w:val="0"/>
      <w:divBdr>
        <w:top w:val="none" w:sz="0" w:space="0" w:color="auto"/>
        <w:left w:val="none" w:sz="0" w:space="0" w:color="auto"/>
        <w:bottom w:val="none" w:sz="0" w:space="0" w:color="auto"/>
        <w:right w:val="none" w:sz="0" w:space="0" w:color="auto"/>
      </w:divBdr>
    </w:div>
    <w:div w:id="1465151417">
      <w:marLeft w:val="0"/>
      <w:marRight w:val="0"/>
      <w:marTop w:val="40"/>
      <w:marBottom w:val="0"/>
      <w:divBdr>
        <w:top w:val="none" w:sz="0" w:space="0" w:color="auto"/>
        <w:left w:val="none" w:sz="0" w:space="0" w:color="auto"/>
        <w:bottom w:val="none" w:sz="0" w:space="0" w:color="auto"/>
        <w:right w:val="none" w:sz="0" w:space="0" w:color="auto"/>
      </w:divBdr>
    </w:div>
    <w:div w:id="1467770336">
      <w:marLeft w:val="0"/>
      <w:marRight w:val="0"/>
      <w:marTop w:val="100"/>
      <w:marBottom w:val="0"/>
      <w:divBdr>
        <w:top w:val="none" w:sz="0" w:space="0" w:color="auto"/>
        <w:left w:val="none" w:sz="0" w:space="0" w:color="auto"/>
        <w:bottom w:val="none" w:sz="0" w:space="0" w:color="auto"/>
        <w:right w:val="none" w:sz="0" w:space="0" w:color="auto"/>
      </w:divBdr>
    </w:div>
    <w:div w:id="1467775879">
      <w:marLeft w:val="0"/>
      <w:marRight w:val="0"/>
      <w:marTop w:val="100"/>
      <w:marBottom w:val="0"/>
      <w:divBdr>
        <w:top w:val="none" w:sz="0" w:space="0" w:color="auto"/>
        <w:left w:val="none" w:sz="0" w:space="0" w:color="auto"/>
        <w:bottom w:val="none" w:sz="0" w:space="0" w:color="auto"/>
        <w:right w:val="none" w:sz="0" w:space="0" w:color="auto"/>
      </w:divBdr>
    </w:div>
    <w:div w:id="1468159918">
      <w:marLeft w:val="0"/>
      <w:marRight w:val="0"/>
      <w:marTop w:val="100"/>
      <w:marBottom w:val="0"/>
      <w:divBdr>
        <w:top w:val="none" w:sz="0" w:space="0" w:color="auto"/>
        <w:left w:val="none" w:sz="0" w:space="0" w:color="auto"/>
        <w:bottom w:val="none" w:sz="0" w:space="0" w:color="auto"/>
        <w:right w:val="none" w:sz="0" w:space="0" w:color="auto"/>
      </w:divBdr>
    </w:div>
    <w:div w:id="1468740473">
      <w:marLeft w:val="0"/>
      <w:marRight w:val="0"/>
      <w:marTop w:val="100"/>
      <w:marBottom w:val="0"/>
      <w:divBdr>
        <w:top w:val="none" w:sz="0" w:space="0" w:color="auto"/>
        <w:left w:val="none" w:sz="0" w:space="0" w:color="auto"/>
        <w:bottom w:val="none" w:sz="0" w:space="0" w:color="auto"/>
        <w:right w:val="none" w:sz="0" w:space="0" w:color="auto"/>
      </w:divBdr>
    </w:div>
    <w:div w:id="1469934121">
      <w:marLeft w:val="0"/>
      <w:marRight w:val="0"/>
      <w:marTop w:val="100"/>
      <w:marBottom w:val="0"/>
      <w:divBdr>
        <w:top w:val="none" w:sz="0" w:space="0" w:color="auto"/>
        <w:left w:val="none" w:sz="0" w:space="0" w:color="auto"/>
        <w:bottom w:val="none" w:sz="0" w:space="0" w:color="auto"/>
        <w:right w:val="none" w:sz="0" w:space="0" w:color="auto"/>
      </w:divBdr>
    </w:div>
    <w:div w:id="1470440829">
      <w:marLeft w:val="0"/>
      <w:marRight w:val="0"/>
      <w:marTop w:val="100"/>
      <w:marBottom w:val="0"/>
      <w:divBdr>
        <w:top w:val="none" w:sz="0" w:space="0" w:color="auto"/>
        <w:left w:val="none" w:sz="0" w:space="0" w:color="auto"/>
        <w:bottom w:val="none" w:sz="0" w:space="0" w:color="auto"/>
        <w:right w:val="none" w:sz="0" w:space="0" w:color="auto"/>
      </w:divBdr>
    </w:div>
    <w:div w:id="1470980863">
      <w:marLeft w:val="0"/>
      <w:marRight w:val="0"/>
      <w:marTop w:val="100"/>
      <w:marBottom w:val="0"/>
      <w:divBdr>
        <w:top w:val="none" w:sz="0" w:space="0" w:color="auto"/>
        <w:left w:val="none" w:sz="0" w:space="0" w:color="auto"/>
        <w:bottom w:val="none" w:sz="0" w:space="0" w:color="auto"/>
        <w:right w:val="none" w:sz="0" w:space="0" w:color="auto"/>
      </w:divBdr>
    </w:div>
    <w:div w:id="1471559060">
      <w:marLeft w:val="0"/>
      <w:marRight w:val="0"/>
      <w:marTop w:val="100"/>
      <w:marBottom w:val="0"/>
      <w:divBdr>
        <w:top w:val="none" w:sz="0" w:space="0" w:color="auto"/>
        <w:left w:val="none" w:sz="0" w:space="0" w:color="auto"/>
        <w:bottom w:val="none" w:sz="0" w:space="0" w:color="auto"/>
        <w:right w:val="none" w:sz="0" w:space="0" w:color="auto"/>
      </w:divBdr>
    </w:div>
    <w:div w:id="1472208758">
      <w:marLeft w:val="0"/>
      <w:marRight w:val="0"/>
      <w:marTop w:val="40"/>
      <w:marBottom w:val="0"/>
      <w:divBdr>
        <w:top w:val="none" w:sz="0" w:space="0" w:color="auto"/>
        <w:left w:val="none" w:sz="0" w:space="0" w:color="auto"/>
        <w:bottom w:val="none" w:sz="0" w:space="0" w:color="auto"/>
        <w:right w:val="none" w:sz="0" w:space="0" w:color="auto"/>
      </w:divBdr>
    </w:div>
    <w:div w:id="1473061984">
      <w:marLeft w:val="0"/>
      <w:marRight w:val="0"/>
      <w:marTop w:val="280"/>
      <w:marBottom w:val="0"/>
      <w:divBdr>
        <w:top w:val="none" w:sz="0" w:space="0" w:color="auto"/>
        <w:left w:val="none" w:sz="0" w:space="0" w:color="auto"/>
        <w:bottom w:val="none" w:sz="0" w:space="0" w:color="auto"/>
        <w:right w:val="none" w:sz="0" w:space="0" w:color="auto"/>
      </w:divBdr>
    </w:div>
    <w:div w:id="1474373622">
      <w:marLeft w:val="0"/>
      <w:marRight w:val="0"/>
      <w:marTop w:val="100"/>
      <w:marBottom w:val="0"/>
      <w:divBdr>
        <w:top w:val="none" w:sz="0" w:space="0" w:color="auto"/>
        <w:left w:val="none" w:sz="0" w:space="0" w:color="auto"/>
        <w:bottom w:val="none" w:sz="0" w:space="0" w:color="auto"/>
        <w:right w:val="none" w:sz="0" w:space="0" w:color="auto"/>
      </w:divBdr>
    </w:div>
    <w:div w:id="1479493048">
      <w:marLeft w:val="0"/>
      <w:marRight w:val="0"/>
      <w:marTop w:val="280"/>
      <w:marBottom w:val="0"/>
      <w:divBdr>
        <w:top w:val="none" w:sz="0" w:space="0" w:color="auto"/>
        <w:left w:val="none" w:sz="0" w:space="0" w:color="auto"/>
        <w:bottom w:val="none" w:sz="0" w:space="0" w:color="auto"/>
        <w:right w:val="none" w:sz="0" w:space="0" w:color="auto"/>
      </w:divBdr>
    </w:div>
    <w:div w:id="1481776468">
      <w:marLeft w:val="0"/>
      <w:marRight w:val="0"/>
      <w:marTop w:val="100"/>
      <w:marBottom w:val="0"/>
      <w:divBdr>
        <w:top w:val="none" w:sz="0" w:space="0" w:color="auto"/>
        <w:left w:val="none" w:sz="0" w:space="0" w:color="auto"/>
        <w:bottom w:val="none" w:sz="0" w:space="0" w:color="auto"/>
        <w:right w:val="none" w:sz="0" w:space="0" w:color="auto"/>
      </w:divBdr>
    </w:div>
    <w:div w:id="1481967750">
      <w:marLeft w:val="0"/>
      <w:marRight w:val="0"/>
      <w:marTop w:val="100"/>
      <w:marBottom w:val="100"/>
      <w:divBdr>
        <w:top w:val="none" w:sz="0" w:space="0" w:color="auto"/>
        <w:left w:val="none" w:sz="0" w:space="0" w:color="auto"/>
        <w:bottom w:val="none" w:sz="0" w:space="0" w:color="auto"/>
        <w:right w:val="none" w:sz="0" w:space="0" w:color="auto"/>
      </w:divBdr>
    </w:div>
    <w:div w:id="1483504000">
      <w:marLeft w:val="0"/>
      <w:marRight w:val="0"/>
      <w:marTop w:val="60"/>
      <w:marBottom w:val="0"/>
      <w:divBdr>
        <w:top w:val="none" w:sz="0" w:space="0" w:color="auto"/>
        <w:left w:val="none" w:sz="0" w:space="0" w:color="auto"/>
        <w:bottom w:val="none" w:sz="0" w:space="0" w:color="auto"/>
        <w:right w:val="none" w:sz="0" w:space="0" w:color="auto"/>
      </w:divBdr>
    </w:div>
    <w:div w:id="1485589693">
      <w:marLeft w:val="0"/>
      <w:marRight w:val="0"/>
      <w:marTop w:val="100"/>
      <w:marBottom w:val="0"/>
      <w:divBdr>
        <w:top w:val="none" w:sz="0" w:space="0" w:color="auto"/>
        <w:left w:val="none" w:sz="0" w:space="0" w:color="auto"/>
        <w:bottom w:val="none" w:sz="0" w:space="0" w:color="auto"/>
        <w:right w:val="none" w:sz="0" w:space="0" w:color="auto"/>
      </w:divBdr>
    </w:div>
    <w:div w:id="1485706772">
      <w:marLeft w:val="0"/>
      <w:marRight w:val="0"/>
      <w:marTop w:val="60"/>
      <w:marBottom w:val="0"/>
      <w:divBdr>
        <w:top w:val="none" w:sz="0" w:space="0" w:color="auto"/>
        <w:left w:val="none" w:sz="0" w:space="0" w:color="auto"/>
        <w:bottom w:val="none" w:sz="0" w:space="0" w:color="auto"/>
        <w:right w:val="none" w:sz="0" w:space="0" w:color="auto"/>
      </w:divBdr>
    </w:div>
    <w:div w:id="1485972303">
      <w:marLeft w:val="0"/>
      <w:marRight w:val="0"/>
      <w:marTop w:val="100"/>
      <w:marBottom w:val="0"/>
      <w:divBdr>
        <w:top w:val="none" w:sz="0" w:space="0" w:color="auto"/>
        <w:left w:val="none" w:sz="0" w:space="0" w:color="auto"/>
        <w:bottom w:val="none" w:sz="0" w:space="0" w:color="auto"/>
        <w:right w:val="none" w:sz="0" w:space="0" w:color="auto"/>
      </w:divBdr>
    </w:div>
    <w:div w:id="1486623829">
      <w:marLeft w:val="0"/>
      <w:marRight w:val="0"/>
      <w:marTop w:val="280"/>
      <w:marBottom w:val="0"/>
      <w:divBdr>
        <w:top w:val="none" w:sz="0" w:space="0" w:color="auto"/>
        <w:left w:val="none" w:sz="0" w:space="0" w:color="auto"/>
        <w:bottom w:val="none" w:sz="0" w:space="0" w:color="auto"/>
        <w:right w:val="none" w:sz="0" w:space="0" w:color="auto"/>
      </w:divBdr>
    </w:div>
    <w:div w:id="1486900141">
      <w:marLeft w:val="0"/>
      <w:marRight w:val="0"/>
      <w:marTop w:val="100"/>
      <w:marBottom w:val="100"/>
      <w:divBdr>
        <w:top w:val="none" w:sz="0" w:space="0" w:color="auto"/>
        <w:left w:val="none" w:sz="0" w:space="0" w:color="auto"/>
        <w:bottom w:val="none" w:sz="0" w:space="0" w:color="auto"/>
        <w:right w:val="none" w:sz="0" w:space="0" w:color="auto"/>
      </w:divBdr>
      <w:divsChild>
        <w:div w:id="536771112">
          <w:marLeft w:val="0"/>
          <w:marRight w:val="0"/>
          <w:marTop w:val="0"/>
          <w:marBottom w:val="0"/>
          <w:divBdr>
            <w:top w:val="none" w:sz="0" w:space="0" w:color="auto"/>
            <w:left w:val="none" w:sz="0" w:space="0" w:color="auto"/>
            <w:bottom w:val="none" w:sz="0" w:space="0" w:color="auto"/>
            <w:right w:val="none" w:sz="0" w:space="0" w:color="auto"/>
          </w:divBdr>
        </w:div>
      </w:divsChild>
    </w:div>
    <w:div w:id="1487747176">
      <w:marLeft w:val="0"/>
      <w:marRight w:val="0"/>
      <w:marTop w:val="0"/>
      <w:marBottom w:val="0"/>
      <w:divBdr>
        <w:top w:val="none" w:sz="0" w:space="0" w:color="auto"/>
        <w:left w:val="none" w:sz="0" w:space="0" w:color="auto"/>
        <w:bottom w:val="none" w:sz="0" w:space="0" w:color="auto"/>
        <w:right w:val="none" w:sz="0" w:space="0" w:color="auto"/>
      </w:divBdr>
      <w:divsChild>
        <w:div w:id="1728147729">
          <w:marLeft w:val="0"/>
          <w:marRight w:val="0"/>
          <w:marTop w:val="0"/>
          <w:marBottom w:val="0"/>
          <w:divBdr>
            <w:top w:val="none" w:sz="0" w:space="0" w:color="auto"/>
            <w:left w:val="none" w:sz="0" w:space="0" w:color="auto"/>
            <w:bottom w:val="none" w:sz="0" w:space="0" w:color="auto"/>
            <w:right w:val="none" w:sz="0" w:space="0" w:color="auto"/>
          </w:divBdr>
        </w:div>
        <w:div w:id="1118111600">
          <w:marLeft w:val="0"/>
          <w:marRight w:val="0"/>
          <w:marTop w:val="0"/>
          <w:marBottom w:val="0"/>
          <w:divBdr>
            <w:top w:val="none" w:sz="0" w:space="0" w:color="auto"/>
            <w:left w:val="none" w:sz="0" w:space="0" w:color="auto"/>
            <w:bottom w:val="none" w:sz="0" w:space="0" w:color="auto"/>
            <w:right w:val="none" w:sz="0" w:space="0" w:color="auto"/>
          </w:divBdr>
        </w:div>
      </w:divsChild>
    </w:div>
    <w:div w:id="1488592628">
      <w:marLeft w:val="0"/>
      <w:marRight w:val="0"/>
      <w:marTop w:val="0"/>
      <w:marBottom w:val="0"/>
      <w:divBdr>
        <w:top w:val="none" w:sz="0" w:space="0" w:color="auto"/>
        <w:left w:val="none" w:sz="0" w:space="0" w:color="auto"/>
        <w:bottom w:val="none" w:sz="0" w:space="0" w:color="auto"/>
        <w:right w:val="none" w:sz="0" w:space="0" w:color="auto"/>
      </w:divBdr>
      <w:divsChild>
        <w:div w:id="1387333204">
          <w:marLeft w:val="0"/>
          <w:marRight w:val="0"/>
          <w:marTop w:val="0"/>
          <w:marBottom w:val="0"/>
          <w:divBdr>
            <w:top w:val="none" w:sz="0" w:space="0" w:color="auto"/>
            <w:left w:val="none" w:sz="0" w:space="0" w:color="auto"/>
            <w:bottom w:val="none" w:sz="0" w:space="0" w:color="auto"/>
            <w:right w:val="none" w:sz="0" w:space="0" w:color="auto"/>
          </w:divBdr>
        </w:div>
        <w:div w:id="995303762">
          <w:marLeft w:val="0"/>
          <w:marRight w:val="0"/>
          <w:marTop w:val="0"/>
          <w:marBottom w:val="0"/>
          <w:divBdr>
            <w:top w:val="none" w:sz="0" w:space="0" w:color="auto"/>
            <w:left w:val="none" w:sz="0" w:space="0" w:color="auto"/>
            <w:bottom w:val="none" w:sz="0" w:space="0" w:color="auto"/>
            <w:right w:val="none" w:sz="0" w:space="0" w:color="auto"/>
          </w:divBdr>
        </w:div>
      </w:divsChild>
    </w:div>
    <w:div w:id="1488939564">
      <w:marLeft w:val="0"/>
      <w:marRight w:val="0"/>
      <w:marTop w:val="100"/>
      <w:marBottom w:val="0"/>
      <w:divBdr>
        <w:top w:val="none" w:sz="0" w:space="0" w:color="auto"/>
        <w:left w:val="none" w:sz="0" w:space="0" w:color="auto"/>
        <w:bottom w:val="none" w:sz="0" w:space="0" w:color="auto"/>
        <w:right w:val="none" w:sz="0" w:space="0" w:color="auto"/>
      </w:divBdr>
    </w:div>
    <w:div w:id="1489248151">
      <w:marLeft w:val="0"/>
      <w:marRight w:val="0"/>
      <w:marTop w:val="100"/>
      <w:marBottom w:val="0"/>
      <w:divBdr>
        <w:top w:val="none" w:sz="0" w:space="0" w:color="auto"/>
        <w:left w:val="none" w:sz="0" w:space="0" w:color="auto"/>
        <w:bottom w:val="none" w:sz="0" w:space="0" w:color="auto"/>
        <w:right w:val="none" w:sz="0" w:space="0" w:color="auto"/>
      </w:divBdr>
    </w:div>
    <w:div w:id="1490246058">
      <w:marLeft w:val="0"/>
      <w:marRight w:val="0"/>
      <w:marTop w:val="0"/>
      <w:marBottom w:val="0"/>
      <w:divBdr>
        <w:top w:val="none" w:sz="0" w:space="0" w:color="auto"/>
        <w:left w:val="none" w:sz="0" w:space="0" w:color="auto"/>
        <w:bottom w:val="none" w:sz="0" w:space="0" w:color="auto"/>
        <w:right w:val="none" w:sz="0" w:space="0" w:color="auto"/>
      </w:divBdr>
      <w:divsChild>
        <w:div w:id="501555338">
          <w:marLeft w:val="0"/>
          <w:marRight w:val="0"/>
          <w:marTop w:val="0"/>
          <w:marBottom w:val="0"/>
          <w:divBdr>
            <w:top w:val="none" w:sz="0" w:space="0" w:color="auto"/>
            <w:left w:val="none" w:sz="0" w:space="0" w:color="auto"/>
            <w:bottom w:val="none" w:sz="0" w:space="0" w:color="auto"/>
            <w:right w:val="none" w:sz="0" w:space="0" w:color="auto"/>
          </w:divBdr>
          <w:divsChild>
            <w:div w:id="162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9268">
      <w:marLeft w:val="0"/>
      <w:marRight w:val="0"/>
      <w:marTop w:val="0"/>
      <w:marBottom w:val="0"/>
      <w:divBdr>
        <w:top w:val="none" w:sz="0" w:space="0" w:color="auto"/>
        <w:left w:val="none" w:sz="0" w:space="0" w:color="auto"/>
        <w:bottom w:val="none" w:sz="0" w:space="0" w:color="auto"/>
        <w:right w:val="none" w:sz="0" w:space="0" w:color="auto"/>
      </w:divBdr>
      <w:divsChild>
        <w:div w:id="1211651024">
          <w:marLeft w:val="0"/>
          <w:marRight w:val="0"/>
          <w:marTop w:val="0"/>
          <w:marBottom w:val="0"/>
          <w:divBdr>
            <w:top w:val="none" w:sz="0" w:space="0" w:color="auto"/>
            <w:left w:val="none" w:sz="0" w:space="0" w:color="auto"/>
            <w:bottom w:val="none" w:sz="0" w:space="0" w:color="auto"/>
            <w:right w:val="none" w:sz="0" w:space="0" w:color="auto"/>
          </w:divBdr>
        </w:div>
        <w:div w:id="2116823242">
          <w:marLeft w:val="0"/>
          <w:marRight w:val="0"/>
          <w:marTop w:val="0"/>
          <w:marBottom w:val="0"/>
          <w:divBdr>
            <w:top w:val="none" w:sz="0" w:space="0" w:color="auto"/>
            <w:left w:val="none" w:sz="0" w:space="0" w:color="auto"/>
            <w:bottom w:val="none" w:sz="0" w:space="0" w:color="auto"/>
            <w:right w:val="none" w:sz="0" w:space="0" w:color="auto"/>
          </w:divBdr>
        </w:div>
      </w:divsChild>
    </w:div>
    <w:div w:id="1493914749">
      <w:marLeft w:val="0"/>
      <w:marRight w:val="0"/>
      <w:marTop w:val="60"/>
      <w:marBottom w:val="0"/>
      <w:divBdr>
        <w:top w:val="none" w:sz="0" w:space="0" w:color="auto"/>
        <w:left w:val="none" w:sz="0" w:space="0" w:color="auto"/>
        <w:bottom w:val="none" w:sz="0" w:space="0" w:color="auto"/>
        <w:right w:val="none" w:sz="0" w:space="0" w:color="auto"/>
      </w:divBdr>
    </w:div>
    <w:div w:id="1497380344">
      <w:marLeft w:val="0"/>
      <w:marRight w:val="0"/>
      <w:marTop w:val="280"/>
      <w:marBottom w:val="0"/>
      <w:divBdr>
        <w:top w:val="none" w:sz="0" w:space="0" w:color="auto"/>
        <w:left w:val="none" w:sz="0" w:space="0" w:color="auto"/>
        <w:bottom w:val="none" w:sz="0" w:space="0" w:color="auto"/>
        <w:right w:val="none" w:sz="0" w:space="0" w:color="auto"/>
      </w:divBdr>
    </w:div>
    <w:div w:id="1500804583">
      <w:marLeft w:val="0"/>
      <w:marRight w:val="0"/>
      <w:marTop w:val="100"/>
      <w:marBottom w:val="0"/>
      <w:divBdr>
        <w:top w:val="none" w:sz="0" w:space="0" w:color="auto"/>
        <w:left w:val="none" w:sz="0" w:space="0" w:color="auto"/>
        <w:bottom w:val="none" w:sz="0" w:space="0" w:color="auto"/>
        <w:right w:val="none" w:sz="0" w:space="0" w:color="auto"/>
      </w:divBdr>
    </w:div>
    <w:div w:id="1502231448">
      <w:marLeft w:val="0"/>
      <w:marRight w:val="0"/>
      <w:marTop w:val="280"/>
      <w:marBottom w:val="0"/>
      <w:divBdr>
        <w:top w:val="none" w:sz="0" w:space="0" w:color="auto"/>
        <w:left w:val="none" w:sz="0" w:space="0" w:color="auto"/>
        <w:bottom w:val="none" w:sz="0" w:space="0" w:color="auto"/>
        <w:right w:val="none" w:sz="0" w:space="0" w:color="auto"/>
      </w:divBdr>
    </w:div>
    <w:div w:id="1502355372">
      <w:marLeft w:val="0"/>
      <w:marRight w:val="0"/>
      <w:marTop w:val="140"/>
      <w:marBottom w:val="0"/>
      <w:divBdr>
        <w:top w:val="none" w:sz="0" w:space="0" w:color="auto"/>
        <w:left w:val="none" w:sz="0" w:space="0" w:color="auto"/>
        <w:bottom w:val="none" w:sz="0" w:space="0" w:color="auto"/>
        <w:right w:val="none" w:sz="0" w:space="0" w:color="auto"/>
      </w:divBdr>
    </w:div>
    <w:div w:id="1502693257">
      <w:marLeft w:val="0"/>
      <w:marRight w:val="0"/>
      <w:marTop w:val="60"/>
      <w:marBottom w:val="0"/>
      <w:divBdr>
        <w:top w:val="none" w:sz="0" w:space="0" w:color="auto"/>
        <w:left w:val="none" w:sz="0" w:space="0" w:color="auto"/>
        <w:bottom w:val="none" w:sz="0" w:space="0" w:color="auto"/>
        <w:right w:val="none" w:sz="0" w:space="0" w:color="auto"/>
      </w:divBdr>
    </w:div>
    <w:div w:id="1504471533">
      <w:marLeft w:val="0"/>
      <w:marRight w:val="0"/>
      <w:marTop w:val="280"/>
      <w:marBottom w:val="0"/>
      <w:divBdr>
        <w:top w:val="none" w:sz="0" w:space="0" w:color="auto"/>
        <w:left w:val="none" w:sz="0" w:space="0" w:color="auto"/>
        <w:bottom w:val="none" w:sz="0" w:space="0" w:color="auto"/>
        <w:right w:val="none" w:sz="0" w:space="0" w:color="auto"/>
      </w:divBdr>
    </w:div>
    <w:div w:id="1504515245">
      <w:marLeft w:val="0"/>
      <w:marRight w:val="0"/>
      <w:marTop w:val="100"/>
      <w:marBottom w:val="0"/>
      <w:divBdr>
        <w:top w:val="none" w:sz="0" w:space="0" w:color="auto"/>
        <w:left w:val="none" w:sz="0" w:space="0" w:color="auto"/>
        <w:bottom w:val="none" w:sz="0" w:space="0" w:color="auto"/>
        <w:right w:val="none" w:sz="0" w:space="0" w:color="auto"/>
      </w:divBdr>
    </w:div>
    <w:div w:id="1506089641">
      <w:marLeft w:val="0"/>
      <w:marRight w:val="0"/>
      <w:marTop w:val="180"/>
      <w:marBottom w:val="0"/>
      <w:divBdr>
        <w:top w:val="none" w:sz="0" w:space="0" w:color="auto"/>
        <w:left w:val="none" w:sz="0" w:space="0" w:color="auto"/>
        <w:bottom w:val="none" w:sz="0" w:space="0" w:color="auto"/>
        <w:right w:val="none" w:sz="0" w:space="0" w:color="auto"/>
      </w:divBdr>
    </w:div>
    <w:div w:id="1506089795">
      <w:marLeft w:val="0"/>
      <w:marRight w:val="0"/>
      <w:marTop w:val="100"/>
      <w:marBottom w:val="0"/>
      <w:divBdr>
        <w:top w:val="none" w:sz="0" w:space="0" w:color="auto"/>
        <w:left w:val="none" w:sz="0" w:space="0" w:color="auto"/>
        <w:bottom w:val="none" w:sz="0" w:space="0" w:color="auto"/>
        <w:right w:val="none" w:sz="0" w:space="0" w:color="auto"/>
      </w:divBdr>
    </w:div>
    <w:div w:id="1506824980">
      <w:marLeft w:val="0"/>
      <w:marRight w:val="0"/>
      <w:marTop w:val="0"/>
      <w:marBottom w:val="0"/>
      <w:divBdr>
        <w:top w:val="none" w:sz="0" w:space="0" w:color="auto"/>
        <w:left w:val="none" w:sz="0" w:space="0" w:color="auto"/>
        <w:bottom w:val="none" w:sz="0" w:space="0" w:color="auto"/>
        <w:right w:val="none" w:sz="0" w:space="0" w:color="auto"/>
      </w:divBdr>
      <w:divsChild>
        <w:div w:id="1870294488">
          <w:marLeft w:val="0"/>
          <w:marRight w:val="0"/>
          <w:marTop w:val="0"/>
          <w:marBottom w:val="0"/>
          <w:divBdr>
            <w:top w:val="none" w:sz="0" w:space="0" w:color="auto"/>
            <w:left w:val="none" w:sz="0" w:space="0" w:color="auto"/>
            <w:bottom w:val="none" w:sz="0" w:space="0" w:color="auto"/>
            <w:right w:val="none" w:sz="0" w:space="0" w:color="auto"/>
          </w:divBdr>
        </w:div>
        <w:div w:id="609505822">
          <w:marLeft w:val="0"/>
          <w:marRight w:val="0"/>
          <w:marTop w:val="0"/>
          <w:marBottom w:val="0"/>
          <w:divBdr>
            <w:top w:val="none" w:sz="0" w:space="0" w:color="auto"/>
            <w:left w:val="none" w:sz="0" w:space="0" w:color="auto"/>
            <w:bottom w:val="none" w:sz="0" w:space="0" w:color="auto"/>
            <w:right w:val="none" w:sz="0" w:space="0" w:color="auto"/>
          </w:divBdr>
        </w:div>
      </w:divsChild>
    </w:div>
    <w:div w:id="1507087422">
      <w:marLeft w:val="0"/>
      <w:marRight w:val="0"/>
      <w:marTop w:val="100"/>
      <w:marBottom w:val="0"/>
      <w:divBdr>
        <w:top w:val="none" w:sz="0" w:space="0" w:color="auto"/>
        <w:left w:val="none" w:sz="0" w:space="0" w:color="auto"/>
        <w:bottom w:val="none" w:sz="0" w:space="0" w:color="auto"/>
        <w:right w:val="none" w:sz="0" w:space="0" w:color="auto"/>
      </w:divBdr>
    </w:div>
    <w:div w:id="1510102673">
      <w:marLeft w:val="0"/>
      <w:marRight w:val="0"/>
      <w:marTop w:val="280"/>
      <w:marBottom w:val="0"/>
      <w:divBdr>
        <w:top w:val="none" w:sz="0" w:space="0" w:color="auto"/>
        <w:left w:val="none" w:sz="0" w:space="0" w:color="auto"/>
        <w:bottom w:val="none" w:sz="0" w:space="0" w:color="auto"/>
        <w:right w:val="none" w:sz="0" w:space="0" w:color="auto"/>
      </w:divBdr>
    </w:div>
    <w:div w:id="1510170518">
      <w:marLeft w:val="0"/>
      <w:marRight w:val="0"/>
      <w:marTop w:val="100"/>
      <w:marBottom w:val="100"/>
      <w:divBdr>
        <w:top w:val="none" w:sz="0" w:space="0" w:color="auto"/>
        <w:left w:val="none" w:sz="0" w:space="0" w:color="auto"/>
        <w:bottom w:val="none" w:sz="0" w:space="0" w:color="auto"/>
        <w:right w:val="none" w:sz="0" w:space="0" w:color="auto"/>
      </w:divBdr>
    </w:div>
    <w:div w:id="1513958163">
      <w:marLeft w:val="0"/>
      <w:marRight w:val="0"/>
      <w:marTop w:val="100"/>
      <w:marBottom w:val="0"/>
      <w:divBdr>
        <w:top w:val="none" w:sz="0" w:space="0" w:color="auto"/>
        <w:left w:val="none" w:sz="0" w:space="0" w:color="auto"/>
        <w:bottom w:val="none" w:sz="0" w:space="0" w:color="auto"/>
        <w:right w:val="none" w:sz="0" w:space="0" w:color="auto"/>
      </w:divBdr>
    </w:div>
    <w:div w:id="1514370379">
      <w:marLeft w:val="0"/>
      <w:marRight w:val="0"/>
      <w:marTop w:val="100"/>
      <w:marBottom w:val="0"/>
      <w:divBdr>
        <w:top w:val="none" w:sz="0" w:space="0" w:color="auto"/>
        <w:left w:val="none" w:sz="0" w:space="0" w:color="auto"/>
        <w:bottom w:val="none" w:sz="0" w:space="0" w:color="auto"/>
        <w:right w:val="none" w:sz="0" w:space="0" w:color="auto"/>
      </w:divBdr>
    </w:div>
    <w:div w:id="1516119162">
      <w:marLeft w:val="0"/>
      <w:marRight w:val="0"/>
      <w:marTop w:val="0"/>
      <w:marBottom w:val="0"/>
      <w:divBdr>
        <w:top w:val="none" w:sz="0" w:space="0" w:color="auto"/>
        <w:left w:val="none" w:sz="0" w:space="0" w:color="auto"/>
        <w:bottom w:val="none" w:sz="0" w:space="0" w:color="auto"/>
        <w:right w:val="none" w:sz="0" w:space="0" w:color="auto"/>
      </w:divBdr>
      <w:divsChild>
        <w:div w:id="457189231">
          <w:marLeft w:val="0"/>
          <w:marRight w:val="0"/>
          <w:marTop w:val="0"/>
          <w:marBottom w:val="0"/>
          <w:divBdr>
            <w:top w:val="none" w:sz="0" w:space="0" w:color="auto"/>
            <w:left w:val="none" w:sz="0" w:space="0" w:color="auto"/>
            <w:bottom w:val="none" w:sz="0" w:space="0" w:color="auto"/>
            <w:right w:val="none" w:sz="0" w:space="0" w:color="auto"/>
          </w:divBdr>
        </w:div>
      </w:divsChild>
    </w:div>
    <w:div w:id="1517111595">
      <w:marLeft w:val="0"/>
      <w:marRight w:val="0"/>
      <w:marTop w:val="100"/>
      <w:marBottom w:val="0"/>
      <w:divBdr>
        <w:top w:val="none" w:sz="0" w:space="0" w:color="auto"/>
        <w:left w:val="none" w:sz="0" w:space="0" w:color="auto"/>
        <w:bottom w:val="none" w:sz="0" w:space="0" w:color="auto"/>
        <w:right w:val="none" w:sz="0" w:space="0" w:color="auto"/>
      </w:divBdr>
    </w:div>
    <w:div w:id="1517420693">
      <w:marLeft w:val="0"/>
      <w:marRight w:val="0"/>
      <w:marTop w:val="100"/>
      <w:marBottom w:val="0"/>
      <w:divBdr>
        <w:top w:val="none" w:sz="0" w:space="0" w:color="auto"/>
        <w:left w:val="none" w:sz="0" w:space="0" w:color="auto"/>
        <w:bottom w:val="none" w:sz="0" w:space="0" w:color="auto"/>
        <w:right w:val="none" w:sz="0" w:space="0" w:color="auto"/>
      </w:divBdr>
    </w:div>
    <w:div w:id="1517845677">
      <w:marLeft w:val="0"/>
      <w:marRight w:val="0"/>
      <w:marTop w:val="100"/>
      <w:marBottom w:val="0"/>
      <w:divBdr>
        <w:top w:val="none" w:sz="0" w:space="0" w:color="auto"/>
        <w:left w:val="none" w:sz="0" w:space="0" w:color="auto"/>
        <w:bottom w:val="none" w:sz="0" w:space="0" w:color="auto"/>
        <w:right w:val="none" w:sz="0" w:space="0" w:color="auto"/>
      </w:divBdr>
    </w:div>
    <w:div w:id="1521048496">
      <w:marLeft w:val="0"/>
      <w:marRight w:val="0"/>
      <w:marTop w:val="0"/>
      <w:marBottom w:val="0"/>
      <w:divBdr>
        <w:top w:val="none" w:sz="0" w:space="0" w:color="auto"/>
        <w:left w:val="none" w:sz="0" w:space="0" w:color="auto"/>
        <w:bottom w:val="none" w:sz="0" w:space="0" w:color="auto"/>
        <w:right w:val="none" w:sz="0" w:space="0" w:color="auto"/>
      </w:divBdr>
      <w:divsChild>
        <w:div w:id="1735470796">
          <w:marLeft w:val="0"/>
          <w:marRight w:val="0"/>
          <w:marTop w:val="0"/>
          <w:marBottom w:val="0"/>
          <w:divBdr>
            <w:top w:val="none" w:sz="0" w:space="0" w:color="auto"/>
            <w:left w:val="none" w:sz="0" w:space="0" w:color="auto"/>
            <w:bottom w:val="none" w:sz="0" w:space="0" w:color="auto"/>
            <w:right w:val="none" w:sz="0" w:space="0" w:color="auto"/>
          </w:divBdr>
        </w:div>
      </w:divsChild>
    </w:div>
    <w:div w:id="1521430937">
      <w:marLeft w:val="0"/>
      <w:marRight w:val="0"/>
      <w:marTop w:val="100"/>
      <w:marBottom w:val="0"/>
      <w:divBdr>
        <w:top w:val="none" w:sz="0" w:space="0" w:color="auto"/>
        <w:left w:val="none" w:sz="0" w:space="0" w:color="auto"/>
        <w:bottom w:val="none" w:sz="0" w:space="0" w:color="auto"/>
        <w:right w:val="none" w:sz="0" w:space="0" w:color="auto"/>
      </w:divBdr>
      <w:divsChild>
        <w:div w:id="603416164">
          <w:marLeft w:val="0"/>
          <w:marRight w:val="0"/>
          <w:marTop w:val="0"/>
          <w:marBottom w:val="0"/>
          <w:divBdr>
            <w:top w:val="none" w:sz="0" w:space="0" w:color="auto"/>
            <w:left w:val="none" w:sz="0" w:space="0" w:color="auto"/>
            <w:bottom w:val="none" w:sz="0" w:space="0" w:color="auto"/>
            <w:right w:val="none" w:sz="0" w:space="0" w:color="auto"/>
          </w:divBdr>
        </w:div>
      </w:divsChild>
    </w:div>
    <w:div w:id="1523863754">
      <w:marLeft w:val="0"/>
      <w:marRight w:val="0"/>
      <w:marTop w:val="100"/>
      <w:marBottom w:val="0"/>
      <w:divBdr>
        <w:top w:val="none" w:sz="0" w:space="0" w:color="auto"/>
        <w:left w:val="none" w:sz="0" w:space="0" w:color="auto"/>
        <w:bottom w:val="none" w:sz="0" w:space="0" w:color="auto"/>
        <w:right w:val="none" w:sz="0" w:space="0" w:color="auto"/>
      </w:divBdr>
      <w:divsChild>
        <w:div w:id="187526556">
          <w:marLeft w:val="0"/>
          <w:marRight w:val="0"/>
          <w:marTop w:val="0"/>
          <w:marBottom w:val="0"/>
          <w:divBdr>
            <w:top w:val="none" w:sz="0" w:space="0" w:color="auto"/>
            <w:left w:val="none" w:sz="0" w:space="0" w:color="auto"/>
            <w:bottom w:val="none" w:sz="0" w:space="0" w:color="auto"/>
            <w:right w:val="none" w:sz="0" w:space="0" w:color="auto"/>
          </w:divBdr>
        </w:div>
        <w:div w:id="343283293">
          <w:marLeft w:val="0"/>
          <w:marRight w:val="0"/>
          <w:marTop w:val="0"/>
          <w:marBottom w:val="0"/>
          <w:divBdr>
            <w:top w:val="none" w:sz="0" w:space="0" w:color="auto"/>
            <w:left w:val="none" w:sz="0" w:space="0" w:color="auto"/>
            <w:bottom w:val="none" w:sz="0" w:space="0" w:color="auto"/>
            <w:right w:val="none" w:sz="0" w:space="0" w:color="auto"/>
          </w:divBdr>
        </w:div>
        <w:div w:id="1812752561">
          <w:marLeft w:val="0"/>
          <w:marRight w:val="0"/>
          <w:marTop w:val="0"/>
          <w:marBottom w:val="0"/>
          <w:divBdr>
            <w:top w:val="none" w:sz="0" w:space="0" w:color="auto"/>
            <w:left w:val="none" w:sz="0" w:space="0" w:color="auto"/>
            <w:bottom w:val="none" w:sz="0" w:space="0" w:color="auto"/>
            <w:right w:val="none" w:sz="0" w:space="0" w:color="auto"/>
          </w:divBdr>
        </w:div>
        <w:div w:id="1900241537">
          <w:marLeft w:val="0"/>
          <w:marRight w:val="0"/>
          <w:marTop w:val="0"/>
          <w:marBottom w:val="0"/>
          <w:divBdr>
            <w:top w:val="none" w:sz="0" w:space="0" w:color="auto"/>
            <w:left w:val="none" w:sz="0" w:space="0" w:color="auto"/>
            <w:bottom w:val="none" w:sz="0" w:space="0" w:color="auto"/>
            <w:right w:val="none" w:sz="0" w:space="0" w:color="auto"/>
          </w:divBdr>
        </w:div>
        <w:div w:id="203448709">
          <w:marLeft w:val="0"/>
          <w:marRight w:val="0"/>
          <w:marTop w:val="0"/>
          <w:marBottom w:val="0"/>
          <w:divBdr>
            <w:top w:val="none" w:sz="0" w:space="0" w:color="auto"/>
            <w:left w:val="none" w:sz="0" w:space="0" w:color="auto"/>
            <w:bottom w:val="none" w:sz="0" w:space="0" w:color="auto"/>
            <w:right w:val="none" w:sz="0" w:space="0" w:color="auto"/>
          </w:divBdr>
        </w:div>
      </w:divsChild>
    </w:div>
    <w:div w:id="1524783549">
      <w:marLeft w:val="0"/>
      <w:marRight w:val="0"/>
      <w:marTop w:val="100"/>
      <w:marBottom w:val="0"/>
      <w:divBdr>
        <w:top w:val="none" w:sz="0" w:space="0" w:color="auto"/>
        <w:left w:val="none" w:sz="0" w:space="0" w:color="auto"/>
        <w:bottom w:val="none" w:sz="0" w:space="0" w:color="auto"/>
        <w:right w:val="none" w:sz="0" w:space="0" w:color="auto"/>
      </w:divBdr>
    </w:div>
    <w:div w:id="1526097570">
      <w:marLeft w:val="0"/>
      <w:marRight w:val="0"/>
      <w:marTop w:val="60"/>
      <w:marBottom w:val="0"/>
      <w:divBdr>
        <w:top w:val="none" w:sz="0" w:space="0" w:color="auto"/>
        <w:left w:val="none" w:sz="0" w:space="0" w:color="auto"/>
        <w:bottom w:val="none" w:sz="0" w:space="0" w:color="auto"/>
        <w:right w:val="none" w:sz="0" w:space="0" w:color="auto"/>
      </w:divBdr>
    </w:div>
    <w:div w:id="1528179931">
      <w:marLeft w:val="0"/>
      <w:marRight w:val="0"/>
      <w:marTop w:val="100"/>
      <w:marBottom w:val="0"/>
      <w:divBdr>
        <w:top w:val="none" w:sz="0" w:space="0" w:color="auto"/>
        <w:left w:val="none" w:sz="0" w:space="0" w:color="auto"/>
        <w:bottom w:val="none" w:sz="0" w:space="0" w:color="auto"/>
        <w:right w:val="none" w:sz="0" w:space="0" w:color="auto"/>
      </w:divBdr>
    </w:div>
    <w:div w:id="1528519191">
      <w:marLeft w:val="0"/>
      <w:marRight w:val="0"/>
      <w:marTop w:val="60"/>
      <w:marBottom w:val="0"/>
      <w:divBdr>
        <w:top w:val="none" w:sz="0" w:space="0" w:color="auto"/>
        <w:left w:val="none" w:sz="0" w:space="0" w:color="auto"/>
        <w:bottom w:val="none" w:sz="0" w:space="0" w:color="auto"/>
        <w:right w:val="none" w:sz="0" w:space="0" w:color="auto"/>
      </w:divBdr>
    </w:div>
    <w:div w:id="1529953043">
      <w:marLeft w:val="0"/>
      <w:marRight w:val="0"/>
      <w:marTop w:val="100"/>
      <w:marBottom w:val="0"/>
      <w:divBdr>
        <w:top w:val="none" w:sz="0" w:space="0" w:color="auto"/>
        <w:left w:val="none" w:sz="0" w:space="0" w:color="auto"/>
        <w:bottom w:val="none" w:sz="0" w:space="0" w:color="auto"/>
        <w:right w:val="none" w:sz="0" w:space="0" w:color="auto"/>
      </w:divBdr>
    </w:div>
    <w:div w:id="1532381584">
      <w:marLeft w:val="0"/>
      <w:marRight w:val="0"/>
      <w:marTop w:val="0"/>
      <w:marBottom w:val="0"/>
      <w:divBdr>
        <w:top w:val="none" w:sz="0" w:space="0" w:color="auto"/>
        <w:left w:val="none" w:sz="0" w:space="0" w:color="auto"/>
        <w:bottom w:val="none" w:sz="0" w:space="0" w:color="auto"/>
        <w:right w:val="none" w:sz="0" w:space="0" w:color="auto"/>
      </w:divBdr>
      <w:divsChild>
        <w:div w:id="1970167192">
          <w:marLeft w:val="0"/>
          <w:marRight w:val="0"/>
          <w:marTop w:val="0"/>
          <w:marBottom w:val="0"/>
          <w:divBdr>
            <w:top w:val="none" w:sz="0" w:space="0" w:color="auto"/>
            <w:left w:val="none" w:sz="0" w:space="0" w:color="auto"/>
            <w:bottom w:val="none" w:sz="0" w:space="0" w:color="auto"/>
            <w:right w:val="none" w:sz="0" w:space="0" w:color="auto"/>
          </w:divBdr>
        </w:div>
        <w:div w:id="1136491928">
          <w:marLeft w:val="0"/>
          <w:marRight w:val="0"/>
          <w:marTop w:val="0"/>
          <w:marBottom w:val="0"/>
          <w:divBdr>
            <w:top w:val="none" w:sz="0" w:space="0" w:color="auto"/>
            <w:left w:val="none" w:sz="0" w:space="0" w:color="auto"/>
            <w:bottom w:val="none" w:sz="0" w:space="0" w:color="auto"/>
            <w:right w:val="none" w:sz="0" w:space="0" w:color="auto"/>
          </w:divBdr>
        </w:div>
      </w:divsChild>
    </w:div>
    <w:div w:id="1534029681">
      <w:marLeft w:val="0"/>
      <w:marRight w:val="0"/>
      <w:marTop w:val="0"/>
      <w:marBottom w:val="0"/>
      <w:divBdr>
        <w:top w:val="none" w:sz="0" w:space="0" w:color="auto"/>
        <w:left w:val="none" w:sz="0" w:space="0" w:color="auto"/>
        <w:bottom w:val="none" w:sz="0" w:space="0" w:color="auto"/>
        <w:right w:val="none" w:sz="0" w:space="0" w:color="auto"/>
      </w:divBdr>
      <w:divsChild>
        <w:div w:id="1343122845">
          <w:marLeft w:val="0"/>
          <w:marRight w:val="0"/>
          <w:marTop w:val="0"/>
          <w:marBottom w:val="0"/>
          <w:divBdr>
            <w:top w:val="none" w:sz="0" w:space="0" w:color="auto"/>
            <w:left w:val="none" w:sz="0" w:space="0" w:color="auto"/>
            <w:bottom w:val="none" w:sz="0" w:space="0" w:color="auto"/>
            <w:right w:val="none" w:sz="0" w:space="0" w:color="auto"/>
          </w:divBdr>
        </w:div>
      </w:divsChild>
    </w:div>
    <w:div w:id="1534877557">
      <w:marLeft w:val="0"/>
      <w:marRight w:val="0"/>
      <w:marTop w:val="100"/>
      <w:marBottom w:val="0"/>
      <w:divBdr>
        <w:top w:val="none" w:sz="0" w:space="0" w:color="auto"/>
        <w:left w:val="none" w:sz="0" w:space="0" w:color="auto"/>
        <w:bottom w:val="none" w:sz="0" w:space="0" w:color="auto"/>
        <w:right w:val="none" w:sz="0" w:space="0" w:color="auto"/>
      </w:divBdr>
    </w:div>
    <w:div w:id="1535581103">
      <w:marLeft w:val="0"/>
      <w:marRight w:val="0"/>
      <w:marTop w:val="60"/>
      <w:marBottom w:val="0"/>
      <w:divBdr>
        <w:top w:val="none" w:sz="0" w:space="0" w:color="auto"/>
        <w:left w:val="none" w:sz="0" w:space="0" w:color="auto"/>
        <w:bottom w:val="none" w:sz="0" w:space="0" w:color="auto"/>
        <w:right w:val="none" w:sz="0" w:space="0" w:color="auto"/>
      </w:divBdr>
    </w:div>
    <w:div w:id="1537035858">
      <w:marLeft w:val="0"/>
      <w:marRight w:val="0"/>
      <w:marTop w:val="180"/>
      <w:marBottom w:val="180"/>
      <w:divBdr>
        <w:top w:val="none" w:sz="0" w:space="0" w:color="auto"/>
        <w:left w:val="none" w:sz="0" w:space="0" w:color="auto"/>
        <w:bottom w:val="none" w:sz="0" w:space="0" w:color="auto"/>
        <w:right w:val="none" w:sz="0" w:space="0" w:color="auto"/>
      </w:divBdr>
    </w:div>
    <w:div w:id="1537233280">
      <w:marLeft w:val="0"/>
      <w:marRight w:val="0"/>
      <w:marTop w:val="0"/>
      <w:marBottom w:val="0"/>
      <w:divBdr>
        <w:top w:val="none" w:sz="0" w:space="0" w:color="auto"/>
        <w:left w:val="none" w:sz="0" w:space="0" w:color="auto"/>
        <w:bottom w:val="none" w:sz="0" w:space="0" w:color="auto"/>
        <w:right w:val="none" w:sz="0" w:space="0" w:color="auto"/>
      </w:divBdr>
    </w:div>
    <w:div w:id="1539316366">
      <w:marLeft w:val="0"/>
      <w:marRight w:val="0"/>
      <w:marTop w:val="100"/>
      <w:marBottom w:val="0"/>
      <w:divBdr>
        <w:top w:val="none" w:sz="0" w:space="0" w:color="auto"/>
        <w:left w:val="none" w:sz="0" w:space="0" w:color="auto"/>
        <w:bottom w:val="none" w:sz="0" w:space="0" w:color="auto"/>
        <w:right w:val="none" w:sz="0" w:space="0" w:color="auto"/>
      </w:divBdr>
    </w:div>
    <w:div w:id="1539853985">
      <w:marLeft w:val="0"/>
      <w:marRight w:val="0"/>
      <w:marTop w:val="100"/>
      <w:marBottom w:val="0"/>
      <w:divBdr>
        <w:top w:val="none" w:sz="0" w:space="0" w:color="auto"/>
        <w:left w:val="none" w:sz="0" w:space="0" w:color="auto"/>
        <w:bottom w:val="none" w:sz="0" w:space="0" w:color="auto"/>
        <w:right w:val="none" w:sz="0" w:space="0" w:color="auto"/>
      </w:divBdr>
    </w:div>
    <w:div w:id="1540313010">
      <w:marLeft w:val="0"/>
      <w:marRight w:val="0"/>
      <w:marTop w:val="100"/>
      <w:marBottom w:val="0"/>
      <w:divBdr>
        <w:top w:val="none" w:sz="0" w:space="0" w:color="auto"/>
        <w:left w:val="none" w:sz="0" w:space="0" w:color="auto"/>
        <w:bottom w:val="none" w:sz="0" w:space="0" w:color="auto"/>
        <w:right w:val="none" w:sz="0" w:space="0" w:color="auto"/>
      </w:divBdr>
    </w:div>
    <w:div w:id="1541093776">
      <w:marLeft w:val="0"/>
      <w:marRight w:val="0"/>
      <w:marTop w:val="100"/>
      <w:marBottom w:val="0"/>
      <w:divBdr>
        <w:top w:val="none" w:sz="0" w:space="0" w:color="auto"/>
        <w:left w:val="none" w:sz="0" w:space="0" w:color="auto"/>
        <w:bottom w:val="none" w:sz="0" w:space="0" w:color="auto"/>
        <w:right w:val="none" w:sz="0" w:space="0" w:color="auto"/>
      </w:divBdr>
    </w:div>
    <w:div w:id="1541476321">
      <w:marLeft w:val="0"/>
      <w:marRight w:val="0"/>
      <w:marTop w:val="160"/>
      <w:marBottom w:val="100"/>
      <w:divBdr>
        <w:top w:val="none" w:sz="0" w:space="0" w:color="auto"/>
        <w:left w:val="none" w:sz="0" w:space="0" w:color="auto"/>
        <w:bottom w:val="none" w:sz="0" w:space="0" w:color="auto"/>
        <w:right w:val="none" w:sz="0" w:space="0" w:color="auto"/>
      </w:divBdr>
    </w:div>
    <w:div w:id="1542086822">
      <w:marLeft w:val="0"/>
      <w:marRight w:val="0"/>
      <w:marTop w:val="100"/>
      <w:marBottom w:val="0"/>
      <w:divBdr>
        <w:top w:val="none" w:sz="0" w:space="0" w:color="auto"/>
        <w:left w:val="none" w:sz="0" w:space="0" w:color="auto"/>
        <w:bottom w:val="none" w:sz="0" w:space="0" w:color="auto"/>
        <w:right w:val="none" w:sz="0" w:space="0" w:color="auto"/>
      </w:divBdr>
    </w:div>
    <w:div w:id="1542667688">
      <w:marLeft w:val="0"/>
      <w:marRight w:val="0"/>
      <w:marTop w:val="280"/>
      <w:marBottom w:val="0"/>
      <w:divBdr>
        <w:top w:val="none" w:sz="0" w:space="0" w:color="auto"/>
        <w:left w:val="none" w:sz="0" w:space="0" w:color="auto"/>
        <w:bottom w:val="none" w:sz="0" w:space="0" w:color="auto"/>
        <w:right w:val="none" w:sz="0" w:space="0" w:color="auto"/>
      </w:divBdr>
    </w:div>
    <w:div w:id="1542790325">
      <w:marLeft w:val="0"/>
      <w:marRight w:val="0"/>
      <w:marTop w:val="100"/>
      <w:marBottom w:val="0"/>
      <w:divBdr>
        <w:top w:val="none" w:sz="0" w:space="0" w:color="auto"/>
        <w:left w:val="none" w:sz="0" w:space="0" w:color="auto"/>
        <w:bottom w:val="none" w:sz="0" w:space="0" w:color="auto"/>
        <w:right w:val="none" w:sz="0" w:space="0" w:color="auto"/>
      </w:divBdr>
    </w:div>
    <w:div w:id="1543639555">
      <w:marLeft w:val="0"/>
      <w:marRight w:val="0"/>
      <w:marTop w:val="0"/>
      <w:marBottom w:val="0"/>
      <w:divBdr>
        <w:top w:val="none" w:sz="0" w:space="0" w:color="auto"/>
        <w:left w:val="none" w:sz="0" w:space="0" w:color="auto"/>
        <w:bottom w:val="none" w:sz="0" w:space="0" w:color="auto"/>
        <w:right w:val="none" w:sz="0" w:space="0" w:color="auto"/>
      </w:divBdr>
    </w:div>
    <w:div w:id="1543899749">
      <w:marLeft w:val="0"/>
      <w:marRight w:val="0"/>
      <w:marTop w:val="100"/>
      <w:marBottom w:val="0"/>
      <w:divBdr>
        <w:top w:val="none" w:sz="0" w:space="0" w:color="auto"/>
        <w:left w:val="none" w:sz="0" w:space="0" w:color="auto"/>
        <w:bottom w:val="none" w:sz="0" w:space="0" w:color="auto"/>
        <w:right w:val="none" w:sz="0" w:space="0" w:color="auto"/>
      </w:divBdr>
    </w:div>
    <w:div w:id="1544439072">
      <w:marLeft w:val="0"/>
      <w:marRight w:val="0"/>
      <w:marTop w:val="100"/>
      <w:marBottom w:val="0"/>
      <w:divBdr>
        <w:top w:val="none" w:sz="0" w:space="0" w:color="auto"/>
        <w:left w:val="none" w:sz="0" w:space="0" w:color="auto"/>
        <w:bottom w:val="none" w:sz="0" w:space="0" w:color="auto"/>
        <w:right w:val="none" w:sz="0" w:space="0" w:color="auto"/>
      </w:divBdr>
    </w:div>
    <w:div w:id="1544564200">
      <w:marLeft w:val="0"/>
      <w:marRight w:val="0"/>
      <w:marTop w:val="0"/>
      <w:marBottom w:val="0"/>
      <w:divBdr>
        <w:top w:val="none" w:sz="0" w:space="0" w:color="auto"/>
        <w:left w:val="none" w:sz="0" w:space="0" w:color="auto"/>
        <w:bottom w:val="none" w:sz="0" w:space="0" w:color="auto"/>
        <w:right w:val="none" w:sz="0" w:space="0" w:color="auto"/>
      </w:divBdr>
    </w:div>
    <w:div w:id="1545172367">
      <w:marLeft w:val="0"/>
      <w:marRight w:val="0"/>
      <w:marTop w:val="60"/>
      <w:marBottom w:val="0"/>
      <w:divBdr>
        <w:top w:val="none" w:sz="0" w:space="0" w:color="auto"/>
        <w:left w:val="none" w:sz="0" w:space="0" w:color="auto"/>
        <w:bottom w:val="none" w:sz="0" w:space="0" w:color="auto"/>
        <w:right w:val="none" w:sz="0" w:space="0" w:color="auto"/>
      </w:divBdr>
    </w:div>
    <w:div w:id="1546715871">
      <w:marLeft w:val="0"/>
      <w:marRight w:val="0"/>
      <w:marTop w:val="60"/>
      <w:marBottom w:val="0"/>
      <w:divBdr>
        <w:top w:val="none" w:sz="0" w:space="0" w:color="auto"/>
        <w:left w:val="none" w:sz="0" w:space="0" w:color="auto"/>
        <w:bottom w:val="none" w:sz="0" w:space="0" w:color="auto"/>
        <w:right w:val="none" w:sz="0" w:space="0" w:color="auto"/>
      </w:divBdr>
    </w:div>
    <w:div w:id="1550529471">
      <w:marLeft w:val="0"/>
      <w:marRight w:val="0"/>
      <w:marTop w:val="180"/>
      <w:marBottom w:val="0"/>
      <w:divBdr>
        <w:top w:val="none" w:sz="0" w:space="0" w:color="auto"/>
        <w:left w:val="none" w:sz="0" w:space="0" w:color="auto"/>
        <w:bottom w:val="none" w:sz="0" w:space="0" w:color="auto"/>
        <w:right w:val="none" w:sz="0" w:space="0" w:color="auto"/>
      </w:divBdr>
    </w:div>
    <w:div w:id="1553879775">
      <w:marLeft w:val="0"/>
      <w:marRight w:val="0"/>
      <w:marTop w:val="100"/>
      <w:marBottom w:val="0"/>
      <w:divBdr>
        <w:top w:val="none" w:sz="0" w:space="0" w:color="auto"/>
        <w:left w:val="none" w:sz="0" w:space="0" w:color="auto"/>
        <w:bottom w:val="none" w:sz="0" w:space="0" w:color="auto"/>
        <w:right w:val="none" w:sz="0" w:space="0" w:color="auto"/>
      </w:divBdr>
    </w:div>
    <w:div w:id="1554193632">
      <w:marLeft w:val="0"/>
      <w:marRight w:val="0"/>
      <w:marTop w:val="0"/>
      <w:marBottom w:val="0"/>
      <w:divBdr>
        <w:top w:val="none" w:sz="0" w:space="0" w:color="auto"/>
        <w:left w:val="none" w:sz="0" w:space="0" w:color="auto"/>
        <w:bottom w:val="none" w:sz="0" w:space="0" w:color="auto"/>
        <w:right w:val="none" w:sz="0" w:space="0" w:color="auto"/>
      </w:divBdr>
      <w:divsChild>
        <w:div w:id="610743689">
          <w:marLeft w:val="0"/>
          <w:marRight w:val="0"/>
          <w:marTop w:val="0"/>
          <w:marBottom w:val="0"/>
          <w:divBdr>
            <w:top w:val="none" w:sz="0" w:space="0" w:color="auto"/>
            <w:left w:val="none" w:sz="0" w:space="0" w:color="auto"/>
            <w:bottom w:val="none" w:sz="0" w:space="0" w:color="auto"/>
            <w:right w:val="none" w:sz="0" w:space="0" w:color="auto"/>
          </w:divBdr>
        </w:div>
      </w:divsChild>
    </w:div>
    <w:div w:id="1554384104">
      <w:marLeft w:val="0"/>
      <w:marRight w:val="0"/>
      <w:marTop w:val="60"/>
      <w:marBottom w:val="0"/>
      <w:divBdr>
        <w:top w:val="none" w:sz="0" w:space="0" w:color="auto"/>
        <w:left w:val="none" w:sz="0" w:space="0" w:color="auto"/>
        <w:bottom w:val="none" w:sz="0" w:space="0" w:color="auto"/>
        <w:right w:val="none" w:sz="0" w:space="0" w:color="auto"/>
      </w:divBdr>
    </w:div>
    <w:div w:id="1557275648">
      <w:marLeft w:val="0"/>
      <w:marRight w:val="0"/>
      <w:marTop w:val="280"/>
      <w:marBottom w:val="0"/>
      <w:divBdr>
        <w:top w:val="none" w:sz="0" w:space="0" w:color="auto"/>
        <w:left w:val="none" w:sz="0" w:space="0" w:color="auto"/>
        <w:bottom w:val="none" w:sz="0" w:space="0" w:color="auto"/>
        <w:right w:val="none" w:sz="0" w:space="0" w:color="auto"/>
      </w:divBdr>
    </w:div>
    <w:div w:id="1558469673">
      <w:marLeft w:val="0"/>
      <w:marRight w:val="0"/>
      <w:marTop w:val="60"/>
      <w:marBottom w:val="0"/>
      <w:divBdr>
        <w:top w:val="none" w:sz="0" w:space="0" w:color="auto"/>
        <w:left w:val="none" w:sz="0" w:space="0" w:color="auto"/>
        <w:bottom w:val="none" w:sz="0" w:space="0" w:color="auto"/>
        <w:right w:val="none" w:sz="0" w:space="0" w:color="auto"/>
      </w:divBdr>
    </w:div>
    <w:div w:id="1559977631">
      <w:marLeft w:val="0"/>
      <w:marRight w:val="0"/>
      <w:marTop w:val="100"/>
      <w:marBottom w:val="0"/>
      <w:divBdr>
        <w:top w:val="none" w:sz="0" w:space="0" w:color="auto"/>
        <w:left w:val="none" w:sz="0" w:space="0" w:color="auto"/>
        <w:bottom w:val="none" w:sz="0" w:space="0" w:color="auto"/>
        <w:right w:val="none" w:sz="0" w:space="0" w:color="auto"/>
      </w:divBdr>
    </w:div>
    <w:div w:id="1563248719">
      <w:marLeft w:val="0"/>
      <w:marRight w:val="0"/>
      <w:marTop w:val="100"/>
      <w:marBottom w:val="0"/>
      <w:divBdr>
        <w:top w:val="none" w:sz="0" w:space="0" w:color="auto"/>
        <w:left w:val="none" w:sz="0" w:space="0" w:color="auto"/>
        <w:bottom w:val="none" w:sz="0" w:space="0" w:color="auto"/>
        <w:right w:val="none" w:sz="0" w:space="0" w:color="auto"/>
      </w:divBdr>
    </w:div>
    <w:div w:id="1564752128">
      <w:marLeft w:val="0"/>
      <w:marRight w:val="0"/>
      <w:marTop w:val="100"/>
      <w:marBottom w:val="0"/>
      <w:divBdr>
        <w:top w:val="none" w:sz="0" w:space="0" w:color="auto"/>
        <w:left w:val="none" w:sz="0" w:space="0" w:color="auto"/>
        <w:bottom w:val="none" w:sz="0" w:space="0" w:color="auto"/>
        <w:right w:val="none" w:sz="0" w:space="0" w:color="auto"/>
      </w:divBdr>
    </w:div>
    <w:div w:id="1565943948">
      <w:marLeft w:val="0"/>
      <w:marRight w:val="0"/>
      <w:marTop w:val="100"/>
      <w:marBottom w:val="0"/>
      <w:divBdr>
        <w:top w:val="none" w:sz="0" w:space="0" w:color="auto"/>
        <w:left w:val="none" w:sz="0" w:space="0" w:color="auto"/>
        <w:bottom w:val="none" w:sz="0" w:space="0" w:color="auto"/>
        <w:right w:val="none" w:sz="0" w:space="0" w:color="auto"/>
      </w:divBdr>
    </w:div>
    <w:div w:id="1568033894">
      <w:marLeft w:val="0"/>
      <w:marRight w:val="0"/>
      <w:marTop w:val="0"/>
      <w:marBottom w:val="0"/>
      <w:divBdr>
        <w:top w:val="none" w:sz="0" w:space="0" w:color="auto"/>
        <w:left w:val="none" w:sz="0" w:space="0" w:color="auto"/>
        <w:bottom w:val="none" w:sz="0" w:space="0" w:color="auto"/>
        <w:right w:val="none" w:sz="0" w:space="0" w:color="auto"/>
      </w:divBdr>
      <w:divsChild>
        <w:div w:id="352417262">
          <w:marLeft w:val="0"/>
          <w:marRight w:val="0"/>
          <w:marTop w:val="0"/>
          <w:marBottom w:val="0"/>
          <w:divBdr>
            <w:top w:val="none" w:sz="0" w:space="0" w:color="auto"/>
            <w:left w:val="none" w:sz="0" w:space="0" w:color="auto"/>
            <w:bottom w:val="none" w:sz="0" w:space="0" w:color="auto"/>
            <w:right w:val="none" w:sz="0" w:space="0" w:color="auto"/>
          </w:divBdr>
        </w:div>
        <w:div w:id="1513254378">
          <w:marLeft w:val="0"/>
          <w:marRight w:val="0"/>
          <w:marTop w:val="0"/>
          <w:marBottom w:val="0"/>
          <w:divBdr>
            <w:top w:val="none" w:sz="0" w:space="0" w:color="auto"/>
            <w:left w:val="none" w:sz="0" w:space="0" w:color="auto"/>
            <w:bottom w:val="none" w:sz="0" w:space="0" w:color="auto"/>
            <w:right w:val="none" w:sz="0" w:space="0" w:color="auto"/>
          </w:divBdr>
        </w:div>
      </w:divsChild>
    </w:div>
    <w:div w:id="1568763368">
      <w:marLeft w:val="0"/>
      <w:marRight w:val="0"/>
      <w:marTop w:val="280"/>
      <w:marBottom w:val="0"/>
      <w:divBdr>
        <w:top w:val="none" w:sz="0" w:space="0" w:color="auto"/>
        <w:left w:val="none" w:sz="0" w:space="0" w:color="auto"/>
        <w:bottom w:val="none" w:sz="0" w:space="0" w:color="auto"/>
        <w:right w:val="none" w:sz="0" w:space="0" w:color="auto"/>
      </w:divBdr>
    </w:div>
    <w:div w:id="1570115147">
      <w:marLeft w:val="0"/>
      <w:marRight w:val="0"/>
      <w:marTop w:val="0"/>
      <w:marBottom w:val="0"/>
      <w:divBdr>
        <w:top w:val="none" w:sz="0" w:space="0" w:color="auto"/>
        <w:left w:val="none" w:sz="0" w:space="0" w:color="auto"/>
        <w:bottom w:val="none" w:sz="0" w:space="0" w:color="auto"/>
        <w:right w:val="none" w:sz="0" w:space="0" w:color="auto"/>
      </w:divBdr>
      <w:divsChild>
        <w:div w:id="324284478">
          <w:marLeft w:val="0"/>
          <w:marRight w:val="0"/>
          <w:marTop w:val="0"/>
          <w:marBottom w:val="0"/>
          <w:divBdr>
            <w:top w:val="none" w:sz="0" w:space="0" w:color="auto"/>
            <w:left w:val="none" w:sz="0" w:space="0" w:color="auto"/>
            <w:bottom w:val="none" w:sz="0" w:space="0" w:color="auto"/>
            <w:right w:val="none" w:sz="0" w:space="0" w:color="auto"/>
          </w:divBdr>
        </w:div>
      </w:divsChild>
    </w:div>
    <w:div w:id="1570308217">
      <w:marLeft w:val="0"/>
      <w:marRight w:val="0"/>
      <w:marTop w:val="100"/>
      <w:marBottom w:val="0"/>
      <w:divBdr>
        <w:top w:val="none" w:sz="0" w:space="0" w:color="auto"/>
        <w:left w:val="none" w:sz="0" w:space="0" w:color="auto"/>
        <w:bottom w:val="none" w:sz="0" w:space="0" w:color="auto"/>
        <w:right w:val="none" w:sz="0" w:space="0" w:color="auto"/>
      </w:divBdr>
    </w:div>
    <w:div w:id="1570849594">
      <w:marLeft w:val="0"/>
      <w:marRight w:val="0"/>
      <w:marTop w:val="60"/>
      <w:marBottom w:val="0"/>
      <w:divBdr>
        <w:top w:val="none" w:sz="0" w:space="0" w:color="auto"/>
        <w:left w:val="none" w:sz="0" w:space="0" w:color="auto"/>
        <w:bottom w:val="none" w:sz="0" w:space="0" w:color="auto"/>
        <w:right w:val="none" w:sz="0" w:space="0" w:color="auto"/>
      </w:divBdr>
    </w:div>
    <w:div w:id="1570994314">
      <w:marLeft w:val="0"/>
      <w:marRight w:val="0"/>
      <w:marTop w:val="40"/>
      <w:marBottom w:val="0"/>
      <w:divBdr>
        <w:top w:val="none" w:sz="0" w:space="0" w:color="auto"/>
        <w:left w:val="none" w:sz="0" w:space="0" w:color="auto"/>
        <w:bottom w:val="none" w:sz="0" w:space="0" w:color="auto"/>
        <w:right w:val="none" w:sz="0" w:space="0" w:color="auto"/>
      </w:divBdr>
    </w:div>
    <w:div w:id="1571034482">
      <w:marLeft w:val="0"/>
      <w:marRight w:val="0"/>
      <w:marTop w:val="60"/>
      <w:marBottom w:val="0"/>
      <w:divBdr>
        <w:top w:val="none" w:sz="0" w:space="0" w:color="auto"/>
        <w:left w:val="none" w:sz="0" w:space="0" w:color="auto"/>
        <w:bottom w:val="none" w:sz="0" w:space="0" w:color="auto"/>
        <w:right w:val="none" w:sz="0" w:space="0" w:color="auto"/>
      </w:divBdr>
    </w:div>
    <w:div w:id="1571424284">
      <w:marLeft w:val="0"/>
      <w:marRight w:val="0"/>
      <w:marTop w:val="100"/>
      <w:marBottom w:val="0"/>
      <w:divBdr>
        <w:top w:val="none" w:sz="0" w:space="0" w:color="auto"/>
        <w:left w:val="none" w:sz="0" w:space="0" w:color="auto"/>
        <w:bottom w:val="none" w:sz="0" w:space="0" w:color="auto"/>
        <w:right w:val="none" w:sz="0" w:space="0" w:color="auto"/>
      </w:divBdr>
    </w:div>
    <w:div w:id="1577320721">
      <w:marLeft w:val="0"/>
      <w:marRight w:val="0"/>
      <w:marTop w:val="280"/>
      <w:marBottom w:val="0"/>
      <w:divBdr>
        <w:top w:val="none" w:sz="0" w:space="0" w:color="auto"/>
        <w:left w:val="none" w:sz="0" w:space="0" w:color="auto"/>
        <w:bottom w:val="none" w:sz="0" w:space="0" w:color="auto"/>
        <w:right w:val="none" w:sz="0" w:space="0" w:color="auto"/>
      </w:divBdr>
    </w:div>
    <w:div w:id="1577742678">
      <w:marLeft w:val="0"/>
      <w:marRight w:val="0"/>
      <w:marTop w:val="60"/>
      <w:marBottom w:val="0"/>
      <w:divBdr>
        <w:top w:val="none" w:sz="0" w:space="0" w:color="auto"/>
        <w:left w:val="none" w:sz="0" w:space="0" w:color="auto"/>
        <w:bottom w:val="none" w:sz="0" w:space="0" w:color="auto"/>
        <w:right w:val="none" w:sz="0" w:space="0" w:color="auto"/>
      </w:divBdr>
    </w:div>
    <w:div w:id="1580289766">
      <w:marLeft w:val="0"/>
      <w:marRight w:val="0"/>
      <w:marTop w:val="60"/>
      <w:marBottom w:val="0"/>
      <w:divBdr>
        <w:top w:val="none" w:sz="0" w:space="0" w:color="auto"/>
        <w:left w:val="none" w:sz="0" w:space="0" w:color="auto"/>
        <w:bottom w:val="none" w:sz="0" w:space="0" w:color="auto"/>
        <w:right w:val="none" w:sz="0" w:space="0" w:color="auto"/>
      </w:divBdr>
    </w:div>
    <w:div w:id="1581021542">
      <w:marLeft w:val="0"/>
      <w:marRight w:val="0"/>
      <w:marTop w:val="280"/>
      <w:marBottom w:val="0"/>
      <w:divBdr>
        <w:top w:val="none" w:sz="0" w:space="0" w:color="auto"/>
        <w:left w:val="none" w:sz="0" w:space="0" w:color="auto"/>
        <w:bottom w:val="none" w:sz="0" w:space="0" w:color="auto"/>
        <w:right w:val="none" w:sz="0" w:space="0" w:color="auto"/>
      </w:divBdr>
    </w:div>
    <w:div w:id="1583484151">
      <w:marLeft w:val="0"/>
      <w:marRight w:val="0"/>
      <w:marTop w:val="100"/>
      <w:marBottom w:val="0"/>
      <w:divBdr>
        <w:top w:val="none" w:sz="0" w:space="0" w:color="auto"/>
        <w:left w:val="none" w:sz="0" w:space="0" w:color="auto"/>
        <w:bottom w:val="none" w:sz="0" w:space="0" w:color="auto"/>
        <w:right w:val="none" w:sz="0" w:space="0" w:color="auto"/>
      </w:divBdr>
    </w:div>
    <w:div w:id="1585336381">
      <w:marLeft w:val="0"/>
      <w:marRight w:val="0"/>
      <w:marTop w:val="100"/>
      <w:marBottom w:val="0"/>
      <w:divBdr>
        <w:top w:val="none" w:sz="0" w:space="0" w:color="auto"/>
        <w:left w:val="none" w:sz="0" w:space="0" w:color="auto"/>
        <w:bottom w:val="none" w:sz="0" w:space="0" w:color="auto"/>
        <w:right w:val="none" w:sz="0" w:space="0" w:color="auto"/>
      </w:divBdr>
    </w:div>
    <w:div w:id="1585723877">
      <w:marLeft w:val="0"/>
      <w:marRight w:val="0"/>
      <w:marTop w:val="0"/>
      <w:marBottom w:val="40"/>
      <w:divBdr>
        <w:top w:val="none" w:sz="0" w:space="0" w:color="auto"/>
        <w:left w:val="none" w:sz="0" w:space="0" w:color="auto"/>
        <w:bottom w:val="none" w:sz="0" w:space="0" w:color="auto"/>
        <w:right w:val="none" w:sz="0" w:space="0" w:color="auto"/>
      </w:divBdr>
    </w:div>
    <w:div w:id="1585801856">
      <w:marLeft w:val="0"/>
      <w:marRight w:val="0"/>
      <w:marTop w:val="0"/>
      <w:marBottom w:val="0"/>
      <w:divBdr>
        <w:top w:val="none" w:sz="0" w:space="0" w:color="auto"/>
        <w:left w:val="none" w:sz="0" w:space="0" w:color="auto"/>
        <w:bottom w:val="none" w:sz="0" w:space="0" w:color="auto"/>
        <w:right w:val="none" w:sz="0" w:space="0" w:color="auto"/>
      </w:divBdr>
      <w:divsChild>
        <w:div w:id="1782602554">
          <w:marLeft w:val="0"/>
          <w:marRight w:val="0"/>
          <w:marTop w:val="0"/>
          <w:marBottom w:val="0"/>
          <w:divBdr>
            <w:top w:val="none" w:sz="0" w:space="0" w:color="auto"/>
            <w:left w:val="none" w:sz="0" w:space="0" w:color="auto"/>
            <w:bottom w:val="none" w:sz="0" w:space="0" w:color="auto"/>
            <w:right w:val="none" w:sz="0" w:space="0" w:color="auto"/>
          </w:divBdr>
        </w:div>
      </w:divsChild>
    </w:div>
    <w:div w:id="1587762732">
      <w:marLeft w:val="0"/>
      <w:marRight w:val="0"/>
      <w:marTop w:val="0"/>
      <w:marBottom w:val="0"/>
      <w:divBdr>
        <w:top w:val="none" w:sz="0" w:space="0" w:color="auto"/>
        <w:left w:val="none" w:sz="0" w:space="0" w:color="auto"/>
        <w:bottom w:val="none" w:sz="0" w:space="0" w:color="auto"/>
        <w:right w:val="none" w:sz="0" w:space="0" w:color="auto"/>
      </w:divBdr>
      <w:divsChild>
        <w:div w:id="1445688721">
          <w:marLeft w:val="0"/>
          <w:marRight w:val="0"/>
          <w:marTop w:val="0"/>
          <w:marBottom w:val="0"/>
          <w:divBdr>
            <w:top w:val="none" w:sz="0" w:space="0" w:color="auto"/>
            <w:left w:val="none" w:sz="0" w:space="0" w:color="auto"/>
            <w:bottom w:val="none" w:sz="0" w:space="0" w:color="auto"/>
            <w:right w:val="none" w:sz="0" w:space="0" w:color="auto"/>
          </w:divBdr>
        </w:div>
        <w:div w:id="1781103080">
          <w:marLeft w:val="0"/>
          <w:marRight w:val="0"/>
          <w:marTop w:val="0"/>
          <w:marBottom w:val="0"/>
          <w:divBdr>
            <w:top w:val="none" w:sz="0" w:space="0" w:color="auto"/>
            <w:left w:val="none" w:sz="0" w:space="0" w:color="auto"/>
            <w:bottom w:val="none" w:sz="0" w:space="0" w:color="auto"/>
            <w:right w:val="none" w:sz="0" w:space="0" w:color="auto"/>
          </w:divBdr>
        </w:div>
      </w:divsChild>
    </w:div>
    <w:div w:id="1588802240">
      <w:marLeft w:val="0"/>
      <w:marRight w:val="0"/>
      <w:marTop w:val="0"/>
      <w:marBottom w:val="0"/>
      <w:divBdr>
        <w:top w:val="none" w:sz="0" w:space="0" w:color="auto"/>
        <w:left w:val="none" w:sz="0" w:space="0" w:color="auto"/>
        <w:bottom w:val="none" w:sz="0" w:space="0" w:color="auto"/>
        <w:right w:val="none" w:sz="0" w:space="0" w:color="auto"/>
      </w:divBdr>
      <w:divsChild>
        <w:div w:id="643966877">
          <w:marLeft w:val="0"/>
          <w:marRight w:val="0"/>
          <w:marTop w:val="0"/>
          <w:marBottom w:val="0"/>
          <w:divBdr>
            <w:top w:val="none" w:sz="0" w:space="0" w:color="auto"/>
            <w:left w:val="none" w:sz="0" w:space="0" w:color="auto"/>
            <w:bottom w:val="none" w:sz="0" w:space="0" w:color="auto"/>
            <w:right w:val="none" w:sz="0" w:space="0" w:color="auto"/>
          </w:divBdr>
        </w:div>
        <w:div w:id="1394112693">
          <w:marLeft w:val="0"/>
          <w:marRight w:val="0"/>
          <w:marTop w:val="0"/>
          <w:marBottom w:val="0"/>
          <w:divBdr>
            <w:top w:val="none" w:sz="0" w:space="0" w:color="auto"/>
            <w:left w:val="none" w:sz="0" w:space="0" w:color="auto"/>
            <w:bottom w:val="none" w:sz="0" w:space="0" w:color="auto"/>
            <w:right w:val="none" w:sz="0" w:space="0" w:color="auto"/>
          </w:divBdr>
        </w:div>
      </w:divsChild>
    </w:div>
    <w:div w:id="1591894202">
      <w:marLeft w:val="0"/>
      <w:marRight w:val="0"/>
      <w:marTop w:val="100"/>
      <w:marBottom w:val="0"/>
      <w:divBdr>
        <w:top w:val="none" w:sz="0" w:space="0" w:color="auto"/>
        <w:left w:val="none" w:sz="0" w:space="0" w:color="auto"/>
        <w:bottom w:val="none" w:sz="0" w:space="0" w:color="auto"/>
        <w:right w:val="none" w:sz="0" w:space="0" w:color="auto"/>
      </w:divBdr>
    </w:div>
    <w:div w:id="1592351140">
      <w:marLeft w:val="0"/>
      <w:marRight w:val="0"/>
      <w:marTop w:val="60"/>
      <w:marBottom w:val="0"/>
      <w:divBdr>
        <w:top w:val="none" w:sz="0" w:space="0" w:color="auto"/>
        <w:left w:val="none" w:sz="0" w:space="0" w:color="auto"/>
        <w:bottom w:val="none" w:sz="0" w:space="0" w:color="auto"/>
        <w:right w:val="none" w:sz="0" w:space="0" w:color="auto"/>
      </w:divBdr>
    </w:div>
    <w:div w:id="1593660124">
      <w:marLeft w:val="0"/>
      <w:marRight w:val="0"/>
      <w:marTop w:val="280"/>
      <w:marBottom w:val="0"/>
      <w:divBdr>
        <w:top w:val="none" w:sz="0" w:space="0" w:color="auto"/>
        <w:left w:val="none" w:sz="0" w:space="0" w:color="auto"/>
        <w:bottom w:val="none" w:sz="0" w:space="0" w:color="auto"/>
        <w:right w:val="none" w:sz="0" w:space="0" w:color="auto"/>
      </w:divBdr>
    </w:div>
    <w:div w:id="1593932168">
      <w:marLeft w:val="0"/>
      <w:marRight w:val="0"/>
      <w:marTop w:val="0"/>
      <w:marBottom w:val="0"/>
      <w:divBdr>
        <w:top w:val="none" w:sz="0" w:space="0" w:color="auto"/>
        <w:left w:val="none" w:sz="0" w:space="0" w:color="auto"/>
        <w:bottom w:val="none" w:sz="0" w:space="0" w:color="auto"/>
        <w:right w:val="none" w:sz="0" w:space="0" w:color="auto"/>
      </w:divBdr>
      <w:divsChild>
        <w:div w:id="1975791306">
          <w:marLeft w:val="0"/>
          <w:marRight w:val="0"/>
          <w:marTop w:val="0"/>
          <w:marBottom w:val="0"/>
          <w:divBdr>
            <w:top w:val="none" w:sz="0" w:space="0" w:color="auto"/>
            <w:left w:val="none" w:sz="0" w:space="0" w:color="auto"/>
            <w:bottom w:val="none" w:sz="0" w:space="0" w:color="auto"/>
            <w:right w:val="none" w:sz="0" w:space="0" w:color="auto"/>
          </w:divBdr>
        </w:div>
        <w:div w:id="259222334">
          <w:marLeft w:val="0"/>
          <w:marRight w:val="0"/>
          <w:marTop w:val="0"/>
          <w:marBottom w:val="0"/>
          <w:divBdr>
            <w:top w:val="none" w:sz="0" w:space="0" w:color="auto"/>
            <w:left w:val="none" w:sz="0" w:space="0" w:color="auto"/>
            <w:bottom w:val="none" w:sz="0" w:space="0" w:color="auto"/>
            <w:right w:val="none" w:sz="0" w:space="0" w:color="auto"/>
          </w:divBdr>
        </w:div>
      </w:divsChild>
    </w:div>
    <w:div w:id="1593974296">
      <w:marLeft w:val="0"/>
      <w:marRight w:val="0"/>
      <w:marTop w:val="100"/>
      <w:marBottom w:val="0"/>
      <w:divBdr>
        <w:top w:val="none" w:sz="0" w:space="0" w:color="auto"/>
        <w:left w:val="none" w:sz="0" w:space="0" w:color="auto"/>
        <w:bottom w:val="none" w:sz="0" w:space="0" w:color="auto"/>
        <w:right w:val="none" w:sz="0" w:space="0" w:color="auto"/>
      </w:divBdr>
    </w:div>
    <w:div w:id="1594896249">
      <w:marLeft w:val="0"/>
      <w:marRight w:val="0"/>
      <w:marTop w:val="100"/>
      <w:marBottom w:val="0"/>
      <w:divBdr>
        <w:top w:val="none" w:sz="0" w:space="0" w:color="auto"/>
        <w:left w:val="none" w:sz="0" w:space="0" w:color="auto"/>
        <w:bottom w:val="none" w:sz="0" w:space="0" w:color="auto"/>
        <w:right w:val="none" w:sz="0" w:space="0" w:color="auto"/>
      </w:divBdr>
    </w:div>
    <w:div w:id="1595167414">
      <w:marLeft w:val="0"/>
      <w:marRight w:val="0"/>
      <w:marTop w:val="60"/>
      <w:marBottom w:val="0"/>
      <w:divBdr>
        <w:top w:val="none" w:sz="0" w:space="0" w:color="auto"/>
        <w:left w:val="none" w:sz="0" w:space="0" w:color="auto"/>
        <w:bottom w:val="none" w:sz="0" w:space="0" w:color="auto"/>
        <w:right w:val="none" w:sz="0" w:space="0" w:color="auto"/>
      </w:divBdr>
    </w:div>
    <w:div w:id="1595817604">
      <w:marLeft w:val="0"/>
      <w:marRight w:val="0"/>
      <w:marTop w:val="280"/>
      <w:marBottom w:val="0"/>
      <w:divBdr>
        <w:top w:val="none" w:sz="0" w:space="0" w:color="auto"/>
        <w:left w:val="none" w:sz="0" w:space="0" w:color="auto"/>
        <w:bottom w:val="none" w:sz="0" w:space="0" w:color="auto"/>
        <w:right w:val="none" w:sz="0" w:space="0" w:color="auto"/>
      </w:divBdr>
    </w:div>
    <w:div w:id="1595936120">
      <w:marLeft w:val="0"/>
      <w:marRight w:val="0"/>
      <w:marTop w:val="100"/>
      <w:marBottom w:val="0"/>
      <w:divBdr>
        <w:top w:val="none" w:sz="0" w:space="0" w:color="auto"/>
        <w:left w:val="none" w:sz="0" w:space="0" w:color="auto"/>
        <w:bottom w:val="none" w:sz="0" w:space="0" w:color="auto"/>
        <w:right w:val="none" w:sz="0" w:space="0" w:color="auto"/>
      </w:divBdr>
    </w:div>
    <w:div w:id="1597520671">
      <w:marLeft w:val="0"/>
      <w:marRight w:val="0"/>
      <w:marTop w:val="280"/>
      <w:marBottom w:val="0"/>
      <w:divBdr>
        <w:top w:val="none" w:sz="0" w:space="0" w:color="auto"/>
        <w:left w:val="none" w:sz="0" w:space="0" w:color="auto"/>
        <w:bottom w:val="none" w:sz="0" w:space="0" w:color="auto"/>
        <w:right w:val="none" w:sz="0" w:space="0" w:color="auto"/>
      </w:divBdr>
    </w:div>
    <w:div w:id="1600718400">
      <w:marLeft w:val="0"/>
      <w:marRight w:val="0"/>
      <w:marTop w:val="100"/>
      <w:marBottom w:val="0"/>
      <w:divBdr>
        <w:top w:val="none" w:sz="0" w:space="0" w:color="auto"/>
        <w:left w:val="none" w:sz="0" w:space="0" w:color="auto"/>
        <w:bottom w:val="none" w:sz="0" w:space="0" w:color="auto"/>
        <w:right w:val="none" w:sz="0" w:space="0" w:color="auto"/>
      </w:divBdr>
    </w:div>
    <w:div w:id="1602449434">
      <w:marLeft w:val="0"/>
      <w:marRight w:val="0"/>
      <w:marTop w:val="100"/>
      <w:marBottom w:val="0"/>
      <w:divBdr>
        <w:top w:val="none" w:sz="0" w:space="0" w:color="auto"/>
        <w:left w:val="none" w:sz="0" w:space="0" w:color="auto"/>
        <w:bottom w:val="none" w:sz="0" w:space="0" w:color="auto"/>
        <w:right w:val="none" w:sz="0" w:space="0" w:color="auto"/>
      </w:divBdr>
    </w:div>
    <w:div w:id="1603295741">
      <w:marLeft w:val="0"/>
      <w:marRight w:val="0"/>
      <w:marTop w:val="60"/>
      <w:marBottom w:val="0"/>
      <w:divBdr>
        <w:top w:val="none" w:sz="0" w:space="0" w:color="auto"/>
        <w:left w:val="none" w:sz="0" w:space="0" w:color="auto"/>
        <w:bottom w:val="none" w:sz="0" w:space="0" w:color="auto"/>
        <w:right w:val="none" w:sz="0" w:space="0" w:color="auto"/>
      </w:divBdr>
    </w:div>
    <w:div w:id="1603687573">
      <w:marLeft w:val="0"/>
      <w:marRight w:val="0"/>
      <w:marTop w:val="100"/>
      <w:marBottom w:val="0"/>
      <w:divBdr>
        <w:top w:val="none" w:sz="0" w:space="0" w:color="auto"/>
        <w:left w:val="none" w:sz="0" w:space="0" w:color="auto"/>
        <w:bottom w:val="none" w:sz="0" w:space="0" w:color="auto"/>
        <w:right w:val="none" w:sz="0" w:space="0" w:color="auto"/>
      </w:divBdr>
    </w:div>
    <w:div w:id="1605381639">
      <w:marLeft w:val="0"/>
      <w:marRight w:val="0"/>
      <w:marTop w:val="60"/>
      <w:marBottom w:val="0"/>
      <w:divBdr>
        <w:top w:val="none" w:sz="0" w:space="0" w:color="auto"/>
        <w:left w:val="none" w:sz="0" w:space="0" w:color="auto"/>
        <w:bottom w:val="none" w:sz="0" w:space="0" w:color="auto"/>
        <w:right w:val="none" w:sz="0" w:space="0" w:color="auto"/>
      </w:divBdr>
    </w:div>
    <w:div w:id="1605452227">
      <w:marLeft w:val="0"/>
      <w:marRight w:val="0"/>
      <w:marTop w:val="100"/>
      <w:marBottom w:val="0"/>
      <w:divBdr>
        <w:top w:val="none" w:sz="0" w:space="0" w:color="auto"/>
        <w:left w:val="none" w:sz="0" w:space="0" w:color="auto"/>
        <w:bottom w:val="none" w:sz="0" w:space="0" w:color="auto"/>
        <w:right w:val="none" w:sz="0" w:space="0" w:color="auto"/>
      </w:divBdr>
    </w:div>
    <w:div w:id="1605572355">
      <w:marLeft w:val="0"/>
      <w:marRight w:val="0"/>
      <w:marTop w:val="280"/>
      <w:marBottom w:val="0"/>
      <w:divBdr>
        <w:top w:val="none" w:sz="0" w:space="0" w:color="auto"/>
        <w:left w:val="none" w:sz="0" w:space="0" w:color="auto"/>
        <w:bottom w:val="none" w:sz="0" w:space="0" w:color="auto"/>
        <w:right w:val="none" w:sz="0" w:space="0" w:color="auto"/>
      </w:divBdr>
    </w:div>
    <w:div w:id="1606616424">
      <w:marLeft w:val="0"/>
      <w:marRight w:val="0"/>
      <w:marTop w:val="100"/>
      <w:marBottom w:val="0"/>
      <w:divBdr>
        <w:top w:val="none" w:sz="0" w:space="0" w:color="auto"/>
        <w:left w:val="none" w:sz="0" w:space="0" w:color="auto"/>
        <w:bottom w:val="none" w:sz="0" w:space="0" w:color="auto"/>
        <w:right w:val="none" w:sz="0" w:space="0" w:color="auto"/>
      </w:divBdr>
    </w:div>
    <w:div w:id="1607497566">
      <w:marLeft w:val="0"/>
      <w:marRight w:val="0"/>
      <w:marTop w:val="100"/>
      <w:marBottom w:val="0"/>
      <w:divBdr>
        <w:top w:val="none" w:sz="0" w:space="0" w:color="auto"/>
        <w:left w:val="none" w:sz="0" w:space="0" w:color="auto"/>
        <w:bottom w:val="none" w:sz="0" w:space="0" w:color="auto"/>
        <w:right w:val="none" w:sz="0" w:space="0" w:color="auto"/>
      </w:divBdr>
    </w:div>
    <w:div w:id="1608999374">
      <w:marLeft w:val="0"/>
      <w:marRight w:val="0"/>
      <w:marTop w:val="60"/>
      <w:marBottom w:val="0"/>
      <w:divBdr>
        <w:top w:val="none" w:sz="0" w:space="0" w:color="auto"/>
        <w:left w:val="none" w:sz="0" w:space="0" w:color="auto"/>
        <w:bottom w:val="none" w:sz="0" w:space="0" w:color="auto"/>
        <w:right w:val="none" w:sz="0" w:space="0" w:color="auto"/>
      </w:divBdr>
    </w:div>
    <w:div w:id="1611233348">
      <w:marLeft w:val="0"/>
      <w:marRight w:val="0"/>
      <w:marTop w:val="180"/>
      <w:marBottom w:val="0"/>
      <w:divBdr>
        <w:top w:val="none" w:sz="0" w:space="0" w:color="auto"/>
        <w:left w:val="none" w:sz="0" w:space="0" w:color="auto"/>
        <w:bottom w:val="none" w:sz="0" w:space="0" w:color="auto"/>
        <w:right w:val="none" w:sz="0" w:space="0" w:color="auto"/>
      </w:divBdr>
    </w:div>
    <w:div w:id="1611669927">
      <w:marLeft w:val="0"/>
      <w:marRight w:val="0"/>
      <w:marTop w:val="100"/>
      <w:marBottom w:val="0"/>
      <w:divBdr>
        <w:top w:val="none" w:sz="0" w:space="0" w:color="auto"/>
        <w:left w:val="none" w:sz="0" w:space="0" w:color="auto"/>
        <w:bottom w:val="none" w:sz="0" w:space="0" w:color="auto"/>
        <w:right w:val="none" w:sz="0" w:space="0" w:color="auto"/>
      </w:divBdr>
    </w:div>
    <w:div w:id="1612319619">
      <w:marLeft w:val="0"/>
      <w:marRight w:val="0"/>
      <w:marTop w:val="0"/>
      <w:marBottom w:val="0"/>
      <w:divBdr>
        <w:top w:val="none" w:sz="0" w:space="0" w:color="auto"/>
        <w:left w:val="none" w:sz="0" w:space="0" w:color="auto"/>
        <w:bottom w:val="none" w:sz="0" w:space="0" w:color="auto"/>
        <w:right w:val="none" w:sz="0" w:space="0" w:color="auto"/>
      </w:divBdr>
      <w:divsChild>
        <w:div w:id="1308588680">
          <w:marLeft w:val="0"/>
          <w:marRight w:val="0"/>
          <w:marTop w:val="0"/>
          <w:marBottom w:val="0"/>
          <w:divBdr>
            <w:top w:val="none" w:sz="0" w:space="0" w:color="auto"/>
            <w:left w:val="none" w:sz="0" w:space="0" w:color="auto"/>
            <w:bottom w:val="none" w:sz="0" w:space="0" w:color="auto"/>
            <w:right w:val="none" w:sz="0" w:space="0" w:color="auto"/>
          </w:divBdr>
        </w:div>
        <w:div w:id="1871524136">
          <w:marLeft w:val="0"/>
          <w:marRight w:val="0"/>
          <w:marTop w:val="0"/>
          <w:marBottom w:val="0"/>
          <w:divBdr>
            <w:top w:val="none" w:sz="0" w:space="0" w:color="auto"/>
            <w:left w:val="none" w:sz="0" w:space="0" w:color="auto"/>
            <w:bottom w:val="none" w:sz="0" w:space="0" w:color="auto"/>
            <w:right w:val="none" w:sz="0" w:space="0" w:color="auto"/>
          </w:divBdr>
        </w:div>
      </w:divsChild>
    </w:div>
    <w:div w:id="1615400109">
      <w:marLeft w:val="0"/>
      <w:marRight w:val="0"/>
      <w:marTop w:val="100"/>
      <w:marBottom w:val="0"/>
      <w:divBdr>
        <w:top w:val="none" w:sz="0" w:space="0" w:color="auto"/>
        <w:left w:val="none" w:sz="0" w:space="0" w:color="auto"/>
        <w:bottom w:val="none" w:sz="0" w:space="0" w:color="auto"/>
        <w:right w:val="none" w:sz="0" w:space="0" w:color="auto"/>
      </w:divBdr>
    </w:div>
    <w:div w:id="1615404664">
      <w:marLeft w:val="0"/>
      <w:marRight w:val="0"/>
      <w:marTop w:val="280"/>
      <w:marBottom w:val="0"/>
      <w:divBdr>
        <w:top w:val="none" w:sz="0" w:space="0" w:color="auto"/>
        <w:left w:val="none" w:sz="0" w:space="0" w:color="auto"/>
        <w:bottom w:val="none" w:sz="0" w:space="0" w:color="auto"/>
        <w:right w:val="none" w:sz="0" w:space="0" w:color="auto"/>
      </w:divBdr>
    </w:div>
    <w:div w:id="1617251773">
      <w:marLeft w:val="0"/>
      <w:marRight w:val="0"/>
      <w:marTop w:val="100"/>
      <w:marBottom w:val="0"/>
      <w:divBdr>
        <w:top w:val="none" w:sz="0" w:space="0" w:color="auto"/>
        <w:left w:val="none" w:sz="0" w:space="0" w:color="auto"/>
        <w:bottom w:val="none" w:sz="0" w:space="0" w:color="auto"/>
        <w:right w:val="none" w:sz="0" w:space="0" w:color="auto"/>
      </w:divBdr>
    </w:div>
    <w:div w:id="1618675559">
      <w:marLeft w:val="0"/>
      <w:marRight w:val="0"/>
      <w:marTop w:val="100"/>
      <w:marBottom w:val="0"/>
      <w:divBdr>
        <w:top w:val="none" w:sz="0" w:space="0" w:color="auto"/>
        <w:left w:val="none" w:sz="0" w:space="0" w:color="auto"/>
        <w:bottom w:val="none" w:sz="0" w:space="0" w:color="auto"/>
        <w:right w:val="none" w:sz="0" w:space="0" w:color="auto"/>
      </w:divBdr>
    </w:div>
    <w:div w:id="1621767966">
      <w:marLeft w:val="0"/>
      <w:marRight w:val="0"/>
      <w:marTop w:val="100"/>
      <w:marBottom w:val="0"/>
      <w:divBdr>
        <w:top w:val="none" w:sz="0" w:space="0" w:color="auto"/>
        <w:left w:val="none" w:sz="0" w:space="0" w:color="auto"/>
        <w:bottom w:val="none" w:sz="0" w:space="0" w:color="auto"/>
        <w:right w:val="none" w:sz="0" w:space="0" w:color="auto"/>
      </w:divBdr>
    </w:div>
    <w:div w:id="1621839050">
      <w:marLeft w:val="0"/>
      <w:marRight w:val="0"/>
      <w:marTop w:val="100"/>
      <w:marBottom w:val="0"/>
      <w:divBdr>
        <w:top w:val="none" w:sz="0" w:space="0" w:color="auto"/>
        <w:left w:val="none" w:sz="0" w:space="0" w:color="auto"/>
        <w:bottom w:val="none" w:sz="0" w:space="0" w:color="auto"/>
        <w:right w:val="none" w:sz="0" w:space="0" w:color="auto"/>
      </w:divBdr>
    </w:div>
    <w:div w:id="1621910650">
      <w:marLeft w:val="0"/>
      <w:marRight w:val="0"/>
      <w:marTop w:val="40"/>
      <w:marBottom w:val="0"/>
      <w:divBdr>
        <w:top w:val="none" w:sz="0" w:space="0" w:color="auto"/>
        <w:left w:val="none" w:sz="0" w:space="0" w:color="auto"/>
        <w:bottom w:val="none" w:sz="0" w:space="0" w:color="auto"/>
        <w:right w:val="none" w:sz="0" w:space="0" w:color="auto"/>
      </w:divBdr>
    </w:div>
    <w:div w:id="1621959127">
      <w:marLeft w:val="0"/>
      <w:marRight w:val="0"/>
      <w:marTop w:val="0"/>
      <w:marBottom w:val="0"/>
      <w:divBdr>
        <w:top w:val="none" w:sz="0" w:space="0" w:color="auto"/>
        <w:left w:val="none" w:sz="0" w:space="0" w:color="auto"/>
        <w:bottom w:val="none" w:sz="0" w:space="0" w:color="auto"/>
        <w:right w:val="none" w:sz="0" w:space="0" w:color="auto"/>
      </w:divBdr>
      <w:divsChild>
        <w:div w:id="1796631638">
          <w:marLeft w:val="0"/>
          <w:marRight w:val="0"/>
          <w:marTop w:val="0"/>
          <w:marBottom w:val="0"/>
          <w:divBdr>
            <w:top w:val="none" w:sz="0" w:space="0" w:color="auto"/>
            <w:left w:val="none" w:sz="0" w:space="0" w:color="auto"/>
            <w:bottom w:val="none" w:sz="0" w:space="0" w:color="auto"/>
            <w:right w:val="none" w:sz="0" w:space="0" w:color="auto"/>
          </w:divBdr>
        </w:div>
        <w:div w:id="971250305">
          <w:marLeft w:val="0"/>
          <w:marRight w:val="0"/>
          <w:marTop w:val="0"/>
          <w:marBottom w:val="0"/>
          <w:divBdr>
            <w:top w:val="none" w:sz="0" w:space="0" w:color="auto"/>
            <w:left w:val="none" w:sz="0" w:space="0" w:color="auto"/>
            <w:bottom w:val="none" w:sz="0" w:space="0" w:color="auto"/>
            <w:right w:val="none" w:sz="0" w:space="0" w:color="auto"/>
          </w:divBdr>
        </w:div>
      </w:divsChild>
    </w:div>
    <w:div w:id="1624342037">
      <w:marLeft w:val="0"/>
      <w:marRight w:val="0"/>
      <w:marTop w:val="0"/>
      <w:marBottom w:val="0"/>
      <w:divBdr>
        <w:top w:val="none" w:sz="0" w:space="0" w:color="auto"/>
        <w:left w:val="none" w:sz="0" w:space="0" w:color="auto"/>
        <w:bottom w:val="none" w:sz="0" w:space="0" w:color="auto"/>
        <w:right w:val="none" w:sz="0" w:space="0" w:color="auto"/>
      </w:divBdr>
      <w:divsChild>
        <w:div w:id="152989416">
          <w:marLeft w:val="0"/>
          <w:marRight w:val="0"/>
          <w:marTop w:val="0"/>
          <w:marBottom w:val="0"/>
          <w:divBdr>
            <w:top w:val="none" w:sz="0" w:space="0" w:color="auto"/>
            <w:left w:val="none" w:sz="0" w:space="0" w:color="auto"/>
            <w:bottom w:val="none" w:sz="0" w:space="0" w:color="auto"/>
            <w:right w:val="none" w:sz="0" w:space="0" w:color="auto"/>
          </w:divBdr>
        </w:div>
      </w:divsChild>
    </w:div>
    <w:div w:id="1625889783">
      <w:marLeft w:val="0"/>
      <w:marRight w:val="0"/>
      <w:marTop w:val="0"/>
      <w:marBottom w:val="0"/>
      <w:divBdr>
        <w:top w:val="none" w:sz="0" w:space="0" w:color="auto"/>
        <w:left w:val="none" w:sz="0" w:space="0" w:color="auto"/>
        <w:bottom w:val="none" w:sz="0" w:space="0" w:color="auto"/>
        <w:right w:val="none" w:sz="0" w:space="0" w:color="auto"/>
      </w:divBdr>
      <w:divsChild>
        <w:div w:id="2098936398">
          <w:marLeft w:val="0"/>
          <w:marRight w:val="0"/>
          <w:marTop w:val="0"/>
          <w:marBottom w:val="0"/>
          <w:divBdr>
            <w:top w:val="none" w:sz="0" w:space="0" w:color="auto"/>
            <w:left w:val="none" w:sz="0" w:space="0" w:color="auto"/>
            <w:bottom w:val="none" w:sz="0" w:space="0" w:color="auto"/>
            <w:right w:val="none" w:sz="0" w:space="0" w:color="auto"/>
          </w:divBdr>
        </w:div>
      </w:divsChild>
    </w:div>
    <w:div w:id="1628319831">
      <w:marLeft w:val="0"/>
      <w:marRight w:val="0"/>
      <w:marTop w:val="100"/>
      <w:marBottom w:val="0"/>
      <w:divBdr>
        <w:top w:val="none" w:sz="0" w:space="0" w:color="auto"/>
        <w:left w:val="none" w:sz="0" w:space="0" w:color="auto"/>
        <w:bottom w:val="none" w:sz="0" w:space="0" w:color="auto"/>
        <w:right w:val="none" w:sz="0" w:space="0" w:color="auto"/>
      </w:divBdr>
    </w:div>
    <w:div w:id="1628387562">
      <w:marLeft w:val="0"/>
      <w:marRight w:val="0"/>
      <w:marTop w:val="100"/>
      <w:marBottom w:val="0"/>
      <w:divBdr>
        <w:top w:val="none" w:sz="0" w:space="0" w:color="auto"/>
        <w:left w:val="none" w:sz="0" w:space="0" w:color="auto"/>
        <w:bottom w:val="none" w:sz="0" w:space="0" w:color="auto"/>
        <w:right w:val="none" w:sz="0" w:space="0" w:color="auto"/>
      </w:divBdr>
    </w:div>
    <w:div w:id="1629361672">
      <w:marLeft w:val="0"/>
      <w:marRight w:val="0"/>
      <w:marTop w:val="60"/>
      <w:marBottom w:val="0"/>
      <w:divBdr>
        <w:top w:val="none" w:sz="0" w:space="0" w:color="auto"/>
        <w:left w:val="none" w:sz="0" w:space="0" w:color="auto"/>
        <w:bottom w:val="none" w:sz="0" w:space="0" w:color="auto"/>
        <w:right w:val="none" w:sz="0" w:space="0" w:color="auto"/>
      </w:divBdr>
    </w:div>
    <w:div w:id="1630279111">
      <w:marLeft w:val="0"/>
      <w:marRight w:val="0"/>
      <w:marTop w:val="100"/>
      <w:marBottom w:val="0"/>
      <w:divBdr>
        <w:top w:val="none" w:sz="0" w:space="0" w:color="auto"/>
        <w:left w:val="none" w:sz="0" w:space="0" w:color="auto"/>
        <w:bottom w:val="none" w:sz="0" w:space="0" w:color="auto"/>
        <w:right w:val="none" w:sz="0" w:space="0" w:color="auto"/>
      </w:divBdr>
    </w:div>
    <w:div w:id="1630865486">
      <w:marLeft w:val="0"/>
      <w:marRight w:val="0"/>
      <w:marTop w:val="60"/>
      <w:marBottom w:val="0"/>
      <w:divBdr>
        <w:top w:val="none" w:sz="0" w:space="0" w:color="auto"/>
        <w:left w:val="none" w:sz="0" w:space="0" w:color="auto"/>
        <w:bottom w:val="none" w:sz="0" w:space="0" w:color="auto"/>
        <w:right w:val="none" w:sz="0" w:space="0" w:color="auto"/>
      </w:divBdr>
    </w:div>
    <w:div w:id="1631276246">
      <w:marLeft w:val="0"/>
      <w:marRight w:val="0"/>
      <w:marTop w:val="100"/>
      <w:marBottom w:val="100"/>
      <w:divBdr>
        <w:top w:val="none" w:sz="0" w:space="0" w:color="auto"/>
        <w:left w:val="none" w:sz="0" w:space="0" w:color="auto"/>
        <w:bottom w:val="none" w:sz="0" w:space="0" w:color="auto"/>
        <w:right w:val="none" w:sz="0" w:space="0" w:color="auto"/>
      </w:divBdr>
    </w:div>
    <w:div w:id="1631278198">
      <w:marLeft w:val="0"/>
      <w:marRight w:val="0"/>
      <w:marTop w:val="60"/>
      <w:marBottom w:val="0"/>
      <w:divBdr>
        <w:top w:val="none" w:sz="0" w:space="0" w:color="auto"/>
        <w:left w:val="none" w:sz="0" w:space="0" w:color="auto"/>
        <w:bottom w:val="none" w:sz="0" w:space="0" w:color="auto"/>
        <w:right w:val="none" w:sz="0" w:space="0" w:color="auto"/>
      </w:divBdr>
    </w:div>
    <w:div w:id="1631403635">
      <w:marLeft w:val="0"/>
      <w:marRight w:val="0"/>
      <w:marTop w:val="100"/>
      <w:marBottom w:val="0"/>
      <w:divBdr>
        <w:top w:val="none" w:sz="0" w:space="0" w:color="auto"/>
        <w:left w:val="none" w:sz="0" w:space="0" w:color="auto"/>
        <w:bottom w:val="none" w:sz="0" w:space="0" w:color="auto"/>
        <w:right w:val="none" w:sz="0" w:space="0" w:color="auto"/>
      </w:divBdr>
    </w:div>
    <w:div w:id="1635132597">
      <w:marLeft w:val="0"/>
      <w:marRight w:val="0"/>
      <w:marTop w:val="180"/>
      <w:marBottom w:val="180"/>
      <w:divBdr>
        <w:top w:val="none" w:sz="0" w:space="0" w:color="auto"/>
        <w:left w:val="none" w:sz="0" w:space="0" w:color="auto"/>
        <w:bottom w:val="none" w:sz="0" w:space="0" w:color="auto"/>
        <w:right w:val="none" w:sz="0" w:space="0" w:color="auto"/>
      </w:divBdr>
    </w:div>
    <w:div w:id="1637105666">
      <w:marLeft w:val="0"/>
      <w:marRight w:val="0"/>
      <w:marTop w:val="100"/>
      <w:marBottom w:val="0"/>
      <w:divBdr>
        <w:top w:val="none" w:sz="0" w:space="0" w:color="auto"/>
        <w:left w:val="none" w:sz="0" w:space="0" w:color="auto"/>
        <w:bottom w:val="none" w:sz="0" w:space="0" w:color="auto"/>
        <w:right w:val="none" w:sz="0" w:space="0" w:color="auto"/>
      </w:divBdr>
    </w:div>
    <w:div w:id="1638954418">
      <w:marLeft w:val="0"/>
      <w:marRight w:val="0"/>
      <w:marTop w:val="280"/>
      <w:marBottom w:val="0"/>
      <w:divBdr>
        <w:top w:val="none" w:sz="0" w:space="0" w:color="auto"/>
        <w:left w:val="none" w:sz="0" w:space="0" w:color="auto"/>
        <w:bottom w:val="none" w:sz="0" w:space="0" w:color="auto"/>
        <w:right w:val="none" w:sz="0" w:space="0" w:color="auto"/>
      </w:divBdr>
    </w:div>
    <w:div w:id="1639072392">
      <w:marLeft w:val="0"/>
      <w:marRight w:val="0"/>
      <w:marTop w:val="100"/>
      <w:marBottom w:val="0"/>
      <w:divBdr>
        <w:top w:val="none" w:sz="0" w:space="0" w:color="auto"/>
        <w:left w:val="none" w:sz="0" w:space="0" w:color="auto"/>
        <w:bottom w:val="none" w:sz="0" w:space="0" w:color="auto"/>
        <w:right w:val="none" w:sz="0" w:space="0" w:color="auto"/>
      </w:divBdr>
    </w:div>
    <w:div w:id="1644238817">
      <w:marLeft w:val="0"/>
      <w:marRight w:val="0"/>
      <w:marTop w:val="100"/>
      <w:marBottom w:val="0"/>
      <w:divBdr>
        <w:top w:val="none" w:sz="0" w:space="0" w:color="auto"/>
        <w:left w:val="none" w:sz="0" w:space="0" w:color="auto"/>
        <w:bottom w:val="none" w:sz="0" w:space="0" w:color="auto"/>
        <w:right w:val="none" w:sz="0" w:space="0" w:color="auto"/>
      </w:divBdr>
    </w:div>
    <w:div w:id="1644265005">
      <w:marLeft w:val="0"/>
      <w:marRight w:val="0"/>
      <w:marTop w:val="100"/>
      <w:marBottom w:val="0"/>
      <w:divBdr>
        <w:top w:val="none" w:sz="0" w:space="0" w:color="auto"/>
        <w:left w:val="none" w:sz="0" w:space="0" w:color="auto"/>
        <w:bottom w:val="none" w:sz="0" w:space="0" w:color="auto"/>
        <w:right w:val="none" w:sz="0" w:space="0" w:color="auto"/>
      </w:divBdr>
    </w:div>
    <w:div w:id="1646160110">
      <w:marLeft w:val="0"/>
      <w:marRight w:val="0"/>
      <w:marTop w:val="100"/>
      <w:marBottom w:val="0"/>
      <w:divBdr>
        <w:top w:val="none" w:sz="0" w:space="0" w:color="auto"/>
        <w:left w:val="none" w:sz="0" w:space="0" w:color="auto"/>
        <w:bottom w:val="none" w:sz="0" w:space="0" w:color="auto"/>
        <w:right w:val="none" w:sz="0" w:space="0" w:color="auto"/>
      </w:divBdr>
    </w:div>
    <w:div w:id="1648241481">
      <w:marLeft w:val="0"/>
      <w:marRight w:val="0"/>
      <w:marTop w:val="0"/>
      <w:marBottom w:val="0"/>
      <w:divBdr>
        <w:top w:val="none" w:sz="0" w:space="0" w:color="auto"/>
        <w:left w:val="none" w:sz="0" w:space="0" w:color="auto"/>
        <w:bottom w:val="none" w:sz="0" w:space="0" w:color="auto"/>
        <w:right w:val="none" w:sz="0" w:space="0" w:color="auto"/>
      </w:divBdr>
      <w:divsChild>
        <w:div w:id="1539968832">
          <w:marLeft w:val="0"/>
          <w:marRight w:val="0"/>
          <w:marTop w:val="0"/>
          <w:marBottom w:val="0"/>
          <w:divBdr>
            <w:top w:val="none" w:sz="0" w:space="0" w:color="auto"/>
            <w:left w:val="none" w:sz="0" w:space="0" w:color="auto"/>
            <w:bottom w:val="none" w:sz="0" w:space="0" w:color="auto"/>
            <w:right w:val="none" w:sz="0" w:space="0" w:color="auto"/>
          </w:divBdr>
        </w:div>
        <w:div w:id="95447757">
          <w:marLeft w:val="0"/>
          <w:marRight w:val="0"/>
          <w:marTop w:val="0"/>
          <w:marBottom w:val="0"/>
          <w:divBdr>
            <w:top w:val="none" w:sz="0" w:space="0" w:color="auto"/>
            <w:left w:val="none" w:sz="0" w:space="0" w:color="auto"/>
            <w:bottom w:val="none" w:sz="0" w:space="0" w:color="auto"/>
            <w:right w:val="none" w:sz="0" w:space="0" w:color="auto"/>
          </w:divBdr>
        </w:div>
      </w:divsChild>
    </w:div>
    <w:div w:id="1650747700">
      <w:marLeft w:val="0"/>
      <w:marRight w:val="0"/>
      <w:marTop w:val="60"/>
      <w:marBottom w:val="0"/>
      <w:divBdr>
        <w:top w:val="none" w:sz="0" w:space="0" w:color="auto"/>
        <w:left w:val="none" w:sz="0" w:space="0" w:color="auto"/>
        <w:bottom w:val="none" w:sz="0" w:space="0" w:color="auto"/>
        <w:right w:val="none" w:sz="0" w:space="0" w:color="auto"/>
      </w:divBdr>
    </w:div>
    <w:div w:id="1651668619">
      <w:marLeft w:val="0"/>
      <w:marRight w:val="0"/>
      <w:marTop w:val="280"/>
      <w:marBottom w:val="0"/>
      <w:divBdr>
        <w:top w:val="none" w:sz="0" w:space="0" w:color="auto"/>
        <w:left w:val="none" w:sz="0" w:space="0" w:color="auto"/>
        <w:bottom w:val="none" w:sz="0" w:space="0" w:color="auto"/>
        <w:right w:val="none" w:sz="0" w:space="0" w:color="auto"/>
      </w:divBdr>
    </w:div>
    <w:div w:id="1653871674">
      <w:marLeft w:val="0"/>
      <w:marRight w:val="0"/>
      <w:marTop w:val="0"/>
      <w:marBottom w:val="0"/>
      <w:divBdr>
        <w:top w:val="none" w:sz="0" w:space="0" w:color="auto"/>
        <w:left w:val="none" w:sz="0" w:space="0" w:color="auto"/>
        <w:bottom w:val="none" w:sz="0" w:space="0" w:color="auto"/>
        <w:right w:val="none" w:sz="0" w:space="0" w:color="auto"/>
      </w:divBdr>
      <w:divsChild>
        <w:div w:id="1006636787">
          <w:marLeft w:val="0"/>
          <w:marRight w:val="0"/>
          <w:marTop w:val="0"/>
          <w:marBottom w:val="0"/>
          <w:divBdr>
            <w:top w:val="none" w:sz="0" w:space="0" w:color="auto"/>
            <w:left w:val="none" w:sz="0" w:space="0" w:color="auto"/>
            <w:bottom w:val="none" w:sz="0" w:space="0" w:color="auto"/>
            <w:right w:val="none" w:sz="0" w:space="0" w:color="auto"/>
          </w:divBdr>
        </w:div>
        <w:div w:id="170728139">
          <w:marLeft w:val="0"/>
          <w:marRight w:val="0"/>
          <w:marTop w:val="0"/>
          <w:marBottom w:val="0"/>
          <w:divBdr>
            <w:top w:val="none" w:sz="0" w:space="0" w:color="auto"/>
            <w:left w:val="none" w:sz="0" w:space="0" w:color="auto"/>
            <w:bottom w:val="none" w:sz="0" w:space="0" w:color="auto"/>
            <w:right w:val="none" w:sz="0" w:space="0" w:color="auto"/>
          </w:divBdr>
        </w:div>
      </w:divsChild>
    </w:div>
    <w:div w:id="1654137564">
      <w:marLeft w:val="0"/>
      <w:marRight w:val="0"/>
      <w:marTop w:val="280"/>
      <w:marBottom w:val="0"/>
      <w:divBdr>
        <w:top w:val="none" w:sz="0" w:space="0" w:color="auto"/>
        <w:left w:val="none" w:sz="0" w:space="0" w:color="auto"/>
        <w:bottom w:val="none" w:sz="0" w:space="0" w:color="auto"/>
        <w:right w:val="none" w:sz="0" w:space="0" w:color="auto"/>
      </w:divBdr>
    </w:div>
    <w:div w:id="1655524247">
      <w:marLeft w:val="0"/>
      <w:marRight w:val="0"/>
      <w:marTop w:val="100"/>
      <w:marBottom w:val="0"/>
      <w:divBdr>
        <w:top w:val="none" w:sz="0" w:space="0" w:color="auto"/>
        <w:left w:val="none" w:sz="0" w:space="0" w:color="auto"/>
        <w:bottom w:val="none" w:sz="0" w:space="0" w:color="auto"/>
        <w:right w:val="none" w:sz="0" w:space="0" w:color="auto"/>
      </w:divBdr>
    </w:div>
    <w:div w:id="1657300095">
      <w:marLeft w:val="0"/>
      <w:marRight w:val="0"/>
      <w:marTop w:val="100"/>
      <w:marBottom w:val="100"/>
      <w:divBdr>
        <w:top w:val="none" w:sz="0" w:space="0" w:color="auto"/>
        <w:left w:val="none" w:sz="0" w:space="0" w:color="auto"/>
        <w:bottom w:val="none" w:sz="0" w:space="0" w:color="auto"/>
        <w:right w:val="none" w:sz="0" w:space="0" w:color="auto"/>
      </w:divBdr>
      <w:divsChild>
        <w:div w:id="1793985968">
          <w:marLeft w:val="0"/>
          <w:marRight w:val="0"/>
          <w:marTop w:val="0"/>
          <w:marBottom w:val="0"/>
          <w:divBdr>
            <w:top w:val="none" w:sz="0" w:space="0" w:color="auto"/>
            <w:left w:val="none" w:sz="0" w:space="0" w:color="auto"/>
            <w:bottom w:val="none" w:sz="0" w:space="0" w:color="auto"/>
            <w:right w:val="none" w:sz="0" w:space="0" w:color="auto"/>
          </w:divBdr>
        </w:div>
        <w:div w:id="483469048">
          <w:marLeft w:val="0"/>
          <w:marRight w:val="0"/>
          <w:marTop w:val="0"/>
          <w:marBottom w:val="0"/>
          <w:divBdr>
            <w:top w:val="none" w:sz="0" w:space="0" w:color="auto"/>
            <w:left w:val="none" w:sz="0" w:space="0" w:color="auto"/>
            <w:bottom w:val="none" w:sz="0" w:space="0" w:color="auto"/>
            <w:right w:val="none" w:sz="0" w:space="0" w:color="auto"/>
          </w:divBdr>
        </w:div>
        <w:div w:id="2042319864">
          <w:marLeft w:val="0"/>
          <w:marRight w:val="0"/>
          <w:marTop w:val="0"/>
          <w:marBottom w:val="0"/>
          <w:divBdr>
            <w:top w:val="none" w:sz="0" w:space="0" w:color="auto"/>
            <w:left w:val="none" w:sz="0" w:space="0" w:color="auto"/>
            <w:bottom w:val="none" w:sz="0" w:space="0" w:color="auto"/>
            <w:right w:val="none" w:sz="0" w:space="0" w:color="auto"/>
          </w:divBdr>
        </w:div>
        <w:div w:id="84960755">
          <w:marLeft w:val="0"/>
          <w:marRight w:val="0"/>
          <w:marTop w:val="0"/>
          <w:marBottom w:val="0"/>
          <w:divBdr>
            <w:top w:val="none" w:sz="0" w:space="0" w:color="auto"/>
            <w:left w:val="none" w:sz="0" w:space="0" w:color="auto"/>
            <w:bottom w:val="none" w:sz="0" w:space="0" w:color="auto"/>
            <w:right w:val="none" w:sz="0" w:space="0" w:color="auto"/>
          </w:divBdr>
        </w:div>
        <w:div w:id="1287930564">
          <w:marLeft w:val="0"/>
          <w:marRight w:val="0"/>
          <w:marTop w:val="0"/>
          <w:marBottom w:val="0"/>
          <w:divBdr>
            <w:top w:val="none" w:sz="0" w:space="0" w:color="auto"/>
            <w:left w:val="none" w:sz="0" w:space="0" w:color="auto"/>
            <w:bottom w:val="none" w:sz="0" w:space="0" w:color="auto"/>
            <w:right w:val="none" w:sz="0" w:space="0" w:color="auto"/>
          </w:divBdr>
        </w:div>
        <w:div w:id="2106806909">
          <w:marLeft w:val="0"/>
          <w:marRight w:val="0"/>
          <w:marTop w:val="0"/>
          <w:marBottom w:val="0"/>
          <w:divBdr>
            <w:top w:val="none" w:sz="0" w:space="0" w:color="auto"/>
            <w:left w:val="none" w:sz="0" w:space="0" w:color="auto"/>
            <w:bottom w:val="none" w:sz="0" w:space="0" w:color="auto"/>
            <w:right w:val="none" w:sz="0" w:space="0" w:color="auto"/>
          </w:divBdr>
        </w:div>
      </w:divsChild>
    </w:div>
    <w:div w:id="1657612721">
      <w:marLeft w:val="0"/>
      <w:marRight w:val="0"/>
      <w:marTop w:val="280"/>
      <w:marBottom w:val="0"/>
      <w:divBdr>
        <w:top w:val="none" w:sz="0" w:space="0" w:color="auto"/>
        <w:left w:val="none" w:sz="0" w:space="0" w:color="auto"/>
        <w:bottom w:val="none" w:sz="0" w:space="0" w:color="auto"/>
        <w:right w:val="none" w:sz="0" w:space="0" w:color="auto"/>
      </w:divBdr>
    </w:div>
    <w:div w:id="1659842823">
      <w:marLeft w:val="0"/>
      <w:marRight w:val="0"/>
      <w:marTop w:val="100"/>
      <w:marBottom w:val="0"/>
      <w:divBdr>
        <w:top w:val="none" w:sz="0" w:space="0" w:color="auto"/>
        <w:left w:val="none" w:sz="0" w:space="0" w:color="auto"/>
        <w:bottom w:val="none" w:sz="0" w:space="0" w:color="auto"/>
        <w:right w:val="none" w:sz="0" w:space="0" w:color="auto"/>
      </w:divBdr>
    </w:div>
    <w:div w:id="1660571763">
      <w:marLeft w:val="0"/>
      <w:marRight w:val="0"/>
      <w:marTop w:val="0"/>
      <w:marBottom w:val="0"/>
      <w:divBdr>
        <w:top w:val="none" w:sz="0" w:space="0" w:color="auto"/>
        <w:left w:val="none" w:sz="0" w:space="0" w:color="auto"/>
        <w:bottom w:val="none" w:sz="0" w:space="0" w:color="auto"/>
        <w:right w:val="none" w:sz="0" w:space="0" w:color="auto"/>
      </w:divBdr>
      <w:divsChild>
        <w:div w:id="301811536">
          <w:marLeft w:val="0"/>
          <w:marRight w:val="0"/>
          <w:marTop w:val="0"/>
          <w:marBottom w:val="0"/>
          <w:divBdr>
            <w:top w:val="none" w:sz="0" w:space="0" w:color="auto"/>
            <w:left w:val="none" w:sz="0" w:space="0" w:color="auto"/>
            <w:bottom w:val="none" w:sz="0" w:space="0" w:color="auto"/>
            <w:right w:val="none" w:sz="0" w:space="0" w:color="auto"/>
          </w:divBdr>
        </w:div>
      </w:divsChild>
    </w:div>
    <w:div w:id="1660577088">
      <w:marLeft w:val="0"/>
      <w:marRight w:val="0"/>
      <w:marTop w:val="100"/>
      <w:marBottom w:val="0"/>
      <w:divBdr>
        <w:top w:val="none" w:sz="0" w:space="0" w:color="auto"/>
        <w:left w:val="none" w:sz="0" w:space="0" w:color="auto"/>
        <w:bottom w:val="none" w:sz="0" w:space="0" w:color="auto"/>
        <w:right w:val="none" w:sz="0" w:space="0" w:color="auto"/>
      </w:divBdr>
    </w:div>
    <w:div w:id="1661620282">
      <w:marLeft w:val="0"/>
      <w:marRight w:val="0"/>
      <w:marTop w:val="100"/>
      <w:marBottom w:val="0"/>
      <w:divBdr>
        <w:top w:val="none" w:sz="0" w:space="0" w:color="auto"/>
        <w:left w:val="none" w:sz="0" w:space="0" w:color="auto"/>
        <w:bottom w:val="none" w:sz="0" w:space="0" w:color="auto"/>
        <w:right w:val="none" w:sz="0" w:space="0" w:color="auto"/>
      </w:divBdr>
    </w:div>
    <w:div w:id="1662460513">
      <w:marLeft w:val="0"/>
      <w:marRight w:val="0"/>
      <w:marTop w:val="0"/>
      <w:marBottom w:val="0"/>
      <w:divBdr>
        <w:top w:val="none" w:sz="0" w:space="0" w:color="auto"/>
        <w:left w:val="none" w:sz="0" w:space="0" w:color="auto"/>
        <w:bottom w:val="none" w:sz="0" w:space="0" w:color="auto"/>
        <w:right w:val="none" w:sz="0" w:space="0" w:color="auto"/>
      </w:divBdr>
    </w:div>
    <w:div w:id="1662463307">
      <w:marLeft w:val="0"/>
      <w:marRight w:val="0"/>
      <w:marTop w:val="0"/>
      <w:marBottom w:val="0"/>
      <w:divBdr>
        <w:top w:val="none" w:sz="0" w:space="0" w:color="auto"/>
        <w:left w:val="none" w:sz="0" w:space="0" w:color="auto"/>
        <w:bottom w:val="none" w:sz="0" w:space="0" w:color="auto"/>
        <w:right w:val="none" w:sz="0" w:space="0" w:color="auto"/>
      </w:divBdr>
      <w:divsChild>
        <w:div w:id="1209146856">
          <w:marLeft w:val="0"/>
          <w:marRight w:val="0"/>
          <w:marTop w:val="0"/>
          <w:marBottom w:val="0"/>
          <w:divBdr>
            <w:top w:val="none" w:sz="0" w:space="0" w:color="auto"/>
            <w:left w:val="none" w:sz="0" w:space="0" w:color="auto"/>
            <w:bottom w:val="none" w:sz="0" w:space="0" w:color="auto"/>
            <w:right w:val="none" w:sz="0" w:space="0" w:color="auto"/>
          </w:divBdr>
        </w:div>
      </w:divsChild>
    </w:div>
    <w:div w:id="1665427307">
      <w:marLeft w:val="0"/>
      <w:marRight w:val="0"/>
      <w:marTop w:val="100"/>
      <w:marBottom w:val="0"/>
      <w:divBdr>
        <w:top w:val="none" w:sz="0" w:space="0" w:color="auto"/>
        <w:left w:val="none" w:sz="0" w:space="0" w:color="auto"/>
        <w:bottom w:val="none" w:sz="0" w:space="0" w:color="auto"/>
        <w:right w:val="none" w:sz="0" w:space="0" w:color="auto"/>
      </w:divBdr>
    </w:div>
    <w:div w:id="1666788369">
      <w:marLeft w:val="0"/>
      <w:marRight w:val="0"/>
      <w:marTop w:val="100"/>
      <w:marBottom w:val="0"/>
      <w:divBdr>
        <w:top w:val="none" w:sz="0" w:space="0" w:color="auto"/>
        <w:left w:val="none" w:sz="0" w:space="0" w:color="auto"/>
        <w:bottom w:val="none" w:sz="0" w:space="0" w:color="auto"/>
        <w:right w:val="none" w:sz="0" w:space="0" w:color="auto"/>
      </w:divBdr>
    </w:div>
    <w:div w:id="1667322622">
      <w:marLeft w:val="0"/>
      <w:marRight w:val="0"/>
      <w:marTop w:val="100"/>
      <w:marBottom w:val="0"/>
      <w:divBdr>
        <w:top w:val="none" w:sz="0" w:space="0" w:color="auto"/>
        <w:left w:val="none" w:sz="0" w:space="0" w:color="auto"/>
        <w:bottom w:val="none" w:sz="0" w:space="0" w:color="auto"/>
        <w:right w:val="none" w:sz="0" w:space="0" w:color="auto"/>
      </w:divBdr>
    </w:div>
    <w:div w:id="1671907735">
      <w:marLeft w:val="0"/>
      <w:marRight w:val="0"/>
      <w:marTop w:val="100"/>
      <w:marBottom w:val="0"/>
      <w:divBdr>
        <w:top w:val="none" w:sz="0" w:space="0" w:color="auto"/>
        <w:left w:val="none" w:sz="0" w:space="0" w:color="auto"/>
        <w:bottom w:val="none" w:sz="0" w:space="0" w:color="auto"/>
        <w:right w:val="none" w:sz="0" w:space="0" w:color="auto"/>
      </w:divBdr>
    </w:div>
    <w:div w:id="1672642083">
      <w:marLeft w:val="0"/>
      <w:marRight w:val="0"/>
      <w:marTop w:val="100"/>
      <w:marBottom w:val="0"/>
      <w:divBdr>
        <w:top w:val="none" w:sz="0" w:space="0" w:color="auto"/>
        <w:left w:val="none" w:sz="0" w:space="0" w:color="auto"/>
        <w:bottom w:val="none" w:sz="0" w:space="0" w:color="auto"/>
        <w:right w:val="none" w:sz="0" w:space="0" w:color="auto"/>
      </w:divBdr>
    </w:div>
    <w:div w:id="1675063873">
      <w:marLeft w:val="0"/>
      <w:marRight w:val="0"/>
      <w:marTop w:val="280"/>
      <w:marBottom w:val="0"/>
      <w:divBdr>
        <w:top w:val="none" w:sz="0" w:space="0" w:color="auto"/>
        <w:left w:val="none" w:sz="0" w:space="0" w:color="auto"/>
        <w:bottom w:val="none" w:sz="0" w:space="0" w:color="auto"/>
        <w:right w:val="none" w:sz="0" w:space="0" w:color="auto"/>
      </w:divBdr>
    </w:div>
    <w:div w:id="1675646565">
      <w:marLeft w:val="0"/>
      <w:marRight w:val="0"/>
      <w:marTop w:val="100"/>
      <w:marBottom w:val="0"/>
      <w:divBdr>
        <w:top w:val="none" w:sz="0" w:space="0" w:color="auto"/>
        <w:left w:val="none" w:sz="0" w:space="0" w:color="auto"/>
        <w:bottom w:val="none" w:sz="0" w:space="0" w:color="auto"/>
        <w:right w:val="none" w:sz="0" w:space="0" w:color="auto"/>
      </w:divBdr>
    </w:div>
    <w:div w:id="1677073898">
      <w:marLeft w:val="0"/>
      <w:marRight w:val="0"/>
      <w:marTop w:val="280"/>
      <w:marBottom w:val="0"/>
      <w:divBdr>
        <w:top w:val="none" w:sz="0" w:space="0" w:color="auto"/>
        <w:left w:val="none" w:sz="0" w:space="0" w:color="auto"/>
        <w:bottom w:val="none" w:sz="0" w:space="0" w:color="auto"/>
        <w:right w:val="none" w:sz="0" w:space="0" w:color="auto"/>
      </w:divBdr>
    </w:div>
    <w:div w:id="1677266719">
      <w:marLeft w:val="0"/>
      <w:marRight w:val="0"/>
      <w:marTop w:val="100"/>
      <w:marBottom w:val="0"/>
      <w:divBdr>
        <w:top w:val="none" w:sz="0" w:space="0" w:color="auto"/>
        <w:left w:val="none" w:sz="0" w:space="0" w:color="auto"/>
        <w:bottom w:val="none" w:sz="0" w:space="0" w:color="auto"/>
        <w:right w:val="none" w:sz="0" w:space="0" w:color="auto"/>
      </w:divBdr>
    </w:div>
    <w:div w:id="1678536526">
      <w:marLeft w:val="0"/>
      <w:marRight w:val="0"/>
      <w:marTop w:val="100"/>
      <w:marBottom w:val="0"/>
      <w:divBdr>
        <w:top w:val="none" w:sz="0" w:space="0" w:color="auto"/>
        <w:left w:val="none" w:sz="0" w:space="0" w:color="auto"/>
        <w:bottom w:val="none" w:sz="0" w:space="0" w:color="auto"/>
        <w:right w:val="none" w:sz="0" w:space="0" w:color="auto"/>
      </w:divBdr>
    </w:div>
    <w:div w:id="1679238521">
      <w:marLeft w:val="0"/>
      <w:marRight w:val="0"/>
      <w:marTop w:val="60"/>
      <w:marBottom w:val="0"/>
      <w:divBdr>
        <w:top w:val="none" w:sz="0" w:space="0" w:color="auto"/>
        <w:left w:val="none" w:sz="0" w:space="0" w:color="auto"/>
        <w:bottom w:val="none" w:sz="0" w:space="0" w:color="auto"/>
        <w:right w:val="none" w:sz="0" w:space="0" w:color="auto"/>
      </w:divBdr>
    </w:div>
    <w:div w:id="1681616803">
      <w:marLeft w:val="0"/>
      <w:marRight w:val="0"/>
      <w:marTop w:val="0"/>
      <w:marBottom w:val="0"/>
      <w:divBdr>
        <w:top w:val="none" w:sz="0" w:space="0" w:color="auto"/>
        <w:left w:val="none" w:sz="0" w:space="0" w:color="auto"/>
        <w:bottom w:val="none" w:sz="0" w:space="0" w:color="auto"/>
        <w:right w:val="none" w:sz="0" w:space="0" w:color="auto"/>
      </w:divBdr>
    </w:div>
    <w:div w:id="1683429559">
      <w:marLeft w:val="0"/>
      <w:marRight w:val="0"/>
      <w:marTop w:val="100"/>
      <w:marBottom w:val="0"/>
      <w:divBdr>
        <w:top w:val="none" w:sz="0" w:space="0" w:color="auto"/>
        <w:left w:val="none" w:sz="0" w:space="0" w:color="auto"/>
        <w:bottom w:val="none" w:sz="0" w:space="0" w:color="auto"/>
        <w:right w:val="none" w:sz="0" w:space="0" w:color="auto"/>
      </w:divBdr>
    </w:div>
    <w:div w:id="1683509676">
      <w:marLeft w:val="0"/>
      <w:marRight w:val="0"/>
      <w:marTop w:val="0"/>
      <w:marBottom w:val="0"/>
      <w:divBdr>
        <w:top w:val="none" w:sz="0" w:space="0" w:color="auto"/>
        <w:left w:val="none" w:sz="0" w:space="0" w:color="auto"/>
        <w:bottom w:val="none" w:sz="0" w:space="0" w:color="auto"/>
        <w:right w:val="none" w:sz="0" w:space="0" w:color="auto"/>
      </w:divBdr>
      <w:divsChild>
        <w:div w:id="1757363350">
          <w:marLeft w:val="0"/>
          <w:marRight w:val="0"/>
          <w:marTop w:val="0"/>
          <w:marBottom w:val="0"/>
          <w:divBdr>
            <w:top w:val="none" w:sz="0" w:space="0" w:color="auto"/>
            <w:left w:val="none" w:sz="0" w:space="0" w:color="auto"/>
            <w:bottom w:val="none" w:sz="0" w:space="0" w:color="auto"/>
            <w:right w:val="none" w:sz="0" w:space="0" w:color="auto"/>
          </w:divBdr>
        </w:div>
      </w:divsChild>
    </w:div>
    <w:div w:id="1685739753">
      <w:marLeft w:val="0"/>
      <w:marRight w:val="0"/>
      <w:marTop w:val="280"/>
      <w:marBottom w:val="0"/>
      <w:divBdr>
        <w:top w:val="none" w:sz="0" w:space="0" w:color="auto"/>
        <w:left w:val="none" w:sz="0" w:space="0" w:color="auto"/>
        <w:bottom w:val="none" w:sz="0" w:space="0" w:color="auto"/>
        <w:right w:val="none" w:sz="0" w:space="0" w:color="auto"/>
      </w:divBdr>
    </w:div>
    <w:div w:id="1688405563">
      <w:marLeft w:val="0"/>
      <w:marRight w:val="0"/>
      <w:marTop w:val="100"/>
      <w:marBottom w:val="100"/>
      <w:divBdr>
        <w:top w:val="none" w:sz="0" w:space="0" w:color="auto"/>
        <w:left w:val="none" w:sz="0" w:space="0" w:color="auto"/>
        <w:bottom w:val="none" w:sz="0" w:space="0" w:color="auto"/>
        <w:right w:val="none" w:sz="0" w:space="0" w:color="auto"/>
      </w:divBdr>
      <w:divsChild>
        <w:div w:id="1459689458">
          <w:marLeft w:val="0"/>
          <w:marRight w:val="0"/>
          <w:marTop w:val="0"/>
          <w:marBottom w:val="0"/>
          <w:divBdr>
            <w:top w:val="none" w:sz="0" w:space="0" w:color="auto"/>
            <w:left w:val="none" w:sz="0" w:space="0" w:color="auto"/>
            <w:bottom w:val="none" w:sz="0" w:space="0" w:color="auto"/>
            <w:right w:val="none" w:sz="0" w:space="0" w:color="auto"/>
          </w:divBdr>
        </w:div>
        <w:div w:id="1087071239">
          <w:marLeft w:val="0"/>
          <w:marRight w:val="0"/>
          <w:marTop w:val="0"/>
          <w:marBottom w:val="0"/>
          <w:divBdr>
            <w:top w:val="none" w:sz="0" w:space="0" w:color="auto"/>
            <w:left w:val="none" w:sz="0" w:space="0" w:color="auto"/>
            <w:bottom w:val="none" w:sz="0" w:space="0" w:color="auto"/>
            <w:right w:val="none" w:sz="0" w:space="0" w:color="auto"/>
          </w:divBdr>
        </w:div>
        <w:div w:id="2078625556">
          <w:marLeft w:val="0"/>
          <w:marRight w:val="0"/>
          <w:marTop w:val="0"/>
          <w:marBottom w:val="0"/>
          <w:divBdr>
            <w:top w:val="none" w:sz="0" w:space="0" w:color="auto"/>
            <w:left w:val="none" w:sz="0" w:space="0" w:color="auto"/>
            <w:bottom w:val="none" w:sz="0" w:space="0" w:color="auto"/>
            <w:right w:val="none" w:sz="0" w:space="0" w:color="auto"/>
          </w:divBdr>
        </w:div>
        <w:div w:id="1219319257">
          <w:marLeft w:val="0"/>
          <w:marRight w:val="0"/>
          <w:marTop w:val="0"/>
          <w:marBottom w:val="0"/>
          <w:divBdr>
            <w:top w:val="none" w:sz="0" w:space="0" w:color="auto"/>
            <w:left w:val="none" w:sz="0" w:space="0" w:color="auto"/>
            <w:bottom w:val="none" w:sz="0" w:space="0" w:color="auto"/>
            <w:right w:val="none" w:sz="0" w:space="0" w:color="auto"/>
          </w:divBdr>
        </w:div>
        <w:div w:id="264461053">
          <w:marLeft w:val="0"/>
          <w:marRight w:val="0"/>
          <w:marTop w:val="0"/>
          <w:marBottom w:val="0"/>
          <w:divBdr>
            <w:top w:val="none" w:sz="0" w:space="0" w:color="auto"/>
            <w:left w:val="none" w:sz="0" w:space="0" w:color="auto"/>
            <w:bottom w:val="none" w:sz="0" w:space="0" w:color="auto"/>
            <w:right w:val="none" w:sz="0" w:space="0" w:color="auto"/>
          </w:divBdr>
        </w:div>
      </w:divsChild>
    </w:div>
    <w:div w:id="1688949175">
      <w:marLeft w:val="0"/>
      <w:marRight w:val="0"/>
      <w:marTop w:val="100"/>
      <w:marBottom w:val="100"/>
      <w:divBdr>
        <w:top w:val="none" w:sz="0" w:space="0" w:color="auto"/>
        <w:left w:val="none" w:sz="0" w:space="0" w:color="auto"/>
        <w:bottom w:val="none" w:sz="0" w:space="0" w:color="auto"/>
        <w:right w:val="none" w:sz="0" w:space="0" w:color="auto"/>
      </w:divBdr>
    </w:div>
    <w:div w:id="1689986115">
      <w:marLeft w:val="0"/>
      <w:marRight w:val="0"/>
      <w:marTop w:val="100"/>
      <w:marBottom w:val="0"/>
      <w:divBdr>
        <w:top w:val="none" w:sz="0" w:space="0" w:color="auto"/>
        <w:left w:val="none" w:sz="0" w:space="0" w:color="auto"/>
        <w:bottom w:val="none" w:sz="0" w:space="0" w:color="auto"/>
        <w:right w:val="none" w:sz="0" w:space="0" w:color="auto"/>
      </w:divBdr>
    </w:div>
    <w:div w:id="1689986913">
      <w:marLeft w:val="0"/>
      <w:marRight w:val="0"/>
      <w:marTop w:val="60"/>
      <w:marBottom w:val="0"/>
      <w:divBdr>
        <w:top w:val="none" w:sz="0" w:space="0" w:color="auto"/>
        <w:left w:val="none" w:sz="0" w:space="0" w:color="auto"/>
        <w:bottom w:val="none" w:sz="0" w:space="0" w:color="auto"/>
        <w:right w:val="none" w:sz="0" w:space="0" w:color="auto"/>
      </w:divBdr>
    </w:div>
    <w:div w:id="1690596835">
      <w:marLeft w:val="0"/>
      <w:marRight w:val="0"/>
      <w:marTop w:val="60"/>
      <w:marBottom w:val="0"/>
      <w:divBdr>
        <w:top w:val="none" w:sz="0" w:space="0" w:color="auto"/>
        <w:left w:val="none" w:sz="0" w:space="0" w:color="auto"/>
        <w:bottom w:val="none" w:sz="0" w:space="0" w:color="auto"/>
        <w:right w:val="none" w:sz="0" w:space="0" w:color="auto"/>
      </w:divBdr>
    </w:div>
    <w:div w:id="1691640187">
      <w:marLeft w:val="0"/>
      <w:marRight w:val="0"/>
      <w:marTop w:val="100"/>
      <w:marBottom w:val="0"/>
      <w:divBdr>
        <w:top w:val="none" w:sz="0" w:space="0" w:color="auto"/>
        <w:left w:val="none" w:sz="0" w:space="0" w:color="auto"/>
        <w:bottom w:val="none" w:sz="0" w:space="0" w:color="auto"/>
        <w:right w:val="none" w:sz="0" w:space="0" w:color="auto"/>
      </w:divBdr>
    </w:div>
    <w:div w:id="1693409742">
      <w:marLeft w:val="0"/>
      <w:marRight w:val="0"/>
      <w:marTop w:val="100"/>
      <w:marBottom w:val="0"/>
      <w:divBdr>
        <w:top w:val="none" w:sz="0" w:space="0" w:color="auto"/>
        <w:left w:val="none" w:sz="0" w:space="0" w:color="auto"/>
        <w:bottom w:val="none" w:sz="0" w:space="0" w:color="auto"/>
        <w:right w:val="none" w:sz="0" w:space="0" w:color="auto"/>
      </w:divBdr>
    </w:div>
    <w:div w:id="1694307198">
      <w:marLeft w:val="0"/>
      <w:marRight w:val="0"/>
      <w:marTop w:val="280"/>
      <w:marBottom w:val="0"/>
      <w:divBdr>
        <w:top w:val="none" w:sz="0" w:space="0" w:color="auto"/>
        <w:left w:val="none" w:sz="0" w:space="0" w:color="auto"/>
        <w:bottom w:val="none" w:sz="0" w:space="0" w:color="auto"/>
        <w:right w:val="none" w:sz="0" w:space="0" w:color="auto"/>
      </w:divBdr>
    </w:div>
    <w:div w:id="1695230801">
      <w:marLeft w:val="0"/>
      <w:marRight w:val="0"/>
      <w:marTop w:val="240"/>
      <w:marBottom w:val="0"/>
      <w:divBdr>
        <w:top w:val="none" w:sz="0" w:space="0" w:color="auto"/>
        <w:left w:val="none" w:sz="0" w:space="0" w:color="auto"/>
        <w:bottom w:val="none" w:sz="0" w:space="0" w:color="auto"/>
        <w:right w:val="none" w:sz="0" w:space="0" w:color="auto"/>
      </w:divBdr>
    </w:div>
    <w:div w:id="1695765878">
      <w:marLeft w:val="0"/>
      <w:marRight w:val="0"/>
      <w:marTop w:val="100"/>
      <w:marBottom w:val="0"/>
      <w:divBdr>
        <w:top w:val="none" w:sz="0" w:space="0" w:color="auto"/>
        <w:left w:val="none" w:sz="0" w:space="0" w:color="auto"/>
        <w:bottom w:val="none" w:sz="0" w:space="0" w:color="auto"/>
        <w:right w:val="none" w:sz="0" w:space="0" w:color="auto"/>
      </w:divBdr>
    </w:div>
    <w:div w:id="1697849362">
      <w:marLeft w:val="0"/>
      <w:marRight w:val="0"/>
      <w:marTop w:val="100"/>
      <w:marBottom w:val="0"/>
      <w:divBdr>
        <w:top w:val="none" w:sz="0" w:space="0" w:color="auto"/>
        <w:left w:val="none" w:sz="0" w:space="0" w:color="auto"/>
        <w:bottom w:val="none" w:sz="0" w:space="0" w:color="auto"/>
        <w:right w:val="none" w:sz="0" w:space="0" w:color="auto"/>
      </w:divBdr>
    </w:div>
    <w:div w:id="1698196549">
      <w:marLeft w:val="0"/>
      <w:marRight w:val="0"/>
      <w:marTop w:val="0"/>
      <w:marBottom w:val="0"/>
      <w:divBdr>
        <w:top w:val="none" w:sz="0" w:space="0" w:color="auto"/>
        <w:left w:val="none" w:sz="0" w:space="0" w:color="auto"/>
        <w:bottom w:val="none" w:sz="0" w:space="0" w:color="auto"/>
        <w:right w:val="none" w:sz="0" w:space="0" w:color="auto"/>
      </w:divBdr>
      <w:divsChild>
        <w:div w:id="2031301354">
          <w:marLeft w:val="0"/>
          <w:marRight w:val="0"/>
          <w:marTop w:val="0"/>
          <w:marBottom w:val="0"/>
          <w:divBdr>
            <w:top w:val="none" w:sz="0" w:space="0" w:color="auto"/>
            <w:left w:val="none" w:sz="0" w:space="0" w:color="auto"/>
            <w:bottom w:val="none" w:sz="0" w:space="0" w:color="auto"/>
            <w:right w:val="none" w:sz="0" w:space="0" w:color="auto"/>
          </w:divBdr>
        </w:div>
      </w:divsChild>
    </w:div>
    <w:div w:id="1703238950">
      <w:marLeft w:val="0"/>
      <w:marRight w:val="0"/>
      <w:marTop w:val="280"/>
      <w:marBottom w:val="0"/>
      <w:divBdr>
        <w:top w:val="none" w:sz="0" w:space="0" w:color="auto"/>
        <w:left w:val="none" w:sz="0" w:space="0" w:color="auto"/>
        <w:bottom w:val="none" w:sz="0" w:space="0" w:color="auto"/>
        <w:right w:val="none" w:sz="0" w:space="0" w:color="auto"/>
      </w:divBdr>
    </w:div>
    <w:div w:id="1705012643">
      <w:marLeft w:val="0"/>
      <w:marRight w:val="0"/>
      <w:marTop w:val="0"/>
      <w:marBottom w:val="0"/>
      <w:divBdr>
        <w:top w:val="none" w:sz="0" w:space="0" w:color="auto"/>
        <w:left w:val="none" w:sz="0" w:space="0" w:color="auto"/>
        <w:bottom w:val="none" w:sz="0" w:space="0" w:color="auto"/>
        <w:right w:val="none" w:sz="0" w:space="0" w:color="auto"/>
      </w:divBdr>
    </w:div>
    <w:div w:id="1708681243">
      <w:marLeft w:val="0"/>
      <w:marRight w:val="0"/>
      <w:marTop w:val="100"/>
      <w:marBottom w:val="0"/>
      <w:divBdr>
        <w:top w:val="none" w:sz="0" w:space="0" w:color="auto"/>
        <w:left w:val="none" w:sz="0" w:space="0" w:color="auto"/>
        <w:bottom w:val="none" w:sz="0" w:space="0" w:color="auto"/>
        <w:right w:val="none" w:sz="0" w:space="0" w:color="auto"/>
      </w:divBdr>
    </w:div>
    <w:div w:id="1708946815">
      <w:marLeft w:val="0"/>
      <w:marRight w:val="0"/>
      <w:marTop w:val="60"/>
      <w:marBottom w:val="0"/>
      <w:divBdr>
        <w:top w:val="none" w:sz="0" w:space="0" w:color="auto"/>
        <w:left w:val="none" w:sz="0" w:space="0" w:color="auto"/>
        <w:bottom w:val="none" w:sz="0" w:space="0" w:color="auto"/>
        <w:right w:val="none" w:sz="0" w:space="0" w:color="auto"/>
      </w:divBdr>
    </w:div>
    <w:div w:id="1714961122">
      <w:marLeft w:val="0"/>
      <w:marRight w:val="0"/>
      <w:marTop w:val="100"/>
      <w:marBottom w:val="0"/>
      <w:divBdr>
        <w:top w:val="none" w:sz="0" w:space="0" w:color="auto"/>
        <w:left w:val="none" w:sz="0" w:space="0" w:color="auto"/>
        <w:bottom w:val="none" w:sz="0" w:space="0" w:color="auto"/>
        <w:right w:val="none" w:sz="0" w:space="0" w:color="auto"/>
      </w:divBdr>
    </w:div>
    <w:div w:id="1718820124">
      <w:marLeft w:val="0"/>
      <w:marRight w:val="0"/>
      <w:marTop w:val="0"/>
      <w:marBottom w:val="0"/>
      <w:divBdr>
        <w:top w:val="none" w:sz="0" w:space="0" w:color="auto"/>
        <w:left w:val="none" w:sz="0" w:space="0" w:color="auto"/>
        <w:bottom w:val="none" w:sz="0" w:space="0" w:color="auto"/>
        <w:right w:val="none" w:sz="0" w:space="0" w:color="auto"/>
      </w:divBdr>
      <w:divsChild>
        <w:div w:id="1576816601">
          <w:marLeft w:val="0"/>
          <w:marRight w:val="0"/>
          <w:marTop w:val="0"/>
          <w:marBottom w:val="0"/>
          <w:divBdr>
            <w:top w:val="none" w:sz="0" w:space="0" w:color="auto"/>
            <w:left w:val="none" w:sz="0" w:space="0" w:color="auto"/>
            <w:bottom w:val="none" w:sz="0" w:space="0" w:color="auto"/>
            <w:right w:val="none" w:sz="0" w:space="0" w:color="auto"/>
          </w:divBdr>
        </w:div>
        <w:div w:id="1415281729">
          <w:marLeft w:val="0"/>
          <w:marRight w:val="0"/>
          <w:marTop w:val="0"/>
          <w:marBottom w:val="0"/>
          <w:divBdr>
            <w:top w:val="none" w:sz="0" w:space="0" w:color="auto"/>
            <w:left w:val="none" w:sz="0" w:space="0" w:color="auto"/>
            <w:bottom w:val="none" w:sz="0" w:space="0" w:color="auto"/>
            <w:right w:val="none" w:sz="0" w:space="0" w:color="auto"/>
          </w:divBdr>
        </w:div>
      </w:divsChild>
    </w:div>
    <w:div w:id="1719082324">
      <w:marLeft w:val="0"/>
      <w:marRight w:val="0"/>
      <w:marTop w:val="280"/>
      <w:marBottom w:val="0"/>
      <w:divBdr>
        <w:top w:val="none" w:sz="0" w:space="0" w:color="auto"/>
        <w:left w:val="none" w:sz="0" w:space="0" w:color="auto"/>
        <w:bottom w:val="none" w:sz="0" w:space="0" w:color="auto"/>
        <w:right w:val="none" w:sz="0" w:space="0" w:color="auto"/>
      </w:divBdr>
    </w:div>
    <w:div w:id="1722242162">
      <w:marLeft w:val="0"/>
      <w:marRight w:val="0"/>
      <w:marTop w:val="100"/>
      <w:marBottom w:val="0"/>
      <w:divBdr>
        <w:top w:val="none" w:sz="0" w:space="0" w:color="auto"/>
        <w:left w:val="none" w:sz="0" w:space="0" w:color="auto"/>
        <w:bottom w:val="none" w:sz="0" w:space="0" w:color="auto"/>
        <w:right w:val="none" w:sz="0" w:space="0" w:color="auto"/>
      </w:divBdr>
    </w:div>
    <w:div w:id="1722291121">
      <w:marLeft w:val="0"/>
      <w:marRight w:val="0"/>
      <w:marTop w:val="0"/>
      <w:marBottom w:val="0"/>
      <w:divBdr>
        <w:top w:val="none" w:sz="0" w:space="0" w:color="auto"/>
        <w:left w:val="none" w:sz="0" w:space="0" w:color="auto"/>
        <w:bottom w:val="none" w:sz="0" w:space="0" w:color="auto"/>
        <w:right w:val="none" w:sz="0" w:space="0" w:color="auto"/>
      </w:divBdr>
      <w:divsChild>
        <w:div w:id="1972249847">
          <w:marLeft w:val="0"/>
          <w:marRight w:val="0"/>
          <w:marTop w:val="0"/>
          <w:marBottom w:val="0"/>
          <w:divBdr>
            <w:top w:val="none" w:sz="0" w:space="0" w:color="auto"/>
            <w:left w:val="none" w:sz="0" w:space="0" w:color="auto"/>
            <w:bottom w:val="none" w:sz="0" w:space="0" w:color="auto"/>
            <w:right w:val="none" w:sz="0" w:space="0" w:color="auto"/>
          </w:divBdr>
        </w:div>
        <w:div w:id="607857606">
          <w:marLeft w:val="0"/>
          <w:marRight w:val="0"/>
          <w:marTop w:val="0"/>
          <w:marBottom w:val="0"/>
          <w:divBdr>
            <w:top w:val="none" w:sz="0" w:space="0" w:color="auto"/>
            <w:left w:val="none" w:sz="0" w:space="0" w:color="auto"/>
            <w:bottom w:val="none" w:sz="0" w:space="0" w:color="auto"/>
            <w:right w:val="none" w:sz="0" w:space="0" w:color="auto"/>
          </w:divBdr>
        </w:div>
      </w:divsChild>
    </w:div>
    <w:div w:id="1723288484">
      <w:marLeft w:val="0"/>
      <w:marRight w:val="0"/>
      <w:marTop w:val="100"/>
      <w:marBottom w:val="0"/>
      <w:divBdr>
        <w:top w:val="none" w:sz="0" w:space="0" w:color="auto"/>
        <w:left w:val="none" w:sz="0" w:space="0" w:color="auto"/>
        <w:bottom w:val="none" w:sz="0" w:space="0" w:color="auto"/>
        <w:right w:val="none" w:sz="0" w:space="0" w:color="auto"/>
      </w:divBdr>
    </w:div>
    <w:div w:id="1723870137">
      <w:marLeft w:val="0"/>
      <w:marRight w:val="0"/>
      <w:marTop w:val="40"/>
      <w:marBottom w:val="0"/>
      <w:divBdr>
        <w:top w:val="none" w:sz="0" w:space="0" w:color="auto"/>
        <w:left w:val="none" w:sz="0" w:space="0" w:color="auto"/>
        <w:bottom w:val="none" w:sz="0" w:space="0" w:color="auto"/>
        <w:right w:val="none" w:sz="0" w:space="0" w:color="auto"/>
      </w:divBdr>
    </w:div>
    <w:div w:id="1724718796">
      <w:marLeft w:val="0"/>
      <w:marRight w:val="0"/>
      <w:marTop w:val="100"/>
      <w:marBottom w:val="0"/>
      <w:divBdr>
        <w:top w:val="none" w:sz="0" w:space="0" w:color="auto"/>
        <w:left w:val="none" w:sz="0" w:space="0" w:color="auto"/>
        <w:bottom w:val="none" w:sz="0" w:space="0" w:color="auto"/>
        <w:right w:val="none" w:sz="0" w:space="0" w:color="auto"/>
      </w:divBdr>
    </w:div>
    <w:div w:id="1725373847">
      <w:marLeft w:val="0"/>
      <w:marRight w:val="0"/>
      <w:marTop w:val="100"/>
      <w:marBottom w:val="0"/>
      <w:divBdr>
        <w:top w:val="none" w:sz="0" w:space="0" w:color="auto"/>
        <w:left w:val="none" w:sz="0" w:space="0" w:color="auto"/>
        <w:bottom w:val="none" w:sz="0" w:space="0" w:color="auto"/>
        <w:right w:val="none" w:sz="0" w:space="0" w:color="auto"/>
      </w:divBdr>
    </w:div>
    <w:div w:id="1725519522">
      <w:marLeft w:val="0"/>
      <w:marRight w:val="0"/>
      <w:marTop w:val="0"/>
      <w:marBottom w:val="0"/>
      <w:divBdr>
        <w:top w:val="none" w:sz="0" w:space="0" w:color="auto"/>
        <w:left w:val="none" w:sz="0" w:space="0" w:color="auto"/>
        <w:bottom w:val="none" w:sz="0" w:space="0" w:color="auto"/>
        <w:right w:val="none" w:sz="0" w:space="0" w:color="auto"/>
      </w:divBdr>
      <w:divsChild>
        <w:div w:id="1953702176">
          <w:marLeft w:val="0"/>
          <w:marRight w:val="0"/>
          <w:marTop w:val="0"/>
          <w:marBottom w:val="0"/>
          <w:divBdr>
            <w:top w:val="none" w:sz="0" w:space="0" w:color="auto"/>
            <w:left w:val="none" w:sz="0" w:space="0" w:color="auto"/>
            <w:bottom w:val="none" w:sz="0" w:space="0" w:color="auto"/>
            <w:right w:val="none" w:sz="0" w:space="0" w:color="auto"/>
          </w:divBdr>
        </w:div>
      </w:divsChild>
    </w:div>
    <w:div w:id="1726904509">
      <w:marLeft w:val="0"/>
      <w:marRight w:val="0"/>
      <w:marTop w:val="100"/>
      <w:marBottom w:val="0"/>
      <w:divBdr>
        <w:top w:val="none" w:sz="0" w:space="0" w:color="auto"/>
        <w:left w:val="none" w:sz="0" w:space="0" w:color="auto"/>
        <w:bottom w:val="none" w:sz="0" w:space="0" w:color="auto"/>
        <w:right w:val="none" w:sz="0" w:space="0" w:color="auto"/>
      </w:divBdr>
    </w:div>
    <w:div w:id="1727298734">
      <w:marLeft w:val="0"/>
      <w:marRight w:val="0"/>
      <w:marTop w:val="100"/>
      <w:marBottom w:val="0"/>
      <w:divBdr>
        <w:top w:val="none" w:sz="0" w:space="0" w:color="auto"/>
        <w:left w:val="none" w:sz="0" w:space="0" w:color="auto"/>
        <w:bottom w:val="none" w:sz="0" w:space="0" w:color="auto"/>
        <w:right w:val="none" w:sz="0" w:space="0" w:color="auto"/>
      </w:divBdr>
    </w:div>
    <w:div w:id="1727414890">
      <w:marLeft w:val="0"/>
      <w:marRight w:val="0"/>
      <w:marTop w:val="100"/>
      <w:marBottom w:val="0"/>
      <w:divBdr>
        <w:top w:val="none" w:sz="0" w:space="0" w:color="auto"/>
        <w:left w:val="none" w:sz="0" w:space="0" w:color="auto"/>
        <w:bottom w:val="none" w:sz="0" w:space="0" w:color="auto"/>
        <w:right w:val="none" w:sz="0" w:space="0" w:color="auto"/>
      </w:divBdr>
    </w:div>
    <w:div w:id="1728072431">
      <w:marLeft w:val="0"/>
      <w:marRight w:val="0"/>
      <w:marTop w:val="280"/>
      <w:marBottom w:val="0"/>
      <w:divBdr>
        <w:top w:val="none" w:sz="0" w:space="0" w:color="auto"/>
        <w:left w:val="none" w:sz="0" w:space="0" w:color="auto"/>
        <w:bottom w:val="none" w:sz="0" w:space="0" w:color="auto"/>
        <w:right w:val="none" w:sz="0" w:space="0" w:color="auto"/>
      </w:divBdr>
    </w:div>
    <w:div w:id="1729106289">
      <w:marLeft w:val="0"/>
      <w:marRight w:val="0"/>
      <w:marTop w:val="60"/>
      <w:marBottom w:val="0"/>
      <w:divBdr>
        <w:top w:val="none" w:sz="0" w:space="0" w:color="auto"/>
        <w:left w:val="none" w:sz="0" w:space="0" w:color="auto"/>
        <w:bottom w:val="none" w:sz="0" w:space="0" w:color="auto"/>
        <w:right w:val="none" w:sz="0" w:space="0" w:color="auto"/>
      </w:divBdr>
    </w:div>
    <w:div w:id="1729258184">
      <w:marLeft w:val="0"/>
      <w:marRight w:val="0"/>
      <w:marTop w:val="100"/>
      <w:marBottom w:val="0"/>
      <w:divBdr>
        <w:top w:val="none" w:sz="0" w:space="0" w:color="auto"/>
        <w:left w:val="none" w:sz="0" w:space="0" w:color="auto"/>
        <w:bottom w:val="none" w:sz="0" w:space="0" w:color="auto"/>
        <w:right w:val="none" w:sz="0" w:space="0" w:color="auto"/>
      </w:divBdr>
    </w:div>
    <w:div w:id="1729767576">
      <w:marLeft w:val="0"/>
      <w:marRight w:val="0"/>
      <w:marTop w:val="60"/>
      <w:marBottom w:val="0"/>
      <w:divBdr>
        <w:top w:val="none" w:sz="0" w:space="0" w:color="auto"/>
        <w:left w:val="none" w:sz="0" w:space="0" w:color="auto"/>
        <w:bottom w:val="none" w:sz="0" w:space="0" w:color="auto"/>
        <w:right w:val="none" w:sz="0" w:space="0" w:color="auto"/>
      </w:divBdr>
    </w:div>
    <w:div w:id="1729838402">
      <w:marLeft w:val="0"/>
      <w:marRight w:val="0"/>
      <w:marTop w:val="100"/>
      <w:marBottom w:val="0"/>
      <w:divBdr>
        <w:top w:val="none" w:sz="0" w:space="0" w:color="auto"/>
        <w:left w:val="none" w:sz="0" w:space="0" w:color="auto"/>
        <w:bottom w:val="none" w:sz="0" w:space="0" w:color="auto"/>
        <w:right w:val="none" w:sz="0" w:space="0" w:color="auto"/>
      </w:divBdr>
    </w:div>
    <w:div w:id="1731541481">
      <w:marLeft w:val="0"/>
      <w:marRight w:val="0"/>
      <w:marTop w:val="0"/>
      <w:marBottom w:val="160"/>
      <w:divBdr>
        <w:top w:val="none" w:sz="0" w:space="0" w:color="auto"/>
        <w:left w:val="none" w:sz="0" w:space="0" w:color="auto"/>
        <w:bottom w:val="none" w:sz="0" w:space="0" w:color="auto"/>
        <w:right w:val="none" w:sz="0" w:space="0" w:color="auto"/>
      </w:divBdr>
    </w:div>
    <w:div w:id="1735160965">
      <w:marLeft w:val="0"/>
      <w:marRight w:val="0"/>
      <w:marTop w:val="60"/>
      <w:marBottom w:val="0"/>
      <w:divBdr>
        <w:top w:val="none" w:sz="0" w:space="0" w:color="auto"/>
        <w:left w:val="none" w:sz="0" w:space="0" w:color="auto"/>
        <w:bottom w:val="none" w:sz="0" w:space="0" w:color="auto"/>
        <w:right w:val="none" w:sz="0" w:space="0" w:color="auto"/>
      </w:divBdr>
    </w:div>
    <w:div w:id="1736195454">
      <w:marLeft w:val="0"/>
      <w:marRight w:val="0"/>
      <w:marTop w:val="280"/>
      <w:marBottom w:val="0"/>
      <w:divBdr>
        <w:top w:val="none" w:sz="0" w:space="0" w:color="auto"/>
        <w:left w:val="none" w:sz="0" w:space="0" w:color="auto"/>
        <w:bottom w:val="none" w:sz="0" w:space="0" w:color="auto"/>
        <w:right w:val="none" w:sz="0" w:space="0" w:color="auto"/>
      </w:divBdr>
    </w:div>
    <w:div w:id="1737318292">
      <w:marLeft w:val="0"/>
      <w:marRight w:val="0"/>
      <w:marTop w:val="100"/>
      <w:marBottom w:val="0"/>
      <w:divBdr>
        <w:top w:val="none" w:sz="0" w:space="0" w:color="auto"/>
        <w:left w:val="none" w:sz="0" w:space="0" w:color="auto"/>
        <w:bottom w:val="none" w:sz="0" w:space="0" w:color="auto"/>
        <w:right w:val="none" w:sz="0" w:space="0" w:color="auto"/>
      </w:divBdr>
    </w:div>
    <w:div w:id="1739134271">
      <w:marLeft w:val="0"/>
      <w:marRight w:val="0"/>
      <w:marTop w:val="100"/>
      <w:marBottom w:val="0"/>
      <w:divBdr>
        <w:top w:val="none" w:sz="0" w:space="0" w:color="auto"/>
        <w:left w:val="none" w:sz="0" w:space="0" w:color="auto"/>
        <w:bottom w:val="none" w:sz="0" w:space="0" w:color="auto"/>
        <w:right w:val="none" w:sz="0" w:space="0" w:color="auto"/>
      </w:divBdr>
    </w:div>
    <w:div w:id="1739397030">
      <w:marLeft w:val="0"/>
      <w:marRight w:val="0"/>
      <w:marTop w:val="100"/>
      <w:marBottom w:val="0"/>
      <w:divBdr>
        <w:top w:val="none" w:sz="0" w:space="0" w:color="auto"/>
        <w:left w:val="none" w:sz="0" w:space="0" w:color="auto"/>
        <w:bottom w:val="none" w:sz="0" w:space="0" w:color="auto"/>
        <w:right w:val="none" w:sz="0" w:space="0" w:color="auto"/>
      </w:divBdr>
    </w:div>
    <w:div w:id="1739404176">
      <w:marLeft w:val="0"/>
      <w:marRight w:val="0"/>
      <w:marTop w:val="60"/>
      <w:marBottom w:val="0"/>
      <w:divBdr>
        <w:top w:val="none" w:sz="0" w:space="0" w:color="auto"/>
        <w:left w:val="none" w:sz="0" w:space="0" w:color="auto"/>
        <w:bottom w:val="none" w:sz="0" w:space="0" w:color="auto"/>
        <w:right w:val="none" w:sz="0" w:space="0" w:color="auto"/>
      </w:divBdr>
    </w:div>
    <w:div w:id="1739743869">
      <w:marLeft w:val="0"/>
      <w:marRight w:val="0"/>
      <w:marTop w:val="180"/>
      <w:marBottom w:val="0"/>
      <w:divBdr>
        <w:top w:val="none" w:sz="0" w:space="0" w:color="auto"/>
        <w:left w:val="none" w:sz="0" w:space="0" w:color="auto"/>
        <w:bottom w:val="none" w:sz="0" w:space="0" w:color="auto"/>
        <w:right w:val="none" w:sz="0" w:space="0" w:color="auto"/>
      </w:divBdr>
    </w:div>
    <w:div w:id="1742210681">
      <w:marLeft w:val="0"/>
      <w:marRight w:val="0"/>
      <w:marTop w:val="100"/>
      <w:marBottom w:val="0"/>
      <w:divBdr>
        <w:top w:val="none" w:sz="0" w:space="0" w:color="auto"/>
        <w:left w:val="none" w:sz="0" w:space="0" w:color="auto"/>
        <w:bottom w:val="none" w:sz="0" w:space="0" w:color="auto"/>
        <w:right w:val="none" w:sz="0" w:space="0" w:color="auto"/>
      </w:divBdr>
    </w:div>
    <w:div w:id="1742213175">
      <w:marLeft w:val="0"/>
      <w:marRight w:val="0"/>
      <w:marTop w:val="100"/>
      <w:marBottom w:val="0"/>
      <w:divBdr>
        <w:top w:val="none" w:sz="0" w:space="0" w:color="auto"/>
        <w:left w:val="none" w:sz="0" w:space="0" w:color="auto"/>
        <w:bottom w:val="none" w:sz="0" w:space="0" w:color="auto"/>
        <w:right w:val="none" w:sz="0" w:space="0" w:color="auto"/>
      </w:divBdr>
    </w:div>
    <w:div w:id="1743676078">
      <w:marLeft w:val="0"/>
      <w:marRight w:val="0"/>
      <w:marTop w:val="100"/>
      <w:marBottom w:val="0"/>
      <w:divBdr>
        <w:top w:val="none" w:sz="0" w:space="0" w:color="auto"/>
        <w:left w:val="none" w:sz="0" w:space="0" w:color="auto"/>
        <w:bottom w:val="none" w:sz="0" w:space="0" w:color="auto"/>
        <w:right w:val="none" w:sz="0" w:space="0" w:color="auto"/>
      </w:divBdr>
    </w:div>
    <w:div w:id="1744796267">
      <w:marLeft w:val="0"/>
      <w:marRight w:val="0"/>
      <w:marTop w:val="100"/>
      <w:marBottom w:val="0"/>
      <w:divBdr>
        <w:top w:val="none" w:sz="0" w:space="0" w:color="auto"/>
        <w:left w:val="none" w:sz="0" w:space="0" w:color="auto"/>
        <w:bottom w:val="none" w:sz="0" w:space="0" w:color="auto"/>
        <w:right w:val="none" w:sz="0" w:space="0" w:color="auto"/>
      </w:divBdr>
    </w:div>
    <w:div w:id="1745103432">
      <w:marLeft w:val="0"/>
      <w:marRight w:val="0"/>
      <w:marTop w:val="100"/>
      <w:marBottom w:val="0"/>
      <w:divBdr>
        <w:top w:val="none" w:sz="0" w:space="0" w:color="auto"/>
        <w:left w:val="none" w:sz="0" w:space="0" w:color="auto"/>
        <w:bottom w:val="none" w:sz="0" w:space="0" w:color="auto"/>
        <w:right w:val="none" w:sz="0" w:space="0" w:color="auto"/>
      </w:divBdr>
    </w:div>
    <w:div w:id="1746414215">
      <w:marLeft w:val="0"/>
      <w:marRight w:val="0"/>
      <w:marTop w:val="100"/>
      <w:marBottom w:val="0"/>
      <w:divBdr>
        <w:top w:val="none" w:sz="0" w:space="0" w:color="auto"/>
        <w:left w:val="none" w:sz="0" w:space="0" w:color="auto"/>
        <w:bottom w:val="none" w:sz="0" w:space="0" w:color="auto"/>
        <w:right w:val="none" w:sz="0" w:space="0" w:color="auto"/>
      </w:divBdr>
    </w:div>
    <w:div w:id="1746683143">
      <w:marLeft w:val="0"/>
      <w:marRight w:val="0"/>
      <w:marTop w:val="100"/>
      <w:marBottom w:val="0"/>
      <w:divBdr>
        <w:top w:val="none" w:sz="0" w:space="0" w:color="auto"/>
        <w:left w:val="none" w:sz="0" w:space="0" w:color="auto"/>
        <w:bottom w:val="none" w:sz="0" w:space="0" w:color="auto"/>
        <w:right w:val="none" w:sz="0" w:space="0" w:color="auto"/>
      </w:divBdr>
    </w:div>
    <w:div w:id="1747875339">
      <w:marLeft w:val="0"/>
      <w:marRight w:val="0"/>
      <w:marTop w:val="0"/>
      <w:marBottom w:val="0"/>
      <w:divBdr>
        <w:top w:val="none" w:sz="0" w:space="0" w:color="auto"/>
        <w:left w:val="none" w:sz="0" w:space="0" w:color="auto"/>
        <w:bottom w:val="none" w:sz="0" w:space="0" w:color="auto"/>
        <w:right w:val="none" w:sz="0" w:space="0" w:color="auto"/>
      </w:divBdr>
      <w:divsChild>
        <w:div w:id="1614169657">
          <w:marLeft w:val="0"/>
          <w:marRight w:val="0"/>
          <w:marTop w:val="0"/>
          <w:marBottom w:val="0"/>
          <w:divBdr>
            <w:top w:val="none" w:sz="0" w:space="0" w:color="auto"/>
            <w:left w:val="none" w:sz="0" w:space="0" w:color="auto"/>
            <w:bottom w:val="none" w:sz="0" w:space="0" w:color="auto"/>
            <w:right w:val="none" w:sz="0" w:space="0" w:color="auto"/>
          </w:divBdr>
        </w:div>
        <w:div w:id="515734599">
          <w:marLeft w:val="0"/>
          <w:marRight w:val="0"/>
          <w:marTop w:val="0"/>
          <w:marBottom w:val="0"/>
          <w:divBdr>
            <w:top w:val="none" w:sz="0" w:space="0" w:color="auto"/>
            <w:left w:val="none" w:sz="0" w:space="0" w:color="auto"/>
            <w:bottom w:val="none" w:sz="0" w:space="0" w:color="auto"/>
            <w:right w:val="none" w:sz="0" w:space="0" w:color="auto"/>
          </w:divBdr>
        </w:div>
      </w:divsChild>
    </w:div>
    <w:div w:id="1749764602">
      <w:marLeft w:val="0"/>
      <w:marRight w:val="0"/>
      <w:marTop w:val="0"/>
      <w:marBottom w:val="0"/>
      <w:divBdr>
        <w:top w:val="none" w:sz="0" w:space="0" w:color="auto"/>
        <w:left w:val="none" w:sz="0" w:space="0" w:color="auto"/>
        <w:bottom w:val="none" w:sz="0" w:space="0" w:color="auto"/>
        <w:right w:val="none" w:sz="0" w:space="0" w:color="auto"/>
      </w:divBdr>
      <w:divsChild>
        <w:div w:id="1293707494">
          <w:marLeft w:val="0"/>
          <w:marRight w:val="0"/>
          <w:marTop w:val="0"/>
          <w:marBottom w:val="0"/>
          <w:divBdr>
            <w:top w:val="none" w:sz="0" w:space="0" w:color="auto"/>
            <w:left w:val="none" w:sz="0" w:space="0" w:color="auto"/>
            <w:bottom w:val="none" w:sz="0" w:space="0" w:color="auto"/>
            <w:right w:val="none" w:sz="0" w:space="0" w:color="auto"/>
          </w:divBdr>
        </w:div>
      </w:divsChild>
    </w:div>
    <w:div w:id="1751195975">
      <w:marLeft w:val="0"/>
      <w:marRight w:val="0"/>
      <w:marTop w:val="100"/>
      <w:marBottom w:val="0"/>
      <w:divBdr>
        <w:top w:val="none" w:sz="0" w:space="0" w:color="auto"/>
        <w:left w:val="none" w:sz="0" w:space="0" w:color="auto"/>
        <w:bottom w:val="none" w:sz="0" w:space="0" w:color="auto"/>
        <w:right w:val="none" w:sz="0" w:space="0" w:color="auto"/>
      </w:divBdr>
    </w:div>
    <w:div w:id="1752778552">
      <w:marLeft w:val="0"/>
      <w:marRight w:val="0"/>
      <w:marTop w:val="100"/>
      <w:marBottom w:val="100"/>
      <w:divBdr>
        <w:top w:val="none" w:sz="0" w:space="0" w:color="auto"/>
        <w:left w:val="none" w:sz="0" w:space="0" w:color="auto"/>
        <w:bottom w:val="none" w:sz="0" w:space="0" w:color="auto"/>
        <w:right w:val="none" w:sz="0" w:space="0" w:color="auto"/>
      </w:divBdr>
    </w:div>
    <w:div w:id="1754623409">
      <w:marLeft w:val="0"/>
      <w:marRight w:val="0"/>
      <w:marTop w:val="100"/>
      <w:marBottom w:val="0"/>
      <w:divBdr>
        <w:top w:val="none" w:sz="0" w:space="0" w:color="auto"/>
        <w:left w:val="none" w:sz="0" w:space="0" w:color="auto"/>
        <w:bottom w:val="none" w:sz="0" w:space="0" w:color="auto"/>
        <w:right w:val="none" w:sz="0" w:space="0" w:color="auto"/>
      </w:divBdr>
    </w:div>
    <w:div w:id="1754744248">
      <w:marLeft w:val="0"/>
      <w:marRight w:val="0"/>
      <w:marTop w:val="100"/>
      <w:marBottom w:val="0"/>
      <w:divBdr>
        <w:top w:val="none" w:sz="0" w:space="0" w:color="auto"/>
        <w:left w:val="none" w:sz="0" w:space="0" w:color="auto"/>
        <w:bottom w:val="none" w:sz="0" w:space="0" w:color="auto"/>
        <w:right w:val="none" w:sz="0" w:space="0" w:color="auto"/>
      </w:divBdr>
    </w:div>
    <w:div w:id="1755010967">
      <w:marLeft w:val="0"/>
      <w:marRight w:val="0"/>
      <w:marTop w:val="0"/>
      <w:marBottom w:val="0"/>
      <w:divBdr>
        <w:top w:val="none" w:sz="0" w:space="0" w:color="auto"/>
        <w:left w:val="none" w:sz="0" w:space="0" w:color="auto"/>
        <w:bottom w:val="none" w:sz="0" w:space="0" w:color="auto"/>
        <w:right w:val="none" w:sz="0" w:space="0" w:color="auto"/>
      </w:divBdr>
      <w:divsChild>
        <w:div w:id="1852719516">
          <w:marLeft w:val="0"/>
          <w:marRight w:val="0"/>
          <w:marTop w:val="0"/>
          <w:marBottom w:val="0"/>
          <w:divBdr>
            <w:top w:val="none" w:sz="0" w:space="0" w:color="auto"/>
            <w:left w:val="none" w:sz="0" w:space="0" w:color="auto"/>
            <w:bottom w:val="none" w:sz="0" w:space="0" w:color="auto"/>
            <w:right w:val="none" w:sz="0" w:space="0" w:color="auto"/>
          </w:divBdr>
        </w:div>
        <w:div w:id="634024684">
          <w:marLeft w:val="0"/>
          <w:marRight w:val="0"/>
          <w:marTop w:val="0"/>
          <w:marBottom w:val="0"/>
          <w:divBdr>
            <w:top w:val="none" w:sz="0" w:space="0" w:color="auto"/>
            <w:left w:val="none" w:sz="0" w:space="0" w:color="auto"/>
            <w:bottom w:val="none" w:sz="0" w:space="0" w:color="auto"/>
            <w:right w:val="none" w:sz="0" w:space="0" w:color="auto"/>
          </w:divBdr>
        </w:div>
      </w:divsChild>
    </w:div>
    <w:div w:id="1757510228">
      <w:marLeft w:val="0"/>
      <w:marRight w:val="0"/>
      <w:marTop w:val="100"/>
      <w:marBottom w:val="0"/>
      <w:divBdr>
        <w:top w:val="none" w:sz="0" w:space="0" w:color="auto"/>
        <w:left w:val="none" w:sz="0" w:space="0" w:color="auto"/>
        <w:bottom w:val="none" w:sz="0" w:space="0" w:color="auto"/>
        <w:right w:val="none" w:sz="0" w:space="0" w:color="auto"/>
      </w:divBdr>
    </w:div>
    <w:div w:id="1758094265">
      <w:marLeft w:val="0"/>
      <w:marRight w:val="0"/>
      <w:marTop w:val="0"/>
      <w:marBottom w:val="0"/>
      <w:divBdr>
        <w:top w:val="none" w:sz="0" w:space="0" w:color="auto"/>
        <w:left w:val="none" w:sz="0" w:space="0" w:color="auto"/>
        <w:bottom w:val="none" w:sz="0" w:space="0" w:color="auto"/>
        <w:right w:val="none" w:sz="0" w:space="0" w:color="auto"/>
      </w:divBdr>
      <w:divsChild>
        <w:div w:id="1414859394">
          <w:marLeft w:val="0"/>
          <w:marRight w:val="0"/>
          <w:marTop w:val="0"/>
          <w:marBottom w:val="0"/>
          <w:divBdr>
            <w:top w:val="none" w:sz="0" w:space="0" w:color="auto"/>
            <w:left w:val="none" w:sz="0" w:space="0" w:color="auto"/>
            <w:bottom w:val="none" w:sz="0" w:space="0" w:color="auto"/>
            <w:right w:val="none" w:sz="0" w:space="0" w:color="auto"/>
          </w:divBdr>
        </w:div>
        <w:div w:id="836770634">
          <w:marLeft w:val="0"/>
          <w:marRight w:val="0"/>
          <w:marTop w:val="0"/>
          <w:marBottom w:val="0"/>
          <w:divBdr>
            <w:top w:val="none" w:sz="0" w:space="0" w:color="auto"/>
            <w:left w:val="none" w:sz="0" w:space="0" w:color="auto"/>
            <w:bottom w:val="none" w:sz="0" w:space="0" w:color="auto"/>
            <w:right w:val="none" w:sz="0" w:space="0" w:color="auto"/>
          </w:divBdr>
        </w:div>
      </w:divsChild>
    </w:div>
    <w:div w:id="1759524419">
      <w:marLeft w:val="0"/>
      <w:marRight w:val="0"/>
      <w:marTop w:val="280"/>
      <w:marBottom w:val="0"/>
      <w:divBdr>
        <w:top w:val="none" w:sz="0" w:space="0" w:color="auto"/>
        <w:left w:val="none" w:sz="0" w:space="0" w:color="auto"/>
        <w:bottom w:val="none" w:sz="0" w:space="0" w:color="auto"/>
        <w:right w:val="none" w:sz="0" w:space="0" w:color="auto"/>
      </w:divBdr>
    </w:div>
    <w:div w:id="1761365292">
      <w:marLeft w:val="0"/>
      <w:marRight w:val="0"/>
      <w:marTop w:val="60"/>
      <w:marBottom w:val="0"/>
      <w:divBdr>
        <w:top w:val="none" w:sz="0" w:space="0" w:color="auto"/>
        <w:left w:val="none" w:sz="0" w:space="0" w:color="auto"/>
        <w:bottom w:val="none" w:sz="0" w:space="0" w:color="auto"/>
        <w:right w:val="none" w:sz="0" w:space="0" w:color="auto"/>
      </w:divBdr>
    </w:div>
    <w:div w:id="1761676989">
      <w:marLeft w:val="0"/>
      <w:marRight w:val="0"/>
      <w:marTop w:val="60"/>
      <w:marBottom w:val="0"/>
      <w:divBdr>
        <w:top w:val="none" w:sz="0" w:space="0" w:color="auto"/>
        <w:left w:val="none" w:sz="0" w:space="0" w:color="auto"/>
        <w:bottom w:val="none" w:sz="0" w:space="0" w:color="auto"/>
        <w:right w:val="none" w:sz="0" w:space="0" w:color="auto"/>
      </w:divBdr>
    </w:div>
    <w:div w:id="1762292108">
      <w:marLeft w:val="0"/>
      <w:marRight w:val="0"/>
      <w:marTop w:val="100"/>
      <w:marBottom w:val="0"/>
      <w:divBdr>
        <w:top w:val="none" w:sz="0" w:space="0" w:color="auto"/>
        <w:left w:val="none" w:sz="0" w:space="0" w:color="auto"/>
        <w:bottom w:val="none" w:sz="0" w:space="0" w:color="auto"/>
        <w:right w:val="none" w:sz="0" w:space="0" w:color="auto"/>
      </w:divBdr>
    </w:div>
    <w:div w:id="1764035624">
      <w:marLeft w:val="0"/>
      <w:marRight w:val="0"/>
      <w:marTop w:val="60"/>
      <w:marBottom w:val="0"/>
      <w:divBdr>
        <w:top w:val="none" w:sz="0" w:space="0" w:color="auto"/>
        <w:left w:val="none" w:sz="0" w:space="0" w:color="auto"/>
        <w:bottom w:val="none" w:sz="0" w:space="0" w:color="auto"/>
        <w:right w:val="none" w:sz="0" w:space="0" w:color="auto"/>
      </w:divBdr>
    </w:div>
    <w:div w:id="1764061340">
      <w:marLeft w:val="0"/>
      <w:marRight w:val="0"/>
      <w:marTop w:val="100"/>
      <w:marBottom w:val="0"/>
      <w:divBdr>
        <w:top w:val="none" w:sz="0" w:space="0" w:color="auto"/>
        <w:left w:val="none" w:sz="0" w:space="0" w:color="auto"/>
        <w:bottom w:val="none" w:sz="0" w:space="0" w:color="auto"/>
        <w:right w:val="none" w:sz="0" w:space="0" w:color="auto"/>
      </w:divBdr>
    </w:div>
    <w:div w:id="1767461858">
      <w:marLeft w:val="0"/>
      <w:marRight w:val="0"/>
      <w:marTop w:val="60"/>
      <w:marBottom w:val="0"/>
      <w:divBdr>
        <w:top w:val="none" w:sz="0" w:space="0" w:color="auto"/>
        <w:left w:val="none" w:sz="0" w:space="0" w:color="auto"/>
        <w:bottom w:val="none" w:sz="0" w:space="0" w:color="auto"/>
        <w:right w:val="none" w:sz="0" w:space="0" w:color="auto"/>
      </w:divBdr>
    </w:div>
    <w:div w:id="1767919528">
      <w:marLeft w:val="0"/>
      <w:marRight w:val="0"/>
      <w:marTop w:val="280"/>
      <w:marBottom w:val="0"/>
      <w:divBdr>
        <w:top w:val="none" w:sz="0" w:space="0" w:color="auto"/>
        <w:left w:val="none" w:sz="0" w:space="0" w:color="auto"/>
        <w:bottom w:val="none" w:sz="0" w:space="0" w:color="auto"/>
        <w:right w:val="none" w:sz="0" w:space="0" w:color="auto"/>
      </w:divBdr>
    </w:div>
    <w:div w:id="1768114398">
      <w:marLeft w:val="0"/>
      <w:marRight w:val="0"/>
      <w:marTop w:val="280"/>
      <w:marBottom w:val="0"/>
      <w:divBdr>
        <w:top w:val="none" w:sz="0" w:space="0" w:color="auto"/>
        <w:left w:val="none" w:sz="0" w:space="0" w:color="auto"/>
        <w:bottom w:val="none" w:sz="0" w:space="0" w:color="auto"/>
        <w:right w:val="none" w:sz="0" w:space="0" w:color="auto"/>
      </w:divBdr>
    </w:div>
    <w:div w:id="1768234261">
      <w:marLeft w:val="0"/>
      <w:marRight w:val="0"/>
      <w:marTop w:val="60"/>
      <w:marBottom w:val="0"/>
      <w:divBdr>
        <w:top w:val="none" w:sz="0" w:space="0" w:color="auto"/>
        <w:left w:val="none" w:sz="0" w:space="0" w:color="auto"/>
        <w:bottom w:val="none" w:sz="0" w:space="0" w:color="auto"/>
        <w:right w:val="none" w:sz="0" w:space="0" w:color="auto"/>
      </w:divBdr>
    </w:div>
    <w:div w:id="1769963413">
      <w:marLeft w:val="0"/>
      <w:marRight w:val="0"/>
      <w:marTop w:val="280"/>
      <w:marBottom w:val="0"/>
      <w:divBdr>
        <w:top w:val="none" w:sz="0" w:space="0" w:color="auto"/>
        <w:left w:val="none" w:sz="0" w:space="0" w:color="auto"/>
        <w:bottom w:val="none" w:sz="0" w:space="0" w:color="auto"/>
        <w:right w:val="none" w:sz="0" w:space="0" w:color="auto"/>
      </w:divBdr>
    </w:div>
    <w:div w:id="1773622272">
      <w:marLeft w:val="0"/>
      <w:marRight w:val="0"/>
      <w:marTop w:val="100"/>
      <w:marBottom w:val="0"/>
      <w:divBdr>
        <w:top w:val="none" w:sz="0" w:space="0" w:color="auto"/>
        <w:left w:val="none" w:sz="0" w:space="0" w:color="auto"/>
        <w:bottom w:val="none" w:sz="0" w:space="0" w:color="auto"/>
        <w:right w:val="none" w:sz="0" w:space="0" w:color="auto"/>
      </w:divBdr>
    </w:div>
    <w:div w:id="1774283655">
      <w:marLeft w:val="0"/>
      <w:marRight w:val="0"/>
      <w:marTop w:val="100"/>
      <w:marBottom w:val="0"/>
      <w:divBdr>
        <w:top w:val="none" w:sz="0" w:space="0" w:color="auto"/>
        <w:left w:val="none" w:sz="0" w:space="0" w:color="auto"/>
        <w:bottom w:val="none" w:sz="0" w:space="0" w:color="auto"/>
        <w:right w:val="none" w:sz="0" w:space="0" w:color="auto"/>
      </w:divBdr>
    </w:div>
    <w:div w:id="1776098417">
      <w:marLeft w:val="0"/>
      <w:marRight w:val="0"/>
      <w:marTop w:val="280"/>
      <w:marBottom w:val="0"/>
      <w:divBdr>
        <w:top w:val="none" w:sz="0" w:space="0" w:color="auto"/>
        <w:left w:val="none" w:sz="0" w:space="0" w:color="auto"/>
        <w:bottom w:val="none" w:sz="0" w:space="0" w:color="auto"/>
        <w:right w:val="none" w:sz="0" w:space="0" w:color="auto"/>
      </w:divBdr>
    </w:div>
    <w:div w:id="1776949008">
      <w:marLeft w:val="0"/>
      <w:marRight w:val="0"/>
      <w:marTop w:val="280"/>
      <w:marBottom w:val="0"/>
      <w:divBdr>
        <w:top w:val="none" w:sz="0" w:space="0" w:color="auto"/>
        <w:left w:val="none" w:sz="0" w:space="0" w:color="auto"/>
        <w:bottom w:val="none" w:sz="0" w:space="0" w:color="auto"/>
        <w:right w:val="none" w:sz="0" w:space="0" w:color="auto"/>
      </w:divBdr>
    </w:div>
    <w:div w:id="1778717481">
      <w:marLeft w:val="0"/>
      <w:marRight w:val="0"/>
      <w:marTop w:val="280"/>
      <w:marBottom w:val="0"/>
      <w:divBdr>
        <w:top w:val="none" w:sz="0" w:space="0" w:color="auto"/>
        <w:left w:val="none" w:sz="0" w:space="0" w:color="auto"/>
        <w:bottom w:val="none" w:sz="0" w:space="0" w:color="auto"/>
        <w:right w:val="none" w:sz="0" w:space="0" w:color="auto"/>
      </w:divBdr>
    </w:div>
    <w:div w:id="1779254480">
      <w:marLeft w:val="0"/>
      <w:marRight w:val="0"/>
      <w:marTop w:val="280"/>
      <w:marBottom w:val="0"/>
      <w:divBdr>
        <w:top w:val="none" w:sz="0" w:space="0" w:color="auto"/>
        <w:left w:val="none" w:sz="0" w:space="0" w:color="auto"/>
        <w:bottom w:val="none" w:sz="0" w:space="0" w:color="auto"/>
        <w:right w:val="none" w:sz="0" w:space="0" w:color="auto"/>
      </w:divBdr>
    </w:div>
    <w:div w:id="1779442832">
      <w:marLeft w:val="0"/>
      <w:marRight w:val="0"/>
      <w:marTop w:val="0"/>
      <w:marBottom w:val="0"/>
      <w:divBdr>
        <w:top w:val="none" w:sz="0" w:space="0" w:color="auto"/>
        <w:left w:val="none" w:sz="0" w:space="0" w:color="auto"/>
        <w:bottom w:val="none" w:sz="0" w:space="0" w:color="auto"/>
        <w:right w:val="none" w:sz="0" w:space="0" w:color="auto"/>
      </w:divBdr>
      <w:divsChild>
        <w:div w:id="63531982">
          <w:marLeft w:val="0"/>
          <w:marRight w:val="0"/>
          <w:marTop w:val="0"/>
          <w:marBottom w:val="0"/>
          <w:divBdr>
            <w:top w:val="none" w:sz="0" w:space="0" w:color="auto"/>
            <w:left w:val="none" w:sz="0" w:space="0" w:color="auto"/>
            <w:bottom w:val="none" w:sz="0" w:space="0" w:color="auto"/>
            <w:right w:val="none" w:sz="0" w:space="0" w:color="auto"/>
          </w:divBdr>
        </w:div>
        <w:div w:id="1597790671">
          <w:marLeft w:val="0"/>
          <w:marRight w:val="0"/>
          <w:marTop w:val="0"/>
          <w:marBottom w:val="0"/>
          <w:divBdr>
            <w:top w:val="none" w:sz="0" w:space="0" w:color="auto"/>
            <w:left w:val="none" w:sz="0" w:space="0" w:color="auto"/>
            <w:bottom w:val="none" w:sz="0" w:space="0" w:color="auto"/>
            <w:right w:val="none" w:sz="0" w:space="0" w:color="auto"/>
          </w:divBdr>
        </w:div>
      </w:divsChild>
    </w:div>
    <w:div w:id="1781214965">
      <w:marLeft w:val="0"/>
      <w:marRight w:val="0"/>
      <w:marTop w:val="280"/>
      <w:marBottom w:val="0"/>
      <w:divBdr>
        <w:top w:val="none" w:sz="0" w:space="0" w:color="auto"/>
        <w:left w:val="none" w:sz="0" w:space="0" w:color="auto"/>
        <w:bottom w:val="none" w:sz="0" w:space="0" w:color="auto"/>
        <w:right w:val="none" w:sz="0" w:space="0" w:color="auto"/>
      </w:divBdr>
    </w:div>
    <w:div w:id="1783457643">
      <w:marLeft w:val="0"/>
      <w:marRight w:val="0"/>
      <w:marTop w:val="100"/>
      <w:marBottom w:val="0"/>
      <w:divBdr>
        <w:top w:val="none" w:sz="0" w:space="0" w:color="auto"/>
        <w:left w:val="none" w:sz="0" w:space="0" w:color="auto"/>
        <w:bottom w:val="none" w:sz="0" w:space="0" w:color="auto"/>
        <w:right w:val="none" w:sz="0" w:space="0" w:color="auto"/>
      </w:divBdr>
    </w:div>
    <w:div w:id="1783843372">
      <w:marLeft w:val="0"/>
      <w:marRight w:val="0"/>
      <w:marTop w:val="60"/>
      <w:marBottom w:val="0"/>
      <w:divBdr>
        <w:top w:val="none" w:sz="0" w:space="0" w:color="auto"/>
        <w:left w:val="none" w:sz="0" w:space="0" w:color="auto"/>
        <w:bottom w:val="none" w:sz="0" w:space="0" w:color="auto"/>
        <w:right w:val="none" w:sz="0" w:space="0" w:color="auto"/>
      </w:divBdr>
    </w:div>
    <w:div w:id="1784686503">
      <w:marLeft w:val="0"/>
      <w:marRight w:val="0"/>
      <w:marTop w:val="100"/>
      <w:marBottom w:val="0"/>
      <w:divBdr>
        <w:top w:val="none" w:sz="0" w:space="0" w:color="auto"/>
        <w:left w:val="none" w:sz="0" w:space="0" w:color="auto"/>
        <w:bottom w:val="none" w:sz="0" w:space="0" w:color="auto"/>
        <w:right w:val="none" w:sz="0" w:space="0" w:color="auto"/>
      </w:divBdr>
    </w:div>
    <w:div w:id="1786070686">
      <w:marLeft w:val="0"/>
      <w:marRight w:val="0"/>
      <w:marTop w:val="180"/>
      <w:marBottom w:val="0"/>
      <w:divBdr>
        <w:top w:val="none" w:sz="0" w:space="0" w:color="auto"/>
        <w:left w:val="none" w:sz="0" w:space="0" w:color="auto"/>
        <w:bottom w:val="none" w:sz="0" w:space="0" w:color="auto"/>
        <w:right w:val="none" w:sz="0" w:space="0" w:color="auto"/>
      </w:divBdr>
    </w:div>
    <w:div w:id="1786383980">
      <w:marLeft w:val="0"/>
      <w:marRight w:val="0"/>
      <w:marTop w:val="100"/>
      <w:marBottom w:val="0"/>
      <w:divBdr>
        <w:top w:val="none" w:sz="0" w:space="0" w:color="auto"/>
        <w:left w:val="none" w:sz="0" w:space="0" w:color="auto"/>
        <w:bottom w:val="none" w:sz="0" w:space="0" w:color="auto"/>
        <w:right w:val="none" w:sz="0" w:space="0" w:color="auto"/>
      </w:divBdr>
    </w:div>
    <w:div w:id="1787583990">
      <w:marLeft w:val="0"/>
      <w:marRight w:val="0"/>
      <w:marTop w:val="100"/>
      <w:marBottom w:val="0"/>
      <w:divBdr>
        <w:top w:val="none" w:sz="0" w:space="0" w:color="auto"/>
        <w:left w:val="none" w:sz="0" w:space="0" w:color="auto"/>
        <w:bottom w:val="none" w:sz="0" w:space="0" w:color="auto"/>
        <w:right w:val="none" w:sz="0" w:space="0" w:color="auto"/>
      </w:divBdr>
    </w:div>
    <w:div w:id="1788037172">
      <w:marLeft w:val="0"/>
      <w:marRight w:val="0"/>
      <w:marTop w:val="0"/>
      <w:marBottom w:val="0"/>
      <w:divBdr>
        <w:top w:val="none" w:sz="0" w:space="0" w:color="auto"/>
        <w:left w:val="none" w:sz="0" w:space="0" w:color="auto"/>
        <w:bottom w:val="none" w:sz="0" w:space="0" w:color="auto"/>
        <w:right w:val="none" w:sz="0" w:space="0" w:color="auto"/>
      </w:divBdr>
      <w:divsChild>
        <w:div w:id="1927613155">
          <w:marLeft w:val="0"/>
          <w:marRight w:val="0"/>
          <w:marTop w:val="0"/>
          <w:marBottom w:val="0"/>
          <w:divBdr>
            <w:top w:val="none" w:sz="0" w:space="0" w:color="auto"/>
            <w:left w:val="none" w:sz="0" w:space="0" w:color="auto"/>
            <w:bottom w:val="none" w:sz="0" w:space="0" w:color="auto"/>
            <w:right w:val="none" w:sz="0" w:space="0" w:color="auto"/>
          </w:divBdr>
        </w:div>
        <w:div w:id="804467154">
          <w:marLeft w:val="0"/>
          <w:marRight w:val="0"/>
          <w:marTop w:val="0"/>
          <w:marBottom w:val="0"/>
          <w:divBdr>
            <w:top w:val="none" w:sz="0" w:space="0" w:color="auto"/>
            <w:left w:val="none" w:sz="0" w:space="0" w:color="auto"/>
            <w:bottom w:val="none" w:sz="0" w:space="0" w:color="auto"/>
            <w:right w:val="none" w:sz="0" w:space="0" w:color="auto"/>
          </w:divBdr>
        </w:div>
      </w:divsChild>
    </w:div>
    <w:div w:id="1790321449">
      <w:marLeft w:val="0"/>
      <w:marRight w:val="0"/>
      <w:marTop w:val="0"/>
      <w:marBottom w:val="0"/>
      <w:divBdr>
        <w:top w:val="none" w:sz="0" w:space="0" w:color="auto"/>
        <w:left w:val="none" w:sz="0" w:space="0" w:color="auto"/>
        <w:bottom w:val="none" w:sz="0" w:space="0" w:color="auto"/>
        <w:right w:val="none" w:sz="0" w:space="0" w:color="auto"/>
      </w:divBdr>
      <w:divsChild>
        <w:div w:id="330330112">
          <w:marLeft w:val="0"/>
          <w:marRight w:val="0"/>
          <w:marTop w:val="0"/>
          <w:marBottom w:val="0"/>
          <w:divBdr>
            <w:top w:val="none" w:sz="0" w:space="0" w:color="auto"/>
            <w:left w:val="none" w:sz="0" w:space="0" w:color="auto"/>
            <w:bottom w:val="none" w:sz="0" w:space="0" w:color="auto"/>
            <w:right w:val="none" w:sz="0" w:space="0" w:color="auto"/>
          </w:divBdr>
        </w:div>
      </w:divsChild>
    </w:div>
    <w:div w:id="1793858345">
      <w:marLeft w:val="0"/>
      <w:marRight w:val="0"/>
      <w:marTop w:val="60"/>
      <w:marBottom w:val="0"/>
      <w:divBdr>
        <w:top w:val="none" w:sz="0" w:space="0" w:color="auto"/>
        <w:left w:val="none" w:sz="0" w:space="0" w:color="auto"/>
        <w:bottom w:val="none" w:sz="0" w:space="0" w:color="auto"/>
        <w:right w:val="none" w:sz="0" w:space="0" w:color="auto"/>
      </w:divBdr>
    </w:div>
    <w:div w:id="1796751222">
      <w:marLeft w:val="0"/>
      <w:marRight w:val="0"/>
      <w:marTop w:val="100"/>
      <w:marBottom w:val="0"/>
      <w:divBdr>
        <w:top w:val="none" w:sz="0" w:space="0" w:color="auto"/>
        <w:left w:val="none" w:sz="0" w:space="0" w:color="auto"/>
        <w:bottom w:val="none" w:sz="0" w:space="0" w:color="auto"/>
        <w:right w:val="none" w:sz="0" w:space="0" w:color="auto"/>
      </w:divBdr>
    </w:div>
    <w:div w:id="1797329612">
      <w:marLeft w:val="0"/>
      <w:marRight w:val="0"/>
      <w:marTop w:val="100"/>
      <w:marBottom w:val="0"/>
      <w:divBdr>
        <w:top w:val="none" w:sz="0" w:space="0" w:color="auto"/>
        <w:left w:val="none" w:sz="0" w:space="0" w:color="auto"/>
        <w:bottom w:val="none" w:sz="0" w:space="0" w:color="auto"/>
        <w:right w:val="none" w:sz="0" w:space="0" w:color="auto"/>
      </w:divBdr>
    </w:div>
    <w:div w:id="1797528466">
      <w:marLeft w:val="0"/>
      <w:marRight w:val="0"/>
      <w:marTop w:val="60"/>
      <w:marBottom w:val="0"/>
      <w:divBdr>
        <w:top w:val="none" w:sz="0" w:space="0" w:color="auto"/>
        <w:left w:val="none" w:sz="0" w:space="0" w:color="auto"/>
        <w:bottom w:val="none" w:sz="0" w:space="0" w:color="auto"/>
        <w:right w:val="none" w:sz="0" w:space="0" w:color="auto"/>
      </w:divBdr>
    </w:div>
    <w:div w:id="1798181511">
      <w:marLeft w:val="0"/>
      <w:marRight w:val="0"/>
      <w:marTop w:val="100"/>
      <w:marBottom w:val="0"/>
      <w:divBdr>
        <w:top w:val="none" w:sz="0" w:space="0" w:color="auto"/>
        <w:left w:val="none" w:sz="0" w:space="0" w:color="auto"/>
        <w:bottom w:val="none" w:sz="0" w:space="0" w:color="auto"/>
        <w:right w:val="none" w:sz="0" w:space="0" w:color="auto"/>
      </w:divBdr>
    </w:div>
    <w:div w:id="1799568891">
      <w:marLeft w:val="0"/>
      <w:marRight w:val="0"/>
      <w:marTop w:val="100"/>
      <w:marBottom w:val="0"/>
      <w:divBdr>
        <w:top w:val="none" w:sz="0" w:space="0" w:color="auto"/>
        <w:left w:val="none" w:sz="0" w:space="0" w:color="auto"/>
        <w:bottom w:val="none" w:sz="0" w:space="0" w:color="auto"/>
        <w:right w:val="none" w:sz="0" w:space="0" w:color="auto"/>
      </w:divBdr>
    </w:div>
    <w:div w:id="1799687640">
      <w:marLeft w:val="0"/>
      <w:marRight w:val="0"/>
      <w:marTop w:val="60"/>
      <w:marBottom w:val="0"/>
      <w:divBdr>
        <w:top w:val="none" w:sz="0" w:space="0" w:color="auto"/>
        <w:left w:val="none" w:sz="0" w:space="0" w:color="auto"/>
        <w:bottom w:val="none" w:sz="0" w:space="0" w:color="auto"/>
        <w:right w:val="none" w:sz="0" w:space="0" w:color="auto"/>
      </w:divBdr>
    </w:div>
    <w:div w:id="1799764000">
      <w:marLeft w:val="0"/>
      <w:marRight w:val="0"/>
      <w:marTop w:val="280"/>
      <w:marBottom w:val="0"/>
      <w:divBdr>
        <w:top w:val="none" w:sz="0" w:space="0" w:color="auto"/>
        <w:left w:val="none" w:sz="0" w:space="0" w:color="auto"/>
        <w:bottom w:val="none" w:sz="0" w:space="0" w:color="auto"/>
        <w:right w:val="none" w:sz="0" w:space="0" w:color="auto"/>
      </w:divBdr>
    </w:div>
    <w:div w:id="1800108174">
      <w:marLeft w:val="0"/>
      <w:marRight w:val="0"/>
      <w:marTop w:val="100"/>
      <w:marBottom w:val="0"/>
      <w:divBdr>
        <w:top w:val="none" w:sz="0" w:space="0" w:color="auto"/>
        <w:left w:val="none" w:sz="0" w:space="0" w:color="auto"/>
        <w:bottom w:val="none" w:sz="0" w:space="0" w:color="auto"/>
        <w:right w:val="none" w:sz="0" w:space="0" w:color="auto"/>
      </w:divBdr>
    </w:div>
    <w:div w:id="1801724039">
      <w:marLeft w:val="0"/>
      <w:marRight w:val="0"/>
      <w:marTop w:val="0"/>
      <w:marBottom w:val="0"/>
      <w:divBdr>
        <w:top w:val="none" w:sz="0" w:space="0" w:color="auto"/>
        <w:left w:val="none" w:sz="0" w:space="0" w:color="auto"/>
        <w:bottom w:val="none" w:sz="0" w:space="0" w:color="auto"/>
        <w:right w:val="none" w:sz="0" w:space="0" w:color="auto"/>
      </w:divBdr>
      <w:divsChild>
        <w:div w:id="1995790248">
          <w:marLeft w:val="0"/>
          <w:marRight w:val="0"/>
          <w:marTop w:val="0"/>
          <w:marBottom w:val="0"/>
          <w:divBdr>
            <w:top w:val="none" w:sz="0" w:space="0" w:color="auto"/>
            <w:left w:val="none" w:sz="0" w:space="0" w:color="auto"/>
            <w:bottom w:val="none" w:sz="0" w:space="0" w:color="auto"/>
            <w:right w:val="none" w:sz="0" w:space="0" w:color="auto"/>
          </w:divBdr>
        </w:div>
      </w:divsChild>
    </w:div>
    <w:div w:id="1802457606">
      <w:marLeft w:val="0"/>
      <w:marRight w:val="0"/>
      <w:marTop w:val="100"/>
      <w:marBottom w:val="0"/>
      <w:divBdr>
        <w:top w:val="none" w:sz="0" w:space="0" w:color="auto"/>
        <w:left w:val="none" w:sz="0" w:space="0" w:color="auto"/>
        <w:bottom w:val="none" w:sz="0" w:space="0" w:color="auto"/>
        <w:right w:val="none" w:sz="0" w:space="0" w:color="auto"/>
      </w:divBdr>
    </w:div>
    <w:div w:id="1803419853">
      <w:marLeft w:val="0"/>
      <w:marRight w:val="0"/>
      <w:marTop w:val="60"/>
      <w:marBottom w:val="0"/>
      <w:divBdr>
        <w:top w:val="none" w:sz="0" w:space="0" w:color="auto"/>
        <w:left w:val="none" w:sz="0" w:space="0" w:color="auto"/>
        <w:bottom w:val="none" w:sz="0" w:space="0" w:color="auto"/>
        <w:right w:val="none" w:sz="0" w:space="0" w:color="auto"/>
      </w:divBdr>
    </w:div>
    <w:div w:id="1804303109">
      <w:marLeft w:val="0"/>
      <w:marRight w:val="0"/>
      <w:marTop w:val="100"/>
      <w:marBottom w:val="0"/>
      <w:divBdr>
        <w:top w:val="none" w:sz="0" w:space="0" w:color="auto"/>
        <w:left w:val="none" w:sz="0" w:space="0" w:color="auto"/>
        <w:bottom w:val="none" w:sz="0" w:space="0" w:color="auto"/>
        <w:right w:val="none" w:sz="0" w:space="0" w:color="auto"/>
      </w:divBdr>
    </w:div>
    <w:div w:id="1806851054">
      <w:marLeft w:val="0"/>
      <w:marRight w:val="0"/>
      <w:marTop w:val="280"/>
      <w:marBottom w:val="0"/>
      <w:divBdr>
        <w:top w:val="none" w:sz="0" w:space="0" w:color="auto"/>
        <w:left w:val="none" w:sz="0" w:space="0" w:color="auto"/>
        <w:bottom w:val="none" w:sz="0" w:space="0" w:color="auto"/>
        <w:right w:val="none" w:sz="0" w:space="0" w:color="auto"/>
      </w:divBdr>
    </w:div>
    <w:div w:id="1806895235">
      <w:marLeft w:val="0"/>
      <w:marRight w:val="0"/>
      <w:marTop w:val="0"/>
      <w:marBottom w:val="0"/>
      <w:divBdr>
        <w:top w:val="none" w:sz="0" w:space="0" w:color="auto"/>
        <w:left w:val="none" w:sz="0" w:space="0" w:color="auto"/>
        <w:bottom w:val="none" w:sz="0" w:space="0" w:color="auto"/>
        <w:right w:val="none" w:sz="0" w:space="0" w:color="auto"/>
      </w:divBdr>
    </w:div>
    <w:div w:id="1807965876">
      <w:marLeft w:val="0"/>
      <w:marRight w:val="0"/>
      <w:marTop w:val="0"/>
      <w:marBottom w:val="0"/>
      <w:divBdr>
        <w:top w:val="none" w:sz="0" w:space="0" w:color="auto"/>
        <w:left w:val="none" w:sz="0" w:space="0" w:color="auto"/>
        <w:bottom w:val="none" w:sz="0" w:space="0" w:color="auto"/>
        <w:right w:val="none" w:sz="0" w:space="0" w:color="auto"/>
      </w:divBdr>
      <w:divsChild>
        <w:div w:id="390344661">
          <w:marLeft w:val="0"/>
          <w:marRight w:val="0"/>
          <w:marTop w:val="0"/>
          <w:marBottom w:val="0"/>
          <w:divBdr>
            <w:top w:val="none" w:sz="0" w:space="0" w:color="auto"/>
            <w:left w:val="none" w:sz="0" w:space="0" w:color="auto"/>
            <w:bottom w:val="none" w:sz="0" w:space="0" w:color="auto"/>
            <w:right w:val="none" w:sz="0" w:space="0" w:color="auto"/>
          </w:divBdr>
        </w:div>
        <w:div w:id="120610802">
          <w:marLeft w:val="0"/>
          <w:marRight w:val="0"/>
          <w:marTop w:val="0"/>
          <w:marBottom w:val="0"/>
          <w:divBdr>
            <w:top w:val="none" w:sz="0" w:space="0" w:color="auto"/>
            <w:left w:val="none" w:sz="0" w:space="0" w:color="auto"/>
            <w:bottom w:val="none" w:sz="0" w:space="0" w:color="auto"/>
            <w:right w:val="none" w:sz="0" w:space="0" w:color="auto"/>
          </w:divBdr>
        </w:div>
      </w:divsChild>
    </w:div>
    <w:div w:id="1808432112">
      <w:marLeft w:val="0"/>
      <w:marRight w:val="0"/>
      <w:marTop w:val="100"/>
      <w:marBottom w:val="0"/>
      <w:divBdr>
        <w:top w:val="none" w:sz="0" w:space="0" w:color="auto"/>
        <w:left w:val="none" w:sz="0" w:space="0" w:color="auto"/>
        <w:bottom w:val="none" w:sz="0" w:space="0" w:color="auto"/>
        <w:right w:val="none" w:sz="0" w:space="0" w:color="auto"/>
      </w:divBdr>
    </w:div>
    <w:div w:id="1815175711">
      <w:marLeft w:val="0"/>
      <w:marRight w:val="0"/>
      <w:marTop w:val="100"/>
      <w:marBottom w:val="0"/>
      <w:divBdr>
        <w:top w:val="none" w:sz="0" w:space="0" w:color="auto"/>
        <w:left w:val="none" w:sz="0" w:space="0" w:color="auto"/>
        <w:bottom w:val="none" w:sz="0" w:space="0" w:color="auto"/>
        <w:right w:val="none" w:sz="0" w:space="0" w:color="auto"/>
      </w:divBdr>
    </w:div>
    <w:div w:id="1817257076">
      <w:marLeft w:val="0"/>
      <w:marRight w:val="0"/>
      <w:marTop w:val="100"/>
      <w:marBottom w:val="0"/>
      <w:divBdr>
        <w:top w:val="none" w:sz="0" w:space="0" w:color="auto"/>
        <w:left w:val="none" w:sz="0" w:space="0" w:color="auto"/>
        <w:bottom w:val="none" w:sz="0" w:space="0" w:color="auto"/>
        <w:right w:val="none" w:sz="0" w:space="0" w:color="auto"/>
      </w:divBdr>
    </w:div>
    <w:div w:id="1819103464">
      <w:marLeft w:val="0"/>
      <w:marRight w:val="0"/>
      <w:marTop w:val="180"/>
      <w:marBottom w:val="0"/>
      <w:divBdr>
        <w:top w:val="none" w:sz="0" w:space="0" w:color="auto"/>
        <w:left w:val="none" w:sz="0" w:space="0" w:color="auto"/>
        <w:bottom w:val="none" w:sz="0" w:space="0" w:color="auto"/>
        <w:right w:val="none" w:sz="0" w:space="0" w:color="auto"/>
      </w:divBdr>
    </w:div>
    <w:div w:id="1820614622">
      <w:marLeft w:val="0"/>
      <w:marRight w:val="0"/>
      <w:marTop w:val="100"/>
      <w:marBottom w:val="0"/>
      <w:divBdr>
        <w:top w:val="none" w:sz="0" w:space="0" w:color="auto"/>
        <w:left w:val="none" w:sz="0" w:space="0" w:color="auto"/>
        <w:bottom w:val="none" w:sz="0" w:space="0" w:color="auto"/>
        <w:right w:val="none" w:sz="0" w:space="0" w:color="auto"/>
      </w:divBdr>
    </w:div>
    <w:div w:id="1821534918">
      <w:marLeft w:val="0"/>
      <w:marRight w:val="0"/>
      <w:marTop w:val="0"/>
      <w:marBottom w:val="0"/>
      <w:divBdr>
        <w:top w:val="none" w:sz="0" w:space="0" w:color="auto"/>
        <w:left w:val="none" w:sz="0" w:space="0" w:color="auto"/>
        <w:bottom w:val="none" w:sz="0" w:space="0" w:color="auto"/>
        <w:right w:val="none" w:sz="0" w:space="0" w:color="auto"/>
      </w:divBdr>
      <w:divsChild>
        <w:div w:id="2121803277">
          <w:marLeft w:val="0"/>
          <w:marRight w:val="0"/>
          <w:marTop w:val="0"/>
          <w:marBottom w:val="0"/>
          <w:divBdr>
            <w:top w:val="none" w:sz="0" w:space="0" w:color="auto"/>
            <w:left w:val="none" w:sz="0" w:space="0" w:color="auto"/>
            <w:bottom w:val="none" w:sz="0" w:space="0" w:color="auto"/>
            <w:right w:val="none" w:sz="0" w:space="0" w:color="auto"/>
          </w:divBdr>
        </w:div>
        <w:div w:id="1389301790">
          <w:marLeft w:val="0"/>
          <w:marRight w:val="0"/>
          <w:marTop w:val="0"/>
          <w:marBottom w:val="0"/>
          <w:divBdr>
            <w:top w:val="none" w:sz="0" w:space="0" w:color="auto"/>
            <w:left w:val="none" w:sz="0" w:space="0" w:color="auto"/>
            <w:bottom w:val="none" w:sz="0" w:space="0" w:color="auto"/>
            <w:right w:val="none" w:sz="0" w:space="0" w:color="auto"/>
          </w:divBdr>
        </w:div>
      </w:divsChild>
    </w:div>
    <w:div w:id="1825124509">
      <w:marLeft w:val="0"/>
      <w:marRight w:val="0"/>
      <w:marTop w:val="100"/>
      <w:marBottom w:val="0"/>
      <w:divBdr>
        <w:top w:val="none" w:sz="0" w:space="0" w:color="auto"/>
        <w:left w:val="none" w:sz="0" w:space="0" w:color="auto"/>
        <w:bottom w:val="none" w:sz="0" w:space="0" w:color="auto"/>
        <w:right w:val="none" w:sz="0" w:space="0" w:color="auto"/>
      </w:divBdr>
    </w:div>
    <w:div w:id="1826506758">
      <w:marLeft w:val="0"/>
      <w:marRight w:val="0"/>
      <w:marTop w:val="0"/>
      <w:marBottom w:val="0"/>
      <w:divBdr>
        <w:top w:val="none" w:sz="0" w:space="0" w:color="auto"/>
        <w:left w:val="none" w:sz="0" w:space="0" w:color="auto"/>
        <w:bottom w:val="none" w:sz="0" w:space="0" w:color="auto"/>
        <w:right w:val="none" w:sz="0" w:space="0" w:color="auto"/>
      </w:divBdr>
      <w:divsChild>
        <w:div w:id="1744335775">
          <w:marLeft w:val="0"/>
          <w:marRight w:val="0"/>
          <w:marTop w:val="0"/>
          <w:marBottom w:val="0"/>
          <w:divBdr>
            <w:top w:val="none" w:sz="0" w:space="0" w:color="auto"/>
            <w:left w:val="none" w:sz="0" w:space="0" w:color="auto"/>
            <w:bottom w:val="none" w:sz="0" w:space="0" w:color="auto"/>
            <w:right w:val="none" w:sz="0" w:space="0" w:color="auto"/>
          </w:divBdr>
        </w:div>
        <w:div w:id="932014534">
          <w:marLeft w:val="0"/>
          <w:marRight w:val="0"/>
          <w:marTop w:val="0"/>
          <w:marBottom w:val="0"/>
          <w:divBdr>
            <w:top w:val="none" w:sz="0" w:space="0" w:color="auto"/>
            <w:left w:val="none" w:sz="0" w:space="0" w:color="auto"/>
            <w:bottom w:val="none" w:sz="0" w:space="0" w:color="auto"/>
            <w:right w:val="none" w:sz="0" w:space="0" w:color="auto"/>
          </w:divBdr>
        </w:div>
      </w:divsChild>
    </w:div>
    <w:div w:id="1827361635">
      <w:marLeft w:val="0"/>
      <w:marRight w:val="0"/>
      <w:marTop w:val="100"/>
      <w:marBottom w:val="0"/>
      <w:divBdr>
        <w:top w:val="none" w:sz="0" w:space="0" w:color="auto"/>
        <w:left w:val="none" w:sz="0" w:space="0" w:color="auto"/>
        <w:bottom w:val="none" w:sz="0" w:space="0" w:color="auto"/>
        <w:right w:val="none" w:sz="0" w:space="0" w:color="auto"/>
      </w:divBdr>
    </w:div>
    <w:div w:id="1827748636">
      <w:marLeft w:val="0"/>
      <w:marRight w:val="0"/>
      <w:marTop w:val="0"/>
      <w:marBottom w:val="0"/>
      <w:divBdr>
        <w:top w:val="none" w:sz="0" w:space="0" w:color="auto"/>
        <w:left w:val="none" w:sz="0" w:space="0" w:color="auto"/>
        <w:bottom w:val="none" w:sz="0" w:space="0" w:color="auto"/>
        <w:right w:val="none" w:sz="0" w:space="0" w:color="auto"/>
      </w:divBdr>
      <w:divsChild>
        <w:div w:id="60518255">
          <w:marLeft w:val="0"/>
          <w:marRight w:val="0"/>
          <w:marTop w:val="0"/>
          <w:marBottom w:val="0"/>
          <w:divBdr>
            <w:top w:val="none" w:sz="0" w:space="0" w:color="auto"/>
            <w:left w:val="none" w:sz="0" w:space="0" w:color="auto"/>
            <w:bottom w:val="none" w:sz="0" w:space="0" w:color="auto"/>
            <w:right w:val="none" w:sz="0" w:space="0" w:color="auto"/>
          </w:divBdr>
        </w:div>
        <w:div w:id="630785314">
          <w:marLeft w:val="0"/>
          <w:marRight w:val="0"/>
          <w:marTop w:val="0"/>
          <w:marBottom w:val="0"/>
          <w:divBdr>
            <w:top w:val="none" w:sz="0" w:space="0" w:color="auto"/>
            <w:left w:val="none" w:sz="0" w:space="0" w:color="auto"/>
            <w:bottom w:val="none" w:sz="0" w:space="0" w:color="auto"/>
            <w:right w:val="none" w:sz="0" w:space="0" w:color="auto"/>
          </w:divBdr>
        </w:div>
      </w:divsChild>
    </w:div>
    <w:div w:id="1828092320">
      <w:marLeft w:val="0"/>
      <w:marRight w:val="0"/>
      <w:marTop w:val="100"/>
      <w:marBottom w:val="0"/>
      <w:divBdr>
        <w:top w:val="none" w:sz="0" w:space="0" w:color="auto"/>
        <w:left w:val="none" w:sz="0" w:space="0" w:color="auto"/>
        <w:bottom w:val="none" w:sz="0" w:space="0" w:color="auto"/>
        <w:right w:val="none" w:sz="0" w:space="0" w:color="auto"/>
      </w:divBdr>
    </w:div>
    <w:div w:id="1829635771">
      <w:marLeft w:val="0"/>
      <w:marRight w:val="0"/>
      <w:marTop w:val="100"/>
      <w:marBottom w:val="0"/>
      <w:divBdr>
        <w:top w:val="none" w:sz="0" w:space="0" w:color="auto"/>
        <w:left w:val="none" w:sz="0" w:space="0" w:color="auto"/>
        <w:bottom w:val="none" w:sz="0" w:space="0" w:color="auto"/>
        <w:right w:val="none" w:sz="0" w:space="0" w:color="auto"/>
      </w:divBdr>
    </w:div>
    <w:div w:id="1829710511">
      <w:marLeft w:val="0"/>
      <w:marRight w:val="0"/>
      <w:marTop w:val="100"/>
      <w:marBottom w:val="0"/>
      <w:divBdr>
        <w:top w:val="none" w:sz="0" w:space="0" w:color="auto"/>
        <w:left w:val="none" w:sz="0" w:space="0" w:color="auto"/>
        <w:bottom w:val="none" w:sz="0" w:space="0" w:color="auto"/>
        <w:right w:val="none" w:sz="0" w:space="0" w:color="auto"/>
      </w:divBdr>
    </w:div>
    <w:div w:id="1832063557">
      <w:marLeft w:val="0"/>
      <w:marRight w:val="0"/>
      <w:marTop w:val="100"/>
      <w:marBottom w:val="0"/>
      <w:divBdr>
        <w:top w:val="none" w:sz="0" w:space="0" w:color="auto"/>
        <w:left w:val="none" w:sz="0" w:space="0" w:color="auto"/>
        <w:bottom w:val="none" w:sz="0" w:space="0" w:color="auto"/>
        <w:right w:val="none" w:sz="0" w:space="0" w:color="auto"/>
      </w:divBdr>
    </w:div>
    <w:div w:id="1832673098">
      <w:marLeft w:val="0"/>
      <w:marRight w:val="0"/>
      <w:marTop w:val="0"/>
      <w:marBottom w:val="0"/>
      <w:divBdr>
        <w:top w:val="none" w:sz="0" w:space="0" w:color="auto"/>
        <w:left w:val="none" w:sz="0" w:space="0" w:color="auto"/>
        <w:bottom w:val="none" w:sz="0" w:space="0" w:color="auto"/>
        <w:right w:val="none" w:sz="0" w:space="0" w:color="auto"/>
      </w:divBdr>
      <w:divsChild>
        <w:div w:id="2051876322">
          <w:marLeft w:val="0"/>
          <w:marRight w:val="0"/>
          <w:marTop w:val="0"/>
          <w:marBottom w:val="0"/>
          <w:divBdr>
            <w:top w:val="none" w:sz="0" w:space="0" w:color="auto"/>
            <w:left w:val="none" w:sz="0" w:space="0" w:color="auto"/>
            <w:bottom w:val="none" w:sz="0" w:space="0" w:color="auto"/>
            <w:right w:val="none" w:sz="0" w:space="0" w:color="auto"/>
          </w:divBdr>
        </w:div>
      </w:divsChild>
    </w:div>
    <w:div w:id="1832716978">
      <w:marLeft w:val="0"/>
      <w:marRight w:val="0"/>
      <w:marTop w:val="100"/>
      <w:marBottom w:val="0"/>
      <w:divBdr>
        <w:top w:val="none" w:sz="0" w:space="0" w:color="auto"/>
        <w:left w:val="none" w:sz="0" w:space="0" w:color="auto"/>
        <w:bottom w:val="none" w:sz="0" w:space="0" w:color="auto"/>
        <w:right w:val="none" w:sz="0" w:space="0" w:color="auto"/>
      </w:divBdr>
    </w:div>
    <w:div w:id="1833640106">
      <w:marLeft w:val="0"/>
      <w:marRight w:val="0"/>
      <w:marTop w:val="100"/>
      <w:marBottom w:val="0"/>
      <w:divBdr>
        <w:top w:val="none" w:sz="0" w:space="0" w:color="auto"/>
        <w:left w:val="none" w:sz="0" w:space="0" w:color="auto"/>
        <w:bottom w:val="none" w:sz="0" w:space="0" w:color="auto"/>
        <w:right w:val="none" w:sz="0" w:space="0" w:color="auto"/>
      </w:divBdr>
    </w:div>
    <w:div w:id="1833792062">
      <w:marLeft w:val="0"/>
      <w:marRight w:val="0"/>
      <w:marTop w:val="280"/>
      <w:marBottom w:val="0"/>
      <w:divBdr>
        <w:top w:val="none" w:sz="0" w:space="0" w:color="auto"/>
        <w:left w:val="none" w:sz="0" w:space="0" w:color="auto"/>
        <w:bottom w:val="none" w:sz="0" w:space="0" w:color="auto"/>
        <w:right w:val="none" w:sz="0" w:space="0" w:color="auto"/>
      </w:divBdr>
    </w:div>
    <w:div w:id="1834225286">
      <w:marLeft w:val="0"/>
      <w:marRight w:val="0"/>
      <w:marTop w:val="100"/>
      <w:marBottom w:val="0"/>
      <w:divBdr>
        <w:top w:val="none" w:sz="0" w:space="0" w:color="auto"/>
        <w:left w:val="none" w:sz="0" w:space="0" w:color="auto"/>
        <w:bottom w:val="none" w:sz="0" w:space="0" w:color="auto"/>
        <w:right w:val="none" w:sz="0" w:space="0" w:color="auto"/>
      </w:divBdr>
    </w:div>
    <w:div w:id="1834682436">
      <w:marLeft w:val="0"/>
      <w:marRight w:val="0"/>
      <w:marTop w:val="100"/>
      <w:marBottom w:val="0"/>
      <w:divBdr>
        <w:top w:val="none" w:sz="0" w:space="0" w:color="auto"/>
        <w:left w:val="none" w:sz="0" w:space="0" w:color="auto"/>
        <w:bottom w:val="none" w:sz="0" w:space="0" w:color="auto"/>
        <w:right w:val="none" w:sz="0" w:space="0" w:color="auto"/>
      </w:divBdr>
    </w:div>
    <w:div w:id="1835876166">
      <w:marLeft w:val="0"/>
      <w:marRight w:val="0"/>
      <w:marTop w:val="100"/>
      <w:marBottom w:val="0"/>
      <w:divBdr>
        <w:top w:val="none" w:sz="0" w:space="0" w:color="auto"/>
        <w:left w:val="none" w:sz="0" w:space="0" w:color="auto"/>
        <w:bottom w:val="none" w:sz="0" w:space="0" w:color="auto"/>
        <w:right w:val="none" w:sz="0" w:space="0" w:color="auto"/>
      </w:divBdr>
    </w:div>
    <w:div w:id="1836913988">
      <w:marLeft w:val="0"/>
      <w:marRight w:val="0"/>
      <w:marTop w:val="280"/>
      <w:marBottom w:val="0"/>
      <w:divBdr>
        <w:top w:val="none" w:sz="0" w:space="0" w:color="auto"/>
        <w:left w:val="none" w:sz="0" w:space="0" w:color="auto"/>
        <w:bottom w:val="none" w:sz="0" w:space="0" w:color="auto"/>
        <w:right w:val="none" w:sz="0" w:space="0" w:color="auto"/>
      </w:divBdr>
    </w:div>
    <w:div w:id="1839078463">
      <w:marLeft w:val="0"/>
      <w:marRight w:val="0"/>
      <w:marTop w:val="100"/>
      <w:marBottom w:val="0"/>
      <w:divBdr>
        <w:top w:val="none" w:sz="0" w:space="0" w:color="auto"/>
        <w:left w:val="none" w:sz="0" w:space="0" w:color="auto"/>
        <w:bottom w:val="none" w:sz="0" w:space="0" w:color="auto"/>
        <w:right w:val="none" w:sz="0" w:space="0" w:color="auto"/>
      </w:divBdr>
    </w:div>
    <w:div w:id="1839344669">
      <w:marLeft w:val="0"/>
      <w:marRight w:val="0"/>
      <w:marTop w:val="100"/>
      <w:marBottom w:val="0"/>
      <w:divBdr>
        <w:top w:val="none" w:sz="0" w:space="0" w:color="auto"/>
        <w:left w:val="none" w:sz="0" w:space="0" w:color="auto"/>
        <w:bottom w:val="none" w:sz="0" w:space="0" w:color="auto"/>
        <w:right w:val="none" w:sz="0" w:space="0" w:color="auto"/>
      </w:divBdr>
    </w:div>
    <w:div w:id="1839692114">
      <w:marLeft w:val="0"/>
      <w:marRight w:val="0"/>
      <w:marTop w:val="180"/>
      <w:marBottom w:val="0"/>
      <w:divBdr>
        <w:top w:val="none" w:sz="0" w:space="0" w:color="auto"/>
        <w:left w:val="none" w:sz="0" w:space="0" w:color="auto"/>
        <w:bottom w:val="none" w:sz="0" w:space="0" w:color="auto"/>
        <w:right w:val="none" w:sz="0" w:space="0" w:color="auto"/>
      </w:divBdr>
    </w:div>
    <w:div w:id="1840804193">
      <w:marLeft w:val="0"/>
      <w:marRight w:val="0"/>
      <w:marTop w:val="280"/>
      <w:marBottom w:val="0"/>
      <w:divBdr>
        <w:top w:val="none" w:sz="0" w:space="0" w:color="auto"/>
        <w:left w:val="none" w:sz="0" w:space="0" w:color="auto"/>
        <w:bottom w:val="none" w:sz="0" w:space="0" w:color="auto"/>
        <w:right w:val="none" w:sz="0" w:space="0" w:color="auto"/>
      </w:divBdr>
    </w:div>
    <w:div w:id="1843467001">
      <w:marLeft w:val="0"/>
      <w:marRight w:val="0"/>
      <w:marTop w:val="60"/>
      <w:marBottom w:val="0"/>
      <w:divBdr>
        <w:top w:val="none" w:sz="0" w:space="0" w:color="auto"/>
        <w:left w:val="none" w:sz="0" w:space="0" w:color="auto"/>
        <w:bottom w:val="none" w:sz="0" w:space="0" w:color="auto"/>
        <w:right w:val="none" w:sz="0" w:space="0" w:color="auto"/>
      </w:divBdr>
    </w:div>
    <w:div w:id="1844393836">
      <w:marLeft w:val="0"/>
      <w:marRight w:val="0"/>
      <w:marTop w:val="60"/>
      <w:marBottom w:val="0"/>
      <w:divBdr>
        <w:top w:val="none" w:sz="0" w:space="0" w:color="auto"/>
        <w:left w:val="none" w:sz="0" w:space="0" w:color="auto"/>
        <w:bottom w:val="none" w:sz="0" w:space="0" w:color="auto"/>
        <w:right w:val="none" w:sz="0" w:space="0" w:color="auto"/>
      </w:divBdr>
    </w:div>
    <w:div w:id="1845050673">
      <w:marLeft w:val="0"/>
      <w:marRight w:val="0"/>
      <w:marTop w:val="100"/>
      <w:marBottom w:val="0"/>
      <w:divBdr>
        <w:top w:val="none" w:sz="0" w:space="0" w:color="auto"/>
        <w:left w:val="none" w:sz="0" w:space="0" w:color="auto"/>
        <w:bottom w:val="none" w:sz="0" w:space="0" w:color="auto"/>
        <w:right w:val="none" w:sz="0" w:space="0" w:color="auto"/>
      </w:divBdr>
    </w:div>
    <w:div w:id="1845630387">
      <w:marLeft w:val="0"/>
      <w:marRight w:val="0"/>
      <w:marTop w:val="280"/>
      <w:marBottom w:val="0"/>
      <w:divBdr>
        <w:top w:val="none" w:sz="0" w:space="0" w:color="auto"/>
        <w:left w:val="none" w:sz="0" w:space="0" w:color="auto"/>
        <w:bottom w:val="none" w:sz="0" w:space="0" w:color="auto"/>
        <w:right w:val="none" w:sz="0" w:space="0" w:color="auto"/>
      </w:divBdr>
    </w:div>
    <w:div w:id="1847860186">
      <w:marLeft w:val="0"/>
      <w:marRight w:val="0"/>
      <w:marTop w:val="100"/>
      <w:marBottom w:val="0"/>
      <w:divBdr>
        <w:top w:val="none" w:sz="0" w:space="0" w:color="auto"/>
        <w:left w:val="none" w:sz="0" w:space="0" w:color="auto"/>
        <w:bottom w:val="none" w:sz="0" w:space="0" w:color="auto"/>
        <w:right w:val="none" w:sz="0" w:space="0" w:color="auto"/>
      </w:divBdr>
    </w:div>
    <w:div w:id="1849558581">
      <w:marLeft w:val="0"/>
      <w:marRight w:val="0"/>
      <w:marTop w:val="100"/>
      <w:marBottom w:val="0"/>
      <w:divBdr>
        <w:top w:val="none" w:sz="0" w:space="0" w:color="auto"/>
        <w:left w:val="none" w:sz="0" w:space="0" w:color="auto"/>
        <w:bottom w:val="none" w:sz="0" w:space="0" w:color="auto"/>
        <w:right w:val="none" w:sz="0" w:space="0" w:color="auto"/>
      </w:divBdr>
    </w:div>
    <w:div w:id="1849710285">
      <w:marLeft w:val="0"/>
      <w:marRight w:val="0"/>
      <w:marTop w:val="60"/>
      <w:marBottom w:val="0"/>
      <w:divBdr>
        <w:top w:val="none" w:sz="0" w:space="0" w:color="auto"/>
        <w:left w:val="none" w:sz="0" w:space="0" w:color="auto"/>
        <w:bottom w:val="none" w:sz="0" w:space="0" w:color="auto"/>
        <w:right w:val="none" w:sz="0" w:space="0" w:color="auto"/>
      </w:divBdr>
    </w:div>
    <w:div w:id="1851486469">
      <w:marLeft w:val="0"/>
      <w:marRight w:val="0"/>
      <w:marTop w:val="100"/>
      <w:marBottom w:val="0"/>
      <w:divBdr>
        <w:top w:val="none" w:sz="0" w:space="0" w:color="auto"/>
        <w:left w:val="none" w:sz="0" w:space="0" w:color="auto"/>
        <w:bottom w:val="none" w:sz="0" w:space="0" w:color="auto"/>
        <w:right w:val="none" w:sz="0" w:space="0" w:color="auto"/>
      </w:divBdr>
    </w:div>
    <w:div w:id="1851602444">
      <w:marLeft w:val="0"/>
      <w:marRight w:val="0"/>
      <w:marTop w:val="100"/>
      <w:marBottom w:val="0"/>
      <w:divBdr>
        <w:top w:val="none" w:sz="0" w:space="0" w:color="auto"/>
        <w:left w:val="none" w:sz="0" w:space="0" w:color="auto"/>
        <w:bottom w:val="none" w:sz="0" w:space="0" w:color="auto"/>
        <w:right w:val="none" w:sz="0" w:space="0" w:color="auto"/>
      </w:divBdr>
    </w:div>
    <w:div w:id="1852253830">
      <w:marLeft w:val="0"/>
      <w:marRight w:val="0"/>
      <w:marTop w:val="100"/>
      <w:marBottom w:val="0"/>
      <w:divBdr>
        <w:top w:val="none" w:sz="0" w:space="0" w:color="auto"/>
        <w:left w:val="none" w:sz="0" w:space="0" w:color="auto"/>
        <w:bottom w:val="none" w:sz="0" w:space="0" w:color="auto"/>
        <w:right w:val="none" w:sz="0" w:space="0" w:color="auto"/>
      </w:divBdr>
    </w:div>
    <w:div w:id="1853376759">
      <w:marLeft w:val="0"/>
      <w:marRight w:val="0"/>
      <w:marTop w:val="100"/>
      <w:marBottom w:val="0"/>
      <w:divBdr>
        <w:top w:val="none" w:sz="0" w:space="0" w:color="auto"/>
        <w:left w:val="none" w:sz="0" w:space="0" w:color="auto"/>
        <w:bottom w:val="none" w:sz="0" w:space="0" w:color="auto"/>
        <w:right w:val="none" w:sz="0" w:space="0" w:color="auto"/>
      </w:divBdr>
    </w:div>
    <w:div w:id="1858036668">
      <w:marLeft w:val="0"/>
      <w:marRight w:val="0"/>
      <w:marTop w:val="100"/>
      <w:marBottom w:val="0"/>
      <w:divBdr>
        <w:top w:val="none" w:sz="0" w:space="0" w:color="auto"/>
        <w:left w:val="none" w:sz="0" w:space="0" w:color="auto"/>
        <w:bottom w:val="none" w:sz="0" w:space="0" w:color="auto"/>
        <w:right w:val="none" w:sz="0" w:space="0" w:color="auto"/>
      </w:divBdr>
    </w:div>
    <w:div w:id="1859348456">
      <w:marLeft w:val="0"/>
      <w:marRight w:val="0"/>
      <w:marTop w:val="100"/>
      <w:marBottom w:val="0"/>
      <w:divBdr>
        <w:top w:val="none" w:sz="0" w:space="0" w:color="auto"/>
        <w:left w:val="none" w:sz="0" w:space="0" w:color="auto"/>
        <w:bottom w:val="none" w:sz="0" w:space="0" w:color="auto"/>
        <w:right w:val="none" w:sz="0" w:space="0" w:color="auto"/>
      </w:divBdr>
    </w:div>
    <w:div w:id="1861427061">
      <w:marLeft w:val="0"/>
      <w:marRight w:val="0"/>
      <w:marTop w:val="100"/>
      <w:marBottom w:val="0"/>
      <w:divBdr>
        <w:top w:val="none" w:sz="0" w:space="0" w:color="auto"/>
        <w:left w:val="none" w:sz="0" w:space="0" w:color="auto"/>
        <w:bottom w:val="none" w:sz="0" w:space="0" w:color="auto"/>
        <w:right w:val="none" w:sz="0" w:space="0" w:color="auto"/>
      </w:divBdr>
    </w:div>
    <w:div w:id="1862696412">
      <w:marLeft w:val="0"/>
      <w:marRight w:val="0"/>
      <w:marTop w:val="60"/>
      <w:marBottom w:val="0"/>
      <w:divBdr>
        <w:top w:val="none" w:sz="0" w:space="0" w:color="auto"/>
        <w:left w:val="none" w:sz="0" w:space="0" w:color="auto"/>
        <w:bottom w:val="none" w:sz="0" w:space="0" w:color="auto"/>
        <w:right w:val="none" w:sz="0" w:space="0" w:color="auto"/>
      </w:divBdr>
    </w:div>
    <w:div w:id="1864244143">
      <w:marLeft w:val="0"/>
      <w:marRight w:val="0"/>
      <w:marTop w:val="280"/>
      <w:marBottom w:val="0"/>
      <w:divBdr>
        <w:top w:val="none" w:sz="0" w:space="0" w:color="auto"/>
        <w:left w:val="none" w:sz="0" w:space="0" w:color="auto"/>
        <w:bottom w:val="none" w:sz="0" w:space="0" w:color="auto"/>
        <w:right w:val="none" w:sz="0" w:space="0" w:color="auto"/>
      </w:divBdr>
    </w:div>
    <w:div w:id="1865900909">
      <w:marLeft w:val="0"/>
      <w:marRight w:val="0"/>
      <w:marTop w:val="0"/>
      <w:marBottom w:val="0"/>
      <w:divBdr>
        <w:top w:val="none" w:sz="0" w:space="0" w:color="auto"/>
        <w:left w:val="none" w:sz="0" w:space="0" w:color="auto"/>
        <w:bottom w:val="none" w:sz="0" w:space="0" w:color="auto"/>
        <w:right w:val="none" w:sz="0" w:space="0" w:color="auto"/>
      </w:divBdr>
      <w:divsChild>
        <w:div w:id="334458794">
          <w:marLeft w:val="0"/>
          <w:marRight w:val="0"/>
          <w:marTop w:val="0"/>
          <w:marBottom w:val="0"/>
          <w:divBdr>
            <w:top w:val="none" w:sz="0" w:space="0" w:color="auto"/>
            <w:left w:val="none" w:sz="0" w:space="0" w:color="auto"/>
            <w:bottom w:val="none" w:sz="0" w:space="0" w:color="auto"/>
            <w:right w:val="none" w:sz="0" w:space="0" w:color="auto"/>
          </w:divBdr>
        </w:div>
      </w:divsChild>
    </w:div>
    <w:div w:id="1866749070">
      <w:marLeft w:val="0"/>
      <w:marRight w:val="0"/>
      <w:marTop w:val="0"/>
      <w:marBottom w:val="0"/>
      <w:divBdr>
        <w:top w:val="none" w:sz="0" w:space="0" w:color="auto"/>
        <w:left w:val="none" w:sz="0" w:space="0" w:color="auto"/>
        <w:bottom w:val="none" w:sz="0" w:space="0" w:color="auto"/>
        <w:right w:val="none" w:sz="0" w:space="0" w:color="auto"/>
      </w:divBdr>
      <w:divsChild>
        <w:div w:id="1726441999">
          <w:marLeft w:val="0"/>
          <w:marRight w:val="0"/>
          <w:marTop w:val="0"/>
          <w:marBottom w:val="0"/>
          <w:divBdr>
            <w:top w:val="none" w:sz="0" w:space="0" w:color="auto"/>
            <w:left w:val="none" w:sz="0" w:space="0" w:color="auto"/>
            <w:bottom w:val="none" w:sz="0" w:space="0" w:color="auto"/>
            <w:right w:val="none" w:sz="0" w:space="0" w:color="auto"/>
          </w:divBdr>
        </w:div>
      </w:divsChild>
    </w:div>
    <w:div w:id="1867205883">
      <w:marLeft w:val="0"/>
      <w:marRight w:val="0"/>
      <w:marTop w:val="100"/>
      <w:marBottom w:val="0"/>
      <w:divBdr>
        <w:top w:val="none" w:sz="0" w:space="0" w:color="auto"/>
        <w:left w:val="none" w:sz="0" w:space="0" w:color="auto"/>
        <w:bottom w:val="none" w:sz="0" w:space="0" w:color="auto"/>
        <w:right w:val="none" w:sz="0" w:space="0" w:color="auto"/>
      </w:divBdr>
    </w:div>
    <w:div w:id="1873347198">
      <w:marLeft w:val="0"/>
      <w:marRight w:val="0"/>
      <w:marTop w:val="280"/>
      <w:marBottom w:val="0"/>
      <w:divBdr>
        <w:top w:val="none" w:sz="0" w:space="0" w:color="auto"/>
        <w:left w:val="none" w:sz="0" w:space="0" w:color="auto"/>
        <w:bottom w:val="none" w:sz="0" w:space="0" w:color="auto"/>
        <w:right w:val="none" w:sz="0" w:space="0" w:color="auto"/>
      </w:divBdr>
    </w:div>
    <w:div w:id="1873683547">
      <w:marLeft w:val="0"/>
      <w:marRight w:val="0"/>
      <w:marTop w:val="100"/>
      <w:marBottom w:val="0"/>
      <w:divBdr>
        <w:top w:val="none" w:sz="0" w:space="0" w:color="auto"/>
        <w:left w:val="none" w:sz="0" w:space="0" w:color="auto"/>
        <w:bottom w:val="none" w:sz="0" w:space="0" w:color="auto"/>
        <w:right w:val="none" w:sz="0" w:space="0" w:color="auto"/>
      </w:divBdr>
    </w:div>
    <w:div w:id="1875001349">
      <w:marLeft w:val="0"/>
      <w:marRight w:val="0"/>
      <w:marTop w:val="100"/>
      <w:marBottom w:val="0"/>
      <w:divBdr>
        <w:top w:val="none" w:sz="0" w:space="0" w:color="auto"/>
        <w:left w:val="none" w:sz="0" w:space="0" w:color="auto"/>
        <w:bottom w:val="none" w:sz="0" w:space="0" w:color="auto"/>
        <w:right w:val="none" w:sz="0" w:space="0" w:color="auto"/>
      </w:divBdr>
    </w:div>
    <w:div w:id="1876846669">
      <w:marLeft w:val="0"/>
      <w:marRight w:val="0"/>
      <w:marTop w:val="100"/>
      <w:marBottom w:val="0"/>
      <w:divBdr>
        <w:top w:val="none" w:sz="0" w:space="0" w:color="auto"/>
        <w:left w:val="none" w:sz="0" w:space="0" w:color="auto"/>
        <w:bottom w:val="none" w:sz="0" w:space="0" w:color="auto"/>
        <w:right w:val="none" w:sz="0" w:space="0" w:color="auto"/>
      </w:divBdr>
    </w:div>
    <w:div w:id="1877110587">
      <w:marLeft w:val="0"/>
      <w:marRight w:val="0"/>
      <w:marTop w:val="100"/>
      <w:marBottom w:val="0"/>
      <w:divBdr>
        <w:top w:val="none" w:sz="0" w:space="0" w:color="auto"/>
        <w:left w:val="none" w:sz="0" w:space="0" w:color="auto"/>
        <w:bottom w:val="none" w:sz="0" w:space="0" w:color="auto"/>
        <w:right w:val="none" w:sz="0" w:space="0" w:color="auto"/>
      </w:divBdr>
    </w:div>
    <w:div w:id="1877934956">
      <w:marLeft w:val="0"/>
      <w:marRight w:val="0"/>
      <w:marTop w:val="60"/>
      <w:marBottom w:val="0"/>
      <w:divBdr>
        <w:top w:val="none" w:sz="0" w:space="0" w:color="auto"/>
        <w:left w:val="none" w:sz="0" w:space="0" w:color="auto"/>
        <w:bottom w:val="none" w:sz="0" w:space="0" w:color="auto"/>
        <w:right w:val="none" w:sz="0" w:space="0" w:color="auto"/>
      </w:divBdr>
    </w:div>
    <w:div w:id="1879589345">
      <w:marLeft w:val="0"/>
      <w:marRight w:val="0"/>
      <w:marTop w:val="100"/>
      <w:marBottom w:val="100"/>
      <w:divBdr>
        <w:top w:val="none" w:sz="0" w:space="0" w:color="auto"/>
        <w:left w:val="none" w:sz="0" w:space="0" w:color="auto"/>
        <w:bottom w:val="none" w:sz="0" w:space="0" w:color="auto"/>
        <w:right w:val="none" w:sz="0" w:space="0" w:color="auto"/>
      </w:divBdr>
    </w:div>
    <w:div w:id="1880971324">
      <w:marLeft w:val="0"/>
      <w:marRight w:val="0"/>
      <w:marTop w:val="100"/>
      <w:marBottom w:val="0"/>
      <w:divBdr>
        <w:top w:val="none" w:sz="0" w:space="0" w:color="auto"/>
        <w:left w:val="none" w:sz="0" w:space="0" w:color="auto"/>
        <w:bottom w:val="none" w:sz="0" w:space="0" w:color="auto"/>
        <w:right w:val="none" w:sz="0" w:space="0" w:color="auto"/>
      </w:divBdr>
    </w:div>
    <w:div w:id="1881434064">
      <w:marLeft w:val="0"/>
      <w:marRight w:val="0"/>
      <w:marTop w:val="100"/>
      <w:marBottom w:val="0"/>
      <w:divBdr>
        <w:top w:val="none" w:sz="0" w:space="0" w:color="auto"/>
        <w:left w:val="none" w:sz="0" w:space="0" w:color="auto"/>
        <w:bottom w:val="none" w:sz="0" w:space="0" w:color="auto"/>
        <w:right w:val="none" w:sz="0" w:space="0" w:color="auto"/>
      </w:divBdr>
    </w:div>
    <w:div w:id="1881435406">
      <w:marLeft w:val="0"/>
      <w:marRight w:val="0"/>
      <w:marTop w:val="100"/>
      <w:marBottom w:val="0"/>
      <w:divBdr>
        <w:top w:val="none" w:sz="0" w:space="0" w:color="auto"/>
        <w:left w:val="none" w:sz="0" w:space="0" w:color="auto"/>
        <w:bottom w:val="none" w:sz="0" w:space="0" w:color="auto"/>
        <w:right w:val="none" w:sz="0" w:space="0" w:color="auto"/>
      </w:divBdr>
    </w:div>
    <w:div w:id="1881479308">
      <w:marLeft w:val="0"/>
      <w:marRight w:val="0"/>
      <w:marTop w:val="0"/>
      <w:marBottom w:val="0"/>
      <w:divBdr>
        <w:top w:val="none" w:sz="0" w:space="0" w:color="auto"/>
        <w:left w:val="none" w:sz="0" w:space="0" w:color="auto"/>
        <w:bottom w:val="none" w:sz="0" w:space="0" w:color="auto"/>
        <w:right w:val="none" w:sz="0" w:space="0" w:color="auto"/>
      </w:divBdr>
      <w:divsChild>
        <w:div w:id="393089051">
          <w:marLeft w:val="0"/>
          <w:marRight w:val="0"/>
          <w:marTop w:val="0"/>
          <w:marBottom w:val="0"/>
          <w:divBdr>
            <w:top w:val="none" w:sz="0" w:space="0" w:color="auto"/>
            <w:left w:val="none" w:sz="0" w:space="0" w:color="auto"/>
            <w:bottom w:val="none" w:sz="0" w:space="0" w:color="auto"/>
            <w:right w:val="none" w:sz="0" w:space="0" w:color="auto"/>
          </w:divBdr>
        </w:div>
      </w:divsChild>
    </w:div>
    <w:div w:id="1883328184">
      <w:marLeft w:val="0"/>
      <w:marRight w:val="0"/>
      <w:marTop w:val="100"/>
      <w:marBottom w:val="0"/>
      <w:divBdr>
        <w:top w:val="none" w:sz="0" w:space="0" w:color="auto"/>
        <w:left w:val="none" w:sz="0" w:space="0" w:color="auto"/>
        <w:bottom w:val="none" w:sz="0" w:space="0" w:color="auto"/>
        <w:right w:val="none" w:sz="0" w:space="0" w:color="auto"/>
      </w:divBdr>
    </w:div>
    <w:div w:id="1883395313">
      <w:marLeft w:val="0"/>
      <w:marRight w:val="0"/>
      <w:marTop w:val="280"/>
      <w:marBottom w:val="0"/>
      <w:divBdr>
        <w:top w:val="none" w:sz="0" w:space="0" w:color="auto"/>
        <w:left w:val="none" w:sz="0" w:space="0" w:color="auto"/>
        <w:bottom w:val="none" w:sz="0" w:space="0" w:color="auto"/>
        <w:right w:val="none" w:sz="0" w:space="0" w:color="auto"/>
      </w:divBdr>
    </w:div>
    <w:div w:id="1883440032">
      <w:marLeft w:val="0"/>
      <w:marRight w:val="0"/>
      <w:marTop w:val="100"/>
      <w:marBottom w:val="0"/>
      <w:divBdr>
        <w:top w:val="none" w:sz="0" w:space="0" w:color="auto"/>
        <w:left w:val="none" w:sz="0" w:space="0" w:color="auto"/>
        <w:bottom w:val="none" w:sz="0" w:space="0" w:color="auto"/>
        <w:right w:val="none" w:sz="0" w:space="0" w:color="auto"/>
      </w:divBdr>
    </w:div>
    <w:div w:id="1884561252">
      <w:marLeft w:val="0"/>
      <w:marRight w:val="0"/>
      <w:marTop w:val="100"/>
      <w:marBottom w:val="0"/>
      <w:divBdr>
        <w:top w:val="none" w:sz="0" w:space="0" w:color="auto"/>
        <w:left w:val="none" w:sz="0" w:space="0" w:color="auto"/>
        <w:bottom w:val="none" w:sz="0" w:space="0" w:color="auto"/>
        <w:right w:val="none" w:sz="0" w:space="0" w:color="auto"/>
      </w:divBdr>
    </w:div>
    <w:div w:id="1892111999">
      <w:marLeft w:val="0"/>
      <w:marRight w:val="0"/>
      <w:marTop w:val="280"/>
      <w:marBottom w:val="0"/>
      <w:divBdr>
        <w:top w:val="none" w:sz="0" w:space="0" w:color="auto"/>
        <w:left w:val="none" w:sz="0" w:space="0" w:color="auto"/>
        <w:bottom w:val="none" w:sz="0" w:space="0" w:color="auto"/>
        <w:right w:val="none" w:sz="0" w:space="0" w:color="auto"/>
      </w:divBdr>
    </w:div>
    <w:div w:id="1893080550">
      <w:marLeft w:val="0"/>
      <w:marRight w:val="0"/>
      <w:marTop w:val="40"/>
      <w:marBottom w:val="0"/>
      <w:divBdr>
        <w:top w:val="none" w:sz="0" w:space="0" w:color="auto"/>
        <w:left w:val="none" w:sz="0" w:space="0" w:color="auto"/>
        <w:bottom w:val="none" w:sz="0" w:space="0" w:color="auto"/>
        <w:right w:val="none" w:sz="0" w:space="0" w:color="auto"/>
      </w:divBdr>
    </w:div>
    <w:div w:id="1893344743">
      <w:marLeft w:val="0"/>
      <w:marRight w:val="0"/>
      <w:marTop w:val="60"/>
      <w:marBottom w:val="0"/>
      <w:divBdr>
        <w:top w:val="none" w:sz="0" w:space="0" w:color="auto"/>
        <w:left w:val="none" w:sz="0" w:space="0" w:color="auto"/>
        <w:bottom w:val="none" w:sz="0" w:space="0" w:color="auto"/>
        <w:right w:val="none" w:sz="0" w:space="0" w:color="auto"/>
      </w:divBdr>
    </w:div>
    <w:div w:id="1893880175">
      <w:marLeft w:val="0"/>
      <w:marRight w:val="0"/>
      <w:marTop w:val="100"/>
      <w:marBottom w:val="0"/>
      <w:divBdr>
        <w:top w:val="none" w:sz="0" w:space="0" w:color="auto"/>
        <w:left w:val="none" w:sz="0" w:space="0" w:color="auto"/>
        <w:bottom w:val="none" w:sz="0" w:space="0" w:color="auto"/>
        <w:right w:val="none" w:sz="0" w:space="0" w:color="auto"/>
      </w:divBdr>
    </w:div>
    <w:div w:id="1895042186">
      <w:marLeft w:val="0"/>
      <w:marRight w:val="0"/>
      <w:marTop w:val="60"/>
      <w:marBottom w:val="0"/>
      <w:divBdr>
        <w:top w:val="none" w:sz="0" w:space="0" w:color="auto"/>
        <w:left w:val="none" w:sz="0" w:space="0" w:color="auto"/>
        <w:bottom w:val="none" w:sz="0" w:space="0" w:color="auto"/>
        <w:right w:val="none" w:sz="0" w:space="0" w:color="auto"/>
      </w:divBdr>
    </w:div>
    <w:div w:id="1895776921">
      <w:marLeft w:val="0"/>
      <w:marRight w:val="0"/>
      <w:marTop w:val="40"/>
      <w:marBottom w:val="0"/>
      <w:divBdr>
        <w:top w:val="none" w:sz="0" w:space="0" w:color="auto"/>
        <w:left w:val="none" w:sz="0" w:space="0" w:color="auto"/>
        <w:bottom w:val="none" w:sz="0" w:space="0" w:color="auto"/>
        <w:right w:val="none" w:sz="0" w:space="0" w:color="auto"/>
      </w:divBdr>
    </w:div>
    <w:div w:id="1897936248">
      <w:marLeft w:val="0"/>
      <w:marRight w:val="0"/>
      <w:marTop w:val="100"/>
      <w:marBottom w:val="0"/>
      <w:divBdr>
        <w:top w:val="none" w:sz="0" w:space="0" w:color="auto"/>
        <w:left w:val="none" w:sz="0" w:space="0" w:color="auto"/>
        <w:bottom w:val="none" w:sz="0" w:space="0" w:color="auto"/>
        <w:right w:val="none" w:sz="0" w:space="0" w:color="auto"/>
      </w:divBdr>
    </w:div>
    <w:div w:id="1900284659">
      <w:marLeft w:val="0"/>
      <w:marRight w:val="0"/>
      <w:marTop w:val="0"/>
      <w:marBottom w:val="0"/>
      <w:divBdr>
        <w:top w:val="none" w:sz="0" w:space="0" w:color="auto"/>
        <w:left w:val="none" w:sz="0" w:space="0" w:color="auto"/>
        <w:bottom w:val="none" w:sz="0" w:space="0" w:color="auto"/>
        <w:right w:val="none" w:sz="0" w:space="0" w:color="auto"/>
      </w:divBdr>
      <w:divsChild>
        <w:div w:id="1531603978">
          <w:marLeft w:val="0"/>
          <w:marRight w:val="0"/>
          <w:marTop w:val="0"/>
          <w:marBottom w:val="0"/>
          <w:divBdr>
            <w:top w:val="none" w:sz="0" w:space="0" w:color="auto"/>
            <w:left w:val="none" w:sz="0" w:space="0" w:color="auto"/>
            <w:bottom w:val="none" w:sz="0" w:space="0" w:color="auto"/>
            <w:right w:val="none" w:sz="0" w:space="0" w:color="auto"/>
          </w:divBdr>
        </w:div>
      </w:divsChild>
    </w:div>
    <w:div w:id="1903131614">
      <w:marLeft w:val="0"/>
      <w:marRight w:val="0"/>
      <w:marTop w:val="0"/>
      <w:marBottom w:val="0"/>
      <w:divBdr>
        <w:top w:val="none" w:sz="0" w:space="0" w:color="auto"/>
        <w:left w:val="none" w:sz="0" w:space="0" w:color="auto"/>
        <w:bottom w:val="none" w:sz="0" w:space="0" w:color="auto"/>
        <w:right w:val="none" w:sz="0" w:space="0" w:color="auto"/>
      </w:divBdr>
      <w:divsChild>
        <w:div w:id="480385817">
          <w:marLeft w:val="0"/>
          <w:marRight w:val="0"/>
          <w:marTop w:val="0"/>
          <w:marBottom w:val="0"/>
          <w:divBdr>
            <w:top w:val="none" w:sz="0" w:space="0" w:color="auto"/>
            <w:left w:val="none" w:sz="0" w:space="0" w:color="auto"/>
            <w:bottom w:val="none" w:sz="0" w:space="0" w:color="auto"/>
            <w:right w:val="none" w:sz="0" w:space="0" w:color="auto"/>
          </w:divBdr>
        </w:div>
        <w:div w:id="518199834">
          <w:marLeft w:val="0"/>
          <w:marRight w:val="0"/>
          <w:marTop w:val="0"/>
          <w:marBottom w:val="0"/>
          <w:divBdr>
            <w:top w:val="none" w:sz="0" w:space="0" w:color="auto"/>
            <w:left w:val="none" w:sz="0" w:space="0" w:color="auto"/>
            <w:bottom w:val="none" w:sz="0" w:space="0" w:color="auto"/>
            <w:right w:val="none" w:sz="0" w:space="0" w:color="auto"/>
          </w:divBdr>
        </w:div>
      </w:divsChild>
    </w:div>
    <w:div w:id="1903297130">
      <w:marLeft w:val="0"/>
      <w:marRight w:val="0"/>
      <w:marTop w:val="100"/>
      <w:marBottom w:val="0"/>
      <w:divBdr>
        <w:top w:val="none" w:sz="0" w:space="0" w:color="auto"/>
        <w:left w:val="none" w:sz="0" w:space="0" w:color="auto"/>
        <w:bottom w:val="none" w:sz="0" w:space="0" w:color="auto"/>
        <w:right w:val="none" w:sz="0" w:space="0" w:color="auto"/>
      </w:divBdr>
    </w:div>
    <w:div w:id="1904020633">
      <w:marLeft w:val="0"/>
      <w:marRight w:val="0"/>
      <w:marTop w:val="100"/>
      <w:marBottom w:val="0"/>
      <w:divBdr>
        <w:top w:val="none" w:sz="0" w:space="0" w:color="auto"/>
        <w:left w:val="none" w:sz="0" w:space="0" w:color="auto"/>
        <w:bottom w:val="none" w:sz="0" w:space="0" w:color="auto"/>
        <w:right w:val="none" w:sz="0" w:space="0" w:color="auto"/>
      </w:divBdr>
    </w:div>
    <w:div w:id="1904827712">
      <w:marLeft w:val="0"/>
      <w:marRight w:val="0"/>
      <w:marTop w:val="100"/>
      <w:marBottom w:val="0"/>
      <w:divBdr>
        <w:top w:val="none" w:sz="0" w:space="0" w:color="auto"/>
        <w:left w:val="none" w:sz="0" w:space="0" w:color="auto"/>
        <w:bottom w:val="none" w:sz="0" w:space="0" w:color="auto"/>
        <w:right w:val="none" w:sz="0" w:space="0" w:color="auto"/>
      </w:divBdr>
    </w:div>
    <w:div w:id="1905797168">
      <w:marLeft w:val="0"/>
      <w:marRight w:val="0"/>
      <w:marTop w:val="100"/>
      <w:marBottom w:val="0"/>
      <w:divBdr>
        <w:top w:val="none" w:sz="0" w:space="0" w:color="auto"/>
        <w:left w:val="none" w:sz="0" w:space="0" w:color="auto"/>
        <w:bottom w:val="none" w:sz="0" w:space="0" w:color="auto"/>
        <w:right w:val="none" w:sz="0" w:space="0" w:color="auto"/>
      </w:divBdr>
    </w:div>
    <w:div w:id="1906068593">
      <w:marLeft w:val="0"/>
      <w:marRight w:val="0"/>
      <w:marTop w:val="100"/>
      <w:marBottom w:val="0"/>
      <w:divBdr>
        <w:top w:val="none" w:sz="0" w:space="0" w:color="auto"/>
        <w:left w:val="none" w:sz="0" w:space="0" w:color="auto"/>
        <w:bottom w:val="none" w:sz="0" w:space="0" w:color="auto"/>
        <w:right w:val="none" w:sz="0" w:space="0" w:color="auto"/>
      </w:divBdr>
    </w:div>
    <w:div w:id="1906639991">
      <w:marLeft w:val="0"/>
      <w:marRight w:val="0"/>
      <w:marTop w:val="180"/>
      <w:marBottom w:val="0"/>
      <w:divBdr>
        <w:top w:val="none" w:sz="0" w:space="0" w:color="auto"/>
        <w:left w:val="none" w:sz="0" w:space="0" w:color="auto"/>
        <w:bottom w:val="none" w:sz="0" w:space="0" w:color="auto"/>
        <w:right w:val="none" w:sz="0" w:space="0" w:color="auto"/>
      </w:divBdr>
    </w:div>
    <w:div w:id="1906987908">
      <w:marLeft w:val="0"/>
      <w:marRight w:val="0"/>
      <w:marTop w:val="0"/>
      <w:marBottom w:val="0"/>
      <w:divBdr>
        <w:top w:val="none" w:sz="0" w:space="0" w:color="auto"/>
        <w:left w:val="none" w:sz="0" w:space="0" w:color="auto"/>
        <w:bottom w:val="none" w:sz="0" w:space="0" w:color="auto"/>
        <w:right w:val="none" w:sz="0" w:space="0" w:color="auto"/>
      </w:divBdr>
      <w:divsChild>
        <w:div w:id="1588004674">
          <w:marLeft w:val="0"/>
          <w:marRight w:val="0"/>
          <w:marTop w:val="0"/>
          <w:marBottom w:val="0"/>
          <w:divBdr>
            <w:top w:val="none" w:sz="0" w:space="0" w:color="auto"/>
            <w:left w:val="none" w:sz="0" w:space="0" w:color="auto"/>
            <w:bottom w:val="none" w:sz="0" w:space="0" w:color="auto"/>
            <w:right w:val="none" w:sz="0" w:space="0" w:color="auto"/>
          </w:divBdr>
        </w:div>
        <w:div w:id="2104914371">
          <w:marLeft w:val="0"/>
          <w:marRight w:val="0"/>
          <w:marTop w:val="0"/>
          <w:marBottom w:val="0"/>
          <w:divBdr>
            <w:top w:val="none" w:sz="0" w:space="0" w:color="auto"/>
            <w:left w:val="none" w:sz="0" w:space="0" w:color="auto"/>
            <w:bottom w:val="none" w:sz="0" w:space="0" w:color="auto"/>
            <w:right w:val="none" w:sz="0" w:space="0" w:color="auto"/>
          </w:divBdr>
        </w:div>
      </w:divsChild>
    </w:div>
    <w:div w:id="1907378819">
      <w:marLeft w:val="0"/>
      <w:marRight w:val="0"/>
      <w:marTop w:val="60"/>
      <w:marBottom w:val="0"/>
      <w:divBdr>
        <w:top w:val="none" w:sz="0" w:space="0" w:color="auto"/>
        <w:left w:val="none" w:sz="0" w:space="0" w:color="auto"/>
        <w:bottom w:val="none" w:sz="0" w:space="0" w:color="auto"/>
        <w:right w:val="none" w:sz="0" w:space="0" w:color="auto"/>
      </w:divBdr>
    </w:div>
    <w:div w:id="1907909138">
      <w:marLeft w:val="0"/>
      <w:marRight w:val="0"/>
      <w:marTop w:val="0"/>
      <w:marBottom w:val="0"/>
      <w:divBdr>
        <w:top w:val="none" w:sz="0" w:space="0" w:color="auto"/>
        <w:left w:val="none" w:sz="0" w:space="0" w:color="auto"/>
        <w:bottom w:val="none" w:sz="0" w:space="0" w:color="auto"/>
        <w:right w:val="none" w:sz="0" w:space="0" w:color="auto"/>
      </w:divBdr>
      <w:divsChild>
        <w:div w:id="943655473">
          <w:marLeft w:val="0"/>
          <w:marRight w:val="0"/>
          <w:marTop w:val="0"/>
          <w:marBottom w:val="0"/>
          <w:divBdr>
            <w:top w:val="none" w:sz="0" w:space="0" w:color="auto"/>
            <w:left w:val="none" w:sz="0" w:space="0" w:color="auto"/>
            <w:bottom w:val="none" w:sz="0" w:space="0" w:color="auto"/>
            <w:right w:val="none" w:sz="0" w:space="0" w:color="auto"/>
          </w:divBdr>
        </w:div>
      </w:divsChild>
    </w:div>
    <w:div w:id="1909195359">
      <w:marLeft w:val="0"/>
      <w:marRight w:val="0"/>
      <w:marTop w:val="100"/>
      <w:marBottom w:val="0"/>
      <w:divBdr>
        <w:top w:val="none" w:sz="0" w:space="0" w:color="auto"/>
        <w:left w:val="none" w:sz="0" w:space="0" w:color="auto"/>
        <w:bottom w:val="none" w:sz="0" w:space="0" w:color="auto"/>
        <w:right w:val="none" w:sz="0" w:space="0" w:color="auto"/>
      </w:divBdr>
    </w:div>
    <w:div w:id="1910453632">
      <w:marLeft w:val="0"/>
      <w:marRight w:val="0"/>
      <w:marTop w:val="100"/>
      <w:marBottom w:val="0"/>
      <w:divBdr>
        <w:top w:val="none" w:sz="0" w:space="0" w:color="auto"/>
        <w:left w:val="none" w:sz="0" w:space="0" w:color="auto"/>
        <w:bottom w:val="none" w:sz="0" w:space="0" w:color="auto"/>
        <w:right w:val="none" w:sz="0" w:space="0" w:color="auto"/>
      </w:divBdr>
    </w:div>
    <w:div w:id="1910799822">
      <w:marLeft w:val="0"/>
      <w:marRight w:val="0"/>
      <w:marTop w:val="60"/>
      <w:marBottom w:val="0"/>
      <w:divBdr>
        <w:top w:val="none" w:sz="0" w:space="0" w:color="auto"/>
        <w:left w:val="none" w:sz="0" w:space="0" w:color="auto"/>
        <w:bottom w:val="none" w:sz="0" w:space="0" w:color="auto"/>
        <w:right w:val="none" w:sz="0" w:space="0" w:color="auto"/>
      </w:divBdr>
    </w:div>
    <w:div w:id="1911497118">
      <w:marLeft w:val="0"/>
      <w:marRight w:val="0"/>
      <w:marTop w:val="100"/>
      <w:marBottom w:val="0"/>
      <w:divBdr>
        <w:top w:val="none" w:sz="0" w:space="0" w:color="auto"/>
        <w:left w:val="none" w:sz="0" w:space="0" w:color="auto"/>
        <w:bottom w:val="none" w:sz="0" w:space="0" w:color="auto"/>
        <w:right w:val="none" w:sz="0" w:space="0" w:color="auto"/>
      </w:divBdr>
    </w:div>
    <w:div w:id="1912498432">
      <w:marLeft w:val="0"/>
      <w:marRight w:val="0"/>
      <w:marTop w:val="60"/>
      <w:marBottom w:val="0"/>
      <w:divBdr>
        <w:top w:val="none" w:sz="0" w:space="0" w:color="auto"/>
        <w:left w:val="none" w:sz="0" w:space="0" w:color="auto"/>
        <w:bottom w:val="none" w:sz="0" w:space="0" w:color="auto"/>
        <w:right w:val="none" w:sz="0" w:space="0" w:color="auto"/>
      </w:divBdr>
    </w:div>
    <w:div w:id="1912501532">
      <w:marLeft w:val="0"/>
      <w:marRight w:val="0"/>
      <w:marTop w:val="60"/>
      <w:marBottom w:val="0"/>
      <w:divBdr>
        <w:top w:val="none" w:sz="0" w:space="0" w:color="auto"/>
        <w:left w:val="none" w:sz="0" w:space="0" w:color="auto"/>
        <w:bottom w:val="none" w:sz="0" w:space="0" w:color="auto"/>
        <w:right w:val="none" w:sz="0" w:space="0" w:color="auto"/>
      </w:divBdr>
    </w:div>
    <w:div w:id="1913157691">
      <w:marLeft w:val="0"/>
      <w:marRight w:val="0"/>
      <w:marTop w:val="0"/>
      <w:marBottom w:val="0"/>
      <w:divBdr>
        <w:top w:val="none" w:sz="0" w:space="0" w:color="auto"/>
        <w:left w:val="none" w:sz="0" w:space="0" w:color="auto"/>
        <w:bottom w:val="none" w:sz="0" w:space="0" w:color="auto"/>
        <w:right w:val="none" w:sz="0" w:space="0" w:color="auto"/>
      </w:divBdr>
      <w:divsChild>
        <w:div w:id="549612491">
          <w:marLeft w:val="0"/>
          <w:marRight w:val="0"/>
          <w:marTop w:val="0"/>
          <w:marBottom w:val="0"/>
          <w:divBdr>
            <w:top w:val="none" w:sz="0" w:space="0" w:color="auto"/>
            <w:left w:val="none" w:sz="0" w:space="0" w:color="auto"/>
            <w:bottom w:val="none" w:sz="0" w:space="0" w:color="auto"/>
            <w:right w:val="none" w:sz="0" w:space="0" w:color="auto"/>
          </w:divBdr>
        </w:div>
      </w:divsChild>
    </w:div>
    <w:div w:id="1914006966">
      <w:marLeft w:val="0"/>
      <w:marRight w:val="0"/>
      <w:marTop w:val="100"/>
      <w:marBottom w:val="0"/>
      <w:divBdr>
        <w:top w:val="none" w:sz="0" w:space="0" w:color="auto"/>
        <w:left w:val="none" w:sz="0" w:space="0" w:color="auto"/>
        <w:bottom w:val="none" w:sz="0" w:space="0" w:color="auto"/>
        <w:right w:val="none" w:sz="0" w:space="0" w:color="auto"/>
      </w:divBdr>
    </w:div>
    <w:div w:id="1914196716">
      <w:marLeft w:val="0"/>
      <w:marRight w:val="0"/>
      <w:marTop w:val="60"/>
      <w:marBottom w:val="0"/>
      <w:divBdr>
        <w:top w:val="none" w:sz="0" w:space="0" w:color="auto"/>
        <w:left w:val="none" w:sz="0" w:space="0" w:color="auto"/>
        <w:bottom w:val="none" w:sz="0" w:space="0" w:color="auto"/>
        <w:right w:val="none" w:sz="0" w:space="0" w:color="auto"/>
      </w:divBdr>
    </w:div>
    <w:div w:id="1915819565">
      <w:marLeft w:val="0"/>
      <w:marRight w:val="0"/>
      <w:marTop w:val="60"/>
      <w:marBottom w:val="0"/>
      <w:divBdr>
        <w:top w:val="none" w:sz="0" w:space="0" w:color="auto"/>
        <w:left w:val="none" w:sz="0" w:space="0" w:color="auto"/>
        <w:bottom w:val="none" w:sz="0" w:space="0" w:color="auto"/>
        <w:right w:val="none" w:sz="0" w:space="0" w:color="auto"/>
      </w:divBdr>
    </w:div>
    <w:div w:id="1916282648">
      <w:marLeft w:val="0"/>
      <w:marRight w:val="0"/>
      <w:marTop w:val="100"/>
      <w:marBottom w:val="0"/>
      <w:divBdr>
        <w:top w:val="none" w:sz="0" w:space="0" w:color="auto"/>
        <w:left w:val="none" w:sz="0" w:space="0" w:color="auto"/>
        <w:bottom w:val="none" w:sz="0" w:space="0" w:color="auto"/>
        <w:right w:val="none" w:sz="0" w:space="0" w:color="auto"/>
      </w:divBdr>
    </w:div>
    <w:div w:id="1916822091">
      <w:marLeft w:val="0"/>
      <w:marRight w:val="0"/>
      <w:marTop w:val="0"/>
      <w:marBottom w:val="0"/>
      <w:divBdr>
        <w:top w:val="none" w:sz="0" w:space="0" w:color="auto"/>
        <w:left w:val="none" w:sz="0" w:space="0" w:color="auto"/>
        <w:bottom w:val="none" w:sz="0" w:space="0" w:color="auto"/>
        <w:right w:val="none" w:sz="0" w:space="0" w:color="auto"/>
      </w:divBdr>
      <w:divsChild>
        <w:div w:id="788469951">
          <w:marLeft w:val="0"/>
          <w:marRight w:val="0"/>
          <w:marTop w:val="0"/>
          <w:marBottom w:val="0"/>
          <w:divBdr>
            <w:top w:val="none" w:sz="0" w:space="0" w:color="auto"/>
            <w:left w:val="none" w:sz="0" w:space="0" w:color="auto"/>
            <w:bottom w:val="none" w:sz="0" w:space="0" w:color="auto"/>
            <w:right w:val="none" w:sz="0" w:space="0" w:color="auto"/>
          </w:divBdr>
        </w:div>
      </w:divsChild>
    </w:div>
    <w:div w:id="1917477229">
      <w:marLeft w:val="0"/>
      <w:marRight w:val="0"/>
      <w:marTop w:val="100"/>
      <w:marBottom w:val="0"/>
      <w:divBdr>
        <w:top w:val="none" w:sz="0" w:space="0" w:color="auto"/>
        <w:left w:val="none" w:sz="0" w:space="0" w:color="auto"/>
        <w:bottom w:val="none" w:sz="0" w:space="0" w:color="auto"/>
        <w:right w:val="none" w:sz="0" w:space="0" w:color="auto"/>
      </w:divBdr>
    </w:div>
    <w:div w:id="1918902717">
      <w:marLeft w:val="0"/>
      <w:marRight w:val="0"/>
      <w:marTop w:val="100"/>
      <w:marBottom w:val="0"/>
      <w:divBdr>
        <w:top w:val="none" w:sz="0" w:space="0" w:color="auto"/>
        <w:left w:val="none" w:sz="0" w:space="0" w:color="auto"/>
        <w:bottom w:val="none" w:sz="0" w:space="0" w:color="auto"/>
        <w:right w:val="none" w:sz="0" w:space="0" w:color="auto"/>
      </w:divBdr>
    </w:div>
    <w:div w:id="1920018362">
      <w:marLeft w:val="0"/>
      <w:marRight w:val="0"/>
      <w:marTop w:val="100"/>
      <w:marBottom w:val="0"/>
      <w:divBdr>
        <w:top w:val="none" w:sz="0" w:space="0" w:color="auto"/>
        <w:left w:val="none" w:sz="0" w:space="0" w:color="auto"/>
        <w:bottom w:val="none" w:sz="0" w:space="0" w:color="auto"/>
        <w:right w:val="none" w:sz="0" w:space="0" w:color="auto"/>
      </w:divBdr>
      <w:divsChild>
        <w:div w:id="1694918527">
          <w:marLeft w:val="0"/>
          <w:marRight w:val="0"/>
          <w:marTop w:val="0"/>
          <w:marBottom w:val="0"/>
          <w:divBdr>
            <w:top w:val="none" w:sz="0" w:space="0" w:color="auto"/>
            <w:left w:val="none" w:sz="0" w:space="0" w:color="auto"/>
            <w:bottom w:val="none" w:sz="0" w:space="0" w:color="auto"/>
            <w:right w:val="none" w:sz="0" w:space="0" w:color="auto"/>
          </w:divBdr>
        </w:div>
        <w:div w:id="390815652">
          <w:marLeft w:val="0"/>
          <w:marRight w:val="0"/>
          <w:marTop w:val="0"/>
          <w:marBottom w:val="0"/>
          <w:divBdr>
            <w:top w:val="none" w:sz="0" w:space="0" w:color="auto"/>
            <w:left w:val="none" w:sz="0" w:space="0" w:color="auto"/>
            <w:bottom w:val="none" w:sz="0" w:space="0" w:color="auto"/>
            <w:right w:val="none" w:sz="0" w:space="0" w:color="auto"/>
          </w:divBdr>
        </w:div>
        <w:div w:id="879367646">
          <w:marLeft w:val="0"/>
          <w:marRight w:val="0"/>
          <w:marTop w:val="0"/>
          <w:marBottom w:val="0"/>
          <w:divBdr>
            <w:top w:val="none" w:sz="0" w:space="0" w:color="auto"/>
            <w:left w:val="none" w:sz="0" w:space="0" w:color="auto"/>
            <w:bottom w:val="none" w:sz="0" w:space="0" w:color="auto"/>
            <w:right w:val="none" w:sz="0" w:space="0" w:color="auto"/>
          </w:divBdr>
        </w:div>
        <w:div w:id="92019889">
          <w:marLeft w:val="0"/>
          <w:marRight w:val="0"/>
          <w:marTop w:val="0"/>
          <w:marBottom w:val="0"/>
          <w:divBdr>
            <w:top w:val="none" w:sz="0" w:space="0" w:color="auto"/>
            <w:left w:val="none" w:sz="0" w:space="0" w:color="auto"/>
            <w:bottom w:val="none" w:sz="0" w:space="0" w:color="auto"/>
            <w:right w:val="none" w:sz="0" w:space="0" w:color="auto"/>
          </w:divBdr>
        </w:div>
        <w:div w:id="832531930">
          <w:marLeft w:val="0"/>
          <w:marRight w:val="0"/>
          <w:marTop w:val="0"/>
          <w:marBottom w:val="0"/>
          <w:divBdr>
            <w:top w:val="none" w:sz="0" w:space="0" w:color="auto"/>
            <w:left w:val="none" w:sz="0" w:space="0" w:color="auto"/>
            <w:bottom w:val="none" w:sz="0" w:space="0" w:color="auto"/>
            <w:right w:val="none" w:sz="0" w:space="0" w:color="auto"/>
          </w:divBdr>
        </w:div>
        <w:div w:id="1728138882">
          <w:marLeft w:val="0"/>
          <w:marRight w:val="0"/>
          <w:marTop w:val="0"/>
          <w:marBottom w:val="0"/>
          <w:divBdr>
            <w:top w:val="none" w:sz="0" w:space="0" w:color="auto"/>
            <w:left w:val="none" w:sz="0" w:space="0" w:color="auto"/>
            <w:bottom w:val="none" w:sz="0" w:space="0" w:color="auto"/>
            <w:right w:val="none" w:sz="0" w:space="0" w:color="auto"/>
          </w:divBdr>
        </w:div>
        <w:div w:id="1818183724">
          <w:marLeft w:val="0"/>
          <w:marRight w:val="0"/>
          <w:marTop w:val="0"/>
          <w:marBottom w:val="0"/>
          <w:divBdr>
            <w:top w:val="none" w:sz="0" w:space="0" w:color="auto"/>
            <w:left w:val="none" w:sz="0" w:space="0" w:color="auto"/>
            <w:bottom w:val="none" w:sz="0" w:space="0" w:color="auto"/>
            <w:right w:val="none" w:sz="0" w:space="0" w:color="auto"/>
          </w:divBdr>
        </w:div>
        <w:div w:id="1332298008">
          <w:marLeft w:val="0"/>
          <w:marRight w:val="0"/>
          <w:marTop w:val="0"/>
          <w:marBottom w:val="0"/>
          <w:divBdr>
            <w:top w:val="none" w:sz="0" w:space="0" w:color="auto"/>
            <w:left w:val="none" w:sz="0" w:space="0" w:color="auto"/>
            <w:bottom w:val="none" w:sz="0" w:space="0" w:color="auto"/>
            <w:right w:val="none" w:sz="0" w:space="0" w:color="auto"/>
          </w:divBdr>
        </w:div>
      </w:divsChild>
    </w:div>
    <w:div w:id="1920796175">
      <w:marLeft w:val="0"/>
      <w:marRight w:val="0"/>
      <w:marTop w:val="100"/>
      <w:marBottom w:val="0"/>
      <w:divBdr>
        <w:top w:val="none" w:sz="0" w:space="0" w:color="auto"/>
        <w:left w:val="none" w:sz="0" w:space="0" w:color="auto"/>
        <w:bottom w:val="none" w:sz="0" w:space="0" w:color="auto"/>
        <w:right w:val="none" w:sz="0" w:space="0" w:color="auto"/>
      </w:divBdr>
    </w:div>
    <w:div w:id="1922324233">
      <w:marLeft w:val="0"/>
      <w:marRight w:val="0"/>
      <w:marTop w:val="240"/>
      <w:marBottom w:val="100"/>
      <w:divBdr>
        <w:top w:val="none" w:sz="0" w:space="0" w:color="auto"/>
        <w:left w:val="none" w:sz="0" w:space="0" w:color="auto"/>
        <w:bottom w:val="none" w:sz="0" w:space="0" w:color="auto"/>
        <w:right w:val="none" w:sz="0" w:space="0" w:color="auto"/>
      </w:divBdr>
      <w:divsChild>
        <w:div w:id="139618947">
          <w:marLeft w:val="0"/>
          <w:marRight w:val="0"/>
          <w:marTop w:val="0"/>
          <w:marBottom w:val="0"/>
          <w:divBdr>
            <w:top w:val="none" w:sz="0" w:space="0" w:color="auto"/>
            <w:left w:val="none" w:sz="0" w:space="0" w:color="auto"/>
            <w:bottom w:val="none" w:sz="0" w:space="0" w:color="auto"/>
            <w:right w:val="none" w:sz="0" w:space="0" w:color="auto"/>
          </w:divBdr>
        </w:div>
      </w:divsChild>
    </w:div>
    <w:div w:id="1922834868">
      <w:marLeft w:val="0"/>
      <w:marRight w:val="0"/>
      <w:marTop w:val="100"/>
      <w:marBottom w:val="0"/>
      <w:divBdr>
        <w:top w:val="none" w:sz="0" w:space="0" w:color="auto"/>
        <w:left w:val="none" w:sz="0" w:space="0" w:color="auto"/>
        <w:bottom w:val="none" w:sz="0" w:space="0" w:color="auto"/>
        <w:right w:val="none" w:sz="0" w:space="0" w:color="auto"/>
      </w:divBdr>
    </w:div>
    <w:div w:id="1923291473">
      <w:marLeft w:val="0"/>
      <w:marRight w:val="0"/>
      <w:marTop w:val="0"/>
      <w:marBottom w:val="0"/>
      <w:divBdr>
        <w:top w:val="none" w:sz="0" w:space="0" w:color="auto"/>
        <w:left w:val="none" w:sz="0" w:space="0" w:color="auto"/>
        <w:bottom w:val="none" w:sz="0" w:space="0" w:color="auto"/>
        <w:right w:val="none" w:sz="0" w:space="0" w:color="auto"/>
      </w:divBdr>
      <w:divsChild>
        <w:div w:id="60642420">
          <w:marLeft w:val="0"/>
          <w:marRight w:val="0"/>
          <w:marTop w:val="0"/>
          <w:marBottom w:val="0"/>
          <w:divBdr>
            <w:top w:val="none" w:sz="0" w:space="0" w:color="auto"/>
            <w:left w:val="none" w:sz="0" w:space="0" w:color="auto"/>
            <w:bottom w:val="none" w:sz="0" w:space="0" w:color="auto"/>
            <w:right w:val="none" w:sz="0" w:space="0" w:color="auto"/>
          </w:divBdr>
        </w:div>
        <w:div w:id="362942745">
          <w:marLeft w:val="0"/>
          <w:marRight w:val="0"/>
          <w:marTop w:val="0"/>
          <w:marBottom w:val="0"/>
          <w:divBdr>
            <w:top w:val="none" w:sz="0" w:space="0" w:color="auto"/>
            <w:left w:val="none" w:sz="0" w:space="0" w:color="auto"/>
            <w:bottom w:val="none" w:sz="0" w:space="0" w:color="auto"/>
            <w:right w:val="none" w:sz="0" w:space="0" w:color="auto"/>
          </w:divBdr>
        </w:div>
      </w:divsChild>
    </w:div>
    <w:div w:id="1925185922">
      <w:marLeft w:val="0"/>
      <w:marRight w:val="0"/>
      <w:marTop w:val="0"/>
      <w:marBottom w:val="0"/>
      <w:divBdr>
        <w:top w:val="none" w:sz="0" w:space="0" w:color="auto"/>
        <w:left w:val="none" w:sz="0" w:space="0" w:color="auto"/>
        <w:bottom w:val="none" w:sz="0" w:space="0" w:color="auto"/>
        <w:right w:val="none" w:sz="0" w:space="0" w:color="auto"/>
      </w:divBdr>
      <w:divsChild>
        <w:div w:id="1186749956">
          <w:marLeft w:val="0"/>
          <w:marRight w:val="0"/>
          <w:marTop w:val="0"/>
          <w:marBottom w:val="0"/>
          <w:divBdr>
            <w:top w:val="none" w:sz="0" w:space="0" w:color="auto"/>
            <w:left w:val="none" w:sz="0" w:space="0" w:color="auto"/>
            <w:bottom w:val="none" w:sz="0" w:space="0" w:color="auto"/>
            <w:right w:val="none" w:sz="0" w:space="0" w:color="auto"/>
          </w:divBdr>
        </w:div>
        <w:div w:id="1594195306">
          <w:marLeft w:val="0"/>
          <w:marRight w:val="0"/>
          <w:marTop w:val="0"/>
          <w:marBottom w:val="0"/>
          <w:divBdr>
            <w:top w:val="none" w:sz="0" w:space="0" w:color="auto"/>
            <w:left w:val="none" w:sz="0" w:space="0" w:color="auto"/>
            <w:bottom w:val="none" w:sz="0" w:space="0" w:color="auto"/>
            <w:right w:val="none" w:sz="0" w:space="0" w:color="auto"/>
          </w:divBdr>
        </w:div>
      </w:divsChild>
    </w:div>
    <w:div w:id="1926376127">
      <w:marLeft w:val="0"/>
      <w:marRight w:val="0"/>
      <w:marTop w:val="100"/>
      <w:marBottom w:val="0"/>
      <w:divBdr>
        <w:top w:val="none" w:sz="0" w:space="0" w:color="auto"/>
        <w:left w:val="none" w:sz="0" w:space="0" w:color="auto"/>
        <w:bottom w:val="none" w:sz="0" w:space="0" w:color="auto"/>
        <w:right w:val="none" w:sz="0" w:space="0" w:color="auto"/>
      </w:divBdr>
    </w:div>
    <w:div w:id="1927181943">
      <w:marLeft w:val="0"/>
      <w:marRight w:val="0"/>
      <w:marTop w:val="100"/>
      <w:marBottom w:val="0"/>
      <w:divBdr>
        <w:top w:val="none" w:sz="0" w:space="0" w:color="auto"/>
        <w:left w:val="none" w:sz="0" w:space="0" w:color="auto"/>
        <w:bottom w:val="none" w:sz="0" w:space="0" w:color="auto"/>
        <w:right w:val="none" w:sz="0" w:space="0" w:color="auto"/>
      </w:divBdr>
    </w:div>
    <w:div w:id="1929382899">
      <w:marLeft w:val="0"/>
      <w:marRight w:val="0"/>
      <w:marTop w:val="60"/>
      <w:marBottom w:val="0"/>
      <w:divBdr>
        <w:top w:val="none" w:sz="0" w:space="0" w:color="auto"/>
        <w:left w:val="none" w:sz="0" w:space="0" w:color="auto"/>
        <w:bottom w:val="none" w:sz="0" w:space="0" w:color="auto"/>
        <w:right w:val="none" w:sz="0" w:space="0" w:color="auto"/>
      </w:divBdr>
    </w:div>
    <w:div w:id="1932229214">
      <w:marLeft w:val="0"/>
      <w:marRight w:val="0"/>
      <w:marTop w:val="0"/>
      <w:marBottom w:val="0"/>
      <w:divBdr>
        <w:top w:val="none" w:sz="0" w:space="0" w:color="auto"/>
        <w:left w:val="none" w:sz="0" w:space="0" w:color="auto"/>
        <w:bottom w:val="none" w:sz="0" w:space="0" w:color="auto"/>
        <w:right w:val="none" w:sz="0" w:space="0" w:color="auto"/>
      </w:divBdr>
      <w:divsChild>
        <w:div w:id="2059936947">
          <w:marLeft w:val="0"/>
          <w:marRight w:val="0"/>
          <w:marTop w:val="0"/>
          <w:marBottom w:val="0"/>
          <w:divBdr>
            <w:top w:val="none" w:sz="0" w:space="0" w:color="auto"/>
            <w:left w:val="none" w:sz="0" w:space="0" w:color="auto"/>
            <w:bottom w:val="none" w:sz="0" w:space="0" w:color="auto"/>
            <w:right w:val="none" w:sz="0" w:space="0" w:color="auto"/>
          </w:divBdr>
        </w:div>
      </w:divsChild>
    </w:div>
    <w:div w:id="1932395327">
      <w:marLeft w:val="0"/>
      <w:marRight w:val="0"/>
      <w:marTop w:val="0"/>
      <w:marBottom w:val="0"/>
      <w:divBdr>
        <w:top w:val="none" w:sz="0" w:space="0" w:color="auto"/>
        <w:left w:val="none" w:sz="0" w:space="0" w:color="auto"/>
        <w:bottom w:val="none" w:sz="0" w:space="0" w:color="auto"/>
        <w:right w:val="none" w:sz="0" w:space="0" w:color="auto"/>
      </w:divBdr>
      <w:divsChild>
        <w:div w:id="1238787689">
          <w:marLeft w:val="0"/>
          <w:marRight w:val="0"/>
          <w:marTop w:val="0"/>
          <w:marBottom w:val="0"/>
          <w:divBdr>
            <w:top w:val="none" w:sz="0" w:space="0" w:color="auto"/>
            <w:left w:val="none" w:sz="0" w:space="0" w:color="auto"/>
            <w:bottom w:val="none" w:sz="0" w:space="0" w:color="auto"/>
            <w:right w:val="none" w:sz="0" w:space="0" w:color="auto"/>
          </w:divBdr>
        </w:div>
      </w:divsChild>
    </w:div>
    <w:div w:id="1933539235">
      <w:marLeft w:val="0"/>
      <w:marRight w:val="0"/>
      <w:marTop w:val="280"/>
      <w:marBottom w:val="0"/>
      <w:divBdr>
        <w:top w:val="none" w:sz="0" w:space="0" w:color="auto"/>
        <w:left w:val="none" w:sz="0" w:space="0" w:color="auto"/>
        <w:bottom w:val="none" w:sz="0" w:space="0" w:color="auto"/>
        <w:right w:val="none" w:sz="0" w:space="0" w:color="auto"/>
      </w:divBdr>
    </w:div>
    <w:div w:id="1933586093">
      <w:marLeft w:val="0"/>
      <w:marRight w:val="0"/>
      <w:marTop w:val="100"/>
      <w:marBottom w:val="100"/>
      <w:divBdr>
        <w:top w:val="none" w:sz="0" w:space="0" w:color="auto"/>
        <w:left w:val="none" w:sz="0" w:space="0" w:color="auto"/>
        <w:bottom w:val="none" w:sz="0" w:space="0" w:color="auto"/>
        <w:right w:val="none" w:sz="0" w:space="0" w:color="auto"/>
      </w:divBdr>
      <w:divsChild>
        <w:div w:id="448398993">
          <w:marLeft w:val="0"/>
          <w:marRight w:val="0"/>
          <w:marTop w:val="0"/>
          <w:marBottom w:val="0"/>
          <w:divBdr>
            <w:top w:val="none" w:sz="0" w:space="0" w:color="auto"/>
            <w:left w:val="none" w:sz="0" w:space="0" w:color="auto"/>
            <w:bottom w:val="none" w:sz="0" w:space="0" w:color="auto"/>
            <w:right w:val="none" w:sz="0" w:space="0" w:color="auto"/>
          </w:divBdr>
        </w:div>
        <w:div w:id="1697735713">
          <w:marLeft w:val="0"/>
          <w:marRight w:val="0"/>
          <w:marTop w:val="0"/>
          <w:marBottom w:val="0"/>
          <w:divBdr>
            <w:top w:val="none" w:sz="0" w:space="0" w:color="auto"/>
            <w:left w:val="none" w:sz="0" w:space="0" w:color="auto"/>
            <w:bottom w:val="none" w:sz="0" w:space="0" w:color="auto"/>
            <w:right w:val="none" w:sz="0" w:space="0" w:color="auto"/>
          </w:divBdr>
        </w:div>
        <w:div w:id="1757556621">
          <w:marLeft w:val="0"/>
          <w:marRight w:val="0"/>
          <w:marTop w:val="0"/>
          <w:marBottom w:val="0"/>
          <w:divBdr>
            <w:top w:val="none" w:sz="0" w:space="0" w:color="auto"/>
            <w:left w:val="none" w:sz="0" w:space="0" w:color="auto"/>
            <w:bottom w:val="none" w:sz="0" w:space="0" w:color="auto"/>
            <w:right w:val="none" w:sz="0" w:space="0" w:color="auto"/>
          </w:divBdr>
        </w:div>
        <w:div w:id="1047217220">
          <w:marLeft w:val="0"/>
          <w:marRight w:val="0"/>
          <w:marTop w:val="0"/>
          <w:marBottom w:val="0"/>
          <w:divBdr>
            <w:top w:val="none" w:sz="0" w:space="0" w:color="auto"/>
            <w:left w:val="none" w:sz="0" w:space="0" w:color="auto"/>
            <w:bottom w:val="none" w:sz="0" w:space="0" w:color="auto"/>
            <w:right w:val="none" w:sz="0" w:space="0" w:color="auto"/>
          </w:divBdr>
        </w:div>
        <w:div w:id="2125537981">
          <w:marLeft w:val="0"/>
          <w:marRight w:val="0"/>
          <w:marTop w:val="0"/>
          <w:marBottom w:val="0"/>
          <w:divBdr>
            <w:top w:val="none" w:sz="0" w:space="0" w:color="auto"/>
            <w:left w:val="none" w:sz="0" w:space="0" w:color="auto"/>
            <w:bottom w:val="none" w:sz="0" w:space="0" w:color="auto"/>
            <w:right w:val="none" w:sz="0" w:space="0" w:color="auto"/>
          </w:divBdr>
        </w:div>
        <w:div w:id="1226720523">
          <w:marLeft w:val="0"/>
          <w:marRight w:val="0"/>
          <w:marTop w:val="0"/>
          <w:marBottom w:val="0"/>
          <w:divBdr>
            <w:top w:val="none" w:sz="0" w:space="0" w:color="auto"/>
            <w:left w:val="none" w:sz="0" w:space="0" w:color="auto"/>
            <w:bottom w:val="none" w:sz="0" w:space="0" w:color="auto"/>
            <w:right w:val="none" w:sz="0" w:space="0" w:color="auto"/>
          </w:divBdr>
        </w:div>
      </w:divsChild>
    </w:div>
    <w:div w:id="1935818928">
      <w:marLeft w:val="0"/>
      <w:marRight w:val="0"/>
      <w:marTop w:val="60"/>
      <w:marBottom w:val="0"/>
      <w:divBdr>
        <w:top w:val="none" w:sz="0" w:space="0" w:color="auto"/>
        <w:left w:val="none" w:sz="0" w:space="0" w:color="auto"/>
        <w:bottom w:val="none" w:sz="0" w:space="0" w:color="auto"/>
        <w:right w:val="none" w:sz="0" w:space="0" w:color="auto"/>
      </w:divBdr>
    </w:div>
    <w:div w:id="1937441993">
      <w:marLeft w:val="0"/>
      <w:marRight w:val="0"/>
      <w:marTop w:val="100"/>
      <w:marBottom w:val="0"/>
      <w:divBdr>
        <w:top w:val="none" w:sz="0" w:space="0" w:color="auto"/>
        <w:left w:val="none" w:sz="0" w:space="0" w:color="auto"/>
        <w:bottom w:val="none" w:sz="0" w:space="0" w:color="auto"/>
        <w:right w:val="none" w:sz="0" w:space="0" w:color="auto"/>
      </w:divBdr>
    </w:div>
    <w:div w:id="1939366822">
      <w:marLeft w:val="0"/>
      <w:marRight w:val="0"/>
      <w:marTop w:val="100"/>
      <w:marBottom w:val="0"/>
      <w:divBdr>
        <w:top w:val="none" w:sz="0" w:space="0" w:color="auto"/>
        <w:left w:val="none" w:sz="0" w:space="0" w:color="auto"/>
        <w:bottom w:val="none" w:sz="0" w:space="0" w:color="auto"/>
        <w:right w:val="none" w:sz="0" w:space="0" w:color="auto"/>
      </w:divBdr>
    </w:div>
    <w:div w:id="1940068189">
      <w:marLeft w:val="0"/>
      <w:marRight w:val="0"/>
      <w:marTop w:val="60"/>
      <w:marBottom w:val="0"/>
      <w:divBdr>
        <w:top w:val="none" w:sz="0" w:space="0" w:color="auto"/>
        <w:left w:val="none" w:sz="0" w:space="0" w:color="auto"/>
        <w:bottom w:val="none" w:sz="0" w:space="0" w:color="auto"/>
        <w:right w:val="none" w:sz="0" w:space="0" w:color="auto"/>
      </w:divBdr>
    </w:div>
    <w:div w:id="1940916523">
      <w:marLeft w:val="0"/>
      <w:marRight w:val="0"/>
      <w:marTop w:val="100"/>
      <w:marBottom w:val="0"/>
      <w:divBdr>
        <w:top w:val="none" w:sz="0" w:space="0" w:color="auto"/>
        <w:left w:val="none" w:sz="0" w:space="0" w:color="auto"/>
        <w:bottom w:val="none" w:sz="0" w:space="0" w:color="auto"/>
        <w:right w:val="none" w:sz="0" w:space="0" w:color="auto"/>
      </w:divBdr>
    </w:div>
    <w:div w:id="1942373498">
      <w:marLeft w:val="0"/>
      <w:marRight w:val="0"/>
      <w:marTop w:val="100"/>
      <w:marBottom w:val="0"/>
      <w:divBdr>
        <w:top w:val="none" w:sz="0" w:space="0" w:color="auto"/>
        <w:left w:val="none" w:sz="0" w:space="0" w:color="auto"/>
        <w:bottom w:val="none" w:sz="0" w:space="0" w:color="auto"/>
        <w:right w:val="none" w:sz="0" w:space="0" w:color="auto"/>
      </w:divBdr>
    </w:div>
    <w:div w:id="1943410665">
      <w:marLeft w:val="0"/>
      <w:marRight w:val="0"/>
      <w:marTop w:val="100"/>
      <w:marBottom w:val="0"/>
      <w:divBdr>
        <w:top w:val="none" w:sz="0" w:space="0" w:color="auto"/>
        <w:left w:val="none" w:sz="0" w:space="0" w:color="auto"/>
        <w:bottom w:val="none" w:sz="0" w:space="0" w:color="auto"/>
        <w:right w:val="none" w:sz="0" w:space="0" w:color="auto"/>
      </w:divBdr>
    </w:div>
    <w:div w:id="1946422090">
      <w:marLeft w:val="0"/>
      <w:marRight w:val="0"/>
      <w:marTop w:val="100"/>
      <w:marBottom w:val="0"/>
      <w:divBdr>
        <w:top w:val="none" w:sz="0" w:space="0" w:color="auto"/>
        <w:left w:val="none" w:sz="0" w:space="0" w:color="auto"/>
        <w:bottom w:val="none" w:sz="0" w:space="0" w:color="auto"/>
        <w:right w:val="none" w:sz="0" w:space="0" w:color="auto"/>
      </w:divBdr>
    </w:div>
    <w:div w:id="1949459153">
      <w:marLeft w:val="0"/>
      <w:marRight w:val="0"/>
      <w:marTop w:val="100"/>
      <w:marBottom w:val="0"/>
      <w:divBdr>
        <w:top w:val="none" w:sz="0" w:space="0" w:color="auto"/>
        <w:left w:val="none" w:sz="0" w:space="0" w:color="auto"/>
        <w:bottom w:val="none" w:sz="0" w:space="0" w:color="auto"/>
        <w:right w:val="none" w:sz="0" w:space="0" w:color="auto"/>
      </w:divBdr>
    </w:div>
    <w:div w:id="1952391344">
      <w:marLeft w:val="0"/>
      <w:marRight w:val="0"/>
      <w:marTop w:val="60"/>
      <w:marBottom w:val="0"/>
      <w:divBdr>
        <w:top w:val="none" w:sz="0" w:space="0" w:color="auto"/>
        <w:left w:val="none" w:sz="0" w:space="0" w:color="auto"/>
        <w:bottom w:val="none" w:sz="0" w:space="0" w:color="auto"/>
        <w:right w:val="none" w:sz="0" w:space="0" w:color="auto"/>
      </w:divBdr>
    </w:div>
    <w:div w:id="1952593191">
      <w:marLeft w:val="0"/>
      <w:marRight w:val="0"/>
      <w:marTop w:val="60"/>
      <w:marBottom w:val="0"/>
      <w:divBdr>
        <w:top w:val="none" w:sz="0" w:space="0" w:color="auto"/>
        <w:left w:val="none" w:sz="0" w:space="0" w:color="auto"/>
        <w:bottom w:val="none" w:sz="0" w:space="0" w:color="auto"/>
        <w:right w:val="none" w:sz="0" w:space="0" w:color="auto"/>
      </w:divBdr>
    </w:div>
    <w:div w:id="1954626777">
      <w:marLeft w:val="0"/>
      <w:marRight w:val="0"/>
      <w:marTop w:val="100"/>
      <w:marBottom w:val="0"/>
      <w:divBdr>
        <w:top w:val="none" w:sz="0" w:space="0" w:color="auto"/>
        <w:left w:val="none" w:sz="0" w:space="0" w:color="auto"/>
        <w:bottom w:val="none" w:sz="0" w:space="0" w:color="auto"/>
        <w:right w:val="none" w:sz="0" w:space="0" w:color="auto"/>
      </w:divBdr>
    </w:div>
    <w:div w:id="1954903385">
      <w:marLeft w:val="0"/>
      <w:marRight w:val="0"/>
      <w:marTop w:val="0"/>
      <w:marBottom w:val="0"/>
      <w:divBdr>
        <w:top w:val="none" w:sz="0" w:space="0" w:color="auto"/>
        <w:left w:val="none" w:sz="0" w:space="0" w:color="auto"/>
        <w:bottom w:val="none" w:sz="0" w:space="0" w:color="auto"/>
        <w:right w:val="none" w:sz="0" w:space="0" w:color="auto"/>
      </w:divBdr>
      <w:divsChild>
        <w:div w:id="792868348">
          <w:marLeft w:val="0"/>
          <w:marRight w:val="0"/>
          <w:marTop w:val="0"/>
          <w:marBottom w:val="0"/>
          <w:divBdr>
            <w:top w:val="none" w:sz="0" w:space="0" w:color="auto"/>
            <w:left w:val="none" w:sz="0" w:space="0" w:color="auto"/>
            <w:bottom w:val="none" w:sz="0" w:space="0" w:color="auto"/>
            <w:right w:val="none" w:sz="0" w:space="0" w:color="auto"/>
          </w:divBdr>
        </w:div>
        <w:div w:id="217668654">
          <w:marLeft w:val="0"/>
          <w:marRight w:val="0"/>
          <w:marTop w:val="0"/>
          <w:marBottom w:val="0"/>
          <w:divBdr>
            <w:top w:val="none" w:sz="0" w:space="0" w:color="auto"/>
            <w:left w:val="none" w:sz="0" w:space="0" w:color="auto"/>
            <w:bottom w:val="none" w:sz="0" w:space="0" w:color="auto"/>
            <w:right w:val="none" w:sz="0" w:space="0" w:color="auto"/>
          </w:divBdr>
        </w:div>
      </w:divsChild>
    </w:div>
    <w:div w:id="1956787589">
      <w:marLeft w:val="0"/>
      <w:marRight w:val="0"/>
      <w:marTop w:val="0"/>
      <w:marBottom w:val="0"/>
      <w:divBdr>
        <w:top w:val="none" w:sz="0" w:space="0" w:color="auto"/>
        <w:left w:val="none" w:sz="0" w:space="0" w:color="auto"/>
        <w:bottom w:val="none" w:sz="0" w:space="0" w:color="auto"/>
        <w:right w:val="none" w:sz="0" w:space="0" w:color="auto"/>
      </w:divBdr>
      <w:divsChild>
        <w:div w:id="228157527">
          <w:marLeft w:val="0"/>
          <w:marRight w:val="0"/>
          <w:marTop w:val="0"/>
          <w:marBottom w:val="0"/>
          <w:divBdr>
            <w:top w:val="none" w:sz="0" w:space="0" w:color="auto"/>
            <w:left w:val="none" w:sz="0" w:space="0" w:color="auto"/>
            <w:bottom w:val="none" w:sz="0" w:space="0" w:color="auto"/>
            <w:right w:val="none" w:sz="0" w:space="0" w:color="auto"/>
          </w:divBdr>
        </w:div>
      </w:divsChild>
    </w:div>
    <w:div w:id="1958027246">
      <w:marLeft w:val="0"/>
      <w:marRight w:val="0"/>
      <w:marTop w:val="100"/>
      <w:marBottom w:val="0"/>
      <w:divBdr>
        <w:top w:val="none" w:sz="0" w:space="0" w:color="auto"/>
        <w:left w:val="none" w:sz="0" w:space="0" w:color="auto"/>
        <w:bottom w:val="none" w:sz="0" w:space="0" w:color="auto"/>
        <w:right w:val="none" w:sz="0" w:space="0" w:color="auto"/>
      </w:divBdr>
    </w:div>
    <w:div w:id="1958443114">
      <w:marLeft w:val="0"/>
      <w:marRight w:val="0"/>
      <w:marTop w:val="280"/>
      <w:marBottom w:val="0"/>
      <w:divBdr>
        <w:top w:val="none" w:sz="0" w:space="0" w:color="auto"/>
        <w:left w:val="none" w:sz="0" w:space="0" w:color="auto"/>
        <w:bottom w:val="none" w:sz="0" w:space="0" w:color="auto"/>
        <w:right w:val="none" w:sz="0" w:space="0" w:color="auto"/>
      </w:divBdr>
    </w:div>
    <w:div w:id="1964385683">
      <w:marLeft w:val="0"/>
      <w:marRight w:val="0"/>
      <w:marTop w:val="100"/>
      <w:marBottom w:val="0"/>
      <w:divBdr>
        <w:top w:val="none" w:sz="0" w:space="0" w:color="auto"/>
        <w:left w:val="none" w:sz="0" w:space="0" w:color="auto"/>
        <w:bottom w:val="none" w:sz="0" w:space="0" w:color="auto"/>
        <w:right w:val="none" w:sz="0" w:space="0" w:color="auto"/>
      </w:divBdr>
    </w:div>
    <w:div w:id="1965384897">
      <w:marLeft w:val="0"/>
      <w:marRight w:val="0"/>
      <w:marTop w:val="100"/>
      <w:marBottom w:val="0"/>
      <w:divBdr>
        <w:top w:val="none" w:sz="0" w:space="0" w:color="auto"/>
        <w:left w:val="none" w:sz="0" w:space="0" w:color="auto"/>
        <w:bottom w:val="none" w:sz="0" w:space="0" w:color="auto"/>
        <w:right w:val="none" w:sz="0" w:space="0" w:color="auto"/>
      </w:divBdr>
    </w:div>
    <w:div w:id="1965456155">
      <w:marLeft w:val="0"/>
      <w:marRight w:val="0"/>
      <w:marTop w:val="100"/>
      <w:marBottom w:val="0"/>
      <w:divBdr>
        <w:top w:val="none" w:sz="0" w:space="0" w:color="auto"/>
        <w:left w:val="none" w:sz="0" w:space="0" w:color="auto"/>
        <w:bottom w:val="none" w:sz="0" w:space="0" w:color="auto"/>
        <w:right w:val="none" w:sz="0" w:space="0" w:color="auto"/>
      </w:divBdr>
    </w:div>
    <w:div w:id="1966154953">
      <w:marLeft w:val="0"/>
      <w:marRight w:val="0"/>
      <w:marTop w:val="0"/>
      <w:marBottom w:val="0"/>
      <w:divBdr>
        <w:top w:val="none" w:sz="0" w:space="0" w:color="auto"/>
        <w:left w:val="none" w:sz="0" w:space="0" w:color="auto"/>
        <w:bottom w:val="none" w:sz="0" w:space="0" w:color="auto"/>
        <w:right w:val="none" w:sz="0" w:space="0" w:color="auto"/>
      </w:divBdr>
      <w:divsChild>
        <w:div w:id="1868371586">
          <w:marLeft w:val="0"/>
          <w:marRight w:val="0"/>
          <w:marTop w:val="0"/>
          <w:marBottom w:val="0"/>
          <w:divBdr>
            <w:top w:val="none" w:sz="0" w:space="0" w:color="auto"/>
            <w:left w:val="none" w:sz="0" w:space="0" w:color="auto"/>
            <w:bottom w:val="none" w:sz="0" w:space="0" w:color="auto"/>
            <w:right w:val="none" w:sz="0" w:space="0" w:color="auto"/>
          </w:divBdr>
        </w:div>
        <w:div w:id="96021283">
          <w:marLeft w:val="0"/>
          <w:marRight w:val="0"/>
          <w:marTop w:val="0"/>
          <w:marBottom w:val="0"/>
          <w:divBdr>
            <w:top w:val="none" w:sz="0" w:space="0" w:color="auto"/>
            <w:left w:val="none" w:sz="0" w:space="0" w:color="auto"/>
            <w:bottom w:val="none" w:sz="0" w:space="0" w:color="auto"/>
            <w:right w:val="none" w:sz="0" w:space="0" w:color="auto"/>
          </w:divBdr>
        </w:div>
      </w:divsChild>
    </w:div>
    <w:div w:id="1967348570">
      <w:marLeft w:val="0"/>
      <w:marRight w:val="0"/>
      <w:marTop w:val="100"/>
      <w:marBottom w:val="0"/>
      <w:divBdr>
        <w:top w:val="none" w:sz="0" w:space="0" w:color="auto"/>
        <w:left w:val="none" w:sz="0" w:space="0" w:color="auto"/>
        <w:bottom w:val="none" w:sz="0" w:space="0" w:color="auto"/>
        <w:right w:val="none" w:sz="0" w:space="0" w:color="auto"/>
      </w:divBdr>
    </w:div>
    <w:div w:id="1968049896">
      <w:marLeft w:val="0"/>
      <w:marRight w:val="0"/>
      <w:marTop w:val="100"/>
      <w:marBottom w:val="0"/>
      <w:divBdr>
        <w:top w:val="none" w:sz="0" w:space="0" w:color="auto"/>
        <w:left w:val="none" w:sz="0" w:space="0" w:color="auto"/>
        <w:bottom w:val="none" w:sz="0" w:space="0" w:color="auto"/>
        <w:right w:val="none" w:sz="0" w:space="0" w:color="auto"/>
      </w:divBdr>
    </w:div>
    <w:div w:id="1968654661">
      <w:marLeft w:val="0"/>
      <w:marRight w:val="0"/>
      <w:marTop w:val="100"/>
      <w:marBottom w:val="0"/>
      <w:divBdr>
        <w:top w:val="none" w:sz="0" w:space="0" w:color="auto"/>
        <w:left w:val="none" w:sz="0" w:space="0" w:color="auto"/>
        <w:bottom w:val="none" w:sz="0" w:space="0" w:color="auto"/>
        <w:right w:val="none" w:sz="0" w:space="0" w:color="auto"/>
      </w:divBdr>
    </w:div>
    <w:div w:id="1969043634">
      <w:marLeft w:val="0"/>
      <w:marRight w:val="0"/>
      <w:marTop w:val="280"/>
      <w:marBottom w:val="100"/>
      <w:divBdr>
        <w:top w:val="none" w:sz="0" w:space="0" w:color="auto"/>
        <w:left w:val="none" w:sz="0" w:space="0" w:color="auto"/>
        <w:bottom w:val="none" w:sz="0" w:space="0" w:color="auto"/>
        <w:right w:val="none" w:sz="0" w:space="0" w:color="auto"/>
      </w:divBdr>
      <w:divsChild>
        <w:div w:id="1880045707">
          <w:marLeft w:val="0"/>
          <w:marRight w:val="0"/>
          <w:marTop w:val="0"/>
          <w:marBottom w:val="0"/>
          <w:divBdr>
            <w:top w:val="none" w:sz="0" w:space="0" w:color="auto"/>
            <w:left w:val="none" w:sz="0" w:space="0" w:color="auto"/>
            <w:bottom w:val="none" w:sz="0" w:space="0" w:color="auto"/>
            <w:right w:val="none" w:sz="0" w:space="0" w:color="auto"/>
          </w:divBdr>
        </w:div>
        <w:div w:id="1220358806">
          <w:marLeft w:val="0"/>
          <w:marRight w:val="0"/>
          <w:marTop w:val="0"/>
          <w:marBottom w:val="0"/>
          <w:divBdr>
            <w:top w:val="none" w:sz="0" w:space="0" w:color="auto"/>
            <w:left w:val="none" w:sz="0" w:space="0" w:color="auto"/>
            <w:bottom w:val="none" w:sz="0" w:space="0" w:color="auto"/>
            <w:right w:val="none" w:sz="0" w:space="0" w:color="auto"/>
          </w:divBdr>
        </w:div>
        <w:div w:id="992176760">
          <w:marLeft w:val="0"/>
          <w:marRight w:val="0"/>
          <w:marTop w:val="0"/>
          <w:marBottom w:val="0"/>
          <w:divBdr>
            <w:top w:val="none" w:sz="0" w:space="0" w:color="auto"/>
            <w:left w:val="none" w:sz="0" w:space="0" w:color="auto"/>
            <w:bottom w:val="none" w:sz="0" w:space="0" w:color="auto"/>
            <w:right w:val="none" w:sz="0" w:space="0" w:color="auto"/>
          </w:divBdr>
        </w:div>
        <w:div w:id="908462209">
          <w:marLeft w:val="0"/>
          <w:marRight w:val="0"/>
          <w:marTop w:val="0"/>
          <w:marBottom w:val="0"/>
          <w:divBdr>
            <w:top w:val="none" w:sz="0" w:space="0" w:color="auto"/>
            <w:left w:val="none" w:sz="0" w:space="0" w:color="auto"/>
            <w:bottom w:val="none" w:sz="0" w:space="0" w:color="auto"/>
            <w:right w:val="none" w:sz="0" w:space="0" w:color="auto"/>
          </w:divBdr>
        </w:div>
        <w:div w:id="1047871425">
          <w:marLeft w:val="0"/>
          <w:marRight w:val="0"/>
          <w:marTop w:val="0"/>
          <w:marBottom w:val="0"/>
          <w:divBdr>
            <w:top w:val="none" w:sz="0" w:space="0" w:color="auto"/>
            <w:left w:val="none" w:sz="0" w:space="0" w:color="auto"/>
            <w:bottom w:val="none" w:sz="0" w:space="0" w:color="auto"/>
            <w:right w:val="none" w:sz="0" w:space="0" w:color="auto"/>
          </w:divBdr>
        </w:div>
        <w:div w:id="1894076458">
          <w:marLeft w:val="0"/>
          <w:marRight w:val="0"/>
          <w:marTop w:val="0"/>
          <w:marBottom w:val="0"/>
          <w:divBdr>
            <w:top w:val="none" w:sz="0" w:space="0" w:color="auto"/>
            <w:left w:val="none" w:sz="0" w:space="0" w:color="auto"/>
            <w:bottom w:val="none" w:sz="0" w:space="0" w:color="auto"/>
            <w:right w:val="none" w:sz="0" w:space="0" w:color="auto"/>
          </w:divBdr>
        </w:div>
        <w:div w:id="86390386">
          <w:marLeft w:val="0"/>
          <w:marRight w:val="0"/>
          <w:marTop w:val="0"/>
          <w:marBottom w:val="0"/>
          <w:divBdr>
            <w:top w:val="none" w:sz="0" w:space="0" w:color="auto"/>
            <w:left w:val="none" w:sz="0" w:space="0" w:color="auto"/>
            <w:bottom w:val="none" w:sz="0" w:space="0" w:color="auto"/>
            <w:right w:val="none" w:sz="0" w:space="0" w:color="auto"/>
          </w:divBdr>
        </w:div>
        <w:div w:id="1284456244">
          <w:marLeft w:val="0"/>
          <w:marRight w:val="0"/>
          <w:marTop w:val="0"/>
          <w:marBottom w:val="0"/>
          <w:divBdr>
            <w:top w:val="none" w:sz="0" w:space="0" w:color="auto"/>
            <w:left w:val="none" w:sz="0" w:space="0" w:color="auto"/>
            <w:bottom w:val="none" w:sz="0" w:space="0" w:color="auto"/>
            <w:right w:val="none" w:sz="0" w:space="0" w:color="auto"/>
          </w:divBdr>
        </w:div>
        <w:div w:id="1204243959">
          <w:marLeft w:val="0"/>
          <w:marRight w:val="0"/>
          <w:marTop w:val="0"/>
          <w:marBottom w:val="0"/>
          <w:divBdr>
            <w:top w:val="none" w:sz="0" w:space="0" w:color="auto"/>
            <w:left w:val="none" w:sz="0" w:space="0" w:color="auto"/>
            <w:bottom w:val="none" w:sz="0" w:space="0" w:color="auto"/>
            <w:right w:val="none" w:sz="0" w:space="0" w:color="auto"/>
          </w:divBdr>
        </w:div>
        <w:div w:id="390426304">
          <w:marLeft w:val="0"/>
          <w:marRight w:val="0"/>
          <w:marTop w:val="0"/>
          <w:marBottom w:val="0"/>
          <w:divBdr>
            <w:top w:val="none" w:sz="0" w:space="0" w:color="auto"/>
            <w:left w:val="none" w:sz="0" w:space="0" w:color="auto"/>
            <w:bottom w:val="none" w:sz="0" w:space="0" w:color="auto"/>
            <w:right w:val="none" w:sz="0" w:space="0" w:color="auto"/>
          </w:divBdr>
        </w:div>
        <w:div w:id="1427309758">
          <w:marLeft w:val="0"/>
          <w:marRight w:val="0"/>
          <w:marTop w:val="0"/>
          <w:marBottom w:val="0"/>
          <w:divBdr>
            <w:top w:val="none" w:sz="0" w:space="0" w:color="auto"/>
            <w:left w:val="none" w:sz="0" w:space="0" w:color="auto"/>
            <w:bottom w:val="none" w:sz="0" w:space="0" w:color="auto"/>
            <w:right w:val="none" w:sz="0" w:space="0" w:color="auto"/>
          </w:divBdr>
        </w:div>
        <w:div w:id="40902468">
          <w:marLeft w:val="0"/>
          <w:marRight w:val="0"/>
          <w:marTop w:val="0"/>
          <w:marBottom w:val="0"/>
          <w:divBdr>
            <w:top w:val="none" w:sz="0" w:space="0" w:color="auto"/>
            <w:left w:val="none" w:sz="0" w:space="0" w:color="auto"/>
            <w:bottom w:val="none" w:sz="0" w:space="0" w:color="auto"/>
            <w:right w:val="none" w:sz="0" w:space="0" w:color="auto"/>
          </w:divBdr>
        </w:div>
        <w:div w:id="106168637">
          <w:marLeft w:val="0"/>
          <w:marRight w:val="0"/>
          <w:marTop w:val="0"/>
          <w:marBottom w:val="0"/>
          <w:divBdr>
            <w:top w:val="none" w:sz="0" w:space="0" w:color="auto"/>
            <w:left w:val="none" w:sz="0" w:space="0" w:color="auto"/>
            <w:bottom w:val="none" w:sz="0" w:space="0" w:color="auto"/>
            <w:right w:val="none" w:sz="0" w:space="0" w:color="auto"/>
          </w:divBdr>
        </w:div>
        <w:div w:id="173883015">
          <w:marLeft w:val="0"/>
          <w:marRight w:val="0"/>
          <w:marTop w:val="0"/>
          <w:marBottom w:val="0"/>
          <w:divBdr>
            <w:top w:val="none" w:sz="0" w:space="0" w:color="auto"/>
            <w:left w:val="none" w:sz="0" w:space="0" w:color="auto"/>
            <w:bottom w:val="none" w:sz="0" w:space="0" w:color="auto"/>
            <w:right w:val="none" w:sz="0" w:space="0" w:color="auto"/>
          </w:divBdr>
        </w:div>
        <w:div w:id="1634826088">
          <w:marLeft w:val="0"/>
          <w:marRight w:val="0"/>
          <w:marTop w:val="0"/>
          <w:marBottom w:val="0"/>
          <w:divBdr>
            <w:top w:val="none" w:sz="0" w:space="0" w:color="auto"/>
            <w:left w:val="none" w:sz="0" w:space="0" w:color="auto"/>
            <w:bottom w:val="none" w:sz="0" w:space="0" w:color="auto"/>
            <w:right w:val="none" w:sz="0" w:space="0" w:color="auto"/>
          </w:divBdr>
        </w:div>
        <w:div w:id="218055739">
          <w:marLeft w:val="0"/>
          <w:marRight w:val="0"/>
          <w:marTop w:val="0"/>
          <w:marBottom w:val="0"/>
          <w:divBdr>
            <w:top w:val="none" w:sz="0" w:space="0" w:color="auto"/>
            <w:left w:val="none" w:sz="0" w:space="0" w:color="auto"/>
            <w:bottom w:val="none" w:sz="0" w:space="0" w:color="auto"/>
            <w:right w:val="none" w:sz="0" w:space="0" w:color="auto"/>
          </w:divBdr>
        </w:div>
        <w:div w:id="741365592">
          <w:marLeft w:val="0"/>
          <w:marRight w:val="0"/>
          <w:marTop w:val="0"/>
          <w:marBottom w:val="0"/>
          <w:divBdr>
            <w:top w:val="none" w:sz="0" w:space="0" w:color="auto"/>
            <w:left w:val="none" w:sz="0" w:space="0" w:color="auto"/>
            <w:bottom w:val="none" w:sz="0" w:space="0" w:color="auto"/>
            <w:right w:val="none" w:sz="0" w:space="0" w:color="auto"/>
          </w:divBdr>
        </w:div>
        <w:div w:id="1947272591">
          <w:marLeft w:val="0"/>
          <w:marRight w:val="0"/>
          <w:marTop w:val="0"/>
          <w:marBottom w:val="0"/>
          <w:divBdr>
            <w:top w:val="none" w:sz="0" w:space="0" w:color="auto"/>
            <w:left w:val="none" w:sz="0" w:space="0" w:color="auto"/>
            <w:bottom w:val="none" w:sz="0" w:space="0" w:color="auto"/>
            <w:right w:val="none" w:sz="0" w:space="0" w:color="auto"/>
          </w:divBdr>
        </w:div>
        <w:div w:id="1145925164">
          <w:marLeft w:val="0"/>
          <w:marRight w:val="0"/>
          <w:marTop w:val="0"/>
          <w:marBottom w:val="0"/>
          <w:divBdr>
            <w:top w:val="none" w:sz="0" w:space="0" w:color="auto"/>
            <w:left w:val="none" w:sz="0" w:space="0" w:color="auto"/>
            <w:bottom w:val="none" w:sz="0" w:space="0" w:color="auto"/>
            <w:right w:val="none" w:sz="0" w:space="0" w:color="auto"/>
          </w:divBdr>
        </w:div>
        <w:div w:id="891384001">
          <w:marLeft w:val="0"/>
          <w:marRight w:val="0"/>
          <w:marTop w:val="0"/>
          <w:marBottom w:val="0"/>
          <w:divBdr>
            <w:top w:val="none" w:sz="0" w:space="0" w:color="auto"/>
            <w:left w:val="none" w:sz="0" w:space="0" w:color="auto"/>
            <w:bottom w:val="none" w:sz="0" w:space="0" w:color="auto"/>
            <w:right w:val="none" w:sz="0" w:space="0" w:color="auto"/>
          </w:divBdr>
        </w:div>
        <w:div w:id="1485198704">
          <w:marLeft w:val="0"/>
          <w:marRight w:val="0"/>
          <w:marTop w:val="0"/>
          <w:marBottom w:val="0"/>
          <w:divBdr>
            <w:top w:val="none" w:sz="0" w:space="0" w:color="auto"/>
            <w:left w:val="none" w:sz="0" w:space="0" w:color="auto"/>
            <w:bottom w:val="none" w:sz="0" w:space="0" w:color="auto"/>
            <w:right w:val="none" w:sz="0" w:space="0" w:color="auto"/>
          </w:divBdr>
        </w:div>
        <w:div w:id="1270354042">
          <w:marLeft w:val="0"/>
          <w:marRight w:val="0"/>
          <w:marTop w:val="0"/>
          <w:marBottom w:val="0"/>
          <w:divBdr>
            <w:top w:val="none" w:sz="0" w:space="0" w:color="auto"/>
            <w:left w:val="none" w:sz="0" w:space="0" w:color="auto"/>
            <w:bottom w:val="none" w:sz="0" w:space="0" w:color="auto"/>
            <w:right w:val="none" w:sz="0" w:space="0" w:color="auto"/>
          </w:divBdr>
        </w:div>
        <w:div w:id="722412913">
          <w:marLeft w:val="0"/>
          <w:marRight w:val="0"/>
          <w:marTop w:val="0"/>
          <w:marBottom w:val="0"/>
          <w:divBdr>
            <w:top w:val="none" w:sz="0" w:space="0" w:color="auto"/>
            <w:left w:val="none" w:sz="0" w:space="0" w:color="auto"/>
            <w:bottom w:val="none" w:sz="0" w:space="0" w:color="auto"/>
            <w:right w:val="none" w:sz="0" w:space="0" w:color="auto"/>
          </w:divBdr>
        </w:div>
        <w:div w:id="1697803228">
          <w:marLeft w:val="0"/>
          <w:marRight w:val="0"/>
          <w:marTop w:val="0"/>
          <w:marBottom w:val="0"/>
          <w:divBdr>
            <w:top w:val="none" w:sz="0" w:space="0" w:color="auto"/>
            <w:left w:val="none" w:sz="0" w:space="0" w:color="auto"/>
            <w:bottom w:val="none" w:sz="0" w:space="0" w:color="auto"/>
            <w:right w:val="none" w:sz="0" w:space="0" w:color="auto"/>
          </w:divBdr>
        </w:div>
        <w:div w:id="1980258641">
          <w:marLeft w:val="0"/>
          <w:marRight w:val="0"/>
          <w:marTop w:val="0"/>
          <w:marBottom w:val="0"/>
          <w:divBdr>
            <w:top w:val="none" w:sz="0" w:space="0" w:color="auto"/>
            <w:left w:val="none" w:sz="0" w:space="0" w:color="auto"/>
            <w:bottom w:val="none" w:sz="0" w:space="0" w:color="auto"/>
            <w:right w:val="none" w:sz="0" w:space="0" w:color="auto"/>
          </w:divBdr>
        </w:div>
        <w:div w:id="737286890">
          <w:marLeft w:val="0"/>
          <w:marRight w:val="0"/>
          <w:marTop w:val="0"/>
          <w:marBottom w:val="0"/>
          <w:divBdr>
            <w:top w:val="none" w:sz="0" w:space="0" w:color="auto"/>
            <w:left w:val="none" w:sz="0" w:space="0" w:color="auto"/>
            <w:bottom w:val="none" w:sz="0" w:space="0" w:color="auto"/>
            <w:right w:val="none" w:sz="0" w:space="0" w:color="auto"/>
          </w:divBdr>
        </w:div>
        <w:div w:id="295644397">
          <w:marLeft w:val="0"/>
          <w:marRight w:val="0"/>
          <w:marTop w:val="0"/>
          <w:marBottom w:val="0"/>
          <w:divBdr>
            <w:top w:val="none" w:sz="0" w:space="0" w:color="auto"/>
            <w:left w:val="none" w:sz="0" w:space="0" w:color="auto"/>
            <w:bottom w:val="none" w:sz="0" w:space="0" w:color="auto"/>
            <w:right w:val="none" w:sz="0" w:space="0" w:color="auto"/>
          </w:divBdr>
        </w:div>
      </w:divsChild>
    </w:div>
    <w:div w:id="1971982256">
      <w:marLeft w:val="0"/>
      <w:marRight w:val="0"/>
      <w:marTop w:val="280"/>
      <w:marBottom w:val="0"/>
      <w:divBdr>
        <w:top w:val="none" w:sz="0" w:space="0" w:color="auto"/>
        <w:left w:val="none" w:sz="0" w:space="0" w:color="auto"/>
        <w:bottom w:val="none" w:sz="0" w:space="0" w:color="auto"/>
        <w:right w:val="none" w:sz="0" w:space="0" w:color="auto"/>
      </w:divBdr>
    </w:div>
    <w:div w:id="1973173164">
      <w:marLeft w:val="0"/>
      <w:marRight w:val="0"/>
      <w:marTop w:val="280"/>
      <w:marBottom w:val="0"/>
      <w:divBdr>
        <w:top w:val="none" w:sz="0" w:space="0" w:color="auto"/>
        <w:left w:val="none" w:sz="0" w:space="0" w:color="auto"/>
        <w:bottom w:val="none" w:sz="0" w:space="0" w:color="auto"/>
        <w:right w:val="none" w:sz="0" w:space="0" w:color="auto"/>
      </w:divBdr>
    </w:div>
    <w:div w:id="1973366162">
      <w:marLeft w:val="0"/>
      <w:marRight w:val="0"/>
      <w:marTop w:val="0"/>
      <w:marBottom w:val="0"/>
      <w:divBdr>
        <w:top w:val="none" w:sz="0" w:space="0" w:color="auto"/>
        <w:left w:val="none" w:sz="0" w:space="0" w:color="auto"/>
        <w:bottom w:val="none" w:sz="0" w:space="0" w:color="auto"/>
        <w:right w:val="none" w:sz="0" w:space="0" w:color="auto"/>
      </w:divBdr>
      <w:divsChild>
        <w:div w:id="720060281">
          <w:marLeft w:val="0"/>
          <w:marRight w:val="0"/>
          <w:marTop w:val="0"/>
          <w:marBottom w:val="0"/>
          <w:divBdr>
            <w:top w:val="none" w:sz="0" w:space="0" w:color="auto"/>
            <w:left w:val="none" w:sz="0" w:space="0" w:color="auto"/>
            <w:bottom w:val="none" w:sz="0" w:space="0" w:color="auto"/>
            <w:right w:val="none" w:sz="0" w:space="0" w:color="auto"/>
          </w:divBdr>
        </w:div>
        <w:div w:id="687366377">
          <w:marLeft w:val="0"/>
          <w:marRight w:val="0"/>
          <w:marTop w:val="0"/>
          <w:marBottom w:val="0"/>
          <w:divBdr>
            <w:top w:val="none" w:sz="0" w:space="0" w:color="auto"/>
            <w:left w:val="none" w:sz="0" w:space="0" w:color="auto"/>
            <w:bottom w:val="none" w:sz="0" w:space="0" w:color="auto"/>
            <w:right w:val="none" w:sz="0" w:space="0" w:color="auto"/>
          </w:divBdr>
        </w:div>
      </w:divsChild>
    </w:div>
    <w:div w:id="1974091679">
      <w:marLeft w:val="0"/>
      <w:marRight w:val="0"/>
      <w:marTop w:val="100"/>
      <w:marBottom w:val="0"/>
      <w:divBdr>
        <w:top w:val="none" w:sz="0" w:space="0" w:color="auto"/>
        <w:left w:val="none" w:sz="0" w:space="0" w:color="auto"/>
        <w:bottom w:val="none" w:sz="0" w:space="0" w:color="auto"/>
        <w:right w:val="none" w:sz="0" w:space="0" w:color="auto"/>
      </w:divBdr>
    </w:div>
    <w:div w:id="1974411052">
      <w:marLeft w:val="0"/>
      <w:marRight w:val="0"/>
      <w:marTop w:val="280"/>
      <w:marBottom w:val="0"/>
      <w:divBdr>
        <w:top w:val="none" w:sz="0" w:space="0" w:color="auto"/>
        <w:left w:val="none" w:sz="0" w:space="0" w:color="auto"/>
        <w:bottom w:val="none" w:sz="0" w:space="0" w:color="auto"/>
        <w:right w:val="none" w:sz="0" w:space="0" w:color="auto"/>
      </w:divBdr>
    </w:div>
    <w:div w:id="1975482433">
      <w:marLeft w:val="0"/>
      <w:marRight w:val="0"/>
      <w:marTop w:val="280"/>
      <w:marBottom w:val="0"/>
      <w:divBdr>
        <w:top w:val="none" w:sz="0" w:space="0" w:color="auto"/>
        <w:left w:val="none" w:sz="0" w:space="0" w:color="auto"/>
        <w:bottom w:val="none" w:sz="0" w:space="0" w:color="auto"/>
        <w:right w:val="none" w:sz="0" w:space="0" w:color="auto"/>
      </w:divBdr>
    </w:div>
    <w:div w:id="1976449505">
      <w:marLeft w:val="0"/>
      <w:marRight w:val="0"/>
      <w:marTop w:val="60"/>
      <w:marBottom w:val="0"/>
      <w:divBdr>
        <w:top w:val="none" w:sz="0" w:space="0" w:color="auto"/>
        <w:left w:val="none" w:sz="0" w:space="0" w:color="auto"/>
        <w:bottom w:val="none" w:sz="0" w:space="0" w:color="auto"/>
        <w:right w:val="none" w:sz="0" w:space="0" w:color="auto"/>
      </w:divBdr>
    </w:div>
    <w:div w:id="1977032144">
      <w:marLeft w:val="0"/>
      <w:marRight w:val="0"/>
      <w:marTop w:val="100"/>
      <w:marBottom w:val="0"/>
      <w:divBdr>
        <w:top w:val="none" w:sz="0" w:space="0" w:color="auto"/>
        <w:left w:val="none" w:sz="0" w:space="0" w:color="auto"/>
        <w:bottom w:val="none" w:sz="0" w:space="0" w:color="auto"/>
        <w:right w:val="none" w:sz="0" w:space="0" w:color="auto"/>
      </w:divBdr>
    </w:div>
    <w:div w:id="1977106545">
      <w:marLeft w:val="0"/>
      <w:marRight w:val="0"/>
      <w:marTop w:val="100"/>
      <w:marBottom w:val="0"/>
      <w:divBdr>
        <w:top w:val="none" w:sz="0" w:space="0" w:color="auto"/>
        <w:left w:val="none" w:sz="0" w:space="0" w:color="auto"/>
        <w:bottom w:val="none" w:sz="0" w:space="0" w:color="auto"/>
        <w:right w:val="none" w:sz="0" w:space="0" w:color="auto"/>
      </w:divBdr>
    </w:div>
    <w:div w:id="1977637922">
      <w:marLeft w:val="0"/>
      <w:marRight w:val="0"/>
      <w:marTop w:val="100"/>
      <w:marBottom w:val="0"/>
      <w:divBdr>
        <w:top w:val="none" w:sz="0" w:space="0" w:color="auto"/>
        <w:left w:val="none" w:sz="0" w:space="0" w:color="auto"/>
        <w:bottom w:val="none" w:sz="0" w:space="0" w:color="auto"/>
        <w:right w:val="none" w:sz="0" w:space="0" w:color="auto"/>
      </w:divBdr>
    </w:div>
    <w:div w:id="1979409540">
      <w:marLeft w:val="0"/>
      <w:marRight w:val="0"/>
      <w:marTop w:val="0"/>
      <w:marBottom w:val="0"/>
      <w:divBdr>
        <w:top w:val="none" w:sz="0" w:space="0" w:color="auto"/>
        <w:left w:val="none" w:sz="0" w:space="0" w:color="auto"/>
        <w:bottom w:val="none" w:sz="0" w:space="0" w:color="auto"/>
        <w:right w:val="none" w:sz="0" w:space="0" w:color="auto"/>
      </w:divBdr>
      <w:divsChild>
        <w:div w:id="1612476053">
          <w:marLeft w:val="0"/>
          <w:marRight w:val="0"/>
          <w:marTop w:val="0"/>
          <w:marBottom w:val="0"/>
          <w:divBdr>
            <w:top w:val="none" w:sz="0" w:space="0" w:color="auto"/>
            <w:left w:val="none" w:sz="0" w:space="0" w:color="auto"/>
            <w:bottom w:val="none" w:sz="0" w:space="0" w:color="auto"/>
            <w:right w:val="none" w:sz="0" w:space="0" w:color="auto"/>
          </w:divBdr>
        </w:div>
      </w:divsChild>
    </w:div>
    <w:div w:id="1979723790">
      <w:marLeft w:val="0"/>
      <w:marRight w:val="0"/>
      <w:marTop w:val="100"/>
      <w:marBottom w:val="0"/>
      <w:divBdr>
        <w:top w:val="none" w:sz="0" w:space="0" w:color="auto"/>
        <w:left w:val="none" w:sz="0" w:space="0" w:color="auto"/>
        <w:bottom w:val="none" w:sz="0" w:space="0" w:color="auto"/>
        <w:right w:val="none" w:sz="0" w:space="0" w:color="auto"/>
      </w:divBdr>
    </w:div>
    <w:div w:id="1980376552">
      <w:marLeft w:val="0"/>
      <w:marRight w:val="0"/>
      <w:marTop w:val="0"/>
      <w:marBottom w:val="0"/>
      <w:divBdr>
        <w:top w:val="none" w:sz="0" w:space="0" w:color="auto"/>
        <w:left w:val="none" w:sz="0" w:space="0" w:color="auto"/>
        <w:bottom w:val="none" w:sz="0" w:space="0" w:color="auto"/>
        <w:right w:val="none" w:sz="0" w:space="0" w:color="auto"/>
      </w:divBdr>
      <w:divsChild>
        <w:div w:id="1028331521">
          <w:marLeft w:val="0"/>
          <w:marRight w:val="0"/>
          <w:marTop w:val="0"/>
          <w:marBottom w:val="0"/>
          <w:divBdr>
            <w:top w:val="none" w:sz="0" w:space="0" w:color="auto"/>
            <w:left w:val="none" w:sz="0" w:space="0" w:color="auto"/>
            <w:bottom w:val="none" w:sz="0" w:space="0" w:color="auto"/>
            <w:right w:val="none" w:sz="0" w:space="0" w:color="auto"/>
          </w:divBdr>
        </w:div>
      </w:divsChild>
    </w:div>
    <w:div w:id="1980643964">
      <w:marLeft w:val="0"/>
      <w:marRight w:val="0"/>
      <w:marTop w:val="100"/>
      <w:marBottom w:val="100"/>
      <w:divBdr>
        <w:top w:val="none" w:sz="0" w:space="0" w:color="auto"/>
        <w:left w:val="none" w:sz="0" w:space="0" w:color="auto"/>
        <w:bottom w:val="none" w:sz="0" w:space="0" w:color="auto"/>
        <w:right w:val="none" w:sz="0" w:space="0" w:color="auto"/>
      </w:divBdr>
    </w:div>
    <w:div w:id="1981180600">
      <w:marLeft w:val="0"/>
      <w:marRight w:val="0"/>
      <w:marTop w:val="100"/>
      <w:marBottom w:val="0"/>
      <w:divBdr>
        <w:top w:val="none" w:sz="0" w:space="0" w:color="auto"/>
        <w:left w:val="none" w:sz="0" w:space="0" w:color="auto"/>
        <w:bottom w:val="none" w:sz="0" w:space="0" w:color="auto"/>
        <w:right w:val="none" w:sz="0" w:space="0" w:color="auto"/>
      </w:divBdr>
    </w:div>
    <w:div w:id="1981962928">
      <w:marLeft w:val="0"/>
      <w:marRight w:val="0"/>
      <w:marTop w:val="100"/>
      <w:marBottom w:val="0"/>
      <w:divBdr>
        <w:top w:val="none" w:sz="0" w:space="0" w:color="auto"/>
        <w:left w:val="none" w:sz="0" w:space="0" w:color="auto"/>
        <w:bottom w:val="none" w:sz="0" w:space="0" w:color="auto"/>
        <w:right w:val="none" w:sz="0" w:space="0" w:color="auto"/>
      </w:divBdr>
    </w:div>
    <w:div w:id="1983389185">
      <w:marLeft w:val="0"/>
      <w:marRight w:val="0"/>
      <w:marTop w:val="100"/>
      <w:marBottom w:val="100"/>
      <w:divBdr>
        <w:top w:val="none" w:sz="0" w:space="0" w:color="auto"/>
        <w:left w:val="none" w:sz="0" w:space="0" w:color="auto"/>
        <w:bottom w:val="none" w:sz="0" w:space="0" w:color="auto"/>
        <w:right w:val="none" w:sz="0" w:space="0" w:color="auto"/>
      </w:divBdr>
    </w:div>
    <w:div w:id="1983801172">
      <w:marLeft w:val="0"/>
      <w:marRight w:val="0"/>
      <w:marTop w:val="280"/>
      <w:marBottom w:val="0"/>
      <w:divBdr>
        <w:top w:val="none" w:sz="0" w:space="0" w:color="auto"/>
        <w:left w:val="none" w:sz="0" w:space="0" w:color="auto"/>
        <w:bottom w:val="none" w:sz="0" w:space="0" w:color="auto"/>
        <w:right w:val="none" w:sz="0" w:space="0" w:color="auto"/>
      </w:divBdr>
    </w:div>
    <w:div w:id="1984112495">
      <w:marLeft w:val="0"/>
      <w:marRight w:val="0"/>
      <w:marTop w:val="0"/>
      <w:marBottom w:val="0"/>
      <w:divBdr>
        <w:top w:val="none" w:sz="0" w:space="0" w:color="auto"/>
        <w:left w:val="none" w:sz="0" w:space="0" w:color="auto"/>
        <w:bottom w:val="none" w:sz="0" w:space="0" w:color="auto"/>
        <w:right w:val="none" w:sz="0" w:space="0" w:color="auto"/>
      </w:divBdr>
      <w:divsChild>
        <w:div w:id="1146705651">
          <w:marLeft w:val="0"/>
          <w:marRight w:val="0"/>
          <w:marTop w:val="0"/>
          <w:marBottom w:val="0"/>
          <w:divBdr>
            <w:top w:val="none" w:sz="0" w:space="0" w:color="auto"/>
            <w:left w:val="none" w:sz="0" w:space="0" w:color="auto"/>
            <w:bottom w:val="none" w:sz="0" w:space="0" w:color="auto"/>
            <w:right w:val="none" w:sz="0" w:space="0" w:color="auto"/>
          </w:divBdr>
        </w:div>
        <w:div w:id="1054157456">
          <w:marLeft w:val="0"/>
          <w:marRight w:val="0"/>
          <w:marTop w:val="0"/>
          <w:marBottom w:val="0"/>
          <w:divBdr>
            <w:top w:val="none" w:sz="0" w:space="0" w:color="auto"/>
            <w:left w:val="none" w:sz="0" w:space="0" w:color="auto"/>
            <w:bottom w:val="none" w:sz="0" w:space="0" w:color="auto"/>
            <w:right w:val="none" w:sz="0" w:space="0" w:color="auto"/>
          </w:divBdr>
        </w:div>
      </w:divsChild>
    </w:div>
    <w:div w:id="1985700895">
      <w:marLeft w:val="0"/>
      <w:marRight w:val="0"/>
      <w:marTop w:val="60"/>
      <w:marBottom w:val="0"/>
      <w:divBdr>
        <w:top w:val="none" w:sz="0" w:space="0" w:color="auto"/>
        <w:left w:val="none" w:sz="0" w:space="0" w:color="auto"/>
        <w:bottom w:val="none" w:sz="0" w:space="0" w:color="auto"/>
        <w:right w:val="none" w:sz="0" w:space="0" w:color="auto"/>
      </w:divBdr>
    </w:div>
    <w:div w:id="1986004060">
      <w:marLeft w:val="0"/>
      <w:marRight w:val="0"/>
      <w:marTop w:val="100"/>
      <w:marBottom w:val="0"/>
      <w:divBdr>
        <w:top w:val="none" w:sz="0" w:space="0" w:color="auto"/>
        <w:left w:val="none" w:sz="0" w:space="0" w:color="auto"/>
        <w:bottom w:val="none" w:sz="0" w:space="0" w:color="auto"/>
        <w:right w:val="none" w:sz="0" w:space="0" w:color="auto"/>
      </w:divBdr>
    </w:div>
    <w:div w:id="1987279549">
      <w:marLeft w:val="0"/>
      <w:marRight w:val="0"/>
      <w:marTop w:val="100"/>
      <w:marBottom w:val="0"/>
      <w:divBdr>
        <w:top w:val="none" w:sz="0" w:space="0" w:color="auto"/>
        <w:left w:val="none" w:sz="0" w:space="0" w:color="auto"/>
        <w:bottom w:val="none" w:sz="0" w:space="0" w:color="auto"/>
        <w:right w:val="none" w:sz="0" w:space="0" w:color="auto"/>
      </w:divBdr>
    </w:div>
    <w:div w:id="1988436967">
      <w:marLeft w:val="0"/>
      <w:marRight w:val="0"/>
      <w:marTop w:val="100"/>
      <w:marBottom w:val="100"/>
      <w:divBdr>
        <w:top w:val="none" w:sz="0" w:space="0" w:color="auto"/>
        <w:left w:val="none" w:sz="0" w:space="0" w:color="auto"/>
        <w:bottom w:val="none" w:sz="0" w:space="0" w:color="auto"/>
        <w:right w:val="none" w:sz="0" w:space="0" w:color="auto"/>
      </w:divBdr>
      <w:divsChild>
        <w:div w:id="1710585">
          <w:marLeft w:val="0"/>
          <w:marRight w:val="0"/>
          <w:marTop w:val="0"/>
          <w:marBottom w:val="0"/>
          <w:divBdr>
            <w:top w:val="none" w:sz="0" w:space="0" w:color="auto"/>
            <w:left w:val="none" w:sz="0" w:space="0" w:color="auto"/>
            <w:bottom w:val="none" w:sz="0" w:space="0" w:color="auto"/>
            <w:right w:val="none" w:sz="0" w:space="0" w:color="auto"/>
          </w:divBdr>
        </w:div>
        <w:div w:id="103691300">
          <w:marLeft w:val="0"/>
          <w:marRight w:val="0"/>
          <w:marTop w:val="0"/>
          <w:marBottom w:val="0"/>
          <w:divBdr>
            <w:top w:val="none" w:sz="0" w:space="0" w:color="auto"/>
            <w:left w:val="none" w:sz="0" w:space="0" w:color="auto"/>
            <w:bottom w:val="none" w:sz="0" w:space="0" w:color="auto"/>
            <w:right w:val="none" w:sz="0" w:space="0" w:color="auto"/>
          </w:divBdr>
        </w:div>
      </w:divsChild>
    </w:div>
    <w:div w:id="1988898692">
      <w:marLeft w:val="0"/>
      <w:marRight w:val="0"/>
      <w:marTop w:val="100"/>
      <w:marBottom w:val="0"/>
      <w:divBdr>
        <w:top w:val="none" w:sz="0" w:space="0" w:color="auto"/>
        <w:left w:val="none" w:sz="0" w:space="0" w:color="auto"/>
        <w:bottom w:val="none" w:sz="0" w:space="0" w:color="auto"/>
        <w:right w:val="none" w:sz="0" w:space="0" w:color="auto"/>
      </w:divBdr>
    </w:div>
    <w:div w:id="1990472315">
      <w:marLeft w:val="0"/>
      <w:marRight w:val="0"/>
      <w:marTop w:val="100"/>
      <w:marBottom w:val="0"/>
      <w:divBdr>
        <w:top w:val="none" w:sz="0" w:space="0" w:color="auto"/>
        <w:left w:val="none" w:sz="0" w:space="0" w:color="auto"/>
        <w:bottom w:val="none" w:sz="0" w:space="0" w:color="auto"/>
        <w:right w:val="none" w:sz="0" w:space="0" w:color="auto"/>
      </w:divBdr>
    </w:div>
    <w:div w:id="1992950560">
      <w:marLeft w:val="0"/>
      <w:marRight w:val="0"/>
      <w:marTop w:val="100"/>
      <w:marBottom w:val="0"/>
      <w:divBdr>
        <w:top w:val="none" w:sz="0" w:space="0" w:color="auto"/>
        <w:left w:val="none" w:sz="0" w:space="0" w:color="auto"/>
        <w:bottom w:val="none" w:sz="0" w:space="0" w:color="auto"/>
        <w:right w:val="none" w:sz="0" w:space="0" w:color="auto"/>
      </w:divBdr>
    </w:div>
    <w:div w:id="1993102406">
      <w:marLeft w:val="0"/>
      <w:marRight w:val="0"/>
      <w:marTop w:val="100"/>
      <w:marBottom w:val="0"/>
      <w:divBdr>
        <w:top w:val="none" w:sz="0" w:space="0" w:color="auto"/>
        <w:left w:val="none" w:sz="0" w:space="0" w:color="auto"/>
        <w:bottom w:val="none" w:sz="0" w:space="0" w:color="auto"/>
        <w:right w:val="none" w:sz="0" w:space="0" w:color="auto"/>
      </w:divBdr>
    </w:div>
    <w:div w:id="1995522806">
      <w:marLeft w:val="0"/>
      <w:marRight w:val="0"/>
      <w:marTop w:val="100"/>
      <w:marBottom w:val="0"/>
      <w:divBdr>
        <w:top w:val="none" w:sz="0" w:space="0" w:color="auto"/>
        <w:left w:val="none" w:sz="0" w:space="0" w:color="auto"/>
        <w:bottom w:val="none" w:sz="0" w:space="0" w:color="auto"/>
        <w:right w:val="none" w:sz="0" w:space="0" w:color="auto"/>
      </w:divBdr>
    </w:div>
    <w:div w:id="1996258820">
      <w:marLeft w:val="0"/>
      <w:marRight w:val="0"/>
      <w:marTop w:val="0"/>
      <w:marBottom w:val="0"/>
      <w:divBdr>
        <w:top w:val="none" w:sz="0" w:space="0" w:color="auto"/>
        <w:left w:val="none" w:sz="0" w:space="0" w:color="auto"/>
        <w:bottom w:val="none" w:sz="0" w:space="0" w:color="auto"/>
        <w:right w:val="none" w:sz="0" w:space="0" w:color="auto"/>
      </w:divBdr>
      <w:divsChild>
        <w:div w:id="144049188">
          <w:marLeft w:val="0"/>
          <w:marRight w:val="0"/>
          <w:marTop w:val="0"/>
          <w:marBottom w:val="0"/>
          <w:divBdr>
            <w:top w:val="none" w:sz="0" w:space="0" w:color="auto"/>
            <w:left w:val="none" w:sz="0" w:space="0" w:color="auto"/>
            <w:bottom w:val="none" w:sz="0" w:space="0" w:color="auto"/>
            <w:right w:val="none" w:sz="0" w:space="0" w:color="auto"/>
          </w:divBdr>
        </w:div>
        <w:div w:id="1439914447">
          <w:marLeft w:val="0"/>
          <w:marRight w:val="0"/>
          <w:marTop w:val="0"/>
          <w:marBottom w:val="0"/>
          <w:divBdr>
            <w:top w:val="none" w:sz="0" w:space="0" w:color="auto"/>
            <w:left w:val="none" w:sz="0" w:space="0" w:color="auto"/>
            <w:bottom w:val="none" w:sz="0" w:space="0" w:color="auto"/>
            <w:right w:val="none" w:sz="0" w:space="0" w:color="auto"/>
          </w:divBdr>
        </w:div>
      </w:divsChild>
    </w:div>
    <w:div w:id="1998802306">
      <w:marLeft w:val="0"/>
      <w:marRight w:val="0"/>
      <w:marTop w:val="100"/>
      <w:marBottom w:val="0"/>
      <w:divBdr>
        <w:top w:val="none" w:sz="0" w:space="0" w:color="auto"/>
        <w:left w:val="none" w:sz="0" w:space="0" w:color="auto"/>
        <w:bottom w:val="none" w:sz="0" w:space="0" w:color="auto"/>
        <w:right w:val="none" w:sz="0" w:space="0" w:color="auto"/>
      </w:divBdr>
    </w:div>
    <w:div w:id="1999190551">
      <w:marLeft w:val="0"/>
      <w:marRight w:val="0"/>
      <w:marTop w:val="100"/>
      <w:marBottom w:val="0"/>
      <w:divBdr>
        <w:top w:val="none" w:sz="0" w:space="0" w:color="auto"/>
        <w:left w:val="none" w:sz="0" w:space="0" w:color="auto"/>
        <w:bottom w:val="none" w:sz="0" w:space="0" w:color="auto"/>
        <w:right w:val="none" w:sz="0" w:space="0" w:color="auto"/>
      </w:divBdr>
    </w:div>
    <w:div w:id="2000569664">
      <w:marLeft w:val="0"/>
      <w:marRight w:val="0"/>
      <w:marTop w:val="100"/>
      <w:marBottom w:val="0"/>
      <w:divBdr>
        <w:top w:val="none" w:sz="0" w:space="0" w:color="auto"/>
        <w:left w:val="none" w:sz="0" w:space="0" w:color="auto"/>
        <w:bottom w:val="none" w:sz="0" w:space="0" w:color="auto"/>
        <w:right w:val="none" w:sz="0" w:space="0" w:color="auto"/>
      </w:divBdr>
    </w:div>
    <w:div w:id="2003659820">
      <w:marLeft w:val="0"/>
      <w:marRight w:val="0"/>
      <w:marTop w:val="100"/>
      <w:marBottom w:val="0"/>
      <w:divBdr>
        <w:top w:val="none" w:sz="0" w:space="0" w:color="auto"/>
        <w:left w:val="none" w:sz="0" w:space="0" w:color="auto"/>
        <w:bottom w:val="none" w:sz="0" w:space="0" w:color="auto"/>
        <w:right w:val="none" w:sz="0" w:space="0" w:color="auto"/>
      </w:divBdr>
    </w:div>
    <w:div w:id="2004698077">
      <w:marLeft w:val="0"/>
      <w:marRight w:val="0"/>
      <w:marTop w:val="280"/>
      <w:marBottom w:val="0"/>
      <w:divBdr>
        <w:top w:val="none" w:sz="0" w:space="0" w:color="auto"/>
        <w:left w:val="none" w:sz="0" w:space="0" w:color="auto"/>
        <w:bottom w:val="none" w:sz="0" w:space="0" w:color="auto"/>
        <w:right w:val="none" w:sz="0" w:space="0" w:color="auto"/>
      </w:divBdr>
    </w:div>
    <w:div w:id="2008364434">
      <w:marLeft w:val="0"/>
      <w:marRight w:val="0"/>
      <w:marTop w:val="100"/>
      <w:marBottom w:val="0"/>
      <w:divBdr>
        <w:top w:val="none" w:sz="0" w:space="0" w:color="auto"/>
        <w:left w:val="none" w:sz="0" w:space="0" w:color="auto"/>
        <w:bottom w:val="none" w:sz="0" w:space="0" w:color="auto"/>
        <w:right w:val="none" w:sz="0" w:space="0" w:color="auto"/>
      </w:divBdr>
    </w:div>
    <w:div w:id="2008903540">
      <w:marLeft w:val="0"/>
      <w:marRight w:val="0"/>
      <w:marTop w:val="100"/>
      <w:marBottom w:val="0"/>
      <w:divBdr>
        <w:top w:val="none" w:sz="0" w:space="0" w:color="auto"/>
        <w:left w:val="none" w:sz="0" w:space="0" w:color="auto"/>
        <w:bottom w:val="none" w:sz="0" w:space="0" w:color="auto"/>
        <w:right w:val="none" w:sz="0" w:space="0" w:color="auto"/>
      </w:divBdr>
    </w:div>
    <w:div w:id="2011984518">
      <w:marLeft w:val="0"/>
      <w:marRight w:val="0"/>
      <w:marTop w:val="180"/>
      <w:marBottom w:val="0"/>
      <w:divBdr>
        <w:top w:val="none" w:sz="0" w:space="0" w:color="auto"/>
        <w:left w:val="none" w:sz="0" w:space="0" w:color="auto"/>
        <w:bottom w:val="none" w:sz="0" w:space="0" w:color="auto"/>
        <w:right w:val="none" w:sz="0" w:space="0" w:color="auto"/>
      </w:divBdr>
    </w:div>
    <w:div w:id="2012025379">
      <w:marLeft w:val="0"/>
      <w:marRight w:val="0"/>
      <w:marTop w:val="0"/>
      <w:marBottom w:val="0"/>
      <w:divBdr>
        <w:top w:val="none" w:sz="0" w:space="0" w:color="auto"/>
        <w:left w:val="none" w:sz="0" w:space="0" w:color="auto"/>
        <w:bottom w:val="none" w:sz="0" w:space="0" w:color="auto"/>
        <w:right w:val="none" w:sz="0" w:space="0" w:color="auto"/>
      </w:divBdr>
      <w:divsChild>
        <w:div w:id="1937975212">
          <w:marLeft w:val="0"/>
          <w:marRight w:val="0"/>
          <w:marTop w:val="0"/>
          <w:marBottom w:val="0"/>
          <w:divBdr>
            <w:top w:val="none" w:sz="0" w:space="0" w:color="auto"/>
            <w:left w:val="none" w:sz="0" w:space="0" w:color="auto"/>
            <w:bottom w:val="none" w:sz="0" w:space="0" w:color="auto"/>
            <w:right w:val="none" w:sz="0" w:space="0" w:color="auto"/>
          </w:divBdr>
        </w:div>
      </w:divsChild>
    </w:div>
    <w:div w:id="2012369274">
      <w:marLeft w:val="0"/>
      <w:marRight w:val="0"/>
      <w:marTop w:val="100"/>
      <w:marBottom w:val="0"/>
      <w:divBdr>
        <w:top w:val="none" w:sz="0" w:space="0" w:color="auto"/>
        <w:left w:val="none" w:sz="0" w:space="0" w:color="auto"/>
        <w:bottom w:val="none" w:sz="0" w:space="0" w:color="auto"/>
        <w:right w:val="none" w:sz="0" w:space="0" w:color="auto"/>
      </w:divBdr>
    </w:div>
    <w:div w:id="2013217116">
      <w:marLeft w:val="0"/>
      <w:marRight w:val="0"/>
      <w:marTop w:val="100"/>
      <w:marBottom w:val="0"/>
      <w:divBdr>
        <w:top w:val="none" w:sz="0" w:space="0" w:color="auto"/>
        <w:left w:val="none" w:sz="0" w:space="0" w:color="auto"/>
        <w:bottom w:val="none" w:sz="0" w:space="0" w:color="auto"/>
        <w:right w:val="none" w:sz="0" w:space="0" w:color="auto"/>
      </w:divBdr>
    </w:div>
    <w:div w:id="2017533907">
      <w:marLeft w:val="0"/>
      <w:marRight w:val="0"/>
      <w:marTop w:val="100"/>
      <w:marBottom w:val="0"/>
      <w:divBdr>
        <w:top w:val="none" w:sz="0" w:space="0" w:color="auto"/>
        <w:left w:val="none" w:sz="0" w:space="0" w:color="auto"/>
        <w:bottom w:val="none" w:sz="0" w:space="0" w:color="auto"/>
        <w:right w:val="none" w:sz="0" w:space="0" w:color="auto"/>
      </w:divBdr>
    </w:div>
    <w:div w:id="2017536273">
      <w:marLeft w:val="0"/>
      <w:marRight w:val="0"/>
      <w:marTop w:val="100"/>
      <w:marBottom w:val="0"/>
      <w:divBdr>
        <w:top w:val="none" w:sz="0" w:space="0" w:color="auto"/>
        <w:left w:val="none" w:sz="0" w:space="0" w:color="auto"/>
        <w:bottom w:val="none" w:sz="0" w:space="0" w:color="auto"/>
        <w:right w:val="none" w:sz="0" w:space="0" w:color="auto"/>
      </w:divBdr>
    </w:div>
    <w:div w:id="2017877303">
      <w:marLeft w:val="0"/>
      <w:marRight w:val="0"/>
      <w:marTop w:val="0"/>
      <w:marBottom w:val="0"/>
      <w:divBdr>
        <w:top w:val="none" w:sz="0" w:space="0" w:color="auto"/>
        <w:left w:val="none" w:sz="0" w:space="0" w:color="auto"/>
        <w:bottom w:val="none" w:sz="0" w:space="0" w:color="auto"/>
        <w:right w:val="none" w:sz="0" w:space="0" w:color="auto"/>
      </w:divBdr>
      <w:divsChild>
        <w:div w:id="1862238005">
          <w:marLeft w:val="0"/>
          <w:marRight w:val="0"/>
          <w:marTop w:val="0"/>
          <w:marBottom w:val="0"/>
          <w:divBdr>
            <w:top w:val="none" w:sz="0" w:space="0" w:color="auto"/>
            <w:left w:val="none" w:sz="0" w:space="0" w:color="auto"/>
            <w:bottom w:val="none" w:sz="0" w:space="0" w:color="auto"/>
            <w:right w:val="none" w:sz="0" w:space="0" w:color="auto"/>
          </w:divBdr>
        </w:div>
        <w:div w:id="1127041342">
          <w:marLeft w:val="0"/>
          <w:marRight w:val="0"/>
          <w:marTop w:val="0"/>
          <w:marBottom w:val="0"/>
          <w:divBdr>
            <w:top w:val="none" w:sz="0" w:space="0" w:color="auto"/>
            <w:left w:val="none" w:sz="0" w:space="0" w:color="auto"/>
            <w:bottom w:val="none" w:sz="0" w:space="0" w:color="auto"/>
            <w:right w:val="none" w:sz="0" w:space="0" w:color="auto"/>
          </w:divBdr>
        </w:div>
      </w:divsChild>
    </w:div>
    <w:div w:id="2019118667">
      <w:marLeft w:val="0"/>
      <w:marRight w:val="0"/>
      <w:marTop w:val="0"/>
      <w:marBottom w:val="0"/>
      <w:divBdr>
        <w:top w:val="none" w:sz="0" w:space="0" w:color="auto"/>
        <w:left w:val="none" w:sz="0" w:space="0" w:color="auto"/>
        <w:bottom w:val="none" w:sz="0" w:space="0" w:color="auto"/>
        <w:right w:val="none" w:sz="0" w:space="0" w:color="auto"/>
      </w:divBdr>
      <w:divsChild>
        <w:div w:id="2095777482">
          <w:marLeft w:val="0"/>
          <w:marRight w:val="0"/>
          <w:marTop w:val="0"/>
          <w:marBottom w:val="0"/>
          <w:divBdr>
            <w:top w:val="none" w:sz="0" w:space="0" w:color="auto"/>
            <w:left w:val="none" w:sz="0" w:space="0" w:color="auto"/>
            <w:bottom w:val="none" w:sz="0" w:space="0" w:color="auto"/>
            <w:right w:val="none" w:sz="0" w:space="0" w:color="auto"/>
          </w:divBdr>
        </w:div>
      </w:divsChild>
    </w:div>
    <w:div w:id="2022507751">
      <w:marLeft w:val="0"/>
      <w:marRight w:val="0"/>
      <w:marTop w:val="100"/>
      <w:marBottom w:val="0"/>
      <w:divBdr>
        <w:top w:val="none" w:sz="0" w:space="0" w:color="auto"/>
        <w:left w:val="none" w:sz="0" w:space="0" w:color="auto"/>
        <w:bottom w:val="none" w:sz="0" w:space="0" w:color="auto"/>
        <w:right w:val="none" w:sz="0" w:space="0" w:color="auto"/>
      </w:divBdr>
    </w:div>
    <w:div w:id="2023579938">
      <w:marLeft w:val="0"/>
      <w:marRight w:val="0"/>
      <w:marTop w:val="0"/>
      <w:marBottom w:val="0"/>
      <w:divBdr>
        <w:top w:val="none" w:sz="0" w:space="0" w:color="auto"/>
        <w:left w:val="none" w:sz="0" w:space="0" w:color="auto"/>
        <w:bottom w:val="none" w:sz="0" w:space="0" w:color="auto"/>
        <w:right w:val="none" w:sz="0" w:space="0" w:color="auto"/>
      </w:divBdr>
    </w:div>
    <w:div w:id="2024162931">
      <w:marLeft w:val="0"/>
      <w:marRight w:val="0"/>
      <w:marTop w:val="280"/>
      <w:marBottom w:val="100"/>
      <w:divBdr>
        <w:top w:val="none" w:sz="0" w:space="0" w:color="auto"/>
        <w:left w:val="none" w:sz="0" w:space="0" w:color="auto"/>
        <w:bottom w:val="none" w:sz="0" w:space="0" w:color="auto"/>
        <w:right w:val="none" w:sz="0" w:space="0" w:color="auto"/>
      </w:divBdr>
    </w:div>
    <w:div w:id="2026859164">
      <w:marLeft w:val="0"/>
      <w:marRight w:val="0"/>
      <w:marTop w:val="100"/>
      <w:marBottom w:val="0"/>
      <w:divBdr>
        <w:top w:val="none" w:sz="0" w:space="0" w:color="auto"/>
        <w:left w:val="none" w:sz="0" w:space="0" w:color="auto"/>
        <w:bottom w:val="none" w:sz="0" w:space="0" w:color="auto"/>
        <w:right w:val="none" w:sz="0" w:space="0" w:color="auto"/>
      </w:divBdr>
    </w:div>
    <w:div w:id="2027780810">
      <w:marLeft w:val="0"/>
      <w:marRight w:val="0"/>
      <w:marTop w:val="100"/>
      <w:marBottom w:val="0"/>
      <w:divBdr>
        <w:top w:val="none" w:sz="0" w:space="0" w:color="auto"/>
        <w:left w:val="none" w:sz="0" w:space="0" w:color="auto"/>
        <w:bottom w:val="none" w:sz="0" w:space="0" w:color="auto"/>
        <w:right w:val="none" w:sz="0" w:space="0" w:color="auto"/>
      </w:divBdr>
    </w:div>
    <w:div w:id="2029018164">
      <w:marLeft w:val="0"/>
      <w:marRight w:val="0"/>
      <w:marTop w:val="100"/>
      <w:marBottom w:val="0"/>
      <w:divBdr>
        <w:top w:val="none" w:sz="0" w:space="0" w:color="auto"/>
        <w:left w:val="none" w:sz="0" w:space="0" w:color="auto"/>
        <w:bottom w:val="none" w:sz="0" w:space="0" w:color="auto"/>
        <w:right w:val="none" w:sz="0" w:space="0" w:color="auto"/>
      </w:divBdr>
    </w:div>
    <w:div w:id="2029217481">
      <w:marLeft w:val="0"/>
      <w:marRight w:val="0"/>
      <w:marTop w:val="100"/>
      <w:marBottom w:val="0"/>
      <w:divBdr>
        <w:top w:val="none" w:sz="0" w:space="0" w:color="auto"/>
        <w:left w:val="none" w:sz="0" w:space="0" w:color="auto"/>
        <w:bottom w:val="none" w:sz="0" w:space="0" w:color="auto"/>
        <w:right w:val="none" w:sz="0" w:space="0" w:color="auto"/>
      </w:divBdr>
    </w:div>
    <w:div w:id="2030595323">
      <w:marLeft w:val="0"/>
      <w:marRight w:val="0"/>
      <w:marTop w:val="0"/>
      <w:marBottom w:val="0"/>
      <w:divBdr>
        <w:top w:val="none" w:sz="0" w:space="0" w:color="auto"/>
        <w:left w:val="none" w:sz="0" w:space="0" w:color="auto"/>
        <w:bottom w:val="none" w:sz="0" w:space="0" w:color="auto"/>
        <w:right w:val="none" w:sz="0" w:space="0" w:color="auto"/>
      </w:divBdr>
      <w:divsChild>
        <w:div w:id="2051611616">
          <w:marLeft w:val="0"/>
          <w:marRight w:val="0"/>
          <w:marTop w:val="0"/>
          <w:marBottom w:val="0"/>
          <w:divBdr>
            <w:top w:val="none" w:sz="0" w:space="0" w:color="auto"/>
            <w:left w:val="none" w:sz="0" w:space="0" w:color="auto"/>
            <w:bottom w:val="none" w:sz="0" w:space="0" w:color="auto"/>
            <w:right w:val="none" w:sz="0" w:space="0" w:color="auto"/>
          </w:divBdr>
        </w:div>
      </w:divsChild>
    </w:div>
    <w:div w:id="2033147268">
      <w:marLeft w:val="0"/>
      <w:marRight w:val="0"/>
      <w:marTop w:val="100"/>
      <w:marBottom w:val="0"/>
      <w:divBdr>
        <w:top w:val="none" w:sz="0" w:space="0" w:color="auto"/>
        <w:left w:val="none" w:sz="0" w:space="0" w:color="auto"/>
        <w:bottom w:val="none" w:sz="0" w:space="0" w:color="auto"/>
        <w:right w:val="none" w:sz="0" w:space="0" w:color="auto"/>
      </w:divBdr>
    </w:div>
    <w:div w:id="2033723058">
      <w:marLeft w:val="0"/>
      <w:marRight w:val="0"/>
      <w:marTop w:val="100"/>
      <w:marBottom w:val="0"/>
      <w:divBdr>
        <w:top w:val="none" w:sz="0" w:space="0" w:color="auto"/>
        <w:left w:val="none" w:sz="0" w:space="0" w:color="auto"/>
        <w:bottom w:val="none" w:sz="0" w:space="0" w:color="auto"/>
        <w:right w:val="none" w:sz="0" w:space="0" w:color="auto"/>
      </w:divBdr>
    </w:div>
    <w:div w:id="2037391555">
      <w:marLeft w:val="0"/>
      <w:marRight w:val="0"/>
      <w:marTop w:val="100"/>
      <w:marBottom w:val="0"/>
      <w:divBdr>
        <w:top w:val="none" w:sz="0" w:space="0" w:color="auto"/>
        <w:left w:val="none" w:sz="0" w:space="0" w:color="auto"/>
        <w:bottom w:val="none" w:sz="0" w:space="0" w:color="auto"/>
        <w:right w:val="none" w:sz="0" w:space="0" w:color="auto"/>
      </w:divBdr>
    </w:div>
    <w:div w:id="2040625275">
      <w:marLeft w:val="0"/>
      <w:marRight w:val="0"/>
      <w:marTop w:val="280"/>
      <w:marBottom w:val="0"/>
      <w:divBdr>
        <w:top w:val="none" w:sz="0" w:space="0" w:color="auto"/>
        <w:left w:val="none" w:sz="0" w:space="0" w:color="auto"/>
        <w:bottom w:val="none" w:sz="0" w:space="0" w:color="auto"/>
        <w:right w:val="none" w:sz="0" w:space="0" w:color="auto"/>
      </w:divBdr>
    </w:div>
    <w:div w:id="2040660287">
      <w:marLeft w:val="0"/>
      <w:marRight w:val="0"/>
      <w:marTop w:val="0"/>
      <w:marBottom w:val="0"/>
      <w:divBdr>
        <w:top w:val="none" w:sz="0" w:space="0" w:color="auto"/>
        <w:left w:val="none" w:sz="0" w:space="0" w:color="auto"/>
        <w:bottom w:val="none" w:sz="0" w:space="0" w:color="auto"/>
        <w:right w:val="none" w:sz="0" w:space="0" w:color="auto"/>
      </w:divBdr>
      <w:divsChild>
        <w:div w:id="1353337738">
          <w:marLeft w:val="0"/>
          <w:marRight w:val="0"/>
          <w:marTop w:val="0"/>
          <w:marBottom w:val="0"/>
          <w:divBdr>
            <w:top w:val="none" w:sz="0" w:space="0" w:color="auto"/>
            <w:left w:val="none" w:sz="0" w:space="0" w:color="auto"/>
            <w:bottom w:val="none" w:sz="0" w:space="0" w:color="auto"/>
            <w:right w:val="none" w:sz="0" w:space="0" w:color="auto"/>
          </w:divBdr>
        </w:div>
        <w:div w:id="388070905">
          <w:marLeft w:val="0"/>
          <w:marRight w:val="0"/>
          <w:marTop w:val="0"/>
          <w:marBottom w:val="0"/>
          <w:divBdr>
            <w:top w:val="none" w:sz="0" w:space="0" w:color="auto"/>
            <w:left w:val="none" w:sz="0" w:space="0" w:color="auto"/>
            <w:bottom w:val="none" w:sz="0" w:space="0" w:color="auto"/>
            <w:right w:val="none" w:sz="0" w:space="0" w:color="auto"/>
          </w:divBdr>
        </w:div>
      </w:divsChild>
    </w:div>
    <w:div w:id="2041513003">
      <w:marLeft w:val="0"/>
      <w:marRight w:val="0"/>
      <w:marTop w:val="100"/>
      <w:marBottom w:val="0"/>
      <w:divBdr>
        <w:top w:val="none" w:sz="0" w:space="0" w:color="auto"/>
        <w:left w:val="none" w:sz="0" w:space="0" w:color="auto"/>
        <w:bottom w:val="none" w:sz="0" w:space="0" w:color="auto"/>
        <w:right w:val="none" w:sz="0" w:space="0" w:color="auto"/>
      </w:divBdr>
    </w:div>
    <w:div w:id="2046056355">
      <w:marLeft w:val="0"/>
      <w:marRight w:val="0"/>
      <w:marTop w:val="0"/>
      <w:marBottom w:val="0"/>
      <w:divBdr>
        <w:top w:val="none" w:sz="0" w:space="0" w:color="auto"/>
        <w:left w:val="none" w:sz="0" w:space="0" w:color="auto"/>
        <w:bottom w:val="none" w:sz="0" w:space="0" w:color="auto"/>
        <w:right w:val="none" w:sz="0" w:space="0" w:color="auto"/>
      </w:divBdr>
      <w:divsChild>
        <w:div w:id="700521937">
          <w:marLeft w:val="0"/>
          <w:marRight w:val="0"/>
          <w:marTop w:val="0"/>
          <w:marBottom w:val="0"/>
          <w:divBdr>
            <w:top w:val="none" w:sz="0" w:space="0" w:color="auto"/>
            <w:left w:val="none" w:sz="0" w:space="0" w:color="auto"/>
            <w:bottom w:val="none" w:sz="0" w:space="0" w:color="auto"/>
            <w:right w:val="none" w:sz="0" w:space="0" w:color="auto"/>
          </w:divBdr>
        </w:div>
      </w:divsChild>
    </w:div>
    <w:div w:id="2046253002">
      <w:marLeft w:val="0"/>
      <w:marRight w:val="0"/>
      <w:marTop w:val="100"/>
      <w:marBottom w:val="100"/>
      <w:divBdr>
        <w:top w:val="none" w:sz="0" w:space="0" w:color="auto"/>
        <w:left w:val="none" w:sz="0" w:space="0" w:color="auto"/>
        <w:bottom w:val="none" w:sz="0" w:space="0" w:color="auto"/>
        <w:right w:val="none" w:sz="0" w:space="0" w:color="auto"/>
      </w:divBdr>
    </w:div>
    <w:div w:id="2048986482">
      <w:marLeft w:val="0"/>
      <w:marRight w:val="0"/>
      <w:marTop w:val="60"/>
      <w:marBottom w:val="0"/>
      <w:divBdr>
        <w:top w:val="none" w:sz="0" w:space="0" w:color="auto"/>
        <w:left w:val="none" w:sz="0" w:space="0" w:color="auto"/>
        <w:bottom w:val="none" w:sz="0" w:space="0" w:color="auto"/>
        <w:right w:val="none" w:sz="0" w:space="0" w:color="auto"/>
      </w:divBdr>
    </w:div>
    <w:div w:id="2049180431">
      <w:marLeft w:val="0"/>
      <w:marRight w:val="0"/>
      <w:marTop w:val="100"/>
      <w:marBottom w:val="0"/>
      <w:divBdr>
        <w:top w:val="none" w:sz="0" w:space="0" w:color="auto"/>
        <w:left w:val="none" w:sz="0" w:space="0" w:color="auto"/>
        <w:bottom w:val="none" w:sz="0" w:space="0" w:color="auto"/>
        <w:right w:val="none" w:sz="0" w:space="0" w:color="auto"/>
      </w:divBdr>
    </w:div>
    <w:div w:id="2049639597">
      <w:marLeft w:val="0"/>
      <w:marRight w:val="0"/>
      <w:marTop w:val="60"/>
      <w:marBottom w:val="0"/>
      <w:divBdr>
        <w:top w:val="none" w:sz="0" w:space="0" w:color="auto"/>
        <w:left w:val="none" w:sz="0" w:space="0" w:color="auto"/>
        <w:bottom w:val="none" w:sz="0" w:space="0" w:color="auto"/>
        <w:right w:val="none" w:sz="0" w:space="0" w:color="auto"/>
      </w:divBdr>
    </w:div>
    <w:div w:id="2050379266">
      <w:marLeft w:val="0"/>
      <w:marRight w:val="0"/>
      <w:marTop w:val="100"/>
      <w:marBottom w:val="0"/>
      <w:divBdr>
        <w:top w:val="none" w:sz="0" w:space="0" w:color="auto"/>
        <w:left w:val="none" w:sz="0" w:space="0" w:color="auto"/>
        <w:bottom w:val="none" w:sz="0" w:space="0" w:color="auto"/>
        <w:right w:val="none" w:sz="0" w:space="0" w:color="auto"/>
      </w:divBdr>
    </w:div>
    <w:div w:id="2050451369">
      <w:marLeft w:val="0"/>
      <w:marRight w:val="0"/>
      <w:marTop w:val="100"/>
      <w:marBottom w:val="0"/>
      <w:divBdr>
        <w:top w:val="none" w:sz="0" w:space="0" w:color="auto"/>
        <w:left w:val="none" w:sz="0" w:space="0" w:color="auto"/>
        <w:bottom w:val="none" w:sz="0" w:space="0" w:color="auto"/>
        <w:right w:val="none" w:sz="0" w:space="0" w:color="auto"/>
      </w:divBdr>
    </w:div>
    <w:div w:id="2051765042">
      <w:marLeft w:val="0"/>
      <w:marRight w:val="0"/>
      <w:marTop w:val="100"/>
      <w:marBottom w:val="0"/>
      <w:divBdr>
        <w:top w:val="none" w:sz="0" w:space="0" w:color="auto"/>
        <w:left w:val="none" w:sz="0" w:space="0" w:color="auto"/>
        <w:bottom w:val="none" w:sz="0" w:space="0" w:color="auto"/>
        <w:right w:val="none" w:sz="0" w:space="0" w:color="auto"/>
      </w:divBdr>
    </w:div>
    <w:div w:id="2052533776">
      <w:marLeft w:val="0"/>
      <w:marRight w:val="0"/>
      <w:marTop w:val="0"/>
      <w:marBottom w:val="0"/>
      <w:divBdr>
        <w:top w:val="none" w:sz="0" w:space="0" w:color="auto"/>
        <w:left w:val="none" w:sz="0" w:space="0" w:color="auto"/>
        <w:bottom w:val="none" w:sz="0" w:space="0" w:color="auto"/>
        <w:right w:val="none" w:sz="0" w:space="0" w:color="auto"/>
      </w:divBdr>
      <w:divsChild>
        <w:div w:id="1806852639">
          <w:marLeft w:val="0"/>
          <w:marRight w:val="0"/>
          <w:marTop w:val="0"/>
          <w:marBottom w:val="0"/>
          <w:divBdr>
            <w:top w:val="none" w:sz="0" w:space="0" w:color="auto"/>
            <w:left w:val="none" w:sz="0" w:space="0" w:color="auto"/>
            <w:bottom w:val="none" w:sz="0" w:space="0" w:color="auto"/>
            <w:right w:val="none" w:sz="0" w:space="0" w:color="auto"/>
          </w:divBdr>
        </w:div>
        <w:div w:id="1418596179">
          <w:marLeft w:val="0"/>
          <w:marRight w:val="0"/>
          <w:marTop w:val="0"/>
          <w:marBottom w:val="0"/>
          <w:divBdr>
            <w:top w:val="none" w:sz="0" w:space="0" w:color="auto"/>
            <w:left w:val="none" w:sz="0" w:space="0" w:color="auto"/>
            <w:bottom w:val="none" w:sz="0" w:space="0" w:color="auto"/>
            <w:right w:val="none" w:sz="0" w:space="0" w:color="auto"/>
          </w:divBdr>
        </w:div>
      </w:divsChild>
    </w:div>
    <w:div w:id="2054452255">
      <w:marLeft w:val="0"/>
      <w:marRight w:val="0"/>
      <w:marTop w:val="0"/>
      <w:marBottom w:val="0"/>
      <w:divBdr>
        <w:top w:val="none" w:sz="0" w:space="0" w:color="auto"/>
        <w:left w:val="none" w:sz="0" w:space="0" w:color="auto"/>
        <w:bottom w:val="none" w:sz="0" w:space="0" w:color="auto"/>
        <w:right w:val="none" w:sz="0" w:space="0" w:color="auto"/>
      </w:divBdr>
      <w:divsChild>
        <w:div w:id="629551995">
          <w:marLeft w:val="0"/>
          <w:marRight w:val="0"/>
          <w:marTop w:val="0"/>
          <w:marBottom w:val="0"/>
          <w:divBdr>
            <w:top w:val="none" w:sz="0" w:space="0" w:color="auto"/>
            <w:left w:val="none" w:sz="0" w:space="0" w:color="auto"/>
            <w:bottom w:val="none" w:sz="0" w:space="0" w:color="auto"/>
            <w:right w:val="none" w:sz="0" w:space="0" w:color="auto"/>
          </w:divBdr>
        </w:div>
      </w:divsChild>
    </w:div>
    <w:div w:id="2056613278">
      <w:marLeft w:val="0"/>
      <w:marRight w:val="0"/>
      <w:marTop w:val="240"/>
      <w:marBottom w:val="0"/>
      <w:divBdr>
        <w:top w:val="none" w:sz="0" w:space="0" w:color="auto"/>
        <w:left w:val="none" w:sz="0" w:space="0" w:color="auto"/>
        <w:bottom w:val="none" w:sz="0" w:space="0" w:color="auto"/>
        <w:right w:val="none" w:sz="0" w:space="0" w:color="auto"/>
      </w:divBdr>
    </w:div>
    <w:div w:id="2058696698">
      <w:marLeft w:val="0"/>
      <w:marRight w:val="0"/>
      <w:marTop w:val="100"/>
      <w:marBottom w:val="0"/>
      <w:divBdr>
        <w:top w:val="none" w:sz="0" w:space="0" w:color="auto"/>
        <w:left w:val="none" w:sz="0" w:space="0" w:color="auto"/>
        <w:bottom w:val="none" w:sz="0" w:space="0" w:color="auto"/>
        <w:right w:val="none" w:sz="0" w:space="0" w:color="auto"/>
      </w:divBdr>
    </w:div>
    <w:div w:id="2060010121">
      <w:marLeft w:val="0"/>
      <w:marRight w:val="0"/>
      <w:marTop w:val="280"/>
      <w:marBottom w:val="0"/>
      <w:divBdr>
        <w:top w:val="none" w:sz="0" w:space="0" w:color="auto"/>
        <w:left w:val="none" w:sz="0" w:space="0" w:color="auto"/>
        <w:bottom w:val="none" w:sz="0" w:space="0" w:color="auto"/>
        <w:right w:val="none" w:sz="0" w:space="0" w:color="auto"/>
      </w:divBdr>
    </w:div>
    <w:div w:id="2060669230">
      <w:marLeft w:val="0"/>
      <w:marRight w:val="0"/>
      <w:marTop w:val="100"/>
      <w:marBottom w:val="0"/>
      <w:divBdr>
        <w:top w:val="none" w:sz="0" w:space="0" w:color="auto"/>
        <w:left w:val="none" w:sz="0" w:space="0" w:color="auto"/>
        <w:bottom w:val="none" w:sz="0" w:space="0" w:color="auto"/>
        <w:right w:val="none" w:sz="0" w:space="0" w:color="auto"/>
      </w:divBdr>
    </w:div>
    <w:div w:id="2062750623">
      <w:marLeft w:val="0"/>
      <w:marRight w:val="0"/>
      <w:marTop w:val="100"/>
      <w:marBottom w:val="0"/>
      <w:divBdr>
        <w:top w:val="none" w:sz="0" w:space="0" w:color="auto"/>
        <w:left w:val="none" w:sz="0" w:space="0" w:color="auto"/>
        <w:bottom w:val="none" w:sz="0" w:space="0" w:color="auto"/>
        <w:right w:val="none" w:sz="0" w:space="0" w:color="auto"/>
      </w:divBdr>
    </w:div>
    <w:div w:id="2062901146">
      <w:marLeft w:val="0"/>
      <w:marRight w:val="0"/>
      <w:marTop w:val="380"/>
      <w:marBottom w:val="100"/>
      <w:divBdr>
        <w:top w:val="none" w:sz="0" w:space="0" w:color="auto"/>
        <w:left w:val="none" w:sz="0" w:space="0" w:color="auto"/>
        <w:bottom w:val="none" w:sz="0" w:space="0" w:color="auto"/>
        <w:right w:val="none" w:sz="0" w:space="0" w:color="auto"/>
      </w:divBdr>
    </w:div>
    <w:div w:id="2063868924">
      <w:marLeft w:val="0"/>
      <w:marRight w:val="0"/>
      <w:marTop w:val="100"/>
      <w:marBottom w:val="0"/>
      <w:divBdr>
        <w:top w:val="none" w:sz="0" w:space="0" w:color="auto"/>
        <w:left w:val="none" w:sz="0" w:space="0" w:color="auto"/>
        <w:bottom w:val="none" w:sz="0" w:space="0" w:color="auto"/>
        <w:right w:val="none" w:sz="0" w:space="0" w:color="auto"/>
      </w:divBdr>
    </w:div>
    <w:div w:id="2064018253">
      <w:marLeft w:val="0"/>
      <w:marRight w:val="0"/>
      <w:marTop w:val="280"/>
      <w:marBottom w:val="0"/>
      <w:divBdr>
        <w:top w:val="none" w:sz="0" w:space="0" w:color="auto"/>
        <w:left w:val="none" w:sz="0" w:space="0" w:color="auto"/>
        <w:bottom w:val="none" w:sz="0" w:space="0" w:color="auto"/>
        <w:right w:val="none" w:sz="0" w:space="0" w:color="auto"/>
      </w:divBdr>
    </w:div>
    <w:div w:id="2074891412">
      <w:marLeft w:val="0"/>
      <w:marRight w:val="0"/>
      <w:marTop w:val="100"/>
      <w:marBottom w:val="0"/>
      <w:divBdr>
        <w:top w:val="none" w:sz="0" w:space="0" w:color="auto"/>
        <w:left w:val="none" w:sz="0" w:space="0" w:color="auto"/>
        <w:bottom w:val="none" w:sz="0" w:space="0" w:color="auto"/>
        <w:right w:val="none" w:sz="0" w:space="0" w:color="auto"/>
      </w:divBdr>
    </w:div>
    <w:div w:id="2076967681">
      <w:marLeft w:val="0"/>
      <w:marRight w:val="0"/>
      <w:marTop w:val="100"/>
      <w:marBottom w:val="0"/>
      <w:divBdr>
        <w:top w:val="none" w:sz="0" w:space="0" w:color="auto"/>
        <w:left w:val="none" w:sz="0" w:space="0" w:color="auto"/>
        <w:bottom w:val="none" w:sz="0" w:space="0" w:color="auto"/>
        <w:right w:val="none" w:sz="0" w:space="0" w:color="auto"/>
      </w:divBdr>
    </w:div>
    <w:div w:id="2078163324">
      <w:marLeft w:val="0"/>
      <w:marRight w:val="0"/>
      <w:marTop w:val="0"/>
      <w:marBottom w:val="0"/>
      <w:divBdr>
        <w:top w:val="none" w:sz="0" w:space="0" w:color="auto"/>
        <w:left w:val="none" w:sz="0" w:space="0" w:color="auto"/>
        <w:bottom w:val="none" w:sz="0" w:space="0" w:color="auto"/>
        <w:right w:val="none" w:sz="0" w:space="0" w:color="auto"/>
      </w:divBdr>
      <w:divsChild>
        <w:div w:id="1869903444">
          <w:marLeft w:val="0"/>
          <w:marRight w:val="0"/>
          <w:marTop w:val="0"/>
          <w:marBottom w:val="0"/>
          <w:divBdr>
            <w:top w:val="none" w:sz="0" w:space="0" w:color="auto"/>
            <w:left w:val="none" w:sz="0" w:space="0" w:color="auto"/>
            <w:bottom w:val="none" w:sz="0" w:space="0" w:color="auto"/>
            <w:right w:val="none" w:sz="0" w:space="0" w:color="auto"/>
          </w:divBdr>
        </w:div>
        <w:div w:id="316612917">
          <w:marLeft w:val="0"/>
          <w:marRight w:val="0"/>
          <w:marTop w:val="0"/>
          <w:marBottom w:val="0"/>
          <w:divBdr>
            <w:top w:val="none" w:sz="0" w:space="0" w:color="auto"/>
            <w:left w:val="none" w:sz="0" w:space="0" w:color="auto"/>
            <w:bottom w:val="none" w:sz="0" w:space="0" w:color="auto"/>
            <w:right w:val="none" w:sz="0" w:space="0" w:color="auto"/>
          </w:divBdr>
        </w:div>
      </w:divsChild>
    </w:div>
    <w:div w:id="2078244524">
      <w:marLeft w:val="0"/>
      <w:marRight w:val="0"/>
      <w:marTop w:val="100"/>
      <w:marBottom w:val="0"/>
      <w:divBdr>
        <w:top w:val="none" w:sz="0" w:space="0" w:color="auto"/>
        <w:left w:val="none" w:sz="0" w:space="0" w:color="auto"/>
        <w:bottom w:val="none" w:sz="0" w:space="0" w:color="auto"/>
        <w:right w:val="none" w:sz="0" w:space="0" w:color="auto"/>
      </w:divBdr>
    </w:div>
    <w:div w:id="2080444746">
      <w:marLeft w:val="0"/>
      <w:marRight w:val="0"/>
      <w:marTop w:val="100"/>
      <w:marBottom w:val="0"/>
      <w:divBdr>
        <w:top w:val="none" w:sz="0" w:space="0" w:color="auto"/>
        <w:left w:val="none" w:sz="0" w:space="0" w:color="auto"/>
        <w:bottom w:val="none" w:sz="0" w:space="0" w:color="auto"/>
        <w:right w:val="none" w:sz="0" w:space="0" w:color="auto"/>
      </w:divBdr>
    </w:div>
    <w:div w:id="2081706497">
      <w:marLeft w:val="0"/>
      <w:marRight w:val="0"/>
      <w:marTop w:val="100"/>
      <w:marBottom w:val="0"/>
      <w:divBdr>
        <w:top w:val="none" w:sz="0" w:space="0" w:color="auto"/>
        <w:left w:val="none" w:sz="0" w:space="0" w:color="auto"/>
        <w:bottom w:val="none" w:sz="0" w:space="0" w:color="auto"/>
        <w:right w:val="none" w:sz="0" w:space="0" w:color="auto"/>
      </w:divBdr>
    </w:div>
    <w:div w:id="2083939977">
      <w:marLeft w:val="0"/>
      <w:marRight w:val="0"/>
      <w:marTop w:val="0"/>
      <w:marBottom w:val="0"/>
      <w:divBdr>
        <w:top w:val="none" w:sz="0" w:space="0" w:color="auto"/>
        <w:left w:val="none" w:sz="0" w:space="0" w:color="auto"/>
        <w:bottom w:val="none" w:sz="0" w:space="0" w:color="auto"/>
        <w:right w:val="none" w:sz="0" w:space="0" w:color="auto"/>
      </w:divBdr>
      <w:divsChild>
        <w:div w:id="955065282">
          <w:marLeft w:val="0"/>
          <w:marRight w:val="0"/>
          <w:marTop w:val="0"/>
          <w:marBottom w:val="0"/>
          <w:divBdr>
            <w:top w:val="none" w:sz="0" w:space="0" w:color="auto"/>
            <w:left w:val="none" w:sz="0" w:space="0" w:color="auto"/>
            <w:bottom w:val="none" w:sz="0" w:space="0" w:color="auto"/>
            <w:right w:val="none" w:sz="0" w:space="0" w:color="auto"/>
          </w:divBdr>
        </w:div>
        <w:div w:id="1597135364">
          <w:marLeft w:val="0"/>
          <w:marRight w:val="0"/>
          <w:marTop w:val="0"/>
          <w:marBottom w:val="0"/>
          <w:divBdr>
            <w:top w:val="none" w:sz="0" w:space="0" w:color="auto"/>
            <w:left w:val="none" w:sz="0" w:space="0" w:color="auto"/>
            <w:bottom w:val="none" w:sz="0" w:space="0" w:color="auto"/>
            <w:right w:val="none" w:sz="0" w:space="0" w:color="auto"/>
          </w:divBdr>
        </w:div>
      </w:divsChild>
    </w:div>
    <w:div w:id="2084136198">
      <w:marLeft w:val="0"/>
      <w:marRight w:val="0"/>
      <w:marTop w:val="0"/>
      <w:marBottom w:val="0"/>
      <w:divBdr>
        <w:top w:val="none" w:sz="0" w:space="0" w:color="auto"/>
        <w:left w:val="none" w:sz="0" w:space="0" w:color="auto"/>
        <w:bottom w:val="none" w:sz="0" w:space="0" w:color="auto"/>
        <w:right w:val="none" w:sz="0" w:space="0" w:color="auto"/>
      </w:divBdr>
      <w:divsChild>
        <w:div w:id="1827891705">
          <w:marLeft w:val="0"/>
          <w:marRight w:val="0"/>
          <w:marTop w:val="0"/>
          <w:marBottom w:val="0"/>
          <w:divBdr>
            <w:top w:val="none" w:sz="0" w:space="0" w:color="auto"/>
            <w:left w:val="none" w:sz="0" w:space="0" w:color="auto"/>
            <w:bottom w:val="none" w:sz="0" w:space="0" w:color="auto"/>
            <w:right w:val="none" w:sz="0" w:space="0" w:color="auto"/>
          </w:divBdr>
        </w:div>
        <w:div w:id="759372221">
          <w:marLeft w:val="0"/>
          <w:marRight w:val="0"/>
          <w:marTop w:val="0"/>
          <w:marBottom w:val="0"/>
          <w:divBdr>
            <w:top w:val="none" w:sz="0" w:space="0" w:color="auto"/>
            <w:left w:val="none" w:sz="0" w:space="0" w:color="auto"/>
            <w:bottom w:val="none" w:sz="0" w:space="0" w:color="auto"/>
            <w:right w:val="none" w:sz="0" w:space="0" w:color="auto"/>
          </w:divBdr>
        </w:div>
      </w:divsChild>
    </w:div>
    <w:div w:id="2085835845">
      <w:marLeft w:val="0"/>
      <w:marRight w:val="0"/>
      <w:marTop w:val="100"/>
      <w:marBottom w:val="0"/>
      <w:divBdr>
        <w:top w:val="none" w:sz="0" w:space="0" w:color="auto"/>
        <w:left w:val="none" w:sz="0" w:space="0" w:color="auto"/>
        <w:bottom w:val="none" w:sz="0" w:space="0" w:color="auto"/>
        <w:right w:val="none" w:sz="0" w:space="0" w:color="auto"/>
      </w:divBdr>
    </w:div>
    <w:div w:id="2086761807">
      <w:marLeft w:val="0"/>
      <w:marRight w:val="0"/>
      <w:marTop w:val="0"/>
      <w:marBottom w:val="0"/>
      <w:divBdr>
        <w:top w:val="none" w:sz="0" w:space="0" w:color="auto"/>
        <w:left w:val="none" w:sz="0" w:space="0" w:color="auto"/>
        <w:bottom w:val="none" w:sz="0" w:space="0" w:color="auto"/>
        <w:right w:val="none" w:sz="0" w:space="0" w:color="auto"/>
      </w:divBdr>
      <w:divsChild>
        <w:div w:id="305668695">
          <w:marLeft w:val="0"/>
          <w:marRight w:val="0"/>
          <w:marTop w:val="0"/>
          <w:marBottom w:val="0"/>
          <w:divBdr>
            <w:top w:val="none" w:sz="0" w:space="0" w:color="auto"/>
            <w:left w:val="none" w:sz="0" w:space="0" w:color="auto"/>
            <w:bottom w:val="none" w:sz="0" w:space="0" w:color="auto"/>
            <w:right w:val="none" w:sz="0" w:space="0" w:color="auto"/>
          </w:divBdr>
        </w:div>
        <w:div w:id="1808163637">
          <w:marLeft w:val="0"/>
          <w:marRight w:val="0"/>
          <w:marTop w:val="0"/>
          <w:marBottom w:val="0"/>
          <w:divBdr>
            <w:top w:val="none" w:sz="0" w:space="0" w:color="auto"/>
            <w:left w:val="none" w:sz="0" w:space="0" w:color="auto"/>
            <w:bottom w:val="none" w:sz="0" w:space="0" w:color="auto"/>
            <w:right w:val="none" w:sz="0" w:space="0" w:color="auto"/>
          </w:divBdr>
        </w:div>
      </w:divsChild>
    </w:div>
    <w:div w:id="2087070344">
      <w:marLeft w:val="0"/>
      <w:marRight w:val="0"/>
      <w:marTop w:val="60"/>
      <w:marBottom w:val="0"/>
      <w:divBdr>
        <w:top w:val="none" w:sz="0" w:space="0" w:color="auto"/>
        <w:left w:val="none" w:sz="0" w:space="0" w:color="auto"/>
        <w:bottom w:val="none" w:sz="0" w:space="0" w:color="auto"/>
        <w:right w:val="none" w:sz="0" w:space="0" w:color="auto"/>
      </w:divBdr>
    </w:div>
    <w:div w:id="2087070831">
      <w:marLeft w:val="0"/>
      <w:marRight w:val="0"/>
      <w:marTop w:val="200"/>
      <w:marBottom w:val="100"/>
      <w:divBdr>
        <w:top w:val="none" w:sz="0" w:space="0" w:color="auto"/>
        <w:left w:val="none" w:sz="0" w:space="0" w:color="auto"/>
        <w:bottom w:val="none" w:sz="0" w:space="0" w:color="auto"/>
        <w:right w:val="none" w:sz="0" w:space="0" w:color="auto"/>
      </w:divBdr>
      <w:divsChild>
        <w:div w:id="587157397">
          <w:marLeft w:val="0"/>
          <w:marRight w:val="0"/>
          <w:marTop w:val="0"/>
          <w:marBottom w:val="0"/>
          <w:divBdr>
            <w:top w:val="none" w:sz="0" w:space="0" w:color="auto"/>
            <w:left w:val="none" w:sz="0" w:space="0" w:color="auto"/>
            <w:bottom w:val="none" w:sz="0" w:space="0" w:color="auto"/>
            <w:right w:val="none" w:sz="0" w:space="0" w:color="auto"/>
          </w:divBdr>
        </w:div>
        <w:div w:id="636689803">
          <w:marLeft w:val="0"/>
          <w:marRight w:val="0"/>
          <w:marTop w:val="0"/>
          <w:marBottom w:val="0"/>
          <w:divBdr>
            <w:top w:val="none" w:sz="0" w:space="0" w:color="auto"/>
            <w:left w:val="none" w:sz="0" w:space="0" w:color="auto"/>
            <w:bottom w:val="none" w:sz="0" w:space="0" w:color="auto"/>
            <w:right w:val="none" w:sz="0" w:space="0" w:color="auto"/>
          </w:divBdr>
        </w:div>
        <w:div w:id="1789470939">
          <w:marLeft w:val="0"/>
          <w:marRight w:val="0"/>
          <w:marTop w:val="0"/>
          <w:marBottom w:val="0"/>
          <w:divBdr>
            <w:top w:val="none" w:sz="0" w:space="0" w:color="auto"/>
            <w:left w:val="none" w:sz="0" w:space="0" w:color="auto"/>
            <w:bottom w:val="none" w:sz="0" w:space="0" w:color="auto"/>
            <w:right w:val="none" w:sz="0" w:space="0" w:color="auto"/>
          </w:divBdr>
        </w:div>
        <w:div w:id="2029214085">
          <w:marLeft w:val="0"/>
          <w:marRight w:val="0"/>
          <w:marTop w:val="0"/>
          <w:marBottom w:val="0"/>
          <w:divBdr>
            <w:top w:val="none" w:sz="0" w:space="0" w:color="auto"/>
            <w:left w:val="none" w:sz="0" w:space="0" w:color="auto"/>
            <w:bottom w:val="none" w:sz="0" w:space="0" w:color="auto"/>
            <w:right w:val="none" w:sz="0" w:space="0" w:color="auto"/>
          </w:divBdr>
        </w:div>
        <w:div w:id="1711225011">
          <w:marLeft w:val="0"/>
          <w:marRight w:val="0"/>
          <w:marTop w:val="0"/>
          <w:marBottom w:val="0"/>
          <w:divBdr>
            <w:top w:val="none" w:sz="0" w:space="0" w:color="auto"/>
            <w:left w:val="none" w:sz="0" w:space="0" w:color="auto"/>
            <w:bottom w:val="none" w:sz="0" w:space="0" w:color="auto"/>
            <w:right w:val="none" w:sz="0" w:space="0" w:color="auto"/>
          </w:divBdr>
        </w:div>
        <w:div w:id="1056004681">
          <w:marLeft w:val="0"/>
          <w:marRight w:val="0"/>
          <w:marTop w:val="0"/>
          <w:marBottom w:val="0"/>
          <w:divBdr>
            <w:top w:val="none" w:sz="0" w:space="0" w:color="auto"/>
            <w:left w:val="none" w:sz="0" w:space="0" w:color="auto"/>
            <w:bottom w:val="none" w:sz="0" w:space="0" w:color="auto"/>
            <w:right w:val="none" w:sz="0" w:space="0" w:color="auto"/>
          </w:divBdr>
        </w:div>
        <w:div w:id="1039865000">
          <w:marLeft w:val="0"/>
          <w:marRight w:val="0"/>
          <w:marTop w:val="0"/>
          <w:marBottom w:val="0"/>
          <w:divBdr>
            <w:top w:val="none" w:sz="0" w:space="0" w:color="auto"/>
            <w:left w:val="none" w:sz="0" w:space="0" w:color="auto"/>
            <w:bottom w:val="none" w:sz="0" w:space="0" w:color="auto"/>
            <w:right w:val="none" w:sz="0" w:space="0" w:color="auto"/>
          </w:divBdr>
        </w:div>
        <w:div w:id="247623245">
          <w:marLeft w:val="0"/>
          <w:marRight w:val="0"/>
          <w:marTop w:val="0"/>
          <w:marBottom w:val="0"/>
          <w:divBdr>
            <w:top w:val="none" w:sz="0" w:space="0" w:color="auto"/>
            <w:left w:val="none" w:sz="0" w:space="0" w:color="auto"/>
            <w:bottom w:val="none" w:sz="0" w:space="0" w:color="auto"/>
            <w:right w:val="none" w:sz="0" w:space="0" w:color="auto"/>
          </w:divBdr>
        </w:div>
      </w:divsChild>
    </w:div>
    <w:div w:id="2087530675">
      <w:marLeft w:val="0"/>
      <w:marRight w:val="0"/>
      <w:marTop w:val="0"/>
      <w:marBottom w:val="0"/>
      <w:divBdr>
        <w:top w:val="none" w:sz="0" w:space="0" w:color="auto"/>
        <w:left w:val="none" w:sz="0" w:space="0" w:color="auto"/>
        <w:bottom w:val="none" w:sz="0" w:space="0" w:color="auto"/>
        <w:right w:val="none" w:sz="0" w:space="0" w:color="auto"/>
      </w:divBdr>
      <w:divsChild>
        <w:div w:id="870609931">
          <w:marLeft w:val="0"/>
          <w:marRight w:val="0"/>
          <w:marTop w:val="0"/>
          <w:marBottom w:val="0"/>
          <w:divBdr>
            <w:top w:val="none" w:sz="0" w:space="0" w:color="auto"/>
            <w:left w:val="none" w:sz="0" w:space="0" w:color="auto"/>
            <w:bottom w:val="none" w:sz="0" w:space="0" w:color="auto"/>
            <w:right w:val="none" w:sz="0" w:space="0" w:color="auto"/>
          </w:divBdr>
        </w:div>
      </w:divsChild>
    </w:div>
    <w:div w:id="2090078348">
      <w:marLeft w:val="0"/>
      <w:marRight w:val="0"/>
      <w:marTop w:val="60"/>
      <w:marBottom w:val="0"/>
      <w:divBdr>
        <w:top w:val="none" w:sz="0" w:space="0" w:color="auto"/>
        <w:left w:val="none" w:sz="0" w:space="0" w:color="auto"/>
        <w:bottom w:val="none" w:sz="0" w:space="0" w:color="auto"/>
        <w:right w:val="none" w:sz="0" w:space="0" w:color="auto"/>
      </w:divBdr>
    </w:div>
    <w:div w:id="2090613664">
      <w:marLeft w:val="0"/>
      <w:marRight w:val="0"/>
      <w:marTop w:val="100"/>
      <w:marBottom w:val="100"/>
      <w:divBdr>
        <w:top w:val="none" w:sz="0" w:space="0" w:color="auto"/>
        <w:left w:val="none" w:sz="0" w:space="0" w:color="auto"/>
        <w:bottom w:val="none" w:sz="0" w:space="0" w:color="auto"/>
        <w:right w:val="none" w:sz="0" w:space="0" w:color="auto"/>
      </w:divBdr>
    </w:div>
    <w:div w:id="2091148009">
      <w:marLeft w:val="0"/>
      <w:marRight w:val="0"/>
      <w:marTop w:val="0"/>
      <w:marBottom w:val="0"/>
      <w:divBdr>
        <w:top w:val="none" w:sz="0" w:space="0" w:color="auto"/>
        <w:left w:val="none" w:sz="0" w:space="0" w:color="auto"/>
        <w:bottom w:val="none" w:sz="0" w:space="0" w:color="auto"/>
        <w:right w:val="none" w:sz="0" w:space="0" w:color="auto"/>
      </w:divBdr>
      <w:divsChild>
        <w:div w:id="1316690297">
          <w:marLeft w:val="0"/>
          <w:marRight w:val="0"/>
          <w:marTop w:val="0"/>
          <w:marBottom w:val="0"/>
          <w:divBdr>
            <w:top w:val="none" w:sz="0" w:space="0" w:color="auto"/>
            <w:left w:val="none" w:sz="0" w:space="0" w:color="auto"/>
            <w:bottom w:val="none" w:sz="0" w:space="0" w:color="auto"/>
            <w:right w:val="none" w:sz="0" w:space="0" w:color="auto"/>
          </w:divBdr>
        </w:div>
        <w:div w:id="1030685249">
          <w:marLeft w:val="0"/>
          <w:marRight w:val="0"/>
          <w:marTop w:val="0"/>
          <w:marBottom w:val="0"/>
          <w:divBdr>
            <w:top w:val="none" w:sz="0" w:space="0" w:color="auto"/>
            <w:left w:val="none" w:sz="0" w:space="0" w:color="auto"/>
            <w:bottom w:val="none" w:sz="0" w:space="0" w:color="auto"/>
            <w:right w:val="none" w:sz="0" w:space="0" w:color="auto"/>
          </w:divBdr>
        </w:div>
      </w:divsChild>
    </w:div>
    <w:div w:id="2093121116">
      <w:marLeft w:val="0"/>
      <w:marRight w:val="0"/>
      <w:marTop w:val="60"/>
      <w:marBottom w:val="0"/>
      <w:divBdr>
        <w:top w:val="none" w:sz="0" w:space="0" w:color="auto"/>
        <w:left w:val="none" w:sz="0" w:space="0" w:color="auto"/>
        <w:bottom w:val="none" w:sz="0" w:space="0" w:color="auto"/>
        <w:right w:val="none" w:sz="0" w:space="0" w:color="auto"/>
      </w:divBdr>
    </w:div>
    <w:div w:id="2096895997">
      <w:marLeft w:val="0"/>
      <w:marRight w:val="0"/>
      <w:marTop w:val="60"/>
      <w:marBottom w:val="0"/>
      <w:divBdr>
        <w:top w:val="none" w:sz="0" w:space="0" w:color="auto"/>
        <w:left w:val="none" w:sz="0" w:space="0" w:color="auto"/>
        <w:bottom w:val="none" w:sz="0" w:space="0" w:color="auto"/>
        <w:right w:val="none" w:sz="0" w:space="0" w:color="auto"/>
      </w:divBdr>
    </w:div>
    <w:div w:id="2097288252">
      <w:marLeft w:val="0"/>
      <w:marRight w:val="0"/>
      <w:marTop w:val="100"/>
      <w:marBottom w:val="0"/>
      <w:divBdr>
        <w:top w:val="none" w:sz="0" w:space="0" w:color="auto"/>
        <w:left w:val="none" w:sz="0" w:space="0" w:color="auto"/>
        <w:bottom w:val="none" w:sz="0" w:space="0" w:color="auto"/>
        <w:right w:val="none" w:sz="0" w:space="0" w:color="auto"/>
      </w:divBdr>
    </w:div>
    <w:div w:id="2097750963">
      <w:marLeft w:val="0"/>
      <w:marRight w:val="0"/>
      <w:marTop w:val="100"/>
      <w:marBottom w:val="0"/>
      <w:divBdr>
        <w:top w:val="none" w:sz="0" w:space="0" w:color="auto"/>
        <w:left w:val="none" w:sz="0" w:space="0" w:color="auto"/>
        <w:bottom w:val="none" w:sz="0" w:space="0" w:color="auto"/>
        <w:right w:val="none" w:sz="0" w:space="0" w:color="auto"/>
      </w:divBdr>
    </w:div>
    <w:div w:id="2098015283">
      <w:marLeft w:val="0"/>
      <w:marRight w:val="0"/>
      <w:marTop w:val="100"/>
      <w:marBottom w:val="0"/>
      <w:divBdr>
        <w:top w:val="none" w:sz="0" w:space="0" w:color="auto"/>
        <w:left w:val="none" w:sz="0" w:space="0" w:color="auto"/>
        <w:bottom w:val="none" w:sz="0" w:space="0" w:color="auto"/>
        <w:right w:val="none" w:sz="0" w:space="0" w:color="auto"/>
      </w:divBdr>
    </w:div>
    <w:div w:id="2098088553">
      <w:marLeft w:val="0"/>
      <w:marRight w:val="0"/>
      <w:marTop w:val="0"/>
      <w:marBottom w:val="0"/>
      <w:divBdr>
        <w:top w:val="none" w:sz="0" w:space="0" w:color="auto"/>
        <w:left w:val="none" w:sz="0" w:space="0" w:color="auto"/>
        <w:bottom w:val="none" w:sz="0" w:space="0" w:color="auto"/>
        <w:right w:val="none" w:sz="0" w:space="0" w:color="auto"/>
      </w:divBdr>
      <w:divsChild>
        <w:div w:id="1467967378">
          <w:marLeft w:val="0"/>
          <w:marRight w:val="0"/>
          <w:marTop w:val="0"/>
          <w:marBottom w:val="0"/>
          <w:divBdr>
            <w:top w:val="none" w:sz="0" w:space="0" w:color="auto"/>
            <w:left w:val="none" w:sz="0" w:space="0" w:color="auto"/>
            <w:bottom w:val="none" w:sz="0" w:space="0" w:color="auto"/>
            <w:right w:val="none" w:sz="0" w:space="0" w:color="auto"/>
          </w:divBdr>
        </w:div>
      </w:divsChild>
    </w:div>
    <w:div w:id="2098401603">
      <w:marLeft w:val="0"/>
      <w:marRight w:val="0"/>
      <w:marTop w:val="100"/>
      <w:marBottom w:val="0"/>
      <w:divBdr>
        <w:top w:val="none" w:sz="0" w:space="0" w:color="auto"/>
        <w:left w:val="none" w:sz="0" w:space="0" w:color="auto"/>
        <w:bottom w:val="none" w:sz="0" w:space="0" w:color="auto"/>
        <w:right w:val="none" w:sz="0" w:space="0" w:color="auto"/>
      </w:divBdr>
    </w:div>
    <w:div w:id="2098596555">
      <w:marLeft w:val="0"/>
      <w:marRight w:val="0"/>
      <w:marTop w:val="280"/>
      <w:marBottom w:val="0"/>
      <w:divBdr>
        <w:top w:val="none" w:sz="0" w:space="0" w:color="auto"/>
        <w:left w:val="none" w:sz="0" w:space="0" w:color="auto"/>
        <w:bottom w:val="none" w:sz="0" w:space="0" w:color="auto"/>
        <w:right w:val="none" w:sz="0" w:space="0" w:color="auto"/>
      </w:divBdr>
    </w:div>
    <w:div w:id="2102021945">
      <w:marLeft w:val="0"/>
      <w:marRight w:val="0"/>
      <w:marTop w:val="100"/>
      <w:marBottom w:val="100"/>
      <w:divBdr>
        <w:top w:val="none" w:sz="0" w:space="0" w:color="auto"/>
        <w:left w:val="none" w:sz="0" w:space="0" w:color="auto"/>
        <w:bottom w:val="none" w:sz="0" w:space="0" w:color="auto"/>
        <w:right w:val="none" w:sz="0" w:space="0" w:color="auto"/>
      </w:divBdr>
    </w:div>
    <w:div w:id="2105225345">
      <w:marLeft w:val="0"/>
      <w:marRight w:val="0"/>
      <w:marTop w:val="280"/>
      <w:marBottom w:val="0"/>
      <w:divBdr>
        <w:top w:val="none" w:sz="0" w:space="0" w:color="auto"/>
        <w:left w:val="none" w:sz="0" w:space="0" w:color="auto"/>
        <w:bottom w:val="none" w:sz="0" w:space="0" w:color="auto"/>
        <w:right w:val="none" w:sz="0" w:space="0" w:color="auto"/>
      </w:divBdr>
    </w:div>
    <w:div w:id="2107462514">
      <w:marLeft w:val="0"/>
      <w:marRight w:val="0"/>
      <w:marTop w:val="100"/>
      <w:marBottom w:val="100"/>
      <w:divBdr>
        <w:top w:val="none" w:sz="0" w:space="0" w:color="auto"/>
        <w:left w:val="none" w:sz="0" w:space="0" w:color="auto"/>
        <w:bottom w:val="none" w:sz="0" w:space="0" w:color="auto"/>
        <w:right w:val="none" w:sz="0" w:space="0" w:color="auto"/>
      </w:divBdr>
      <w:divsChild>
        <w:div w:id="11227268">
          <w:marLeft w:val="0"/>
          <w:marRight w:val="0"/>
          <w:marTop w:val="0"/>
          <w:marBottom w:val="0"/>
          <w:divBdr>
            <w:top w:val="none" w:sz="0" w:space="0" w:color="auto"/>
            <w:left w:val="none" w:sz="0" w:space="0" w:color="auto"/>
            <w:bottom w:val="none" w:sz="0" w:space="0" w:color="auto"/>
            <w:right w:val="none" w:sz="0" w:space="0" w:color="auto"/>
          </w:divBdr>
        </w:div>
      </w:divsChild>
    </w:div>
    <w:div w:id="2109496481">
      <w:marLeft w:val="0"/>
      <w:marRight w:val="0"/>
      <w:marTop w:val="100"/>
      <w:marBottom w:val="0"/>
      <w:divBdr>
        <w:top w:val="none" w:sz="0" w:space="0" w:color="auto"/>
        <w:left w:val="none" w:sz="0" w:space="0" w:color="auto"/>
        <w:bottom w:val="none" w:sz="0" w:space="0" w:color="auto"/>
        <w:right w:val="none" w:sz="0" w:space="0" w:color="auto"/>
      </w:divBdr>
    </w:div>
    <w:div w:id="2109692005">
      <w:marLeft w:val="0"/>
      <w:marRight w:val="0"/>
      <w:marTop w:val="100"/>
      <w:marBottom w:val="0"/>
      <w:divBdr>
        <w:top w:val="none" w:sz="0" w:space="0" w:color="auto"/>
        <w:left w:val="none" w:sz="0" w:space="0" w:color="auto"/>
        <w:bottom w:val="none" w:sz="0" w:space="0" w:color="auto"/>
        <w:right w:val="none" w:sz="0" w:space="0" w:color="auto"/>
      </w:divBdr>
    </w:div>
    <w:div w:id="2114275426">
      <w:marLeft w:val="0"/>
      <w:marRight w:val="0"/>
      <w:marTop w:val="0"/>
      <w:marBottom w:val="0"/>
      <w:divBdr>
        <w:top w:val="none" w:sz="0" w:space="0" w:color="auto"/>
        <w:left w:val="none" w:sz="0" w:space="0" w:color="auto"/>
        <w:bottom w:val="none" w:sz="0" w:space="0" w:color="auto"/>
        <w:right w:val="none" w:sz="0" w:space="0" w:color="auto"/>
      </w:divBdr>
      <w:divsChild>
        <w:div w:id="530071886">
          <w:marLeft w:val="0"/>
          <w:marRight w:val="0"/>
          <w:marTop w:val="0"/>
          <w:marBottom w:val="0"/>
          <w:divBdr>
            <w:top w:val="none" w:sz="0" w:space="0" w:color="auto"/>
            <w:left w:val="none" w:sz="0" w:space="0" w:color="auto"/>
            <w:bottom w:val="none" w:sz="0" w:space="0" w:color="auto"/>
            <w:right w:val="none" w:sz="0" w:space="0" w:color="auto"/>
          </w:divBdr>
        </w:div>
        <w:div w:id="1784959028">
          <w:marLeft w:val="0"/>
          <w:marRight w:val="0"/>
          <w:marTop w:val="0"/>
          <w:marBottom w:val="0"/>
          <w:divBdr>
            <w:top w:val="none" w:sz="0" w:space="0" w:color="auto"/>
            <w:left w:val="none" w:sz="0" w:space="0" w:color="auto"/>
            <w:bottom w:val="none" w:sz="0" w:space="0" w:color="auto"/>
            <w:right w:val="none" w:sz="0" w:space="0" w:color="auto"/>
          </w:divBdr>
        </w:div>
      </w:divsChild>
    </w:div>
    <w:div w:id="2115440489">
      <w:marLeft w:val="0"/>
      <w:marRight w:val="0"/>
      <w:marTop w:val="0"/>
      <w:marBottom w:val="0"/>
      <w:divBdr>
        <w:top w:val="none" w:sz="0" w:space="0" w:color="auto"/>
        <w:left w:val="none" w:sz="0" w:space="0" w:color="auto"/>
        <w:bottom w:val="none" w:sz="0" w:space="0" w:color="auto"/>
        <w:right w:val="none" w:sz="0" w:space="0" w:color="auto"/>
      </w:divBdr>
      <w:divsChild>
        <w:div w:id="2084832901">
          <w:marLeft w:val="0"/>
          <w:marRight w:val="0"/>
          <w:marTop w:val="0"/>
          <w:marBottom w:val="0"/>
          <w:divBdr>
            <w:top w:val="none" w:sz="0" w:space="0" w:color="auto"/>
            <w:left w:val="none" w:sz="0" w:space="0" w:color="auto"/>
            <w:bottom w:val="none" w:sz="0" w:space="0" w:color="auto"/>
            <w:right w:val="none" w:sz="0" w:space="0" w:color="auto"/>
          </w:divBdr>
        </w:div>
        <w:div w:id="574172603">
          <w:marLeft w:val="0"/>
          <w:marRight w:val="0"/>
          <w:marTop w:val="0"/>
          <w:marBottom w:val="0"/>
          <w:divBdr>
            <w:top w:val="none" w:sz="0" w:space="0" w:color="auto"/>
            <w:left w:val="none" w:sz="0" w:space="0" w:color="auto"/>
            <w:bottom w:val="none" w:sz="0" w:space="0" w:color="auto"/>
            <w:right w:val="none" w:sz="0" w:space="0" w:color="auto"/>
          </w:divBdr>
        </w:div>
      </w:divsChild>
    </w:div>
    <w:div w:id="2118788672">
      <w:marLeft w:val="0"/>
      <w:marRight w:val="0"/>
      <w:marTop w:val="280"/>
      <w:marBottom w:val="0"/>
      <w:divBdr>
        <w:top w:val="none" w:sz="0" w:space="0" w:color="auto"/>
        <w:left w:val="none" w:sz="0" w:space="0" w:color="auto"/>
        <w:bottom w:val="none" w:sz="0" w:space="0" w:color="auto"/>
        <w:right w:val="none" w:sz="0" w:space="0" w:color="auto"/>
      </w:divBdr>
    </w:div>
    <w:div w:id="2119253213">
      <w:marLeft w:val="0"/>
      <w:marRight w:val="0"/>
      <w:marTop w:val="280"/>
      <w:marBottom w:val="0"/>
      <w:divBdr>
        <w:top w:val="none" w:sz="0" w:space="0" w:color="auto"/>
        <w:left w:val="none" w:sz="0" w:space="0" w:color="auto"/>
        <w:bottom w:val="none" w:sz="0" w:space="0" w:color="auto"/>
        <w:right w:val="none" w:sz="0" w:space="0" w:color="auto"/>
      </w:divBdr>
    </w:div>
    <w:div w:id="2122650553">
      <w:marLeft w:val="0"/>
      <w:marRight w:val="0"/>
      <w:marTop w:val="100"/>
      <w:marBottom w:val="0"/>
      <w:divBdr>
        <w:top w:val="none" w:sz="0" w:space="0" w:color="auto"/>
        <w:left w:val="none" w:sz="0" w:space="0" w:color="auto"/>
        <w:bottom w:val="none" w:sz="0" w:space="0" w:color="auto"/>
        <w:right w:val="none" w:sz="0" w:space="0" w:color="auto"/>
      </w:divBdr>
    </w:div>
    <w:div w:id="2124104960">
      <w:marLeft w:val="0"/>
      <w:marRight w:val="0"/>
      <w:marTop w:val="100"/>
      <w:marBottom w:val="0"/>
      <w:divBdr>
        <w:top w:val="none" w:sz="0" w:space="0" w:color="auto"/>
        <w:left w:val="none" w:sz="0" w:space="0" w:color="auto"/>
        <w:bottom w:val="none" w:sz="0" w:space="0" w:color="auto"/>
        <w:right w:val="none" w:sz="0" w:space="0" w:color="auto"/>
      </w:divBdr>
    </w:div>
    <w:div w:id="2124498649">
      <w:marLeft w:val="0"/>
      <w:marRight w:val="0"/>
      <w:marTop w:val="100"/>
      <w:marBottom w:val="0"/>
      <w:divBdr>
        <w:top w:val="none" w:sz="0" w:space="0" w:color="auto"/>
        <w:left w:val="none" w:sz="0" w:space="0" w:color="auto"/>
        <w:bottom w:val="none" w:sz="0" w:space="0" w:color="auto"/>
        <w:right w:val="none" w:sz="0" w:space="0" w:color="auto"/>
      </w:divBdr>
    </w:div>
    <w:div w:id="2125729181">
      <w:marLeft w:val="0"/>
      <w:marRight w:val="0"/>
      <w:marTop w:val="0"/>
      <w:marBottom w:val="0"/>
      <w:divBdr>
        <w:top w:val="none" w:sz="0" w:space="0" w:color="auto"/>
        <w:left w:val="none" w:sz="0" w:space="0" w:color="auto"/>
        <w:bottom w:val="none" w:sz="0" w:space="0" w:color="auto"/>
        <w:right w:val="none" w:sz="0" w:space="0" w:color="auto"/>
      </w:divBdr>
      <w:divsChild>
        <w:div w:id="809522655">
          <w:marLeft w:val="0"/>
          <w:marRight w:val="0"/>
          <w:marTop w:val="0"/>
          <w:marBottom w:val="0"/>
          <w:divBdr>
            <w:top w:val="none" w:sz="0" w:space="0" w:color="auto"/>
            <w:left w:val="none" w:sz="0" w:space="0" w:color="auto"/>
            <w:bottom w:val="none" w:sz="0" w:space="0" w:color="auto"/>
            <w:right w:val="none" w:sz="0" w:space="0" w:color="auto"/>
          </w:divBdr>
        </w:div>
      </w:divsChild>
    </w:div>
    <w:div w:id="2129543243">
      <w:marLeft w:val="0"/>
      <w:marRight w:val="0"/>
      <w:marTop w:val="0"/>
      <w:marBottom w:val="0"/>
      <w:divBdr>
        <w:top w:val="none" w:sz="0" w:space="0" w:color="auto"/>
        <w:left w:val="none" w:sz="0" w:space="0" w:color="auto"/>
        <w:bottom w:val="none" w:sz="0" w:space="0" w:color="auto"/>
        <w:right w:val="none" w:sz="0" w:space="0" w:color="auto"/>
      </w:divBdr>
      <w:divsChild>
        <w:div w:id="1091242545">
          <w:marLeft w:val="0"/>
          <w:marRight w:val="0"/>
          <w:marTop w:val="0"/>
          <w:marBottom w:val="0"/>
          <w:divBdr>
            <w:top w:val="none" w:sz="0" w:space="0" w:color="auto"/>
            <w:left w:val="none" w:sz="0" w:space="0" w:color="auto"/>
            <w:bottom w:val="none" w:sz="0" w:space="0" w:color="auto"/>
            <w:right w:val="none" w:sz="0" w:space="0" w:color="auto"/>
          </w:divBdr>
        </w:div>
      </w:divsChild>
    </w:div>
    <w:div w:id="2131242600">
      <w:marLeft w:val="0"/>
      <w:marRight w:val="0"/>
      <w:marTop w:val="100"/>
      <w:marBottom w:val="0"/>
      <w:divBdr>
        <w:top w:val="none" w:sz="0" w:space="0" w:color="auto"/>
        <w:left w:val="none" w:sz="0" w:space="0" w:color="auto"/>
        <w:bottom w:val="none" w:sz="0" w:space="0" w:color="auto"/>
        <w:right w:val="none" w:sz="0" w:space="0" w:color="auto"/>
      </w:divBdr>
    </w:div>
    <w:div w:id="2131703898">
      <w:marLeft w:val="0"/>
      <w:marRight w:val="0"/>
      <w:marTop w:val="280"/>
      <w:marBottom w:val="0"/>
      <w:divBdr>
        <w:top w:val="none" w:sz="0" w:space="0" w:color="auto"/>
        <w:left w:val="none" w:sz="0" w:space="0" w:color="auto"/>
        <w:bottom w:val="none" w:sz="0" w:space="0" w:color="auto"/>
        <w:right w:val="none" w:sz="0" w:space="0" w:color="auto"/>
      </w:divBdr>
    </w:div>
    <w:div w:id="2132358267">
      <w:marLeft w:val="0"/>
      <w:marRight w:val="0"/>
      <w:marTop w:val="100"/>
      <w:marBottom w:val="0"/>
      <w:divBdr>
        <w:top w:val="none" w:sz="0" w:space="0" w:color="auto"/>
        <w:left w:val="none" w:sz="0" w:space="0" w:color="auto"/>
        <w:bottom w:val="none" w:sz="0" w:space="0" w:color="auto"/>
        <w:right w:val="none" w:sz="0" w:space="0" w:color="auto"/>
      </w:divBdr>
    </w:div>
    <w:div w:id="2132361755">
      <w:marLeft w:val="0"/>
      <w:marRight w:val="0"/>
      <w:marTop w:val="280"/>
      <w:marBottom w:val="0"/>
      <w:divBdr>
        <w:top w:val="none" w:sz="0" w:space="0" w:color="auto"/>
        <w:left w:val="none" w:sz="0" w:space="0" w:color="auto"/>
        <w:bottom w:val="none" w:sz="0" w:space="0" w:color="auto"/>
        <w:right w:val="none" w:sz="0" w:space="0" w:color="auto"/>
      </w:divBdr>
    </w:div>
    <w:div w:id="2133940686">
      <w:marLeft w:val="0"/>
      <w:marRight w:val="0"/>
      <w:marTop w:val="100"/>
      <w:marBottom w:val="0"/>
      <w:divBdr>
        <w:top w:val="none" w:sz="0" w:space="0" w:color="auto"/>
        <w:left w:val="none" w:sz="0" w:space="0" w:color="auto"/>
        <w:bottom w:val="none" w:sz="0" w:space="0" w:color="auto"/>
        <w:right w:val="none" w:sz="0" w:space="0" w:color="auto"/>
      </w:divBdr>
    </w:div>
    <w:div w:id="2134054103">
      <w:marLeft w:val="0"/>
      <w:marRight w:val="0"/>
      <w:marTop w:val="100"/>
      <w:marBottom w:val="0"/>
      <w:divBdr>
        <w:top w:val="none" w:sz="0" w:space="0" w:color="auto"/>
        <w:left w:val="none" w:sz="0" w:space="0" w:color="auto"/>
        <w:bottom w:val="none" w:sz="0" w:space="0" w:color="auto"/>
        <w:right w:val="none" w:sz="0" w:space="0" w:color="auto"/>
      </w:divBdr>
    </w:div>
    <w:div w:id="2135512361">
      <w:marLeft w:val="0"/>
      <w:marRight w:val="0"/>
      <w:marTop w:val="280"/>
      <w:marBottom w:val="0"/>
      <w:divBdr>
        <w:top w:val="none" w:sz="0" w:space="0" w:color="auto"/>
        <w:left w:val="none" w:sz="0" w:space="0" w:color="auto"/>
        <w:bottom w:val="none" w:sz="0" w:space="0" w:color="auto"/>
        <w:right w:val="none" w:sz="0" w:space="0" w:color="auto"/>
      </w:divBdr>
    </w:div>
    <w:div w:id="2136169255">
      <w:marLeft w:val="0"/>
      <w:marRight w:val="0"/>
      <w:marTop w:val="280"/>
      <w:marBottom w:val="0"/>
      <w:divBdr>
        <w:top w:val="none" w:sz="0" w:space="0" w:color="auto"/>
        <w:left w:val="none" w:sz="0" w:space="0" w:color="auto"/>
        <w:bottom w:val="none" w:sz="0" w:space="0" w:color="auto"/>
        <w:right w:val="none" w:sz="0" w:space="0" w:color="auto"/>
      </w:divBdr>
    </w:div>
    <w:div w:id="2138182987">
      <w:marLeft w:val="0"/>
      <w:marRight w:val="0"/>
      <w:marTop w:val="280"/>
      <w:marBottom w:val="0"/>
      <w:divBdr>
        <w:top w:val="none" w:sz="0" w:space="0" w:color="auto"/>
        <w:left w:val="none" w:sz="0" w:space="0" w:color="auto"/>
        <w:bottom w:val="none" w:sz="0" w:space="0" w:color="auto"/>
        <w:right w:val="none" w:sz="0" w:space="0" w:color="auto"/>
      </w:divBdr>
    </w:div>
    <w:div w:id="2138329923">
      <w:marLeft w:val="0"/>
      <w:marRight w:val="0"/>
      <w:marTop w:val="60"/>
      <w:marBottom w:val="0"/>
      <w:divBdr>
        <w:top w:val="none" w:sz="0" w:space="0" w:color="auto"/>
        <w:left w:val="none" w:sz="0" w:space="0" w:color="auto"/>
        <w:bottom w:val="none" w:sz="0" w:space="0" w:color="auto"/>
        <w:right w:val="none" w:sz="0" w:space="0" w:color="auto"/>
      </w:divBdr>
    </w:div>
    <w:div w:id="2138719711">
      <w:marLeft w:val="0"/>
      <w:marRight w:val="0"/>
      <w:marTop w:val="100"/>
      <w:marBottom w:val="0"/>
      <w:divBdr>
        <w:top w:val="none" w:sz="0" w:space="0" w:color="auto"/>
        <w:left w:val="none" w:sz="0" w:space="0" w:color="auto"/>
        <w:bottom w:val="none" w:sz="0" w:space="0" w:color="auto"/>
        <w:right w:val="none" w:sz="0" w:space="0" w:color="auto"/>
      </w:divBdr>
    </w:div>
    <w:div w:id="2140687509">
      <w:marLeft w:val="0"/>
      <w:marRight w:val="0"/>
      <w:marTop w:val="280"/>
      <w:marBottom w:val="0"/>
      <w:divBdr>
        <w:top w:val="none" w:sz="0" w:space="0" w:color="auto"/>
        <w:left w:val="none" w:sz="0" w:space="0" w:color="auto"/>
        <w:bottom w:val="none" w:sz="0" w:space="0" w:color="auto"/>
        <w:right w:val="none" w:sz="0" w:space="0" w:color="auto"/>
      </w:divBdr>
    </w:div>
    <w:div w:id="2142653756">
      <w:marLeft w:val="0"/>
      <w:marRight w:val="0"/>
      <w:marTop w:val="0"/>
      <w:marBottom w:val="0"/>
      <w:divBdr>
        <w:top w:val="none" w:sz="0" w:space="0" w:color="auto"/>
        <w:left w:val="none" w:sz="0" w:space="0" w:color="auto"/>
        <w:bottom w:val="none" w:sz="0" w:space="0" w:color="auto"/>
        <w:right w:val="none" w:sz="0" w:space="0" w:color="auto"/>
      </w:divBdr>
      <w:divsChild>
        <w:div w:id="1966499650">
          <w:marLeft w:val="0"/>
          <w:marRight w:val="0"/>
          <w:marTop w:val="0"/>
          <w:marBottom w:val="0"/>
          <w:divBdr>
            <w:top w:val="none" w:sz="0" w:space="0" w:color="auto"/>
            <w:left w:val="none" w:sz="0" w:space="0" w:color="auto"/>
            <w:bottom w:val="none" w:sz="0" w:space="0" w:color="auto"/>
            <w:right w:val="none" w:sz="0" w:space="0" w:color="auto"/>
          </w:divBdr>
        </w:div>
        <w:div w:id="1961104936">
          <w:marLeft w:val="0"/>
          <w:marRight w:val="0"/>
          <w:marTop w:val="0"/>
          <w:marBottom w:val="0"/>
          <w:divBdr>
            <w:top w:val="none" w:sz="0" w:space="0" w:color="auto"/>
            <w:left w:val="none" w:sz="0" w:space="0" w:color="auto"/>
            <w:bottom w:val="none" w:sz="0" w:space="0" w:color="auto"/>
            <w:right w:val="none" w:sz="0" w:space="0" w:color="auto"/>
          </w:divBdr>
        </w:div>
      </w:divsChild>
    </w:div>
    <w:div w:id="2144542117">
      <w:marLeft w:val="0"/>
      <w:marRight w:val="0"/>
      <w:marTop w:val="100"/>
      <w:marBottom w:val="0"/>
      <w:divBdr>
        <w:top w:val="none" w:sz="0" w:space="0" w:color="auto"/>
        <w:left w:val="none" w:sz="0" w:space="0" w:color="auto"/>
        <w:bottom w:val="none" w:sz="0" w:space="0" w:color="auto"/>
        <w:right w:val="none" w:sz="0" w:space="0" w:color="auto"/>
      </w:divBdr>
    </w:div>
    <w:div w:id="2146965180">
      <w:marLeft w:val="0"/>
      <w:marRight w:val="0"/>
      <w:marTop w:val="2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158172/000115817219000135/exhibit43.htm" TargetMode="External"/><Relationship Id="rId21" Type="http://schemas.openxmlformats.org/officeDocument/2006/relationships/hyperlink" Target="http://www.sec.gov/Archives/edgar/data/1158172/000115817220000060/exhibit41-formofsenior.htm" TargetMode="External"/><Relationship Id="rId42" Type="http://schemas.openxmlformats.org/officeDocument/2006/relationships/hyperlink" Target="http://www.sec.gov/Archives/edgar/data/806968/000119312515054545/d869324dex99d1.htm" TargetMode="External"/><Relationship Id="rId47" Type="http://schemas.openxmlformats.org/officeDocument/2006/relationships/hyperlink" Target="http://www.sec.gov/Archives/edgar/data/1158172/000119312518011422/d414488dex103.htm" TargetMode="External"/><Relationship Id="rId63" Type="http://schemas.openxmlformats.org/officeDocument/2006/relationships/hyperlink" Target="http://www.sec.gov/Archives/edgar/data/1158172/000115817218000168/exhibit103formofchangeofco.htm" TargetMode="External"/><Relationship Id="rId68" Type="http://schemas.openxmlformats.org/officeDocument/2006/relationships/hyperlink" Target="http://www.sec.gov/Archives/edgar/data/1158172/000115817219000177/exhibit101-executiveem.htm" TargetMode="External"/><Relationship Id="rId84" Type="http://schemas.openxmlformats.org/officeDocument/2006/relationships/hyperlink" Target="http://www.sec.gov/Archives/edgar/data/1158172/000119312521004725/d108009dex103.htm" TargetMode="External"/><Relationship Id="rId89" Type="http://schemas.openxmlformats.org/officeDocument/2006/relationships/hyperlink" Target="exhibit312-certificationof.htm" TargetMode="External"/><Relationship Id="rId16" Type="http://schemas.openxmlformats.org/officeDocument/2006/relationships/hyperlink" Target="http://www.sec.gov/Archives/edgar/data/1158172/000095013307002643/x30988a3exv3w3.htm" TargetMode="External"/><Relationship Id="rId11" Type="http://schemas.openxmlformats.org/officeDocument/2006/relationships/hyperlink" Target="https://www.sec.gov/ix?doc=/Archives/edgar/data/1158172/000115817220000021/scor2019q410-k.htm" TargetMode="External"/><Relationship Id="rId32" Type="http://schemas.openxmlformats.org/officeDocument/2006/relationships/hyperlink" Target="http://www.sec.gov/Archives/edgar/data/806968/000119312515054545/d869324dex99d4.htm" TargetMode="External"/><Relationship Id="rId37" Type="http://schemas.openxmlformats.org/officeDocument/2006/relationships/hyperlink" Target="http://www.sec.gov/Archives/edgar/data/1158172/000119312519285373/d815300dex101.htm" TargetMode="External"/><Relationship Id="rId53" Type="http://schemas.openxmlformats.org/officeDocument/2006/relationships/hyperlink" Target="http://www.sec.gov/Archives/edgar/data/1158172/000119312520193346/d19455dex101.htm" TargetMode="External"/><Relationship Id="rId58" Type="http://schemas.openxmlformats.org/officeDocument/2006/relationships/hyperlink" Target="http://www.sec.gov/Archives/edgar/data/1158172/000115817218000096/grantnoticeemployeecommons.htm" TargetMode="External"/><Relationship Id="rId74" Type="http://schemas.openxmlformats.org/officeDocument/2006/relationships/hyperlink" Target="http://www.sec.gov/Archives/edgar/data/1158172/000115817220000021/exhibit1036-formofrest.htm" TargetMode="External"/><Relationship Id="rId79" Type="http://schemas.openxmlformats.org/officeDocument/2006/relationships/hyperlink" Target="http://www.sec.gov/Archives/edgar/data/1158172/000115817220000060/exhibit102-formofcompe.htm" TargetMode="External"/><Relationship Id="rId5" Type="http://schemas.openxmlformats.org/officeDocument/2006/relationships/hyperlink" Target="http://www.sec.gov/Archives/edgar/data/1158172/000115817219000017/scor2018q410-k.htm" TargetMode="External"/><Relationship Id="rId90" Type="http://schemas.openxmlformats.org/officeDocument/2006/relationships/hyperlink" Target="exhibit321-certificationof.htm" TargetMode="External"/><Relationship Id="rId22" Type="http://schemas.openxmlformats.org/officeDocument/2006/relationships/hyperlink" Target="http://www.sec.gov/Archives/edgar/data/1158172/000115817220000060/exhibit42-formofsenior.htm" TargetMode="External"/><Relationship Id="rId27" Type="http://schemas.openxmlformats.org/officeDocument/2006/relationships/hyperlink" Target="http://www.sec.gov/Archives/edgar/data/1158172/000115817219000158/exhibit47-formofwarran.htm" TargetMode="External"/><Relationship Id="rId43" Type="http://schemas.openxmlformats.org/officeDocument/2006/relationships/hyperlink" Target="http://www.sec.gov/Archives/edgar/data/806968/000119312515054545/d869324dex99d5.htm" TargetMode="External"/><Relationship Id="rId48" Type="http://schemas.openxmlformats.org/officeDocument/2006/relationships/hyperlink" Target="http://www.sec.gov/Archives/edgar/data/1158172/000095013308000370/w47950bexv10w1.htm" TargetMode="External"/><Relationship Id="rId64" Type="http://schemas.openxmlformats.org/officeDocument/2006/relationships/hyperlink" Target="http://www.sec.gov/Archives/edgar/data/1158172/000119312517303026/d458683dex102.htm" TargetMode="External"/><Relationship Id="rId69" Type="http://schemas.openxmlformats.org/officeDocument/2006/relationships/hyperlink" Target="http://www.sec.gov/Archives/edgar/data/1158172/000115817220000021/exhibit1031-rostocksep.htm" TargetMode="External"/><Relationship Id="rId8" Type="http://schemas.openxmlformats.org/officeDocument/2006/relationships/hyperlink" Target="https://www.sec.gov/ix?doc=/Archives/edgar/data/1158172/000115817220000021/scor2019q410-k.htm" TargetMode="External"/><Relationship Id="rId51" Type="http://schemas.openxmlformats.org/officeDocument/2006/relationships/hyperlink" Target="http://www.sec.gov/Archives/edgar/data/1158172/000095013307001479/w30988exv10w7.htm" TargetMode="External"/><Relationship Id="rId72" Type="http://schemas.openxmlformats.org/officeDocument/2006/relationships/hyperlink" Target="http://www.sec.gov/Archives/edgar/data/1158172/000115817220000021/exhibit1034-formofdefe.htm" TargetMode="External"/><Relationship Id="rId80" Type="http://schemas.openxmlformats.org/officeDocument/2006/relationships/hyperlink" Target="http://www.sec.gov/Archives/edgar/data/1158172/000115817220000060/exhibit102-formofcompe.htm" TargetMode="External"/><Relationship Id="rId85" Type="http://schemas.openxmlformats.org/officeDocument/2006/relationships/hyperlink" Target="http://www.sec.gov/Archives/edgar/data/1158172/000119312521004725/d108009dex103.htm"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sec.gov/ix?doc=/Archives/edgar/data/1158172/000115817220000021/scor2019q410-k.htm" TargetMode="External"/><Relationship Id="rId17" Type="http://schemas.openxmlformats.org/officeDocument/2006/relationships/hyperlink" Target="http://www.sec.gov/Archives/edgar/data/1158172/000115817218000091/certificateofamendmentauth.htm" TargetMode="External"/><Relationship Id="rId25" Type="http://schemas.openxmlformats.org/officeDocument/2006/relationships/hyperlink" Target="http://www.sec.gov/Archives/edgar/data/1158172/000115817219000135/exhibit42.htm" TargetMode="External"/><Relationship Id="rId33" Type="http://schemas.openxmlformats.org/officeDocument/2006/relationships/hyperlink" Target="http://www.sec.gov/Archives/edgar/data/1158172/000119312518011422/d414488dex104.htm" TargetMode="External"/><Relationship Id="rId38" Type="http://schemas.openxmlformats.org/officeDocument/2006/relationships/hyperlink" Target="http://www.sec.gov/Archives/edgar/data/1158172/000119312520330620/d272883dex101.htm" TargetMode="External"/><Relationship Id="rId46" Type="http://schemas.openxmlformats.org/officeDocument/2006/relationships/hyperlink" Target="http://www.sec.gov/Archives/edgar/data/1158172/000119312518011422/d414488dex102.htm" TargetMode="External"/><Relationship Id="rId59" Type="http://schemas.openxmlformats.org/officeDocument/2006/relationships/hyperlink" Target="http://www.sec.gov/Archives/edgar/data/1158172/000115817218000198/exhibit102-formofperforman.htm" TargetMode="External"/><Relationship Id="rId67" Type="http://schemas.openxmlformats.org/officeDocument/2006/relationships/hyperlink" Target="http://www.sec.gov/Archives/edgar/data/1158172/000119312519179298/d742851dex101.htm" TargetMode="External"/><Relationship Id="rId20" Type="http://schemas.openxmlformats.org/officeDocument/2006/relationships/hyperlink" Target="http://www.sec.gov/Archives/edgar/data/1158172/000115817218000160/exhibit32-amendedandrestat.htm" TargetMode="External"/><Relationship Id="rId41" Type="http://schemas.openxmlformats.org/officeDocument/2006/relationships/hyperlink" Target="http://www.sec.gov/Archives/edgar/data/1158172/000119312511348048/d272307dex102.htm" TargetMode="External"/><Relationship Id="rId54" Type="http://schemas.openxmlformats.org/officeDocument/2006/relationships/hyperlink" Target="http://www.sec.gov/Archives/edgar/data/1158172/000119312520193346/d19455dex101.htm" TargetMode="External"/><Relationship Id="rId62" Type="http://schemas.openxmlformats.org/officeDocument/2006/relationships/hyperlink" Target="http://www.sec.gov/Archives/edgar/data/1158172/000115817218000168/exhibit102formofchangeofco.htm" TargetMode="External"/><Relationship Id="rId70" Type="http://schemas.openxmlformats.org/officeDocument/2006/relationships/hyperlink" Target="http://www.sec.gov/Archives/edgar/data/1158172/000115817220000021/exhibit1032-livekchang.htm" TargetMode="External"/><Relationship Id="rId75" Type="http://schemas.openxmlformats.org/officeDocument/2006/relationships/hyperlink" Target="http://www.sec.gov/Archives/edgar/data/1158172/000115817220000060/exhibit101-dibattistes.htm" TargetMode="External"/><Relationship Id="rId83" Type="http://schemas.openxmlformats.org/officeDocument/2006/relationships/hyperlink" Target="http://www.sec.gov/Archives/edgar/data/1158172/000119312521004725/d108009dex102.htm" TargetMode="External"/><Relationship Id="rId88" Type="http://schemas.openxmlformats.org/officeDocument/2006/relationships/hyperlink" Target="exhibit311-certificationof.htm" TargetMode="External"/><Relationship Id="rId91" Type="http://schemas.openxmlformats.org/officeDocument/2006/relationships/hyperlink" Target="exhibit322-certificationof.htm" TargetMode="External"/><Relationship Id="rId1" Type="http://schemas.openxmlformats.org/officeDocument/2006/relationships/styles" Target="styles.xml"/><Relationship Id="rId6" Type="http://schemas.openxmlformats.org/officeDocument/2006/relationships/hyperlink" Target="http://www.sec.gov/Archives/edgar/data/1158172/000115817219000017/scor2018q410-k.htm" TargetMode="External"/><Relationship Id="rId15" Type="http://schemas.openxmlformats.org/officeDocument/2006/relationships/hyperlink" Target="https://www.sec.gov/ix?doc=/Archives/edgar/data/1158172/000115817220000021/scor2019q410-k.htm" TargetMode="External"/><Relationship Id="rId23" Type="http://schemas.openxmlformats.org/officeDocument/2006/relationships/hyperlink" Target="http://www.sec.gov/Archives/edgar/data/1158172/000095013307002643/x30988a3exv4w1.htm" TargetMode="External"/><Relationship Id="rId28" Type="http://schemas.openxmlformats.org/officeDocument/2006/relationships/hyperlink" Target="http://www.sec.gov/Archives/edgar/data/1158172/000115817219000135/exhibit45.htm" TargetMode="External"/><Relationship Id="rId36" Type="http://schemas.openxmlformats.org/officeDocument/2006/relationships/hyperlink" Target="http://www.sec.gov/Archives/edgar/data/1158172/000115817218000205/exhibit101-agreementdateda.htm" TargetMode="External"/><Relationship Id="rId49" Type="http://schemas.openxmlformats.org/officeDocument/2006/relationships/hyperlink" Target="http://www.sec.gov/Archives/edgar/data/1158172/000115817218000096/a6thamendment-lease.htm" TargetMode="External"/><Relationship Id="rId57" Type="http://schemas.openxmlformats.org/officeDocument/2006/relationships/hyperlink" Target="http://www.sec.gov/Archives/edgar/data/1158172/000115817218000096/grantnoticedirectorrsu.htm" TargetMode="External"/><Relationship Id="rId10" Type="http://schemas.openxmlformats.org/officeDocument/2006/relationships/hyperlink" Target="https://www.sec.gov/ix?doc=/Archives/edgar/data/1158172/000115817220000021/scor2019q410-k.htm" TargetMode="External"/><Relationship Id="rId31" Type="http://schemas.openxmlformats.org/officeDocument/2006/relationships/hyperlink" Target="http://www.sec.gov/Archives/edgar/data/806968/000119312515054545/d869324dex99d3.htm" TargetMode="External"/><Relationship Id="rId44" Type="http://schemas.openxmlformats.org/officeDocument/2006/relationships/hyperlink" Target="http://www.sec.gov/Archives/edgar/data/1158172/000115817215000036/projectcognac-stockpurchas.htm" TargetMode="External"/><Relationship Id="rId52" Type="http://schemas.openxmlformats.org/officeDocument/2006/relationships/hyperlink" Target="http://www.sec.gov/Archives/edgar/data/1158172/000095013307001479/w30988exv10w9.htm" TargetMode="External"/><Relationship Id="rId60" Type="http://schemas.openxmlformats.org/officeDocument/2006/relationships/hyperlink" Target="http://www.sec.gov/Archives/edgar/data/1158172/000115817218000198/exhibit104-formofperforman.htm" TargetMode="External"/><Relationship Id="rId65" Type="http://schemas.openxmlformats.org/officeDocument/2006/relationships/hyperlink" Target="http://www.sec.gov/Archives/edgar/data/1158172/000119312519093487/d728278dex102.htm" TargetMode="External"/><Relationship Id="rId73" Type="http://schemas.openxmlformats.org/officeDocument/2006/relationships/hyperlink" Target="http://www.sec.gov/Archives/edgar/data/1158172/000115817220000021/exhibit1035-formofperf.htm" TargetMode="External"/><Relationship Id="rId78" Type="http://schemas.openxmlformats.org/officeDocument/2006/relationships/hyperlink" Target="http://www.sec.gov/Archives/edgar/data/1158172/000115817220000060/exhibit102-formofcompe.htm" TargetMode="External"/><Relationship Id="rId81" Type="http://schemas.openxmlformats.org/officeDocument/2006/relationships/hyperlink" Target="http://www.sec.gov/Archives/edgar/data/1158172/000115817220000060/exhibit102-formofcompe.htm" TargetMode="External"/><Relationship Id="rId86" Type="http://schemas.openxmlformats.org/officeDocument/2006/relationships/hyperlink" Target="exhibit211-listofsubsidiar.htm" TargetMode="External"/><Relationship Id="rId94" Type="http://schemas.openxmlformats.org/officeDocument/2006/relationships/theme" Target="theme/theme1.xml"/><Relationship Id="rId4" Type="http://schemas.openxmlformats.org/officeDocument/2006/relationships/image" Target="file:///E:\projects\LLMs\new_data_collection\data_new\htm\COMSCORE,%20INC\scor-20201231_g1.jpg" TargetMode="External"/><Relationship Id="rId9" Type="http://schemas.openxmlformats.org/officeDocument/2006/relationships/hyperlink" Target="https://www.sec.gov/ix?doc=/Archives/edgar/data/1158172/000115817220000021/scor2019q410-k.htm" TargetMode="External"/><Relationship Id="rId13" Type="http://schemas.openxmlformats.org/officeDocument/2006/relationships/hyperlink" Target="https://www.sec.gov/ix?doc=/Archives/edgar/data/1158172/000115817220000021/scor2019q410-k.htm" TargetMode="External"/><Relationship Id="rId18" Type="http://schemas.openxmlformats.org/officeDocument/2006/relationships/hyperlink" Target="http://www.sec.gov/Archives/edgar/data/1158172/000119312517035566/d341700dex31.htm" TargetMode="External"/><Relationship Id="rId39" Type="http://schemas.openxmlformats.org/officeDocument/2006/relationships/hyperlink" Target="http://www.sec.gov/Archives/edgar/data/1158172/000119312521004725/d108009dex104.htm" TargetMode="External"/><Relationship Id="rId34" Type="http://schemas.openxmlformats.org/officeDocument/2006/relationships/hyperlink" Target="http://www.sec.gov/Archives/edgar/data/1158172/000115817218000085/firstamendmenttoseniorsecu.htm" TargetMode="External"/><Relationship Id="rId50" Type="http://schemas.openxmlformats.org/officeDocument/2006/relationships/hyperlink" Target="http://www.sec.gov/Archives/edgar/data/1158172/000115817214000054/exhibit102.htm" TargetMode="External"/><Relationship Id="rId55" Type="http://schemas.openxmlformats.org/officeDocument/2006/relationships/hyperlink" Target="http://www.sec.gov/Archives/edgar/data/1158172/000115817218000096/grantnoticeemployeersu.htm" TargetMode="External"/><Relationship Id="rId76" Type="http://schemas.openxmlformats.org/officeDocument/2006/relationships/hyperlink" Target="http://www.sec.gov/Archives/edgar/data/1158172/000115817220000060/exhibit102-formofcompe.htm" TargetMode="External"/><Relationship Id="rId7" Type="http://schemas.openxmlformats.org/officeDocument/2006/relationships/hyperlink" Target="https://www.sec.gov/ix?doc=/Archives/edgar/data/1158172/000115817220000021/scor2019q410-k.htm" TargetMode="External"/><Relationship Id="rId71" Type="http://schemas.openxmlformats.org/officeDocument/2006/relationships/hyperlink" Target="http://www.sec.gov/Archives/edgar/data/1158172/000115817220000021/exhibit1033-formofstoc.htm" TargetMode="External"/><Relationship Id="rId92" Type="http://schemas.openxmlformats.org/officeDocument/2006/relationships/image" Target="file:///E:\projects\LLMs\new_data_collection\data_new\htm\COMSCORE,%20INC\scor-20201231_g2.jpg" TargetMode="External"/><Relationship Id="rId2" Type="http://schemas.openxmlformats.org/officeDocument/2006/relationships/settings" Target="settings.xml"/><Relationship Id="rId29" Type="http://schemas.openxmlformats.org/officeDocument/2006/relationships/hyperlink" Target="exhibit49-descriptionofsec.htm" TargetMode="External"/><Relationship Id="rId24" Type="http://schemas.openxmlformats.org/officeDocument/2006/relationships/hyperlink" Target="http://www.sec.gov/Archives/edgar/data/1158172/000115817219000135/exhibit41.htm" TargetMode="External"/><Relationship Id="rId40" Type="http://schemas.openxmlformats.org/officeDocument/2006/relationships/hyperlink" Target="http://www.sec.gov/Archives/edgar/data/1158172/000119312511348048/d272307dex101.htm" TargetMode="External"/><Relationship Id="rId45" Type="http://schemas.openxmlformats.org/officeDocument/2006/relationships/hyperlink" Target="http://www.sec.gov/Archives/edgar/data/1158172/000119312518011422/d414488dex101.htm" TargetMode="External"/><Relationship Id="rId66" Type="http://schemas.openxmlformats.org/officeDocument/2006/relationships/hyperlink" Target="http://www.sec.gov/Archives/edgar/data/1158172/000119312519093487/d728278dex103.htm" TargetMode="External"/><Relationship Id="rId87" Type="http://schemas.openxmlformats.org/officeDocument/2006/relationships/hyperlink" Target="exhibit231-consentofdeloit.htm" TargetMode="External"/><Relationship Id="rId61" Type="http://schemas.openxmlformats.org/officeDocument/2006/relationships/hyperlink" Target="http://www.sec.gov/Archives/edgar/data/1158172/000115817218000198/exhibit105-formofrestricte.htm" TargetMode="External"/><Relationship Id="rId82" Type="http://schemas.openxmlformats.org/officeDocument/2006/relationships/hyperlink" Target="http://www.sec.gov/Archives/edgar/data/1158172/000119312521004725/d108009dex101.htm" TargetMode="External"/><Relationship Id="rId19" Type="http://schemas.openxmlformats.org/officeDocument/2006/relationships/hyperlink" Target="http://www.sec.gov/Archives/edgar/data/1158172/000119312517303026/d458683dex31.htm" TargetMode="External"/><Relationship Id="rId14" Type="http://schemas.openxmlformats.org/officeDocument/2006/relationships/hyperlink" Target="https://www.sec.gov/ix?doc=/Archives/edgar/data/1158172/000115817220000021/scor2019q410-k.htm" TargetMode="External"/><Relationship Id="rId30" Type="http://schemas.openxmlformats.org/officeDocument/2006/relationships/hyperlink" Target="http://www.sec.gov/Archives/edgar/data/1158172/000119312511348048/d272307dex103.htm" TargetMode="External"/><Relationship Id="rId35" Type="http://schemas.openxmlformats.org/officeDocument/2006/relationships/hyperlink" Target="http://www.sec.gov/Archives/edgar/data/1158172/000115817218000157/exhibit101secondamendment.htm" TargetMode="External"/><Relationship Id="rId56" Type="http://schemas.openxmlformats.org/officeDocument/2006/relationships/hyperlink" Target="http://www.sec.gov/Archives/edgar/data/1158172/000115817218000096/grantnoticeemployeehybrid.htm" TargetMode="External"/><Relationship Id="rId77" Type="http://schemas.openxmlformats.org/officeDocument/2006/relationships/hyperlink" Target="http://www.sec.gov/Archives/edgar/data/1158172/000115817220000060/exhibit102-formofcomp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90636</Words>
  <Characters>516630</Characters>
  <Application>Microsoft Office Word</Application>
  <DocSecurity>0</DocSecurity>
  <Lines>4305</Lines>
  <Paragraphs>1212</Paragraphs>
  <ScaleCrop>false</ScaleCrop>
  <Company/>
  <LinksUpToDate>false</LinksUpToDate>
  <CharactersWithSpaces>606054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scor-20201231</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