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43C43">
      <w:pPr>
        <w:divId w:val="1954245150"/>
        <w:rPr>
          <w:rFonts w:eastAsia="Times New Roman"/>
          <w:vanish/>
        </w:rPr>
      </w:pPr>
      <w:r>
        <w:rPr>
          <w:rFonts w:eastAsia="Times New Roman"/>
          <w:vanish/>
        </w:rPr>
        <w:t>false2022Q1000115817212/31P9MP1YP1Y00011581722022-01-012022-03-3100011581722022-05-06xbrli:shares00011581722022-03-31iso4217:USD00011581722021-12-310001158172us-gaap:InvestorMember2022-03-310001158172us-gaap:InvestorMember2021-12-31iso4217:USD</w:t>
      </w:r>
      <w:r>
        <w:rPr>
          <w:rFonts w:eastAsia="Times New Roman"/>
          <w:vanish/>
        </w:rPr>
        <w:t>xbrli:shares00011581722021-01-012021-03-310001158172us-gaap:InvestorMember2022-01-012022-03-310001158172us-gaap:InvestorMember2021-01-012021-03-310001158172us-gaap:InvestorMemberus-gaap:CostOfSalesMember2022-01-012022-03-310001158172us-gaap:InvestorMemberu</w:t>
      </w:r>
      <w:r>
        <w:rPr>
          <w:rFonts w:eastAsia="Times New Roman"/>
          <w:vanish/>
        </w:rPr>
        <w:t>s-gaap:CostOfSalesMember2021-01-012021-03-310001158172us-gaap:CostOfSalesMember2022-01-012022-03-310001158172us-gaap:CostOfSalesMember2021-01-012021-03-310001158172us-gaap:SellingAndMarketingExpenseMember2022-01-012022-03-310001158172us-gaap:SellingAndMark</w:t>
      </w:r>
      <w:r>
        <w:rPr>
          <w:rFonts w:eastAsia="Times New Roman"/>
          <w:vanish/>
        </w:rPr>
        <w:t>etingExpenseMember2021-01-012021-03-310001158172us-gaap:ResearchAndDevelopmentExpenseMember2022-01-012022-03-310001158172us-gaap:ResearchAndDevelopmentExpenseMember2021-01-012021-03-310001158172us-gaap:GeneralAndAdministrativeExpenseMember2022-01-012022-03</w:t>
      </w:r>
      <w:r>
        <w:rPr>
          <w:rFonts w:eastAsia="Times New Roman"/>
          <w:vanish/>
        </w:rPr>
        <w:t>-310001158172us-gaap:GeneralAndAdministrativeExpenseMember2021-01-012021-03-310001158172us-gaap:CommonStockMember2021-12-310001158172us-gaap:AdditionalPaidInCapitalMember2021-12-310001158172us-gaap:AccumulatedOtherComprehensiveIncomeMember2021-12-310001158</w:t>
      </w:r>
      <w:r>
        <w:rPr>
          <w:rFonts w:eastAsia="Times New Roman"/>
          <w:vanish/>
        </w:rPr>
        <w:t>172us-gaap:RetainedEarningsMember2021-12-310001158172us-gaap:TreasuryStockMember2021-12-310001158172us-gaap:RetainedEarningsMember2022-01-012022-03-310001158172us-gaap:CommonStockMember2022-01-012022-03-310001158172us-gaap:AdditionalPaidInCapitalMember2022</w:t>
      </w:r>
      <w:r>
        <w:rPr>
          <w:rFonts w:eastAsia="Times New Roman"/>
          <w:vanish/>
        </w:rPr>
        <w:t>-01-012022-03-310001158172us-gaap:AccumulatedOtherComprehensiveIncomeMember2022-01-012022-03-310001158172us-gaap:CommonStockMember2022-03-310001158172us-gaap:AdditionalPaidInCapitalMember2022-03-310001158172us-gaap:AccumulatedOtherComprehensiveIncomeMember</w:t>
      </w:r>
      <w:r>
        <w:rPr>
          <w:rFonts w:eastAsia="Times New Roman"/>
          <w:vanish/>
        </w:rPr>
        <w:t>2022-03-310001158172us-gaap:RetainedEarningsMember2022-03-310001158172us-gaap:TreasuryStockMember2022-03-3100011581722020-12-310001158172us-gaap:CommonStockMember2020-12-310001158172us-gaap:AdditionalPaidInCapitalMember2020-12-310001158172us-gaap:Accumulat</w:t>
      </w:r>
      <w:r>
        <w:rPr>
          <w:rFonts w:eastAsia="Times New Roman"/>
          <w:vanish/>
        </w:rPr>
        <w:t>edOtherComprehensiveIncomeMember2020-12-310001158172us-gaap:RetainedEarningsMember2020-12-310001158172us-gaap:TreasuryStockMember2020-12-310001158172us-gaap:RetainedEarningsMember2021-01-012021-03-310001158172us-gaap:AccumulatedOtherComprehensiveIncomeMemb</w:t>
      </w:r>
      <w:r>
        <w:rPr>
          <w:rFonts w:eastAsia="Times New Roman"/>
          <w:vanish/>
        </w:rPr>
        <w:t>er2021-01-012021-03-310001158172us-gaap:CommonStockMember2021-01-012021-03-310001158172us-gaap:AdditionalPaidInCapitalMember2021-01-012021-03-3100011581722021-03-310001158172us-gaap:CommonStockMember2021-03-310001158172us-gaap:AdditionalPaidInCapitalMember</w:t>
      </w:r>
      <w:r>
        <w:rPr>
          <w:rFonts w:eastAsia="Times New Roman"/>
          <w:vanish/>
        </w:rPr>
        <w:t>2021-03-310001158172us-gaap:AccumulatedOtherComprehensiveIncomeMember2021-03-310001158172us-gaap:RetainedEarningsMember2021-03-310001158172us-gaap:TreasuryStockMember2021-03-310001158172us-gaap:ConvertibleNotesPayableMember2022-01-012022-03-310001158172us-</w:t>
      </w:r>
      <w:r>
        <w:rPr>
          <w:rFonts w:eastAsia="Times New Roman"/>
          <w:vanish/>
        </w:rPr>
        <w:t>gaap:ConvertibleNotesPayableMember2021-01-012021-03-310001158172us-gaap:NotesPayableOtherPayablesMember2022-01-012022-03-310001158172us-gaap:NotesPayableOtherPayablesMember2021-01-012021-03-31scor:segment0001158172scor:ShareableeIncMember2021-12-31scor:sub</w:t>
      </w:r>
      <w:r>
        <w:rPr>
          <w:rFonts w:eastAsia="Times New Roman"/>
          <w:vanish/>
        </w:rPr>
        <w:t>sidiary0001158172scor:ShareableeIncMember2021-12-012021-12-310001158172scor:ShareableeIncMembersrt:MaximumMember2021-12-3100011581722018-12-310001158172us-gaap:FairValueMeasurementsRecurringMemberscor:SeriesAWarrantMemberus-gaap:FairValueInputsLevel3Member</w:t>
      </w:r>
      <w:r>
        <w:rPr>
          <w:rFonts w:eastAsia="Times New Roman"/>
          <w:vanish/>
        </w:rPr>
        <w:t>2022-03-310001158172scor:ShareableeIncMembersrt:ScenarioForecastMemberus-gaap:SubsequentEventMember2022-12-310001158172scor:ShareableeIncMembersrt:ScenarioForecastMemberus-gaap:SubsequentEventMember2023-12-310001158172scor:ShareableeIncMembersrt:ScenarioFo</w:t>
      </w:r>
      <w:r>
        <w:rPr>
          <w:rFonts w:eastAsia="Times New Roman"/>
          <w:vanish/>
        </w:rPr>
        <w:t>recastMemberus-gaap:SubsequentEventMember2024-12-3100011581722021-03-1000011581722021-03-012021-03-31scor:trading_day0001158172scor:DigitalAdSolutionsMember2022-01-012022-03-310001158172scor:DigitalAdSolutionsMember2021-01-012021-03-310001158172scor:CrossP</w:t>
      </w:r>
      <w:r>
        <w:rPr>
          <w:rFonts w:eastAsia="Times New Roman"/>
          <w:vanish/>
        </w:rPr>
        <w:t>latformSolutionsMember2022-01-012022-03-310001158172scor:CrossPlatformSolutionsMember2021-01-012021-03-310001158172country:US2022-01-012022-03-310001158172country:US2021-01-012021-03-310001158172srt:EuropeMember2022-01-012022-03-310001158172srt:EuropeMembe</w:t>
      </w:r>
      <w:r>
        <w:rPr>
          <w:rFonts w:eastAsia="Times New Roman"/>
          <w:vanish/>
        </w:rPr>
        <w:t>r2021-01-012021-03-310001158172country:CA2022-01-012022-03-310001158172country:CA2021-01-012021-03-310001158172srt:LatinAmericaMember2022-01-012022-03-310001158172srt:LatinAmericaMember2021-01-012021-03-310001158172scor:OtherCountryMember2022-01-012022-03-</w:t>
      </w:r>
      <w:r>
        <w:rPr>
          <w:rFonts w:eastAsia="Times New Roman"/>
          <w:vanish/>
        </w:rPr>
        <w:t>310001158172scor:OtherCountryMember2021-01-012021-03-310001158172us-gaap:TransferredOverTimeMember2022-01-012022-03-310001158172us-gaap:TransferredOverTimeMember2021-01-012021-03-310001158172us-gaap:TransferredAtPointInTimeMember2022-01-012022-03-310001158</w:t>
      </w:r>
      <w:r>
        <w:rPr>
          <w:rFonts w:eastAsia="Times New Roman"/>
          <w:vanish/>
        </w:rPr>
        <w:t>172us-gaap:TransferredAtPointInTimeMember2021-01-012021-03-3100011581722022-04-012022-03-31xbrli:pure00011581722023-01-012022-03-3100011581722024-01-012022-03-3100011581722021-03-102021-03-100001158172srt:ScenarioForecastMemberus-gaap:SubsequentEventMember</w:t>
      </w:r>
      <w:r>
        <w:rPr>
          <w:rFonts w:eastAsia="Times New Roman"/>
          <w:vanish/>
        </w:rPr>
        <w:t>2022-06-300001158172us-gaap:PrivatePlacementMember2019-06-262019-06-260001158172us-gaap:PrivatePlacementMember2019-06-2600011581722019-10-142019-10-140001158172scor:SeriesAWarrantMember2019-10-142019-10-140001158172scor:SeriesAWarrantMemberus-gaap:PrivateP</w:t>
      </w:r>
      <w:r>
        <w:rPr>
          <w:rFonts w:eastAsia="Times New Roman"/>
          <w:vanish/>
        </w:rPr>
        <w:t>lacementMember2019-06-262019-06-2600011581722019-06-260001158172scor:SeriesAWarrantMemberus-gaap:PrivatePlacementMember2019-06-260001158172scor:SeriesAWarrantMemberus-gaap:PrivatePlacementMember2021-03-100001158172scor:SeriesAWarrantMember2022-03-310001158</w:t>
      </w:r>
      <w:r>
        <w:rPr>
          <w:rFonts w:eastAsia="Times New Roman"/>
          <w:vanish/>
        </w:rPr>
        <w:t>172us-gaap:LineOfCreditMemberus-gaap:RevolvingCreditFacilityMember2021-05-050001158172us-gaap:LineOfCreditMemberus-gaap:LetterOfCreditMember2021-05-050001158172us-gaap:LineOfCreditMemberus-gaap:RevolvingCreditFacilityMember2021-05-052021-05-050001158172us-</w:t>
      </w:r>
      <w:r>
        <w:rPr>
          <w:rFonts w:eastAsia="Times New Roman"/>
          <w:vanish/>
        </w:rPr>
        <w:t>gaap:LineOfCreditMemberus-gaap:RevolvingCreditFacilityMember2022-02-250001158172us-gaap:LineOfCreditMemberus-gaap:RevolvingCreditFacilityMemberus-gaap:SecuredOvernightFinancingRateSofrOvernightIndexSwapRateMember2022-02-250001158172us-gaap:LineOfCreditMemb</w:t>
      </w:r>
      <w:r>
        <w:rPr>
          <w:rFonts w:eastAsia="Times New Roman"/>
          <w:vanish/>
        </w:rPr>
        <w:t>erus-gaap:RevolvingCreditFacilityMemberus-gaap:SecuredOvernightFinancingRateSofrOvernightIndexSwapRateMembersrt:ScenarioForecastMember2023-03-310001158172us-gaap:LineOfCreditMemberus-gaap:RevolvingCreditFacilityMember2022-02-252022-02-250001158172us-gaap:L</w:t>
      </w:r>
      <w:r>
        <w:rPr>
          <w:rFonts w:eastAsia="Times New Roman"/>
          <w:vanish/>
        </w:rPr>
        <w:t>ineOfCreditMemberus-gaap:RevolvingCreditFacilityMembersrt:MinimumMember2022-02-250001158172us-gaap:LineOfCreditMemberus-gaap:RevolvingCreditFacilityMembersrt:MaximumMember2022-02-250001158172us-gaap:LineOfCreditMemberus-gaap:RevolvingCreditFacilityMember20</w:t>
      </w:r>
      <w:r>
        <w:rPr>
          <w:rFonts w:eastAsia="Times New Roman"/>
          <w:vanish/>
        </w:rPr>
        <w:t>22-03-310001158172us-gaap:LineOfCreditMember2022-03-310001158172scor:StarboardValueLPMemberscor:StarboardNotesMemberus-gaap:ConvertibleNotesPayableMember2018-12-310001158172scor:StarboardValueLPMemberscor:StarboardNotesMemberus-gaap:ConvertibleNotesPayable</w:t>
      </w:r>
      <w:r>
        <w:rPr>
          <w:rFonts w:eastAsia="Times New Roman"/>
          <w:vanish/>
        </w:rPr>
        <w:t>Member2021-01-252021-01-250001158172scor:StarboardValueLPMemberscor:StarboardNotesMemberus-gaap:ConvertibleNotesPayableMember2021-03-102021-03-100001158172scor:StarboardValueLPMemberscor:StarboardNotesMemberus-gaap:ConvertibleNotesPayableMember2021-01-0120</w:t>
      </w:r>
      <w:r>
        <w:rPr>
          <w:rFonts w:eastAsia="Times New Roman"/>
          <w:vanish/>
        </w:rPr>
        <w:t>21-03-100001158172scor:StarboardValueLPMemberscor:StarboardNotesMemberus-gaap:ConvertibleNotesPayableMember2021-01-012021-03-310001158172us-gaap:NotesPayableOtherPayablesMemberscor:SecuredTermNoteMember2020-12-310001158172us-gaap:NotesPayableOtherPayablesM</w:t>
      </w:r>
      <w:r>
        <w:rPr>
          <w:rFonts w:eastAsia="Times New Roman"/>
          <w:vanish/>
        </w:rPr>
        <w:t>emberscor:SecuredTermNoteMember2021-03-102021-03-100001158172us-gaap:NotesPayableOtherPayablesMemberscor:SecuredTermNoteMember2021-01-012021-03-310001158172us-gaap:MoneyMarketFundsMemberus-gaap:FairValueInputsLevel1Memberus-gaap:FairValueMeasurementsRecurr</w:t>
      </w:r>
      <w:r>
        <w:rPr>
          <w:rFonts w:eastAsia="Times New Roman"/>
          <w:vanish/>
        </w:rPr>
        <w:t>ingMember2022-03-310001158172us-gaap:MoneyMarketFundsMemberus-gaap:FairValueMeasurementsRecurringMemberus-gaap:FairValueInputsLevel2Member2022-03-310001158172us-gaap:MoneyMarketFundsMemberus-gaap:FairValueMeasurementsRecurringMemberus-gaap:FairValueInputsL</w:t>
      </w:r>
      <w:r>
        <w:rPr>
          <w:rFonts w:eastAsia="Times New Roman"/>
          <w:vanish/>
        </w:rPr>
        <w:t>evel3Member2022-03-310001158172us-gaap:MoneyMarketFundsMemberus-gaap:FairValueMeasurementsRecurringMember2022-03-310001158172us-gaap:MoneyMarketFundsMemberus-gaap:FairValueInputsLevel1Memberus-gaap:FairValueMeasurementsRecurringMember2021-12-310001158172us</w:t>
      </w:r>
      <w:r>
        <w:rPr>
          <w:rFonts w:eastAsia="Times New Roman"/>
          <w:vanish/>
        </w:rPr>
        <w:t>-gaap:MoneyMarketFundsMemberus-gaap:FairValueMeasurementsRecurringMemberus-gaap:FairValueInputsLevel2Member2021-12-310001158172us-gaap:MoneyMarketFundsMemberus-gaap:FairValueMeasurementsRecurringMemberus-gaap:FairValueInputsLevel3Member2021-12-310001158172</w:t>
      </w:r>
      <w:r>
        <w:rPr>
          <w:rFonts w:eastAsia="Times New Roman"/>
          <w:vanish/>
        </w:rPr>
        <w:t>us-gaap:MoneyMarketFundsMemberus-gaap:FairValueMeasurementsRecurringMember2021-12-310001158172us-gaap:FairValueInputsLevel1Memberus-gaap:FairValueMeasurementsRecurringMemberscor:SeriesAWarrantMember2022-03-310001158172us-gaap:FairValueMeasurementsRecurring</w:t>
      </w:r>
      <w:r>
        <w:rPr>
          <w:rFonts w:eastAsia="Times New Roman"/>
          <w:vanish/>
        </w:rPr>
        <w:t>Memberscor:SeriesAWarrantMemberus-gaap:FairValueInputsLevel2Member2022-03-310001158172us-gaap:FairValueMeasurementsRecurringMemberscor:SeriesAWarrantMember2022-03-310001158172us-gaap:FairValueInputsLevel1Memberus-gaap:FairValueMeasurementsRecurringMembersc</w:t>
      </w:r>
      <w:r>
        <w:rPr>
          <w:rFonts w:eastAsia="Times New Roman"/>
          <w:vanish/>
        </w:rPr>
        <w:t>or:SeriesAWarrantMember2021-12-310001158172us-gaap:FairValueMeasurementsRecurringMemberscor:SeriesAWarrantMemberus-gaap:FairValueInputsLevel2Member2021-12-310001158172us-gaap:FairValueMeasurementsRecurringMemberscor:SeriesAWarrantMemberus-gaap:FairValueInp</w:t>
      </w:r>
      <w:r>
        <w:rPr>
          <w:rFonts w:eastAsia="Times New Roman"/>
          <w:vanish/>
        </w:rPr>
        <w:t>utsLevel3Member2021-12-310001158172us-gaap:FairValueMeasurementsRecurringMemberscor:SeriesAWarrantMember2021-12-310001158172us-gaap:FairValueInputsLevel1Memberus-gaap:FairValueMeasurementsRecurringMember2022-03-310001158172us-gaap:FairValueMeasurementsRecu</w:t>
      </w:r>
      <w:r>
        <w:rPr>
          <w:rFonts w:eastAsia="Times New Roman"/>
          <w:vanish/>
        </w:rPr>
        <w:t>rringMemberus-gaap:FairValueInputsLevel2Member2022-03-310001158172us-gaap:FairValueMeasurementsRecurringMemberus-gaap:FairValueInputsLevel3Member2022-03-310001158172us-gaap:FairValueMeasurementsRecurringMember2022-03-310001158172us-gaap:FairValueInputsLeve</w:t>
      </w:r>
      <w:r>
        <w:rPr>
          <w:rFonts w:eastAsia="Times New Roman"/>
          <w:vanish/>
        </w:rPr>
        <w:t>l1Memberus-gaap:FairValueMeasurementsRecurringMember2021-12-310001158172us-gaap:FairValueMeasurementsRecurringMemberus-gaap:FairValueInputsLevel2Member2021-12-310001158172us-gaap:FairValueMeasurementsRecurringMemberus-gaap:FairValueInputsLevel3Member2021-1</w:t>
      </w:r>
      <w:r>
        <w:rPr>
          <w:rFonts w:eastAsia="Times New Roman"/>
          <w:vanish/>
        </w:rPr>
        <w:t>2-310001158172us-gaap:FairValueMeasurementsRecurringMember2021-12-310001158172us-gaap:FairValueInputsLevel3Memberscor:ContingentConsiderationLiabilityMember2021-12-310001158172us-gaap:WarrantMemberus-gaap:FairValueInputsLevel3Member2021-12-310001158172us-g</w:t>
      </w:r>
      <w:r>
        <w:rPr>
          <w:rFonts w:eastAsia="Times New Roman"/>
          <w:vanish/>
        </w:rPr>
        <w:t>aap:FairValueInputsLevel3Memberscor:ContingentConsiderationLiabilityMember2022-01-012022-03-310001158172us-gaap:WarrantMemberus-gaap:FairValueInputsLevel3Member2022-01-012022-03-310001158172us-gaap:FairValueInputsLevel3Memberscor:ContingentConsiderationLia</w:t>
      </w:r>
      <w:r>
        <w:rPr>
          <w:rFonts w:eastAsia="Times New Roman"/>
          <w:vanish/>
        </w:rPr>
        <w:t>bilityMember2022-03-310001158172us-gaap:WarrantMemberus-gaap:FairValueInputsLevel3Member2022-03-310001158172scor:InterestMakeWholeDerivativeLiabilityMemberus-gaap:FairValueInputsLevel3Member2020-12-310001158172us-gaap:FairValueInputsLevel3Memberus-gaap:Der</w:t>
      </w:r>
      <w:r>
        <w:rPr>
          <w:rFonts w:eastAsia="Times New Roman"/>
          <w:vanish/>
        </w:rPr>
        <w:t>ivativeFinancialInstrumentsLiabilitiesMember2020-12-310001158172us-gaap:WarrantMemberus-gaap:FairValueInputsLevel3Member2020-12-310001158172scor:InterestMakeWholeDerivativeLiabilityMemberus-gaap:FairValueInputsLevel3Member2021-01-012021-03-310001158172us-g</w:t>
      </w:r>
      <w:r>
        <w:rPr>
          <w:rFonts w:eastAsia="Times New Roman"/>
          <w:vanish/>
        </w:rPr>
        <w:t>aap:FairValueInputsLevel3Memberus-gaap:DerivativeFinancialInstrumentsLiabilitiesMember2021-01-012021-03-310001158172us-gaap:WarrantMemberus-gaap:FairValueInputsLevel3Member2021-01-012021-03-310001158172scor:InterestMakeWholeDerivativeLiabilityMemberus-gaap</w:t>
      </w:r>
      <w:r>
        <w:rPr>
          <w:rFonts w:eastAsia="Times New Roman"/>
          <w:vanish/>
        </w:rPr>
        <w:t>:FairValueInputsLevel3Member2021-03-310001158172us-gaap:FairValueInputsLevel3Memberus-gaap:DerivativeFinancialInstrumentsLiabilitiesMember2021-03-310001158172us-gaap:WarrantMemberus-gaap:FairValueInputsLevel3Member2021-03-310001158172us-gaap:MeasurementInp</w:t>
      </w:r>
      <w:r>
        <w:rPr>
          <w:rFonts w:eastAsia="Times New Roman"/>
          <w:vanish/>
        </w:rPr>
        <w:t>utSharePriceMemberscor:OptionPricingModelValuationTechniqueMemberus-gaap:FairValueInputsLevel3Memberus-gaap:WarrantMember2022-03-310001158172us-gaap:MeasurementInputSharePriceMemberscor:OptionPricingModelValuationTechniqueMemberus-gaap:FairValueInputsLevel</w:t>
      </w:r>
      <w:r>
        <w:rPr>
          <w:rFonts w:eastAsia="Times New Roman"/>
          <w:vanish/>
        </w:rPr>
        <w:t>3Memberus-gaap:WarrantMember2021-12-310001158172scor:OptionPricingModelValuationTechniqueMemberus-gaap:MeasurementInputExercisePriceMemberus-gaap:FairValueInputsLevel3Memberus-gaap:WarrantMember2022-03-310001158172scor:OptionPricingModelValuationTechniqueM</w:t>
      </w:r>
      <w:r>
        <w:rPr>
          <w:rFonts w:eastAsia="Times New Roman"/>
          <w:vanish/>
        </w:rPr>
        <w:t>emberus-gaap:MeasurementInputExercisePriceMemberus-gaap:FairValueInputsLevel3Memberus-gaap:WarrantMember2021-12-310001158172scor:OptionPricingModelValuationTechniqueMemberus-gaap:MeasurementInputPriceVolatilityMemberus-gaap:FairValueInputsLevel3Memberus-ga</w:t>
      </w:r>
      <w:r>
        <w:rPr>
          <w:rFonts w:eastAsia="Times New Roman"/>
          <w:vanish/>
        </w:rPr>
        <w:t>ap:WarrantMember2022-03-310001158172scor:OptionPricingModelValuationTechniqueMemberus-gaap:MeasurementInputPriceVolatilityMemberus-gaap:FairValueInputsLevel3Memberus-gaap:WarrantMember2021-12-310001158172scor:OptionPricingModelValuationTechniqueMemberus-ga</w:t>
      </w:r>
      <w:r>
        <w:rPr>
          <w:rFonts w:eastAsia="Times New Roman"/>
          <w:vanish/>
        </w:rPr>
        <w:t>ap:MeasurementInputExpectedTermMemberus-gaap:FairValueInputsLevel3Memberus-gaap:WarrantMember2022-03-31utr:Y0001158172scor:OptionPricingModelValuationTechniqueMemberus-gaap:MeasurementInputExpectedTermMemberus-gaap:FairValueInputsLevel3Memberus-gaap:Warran</w:t>
      </w:r>
      <w:r>
        <w:rPr>
          <w:rFonts w:eastAsia="Times New Roman"/>
          <w:vanish/>
        </w:rPr>
        <w:t>tMember2021-12-310001158172scor:OptionPricingModelValuationTechniqueMemberus-gaap:FairValueInputsLevel3Memberus-gaap:WarrantMemberus-gaap:MeasurementInputRiskFreeInterestRateMember2022-03-310001158172scor:OptionPricingModelValuationTechniqueMemberus-gaap:F</w:t>
      </w:r>
      <w:r>
        <w:rPr>
          <w:rFonts w:eastAsia="Times New Roman"/>
          <w:vanish/>
        </w:rPr>
        <w:t>airValueInputsLevel3Memberus-gaap:WarrantMemberus-gaap:MeasurementInputRiskFreeInterestRateMember2021-12-310001158172scor:CostOfDebtMembersrt:MinimumMemberscor:ContingentConsiderationLiabilityMemberus-gaap:FairValueInputsLevel3Memberscor:CombinationPricing</w:t>
      </w:r>
      <w:r>
        <w:rPr>
          <w:rFonts w:eastAsia="Times New Roman"/>
          <w:vanish/>
        </w:rPr>
        <w:t>ModelMember2022-03-310001158172scor:CostOfDebtMemberscor:ContingentConsiderationLiabilityMemberus-gaap:FairValueInputsLevel3Memberscor:CombinationPricingModelMembersrt:MaximumMember2022-03-310001158172scor:CostOfDebtMemberscor:ContingentConsiderationLiabil</w:t>
      </w:r>
      <w:r>
        <w:rPr>
          <w:rFonts w:eastAsia="Times New Roman"/>
          <w:vanish/>
        </w:rPr>
        <w:t>ityMemberus-gaap:FairValueInputsLevel3Memberscor:CombinationPricingModelMember2021-12-310001158172scor:ContingentConsiderationLiabilityMemberus-gaap:FairValueInputsLevel3Memberscor:CombinationPricingModelMemberscor:MeasurementInputProductCreditMember2021-1</w:t>
      </w:r>
      <w:r>
        <w:rPr>
          <w:rFonts w:eastAsia="Times New Roman"/>
          <w:vanish/>
        </w:rPr>
        <w:t>2-310001158172scor:MeasurementInputRevenueVolatilityMemberscor:ContingentConsiderationLiabilityMemberus-gaap:FairValueInputsLevel3Memberscor:CombinationPricingModelMember2021-12-310001158172scor:MeasurementInputRiskPremiumMemberscor:ContingentConsideration</w:t>
      </w:r>
      <w:r>
        <w:rPr>
          <w:rFonts w:eastAsia="Times New Roman"/>
          <w:vanish/>
        </w:rPr>
        <w:t>LiabilityMemberus-gaap:FairValueInputsLevel3Memberscor:CombinationPricingModelMember2021-12-310001158172us-gaap:MeasurementInputExpectedTermMemberscor:ContingentConsiderationLiabilityMemberus-gaap:FairValueInputsLevel3Memberscor:CombinationPricingModelMemb</w:t>
      </w:r>
      <w:r>
        <w:rPr>
          <w:rFonts w:eastAsia="Times New Roman"/>
          <w:vanish/>
        </w:rPr>
        <w:t>er2021-12-310001158172us-gaap:ValuationTechniqueDiscountedCashFlowMember2022-03-310001158172scor:OptionPricingModelValuationTechniqueMember2021-12-310001158172us-gaap:ValuationTechniqueDiscountedCashFlowMember2021-12-310001158172scor:WPPplcMemberus-gaap:In</w:t>
      </w:r>
      <w:r>
        <w:rPr>
          <w:rFonts w:eastAsia="Times New Roman"/>
          <w:vanish/>
        </w:rPr>
        <w:t>vestorMember2022-03-310001158172scor:WPPplcMemberus-gaap:InvestorMember2022-01-012022-03-310001158172scor:WPPplcMemberus-gaap:InvestorMember2021-01-012021-03-310001158172scor:WPPplcMemberus-gaap:InvestorMemberus-gaap:CostOfSalesMember2022-01-012022-03-3100</w:t>
      </w:r>
      <w:r>
        <w:rPr>
          <w:rFonts w:eastAsia="Times New Roman"/>
          <w:vanish/>
        </w:rPr>
        <w:t>01158172scor:WPPplcMemberus-gaap:InvestorMemberus-gaap:CostOfSalesMember2021-01-012021-03-310001158172scor:WPPplcMemberus-gaap:InvestorMember2021-12-310001158172us-gaap:InvestorMemberscor:PineInvestorLLCMember2022-03-310001158172scor:QurateRetailIncMemberu</w:t>
      </w:r>
      <w:r>
        <w:rPr>
          <w:rFonts w:eastAsia="Times New Roman"/>
          <w:vanish/>
        </w:rPr>
        <w:t>s-gaap:InvestorMember2022-03-310001158172us-gaap:InvestorMemberscor:CharterCommunicationsHoldingCompanyLLCMember2022-03-31scor:director0001158172srt:AffiliatedEntityMemberscor:CharterCommunicationsOperatingLLCMember2021-03-102021-03-100001158172srt:Affilia</w:t>
      </w:r>
      <w:r>
        <w:rPr>
          <w:rFonts w:eastAsia="Times New Roman"/>
          <w:vanish/>
        </w:rPr>
        <w:t>tedEntityMembersrt:MinimumMemberscor:LicenseFeesMemberscor:CharterCommunicationsOperatingLLCMember2021-03-102021-03-100001158172srt:AffiliatedEntityMemberscor:LicenseFeesMemberscor:CharterCommunicationsOperatingLLCMembersrt:MaximumMember2021-03-102021-03-1</w:t>
      </w:r>
      <w:r>
        <w:rPr>
          <w:rFonts w:eastAsia="Times New Roman"/>
          <w:vanish/>
        </w:rPr>
        <w:t>00001158172us-gaap:InvestorMemberscor:CharterCommunicationsHoldingCompanyLLCMember2022-01-012022-03-310001158172us-gaap:InvestorMemberscor:CharterCommunicationsHoldingCompanyLLCMember2021-01-012021-03-310001158172us-gaap:InvestorMemberus-gaap:CostOfSalesMe</w:t>
      </w:r>
      <w:r>
        <w:rPr>
          <w:rFonts w:eastAsia="Times New Roman"/>
          <w:vanish/>
        </w:rPr>
        <w:t>mberscor:CharterCommunicationsHoldingCompanyLLCMember2022-01-012022-03-310001158172us-gaap:InvestorMemberus-gaap:CostOfSalesMemberscor:CharterCommunicationsHoldingCompanyLLCMember2021-01-012021-03-310001158172us-gaap:InvestorMemberscor:CharterCommunication</w:t>
      </w:r>
      <w:r>
        <w:rPr>
          <w:rFonts w:eastAsia="Times New Roman"/>
          <w:vanish/>
        </w:rPr>
        <w:t>sHoldingCompanyLLCMember2021-12-310001158172scor:QurateRetailIncMemberus-gaap:InvestorMember2021-01-012021-03-310001158172scor:QurateRetailIncMemberus-gaap:InvestorMember2022-01-012022-03-310001158172us-gaap:InvestorMemberscor:PineInvestorLLCMember2021-12-</w:t>
      </w:r>
      <w:r>
        <w:rPr>
          <w:rFonts w:eastAsia="Times New Roman"/>
          <w:vanish/>
        </w:rPr>
        <w:t>310001158172scor:StarboardValueLPMemberus-gaap:BeneficialOwnerMember2018-01-012018-12-310001158172scor:StarboardValueLPMemberus-gaap:BeneficialOwnerMember2018-01-012018-01-310001158172scor:StarboardValueLPMemberus-gaap:BeneficialOwnerMember2022-03-31000115</w:t>
      </w:r>
      <w:r>
        <w:rPr>
          <w:rFonts w:eastAsia="Times New Roman"/>
          <w:vanish/>
        </w:rPr>
        <w:t>8172scor:StarboardValueLPMemberus-gaap:InvestorMember2022-01-012022-03-310001158172scor:StarboardValueLPMemberus-gaap:InvestorMember2021-12-310001158172scor:StarboardValueLPMemberus-gaap:InvestorMember2022-03-31</w:t>
      </w:r>
    </w:p>
    <w:p w:rsidR="00000000" w:rsidRDefault="00943C43">
      <w:pPr>
        <w:divId w:val="472529485"/>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848370308"/>
        <w:rPr>
          <w:rFonts w:eastAsia="Times New Roman"/>
        </w:rPr>
      </w:pPr>
    </w:p>
    <w:tbl>
      <w:tblPr>
        <w:tblW w:w="4983" w:type="pct"/>
        <w:jc w:val="center"/>
        <w:tblCellMar>
          <w:top w:w="15" w:type="dxa"/>
          <w:left w:w="15" w:type="dxa"/>
          <w:bottom w:w="15" w:type="dxa"/>
          <w:right w:w="15" w:type="dxa"/>
        </w:tblCellMar>
        <w:tblLook w:val="04A0" w:firstRow="1" w:lastRow="0" w:firstColumn="1" w:lastColumn="0" w:noHBand="0" w:noVBand="1"/>
      </w:tblPr>
      <w:tblGrid>
        <w:gridCol w:w="68"/>
        <w:gridCol w:w="1550"/>
        <w:gridCol w:w="36"/>
        <w:gridCol w:w="69"/>
        <w:gridCol w:w="1551"/>
        <w:gridCol w:w="36"/>
        <w:gridCol w:w="69"/>
        <w:gridCol w:w="1551"/>
        <w:gridCol w:w="36"/>
        <w:gridCol w:w="69"/>
        <w:gridCol w:w="1551"/>
        <w:gridCol w:w="36"/>
        <w:gridCol w:w="69"/>
        <w:gridCol w:w="1551"/>
        <w:gridCol w:w="36"/>
      </w:tblGrid>
      <w:tr w:rsidR="00000000">
        <w:trPr>
          <w:jc w:val="center"/>
        </w:trPr>
        <w:tc>
          <w:tcPr>
            <w:tcW w:w="50" w:type="pct"/>
            <w:vAlign w:val="center"/>
            <w:hideMark/>
          </w:tcPr>
          <w:p w:rsidR="00000000" w:rsidRDefault="00943C43">
            <w:pPr>
              <w:jc w:val="both"/>
              <w:rPr>
                <w:rFonts w:eastAsia="Times New Roman"/>
              </w:rPr>
            </w:pPr>
          </w:p>
        </w:tc>
        <w:tc>
          <w:tcPr>
            <w:tcW w:w="9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9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9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9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9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trHeight w:val="60"/>
          <w:jc w:val="center"/>
        </w:trPr>
        <w:tc>
          <w:tcPr>
            <w:tcW w:w="0" w:type="auto"/>
            <w:gridSpan w:val="15"/>
            <w:tcBorders>
              <w:top w:val="single" w:sz="8" w:space="0" w:color="000000"/>
              <w:bottom w:val="single" w:sz="8" w:space="0" w:color="000000"/>
            </w:tcBorders>
            <w:tcMar>
              <w:top w:w="0" w:type="dxa"/>
              <w:left w:w="20" w:type="dxa"/>
              <w:bottom w:w="0" w:type="dxa"/>
              <w:right w:w="20" w:type="dxa"/>
            </w:tcMar>
            <w:vAlign w:val="center"/>
            <w:hideMark/>
          </w:tcPr>
          <w:p w:rsidR="00000000" w:rsidRDefault="00943C43">
            <w:pPr>
              <w:spacing w:after="100"/>
              <w:rPr>
                <w:rFonts w:eastAsia="Times New Roman"/>
                <w:sz w:val="20"/>
                <w:szCs w:val="20"/>
              </w:rPr>
            </w:pPr>
          </w:p>
        </w:tc>
      </w:tr>
    </w:tbl>
    <w:p w:rsidR="00000000" w:rsidRDefault="00943C43">
      <w:pPr>
        <w:jc w:val="center"/>
        <w:rPr>
          <w:rFonts w:eastAsia="Times New Roman"/>
        </w:rPr>
      </w:pPr>
      <w:r>
        <w:rPr>
          <w:rFonts w:eastAsia="Times New Roman"/>
          <w:b/>
          <w:bCs/>
          <w:color w:val="000000"/>
          <w:sz w:val="32"/>
          <w:szCs w:val="32"/>
        </w:rPr>
        <w:t>UNITED STATES SECURITIES AND EXCHANGE COMMISSION</w:t>
      </w:r>
    </w:p>
    <w:p w:rsidR="00000000" w:rsidRDefault="00943C43">
      <w:pPr>
        <w:jc w:val="center"/>
        <w:rPr>
          <w:rFonts w:eastAsia="Times New Roman"/>
        </w:rPr>
      </w:pPr>
      <w:r>
        <w:rPr>
          <w:rFonts w:eastAsia="Times New Roman"/>
          <w:b/>
          <w:bCs/>
          <w:color w:val="000000"/>
        </w:rPr>
        <w:t>Washington, D.C. 20549</w:t>
      </w:r>
    </w:p>
    <w:p w:rsidR="00000000" w:rsidRDefault="00943C43">
      <w:pPr>
        <w:jc w:val="center"/>
        <w:divId w:val="741757376"/>
        <w:rPr>
          <w:rFonts w:eastAsia="Times New Roman"/>
        </w:rPr>
      </w:pPr>
      <w:r>
        <w:rPr>
          <w:rFonts w:eastAsia="Times New Roman"/>
          <w:color w:val="000000"/>
          <w:sz w:val="20"/>
          <w:szCs w:val="20"/>
        </w:rPr>
        <w:t>_____________________________________________</w:t>
      </w:r>
    </w:p>
    <w:p w:rsidR="00000000" w:rsidRDefault="00943C43">
      <w:pPr>
        <w:jc w:val="center"/>
        <w:divId w:val="1423334459"/>
        <w:rPr>
          <w:rFonts w:eastAsia="Times New Roman"/>
        </w:rPr>
      </w:pPr>
      <w:r>
        <w:rPr>
          <w:rFonts w:eastAsia="Times New Roman"/>
          <w:b/>
          <w:bCs/>
          <w:color w:val="000000"/>
          <w:sz w:val="32"/>
          <w:szCs w:val="32"/>
        </w:rPr>
        <w:t xml:space="preserve">FORM 10-Q </w:t>
      </w:r>
    </w:p>
    <w:p w:rsidR="00000000" w:rsidRDefault="00943C43">
      <w:pPr>
        <w:jc w:val="center"/>
        <w:rPr>
          <w:rFonts w:eastAsia="Times New Roman"/>
        </w:rPr>
      </w:pPr>
      <w:r>
        <w:rPr>
          <w:rFonts w:eastAsia="Times New Roman"/>
          <w:color w:val="000000"/>
          <w:sz w:val="20"/>
          <w:szCs w:val="20"/>
        </w:rPr>
        <w:t>_____________________________________________</w:t>
      </w:r>
    </w:p>
    <w:p w:rsidR="00000000" w:rsidRDefault="00943C43">
      <w:pPr>
        <w:divId w:val="1434587669"/>
        <w:rPr>
          <w:rFonts w:eastAsia="Times New Roman"/>
        </w:rPr>
      </w:pPr>
      <w:r>
        <w:rPr>
          <w:rFonts w:eastAsia="Times New Roman"/>
          <w:color w:val="000000"/>
          <w:sz w:val="20"/>
          <w:szCs w:val="20"/>
        </w:rPr>
        <w:t> </w:t>
      </w:r>
      <w:r>
        <w:rPr>
          <w:rFonts w:eastAsia="Times New Roman"/>
          <w:b/>
          <w:bCs/>
          <w:color w:val="000000"/>
          <w:sz w:val="16"/>
          <w:szCs w:val="16"/>
        </w:rPr>
        <w:t>(Mark One)</w:t>
      </w:r>
    </w:p>
    <w:tbl>
      <w:tblPr>
        <w:tblW w:w="4996" w:type="pct"/>
        <w:tblCellMar>
          <w:top w:w="15" w:type="dxa"/>
          <w:left w:w="15" w:type="dxa"/>
          <w:bottom w:w="15" w:type="dxa"/>
          <w:right w:w="15" w:type="dxa"/>
        </w:tblCellMar>
        <w:tblLook w:val="04A0" w:firstRow="1" w:lastRow="0" w:firstColumn="1" w:lastColumn="0" w:noHBand="0" w:noVBand="1"/>
      </w:tblPr>
      <w:tblGrid>
        <w:gridCol w:w="37"/>
        <w:gridCol w:w="284"/>
        <w:gridCol w:w="36"/>
        <w:gridCol w:w="37"/>
        <w:gridCol w:w="7869"/>
        <w:gridCol w:w="36"/>
      </w:tblGrid>
      <w:tr w:rsidR="00000000">
        <w:trPr>
          <w:divId w:val="2136672864"/>
        </w:trPr>
        <w:tc>
          <w:tcPr>
            <w:tcW w:w="5" w:type="pct"/>
            <w:vAlign w:val="center"/>
            <w:hideMark/>
          </w:tcPr>
          <w:p w:rsidR="00000000" w:rsidRDefault="00943C43">
            <w:pPr>
              <w:rPr>
                <w:rFonts w:eastAsia="Times New Roman"/>
              </w:rPr>
            </w:pPr>
          </w:p>
        </w:tc>
        <w:tc>
          <w:tcPr>
            <w:tcW w:w="92"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842"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2136672864"/>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b/>
                <w:bCs/>
                <w:color w:val="000000"/>
                <w:sz w:val="20"/>
                <w:szCs w:val="20"/>
              </w:rPr>
              <w:t>QUARTERLY REPORT PURSUANT TO SECTION 13 OR 15(d) OF THE SECURITIES EXCHANGE ACT OF 1934</w:t>
            </w:r>
          </w:p>
        </w:tc>
      </w:tr>
    </w:tbl>
    <w:p w:rsidR="00000000" w:rsidRDefault="00943C43">
      <w:pPr>
        <w:jc w:val="center"/>
        <w:divId w:val="146677077"/>
        <w:rPr>
          <w:rFonts w:eastAsia="Times New Roman"/>
        </w:rPr>
      </w:pPr>
      <w:r>
        <w:rPr>
          <w:rFonts w:eastAsia="Times New Roman"/>
          <w:b/>
          <w:bCs/>
          <w:color w:val="000000"/>
          <w:sz w:val="20"/>
          <w:szCs w:val="20"/>
        </w:rPr>
        <w:t xml:space="preserve">For the quarterly period ended March 31, 2022 </w:t>
      </w:r>
    </w:p>
    <w:p w:rsidR="00000000" w:rsidRDefault="00943C43">
      <w:pPr>
        <w:jc w:val="center"/>
        <w:divId w:val="1239317935"/>
        <w:rPr>
          <w:rFonts w:eastAsia="Times New Roman"/>
        </w:rPr>
      </w:pPr>
      <w:r>
        <w:rPr>
          <w:rFonts w:eastAsia="Times New Roman"/>
          <w:b/>
          <w:bCs/>
          <w:color w:val="000000"/>
          <w:sz w:val="20"/>
          <w:szCs w:val="20"/>
        </w:rPr>
        <w:t>or</w:t>
      </w:r>
    </w:p>
    <w:tbl>
      <w:tblPr>
        <w:tblW w:w="4996" w:type="pct"/>
        <w:jc w:val="center"/>
        <w:tblCellMar>
          <w:top w:w="15" w:type="dxa"/>
          <w:left w:w="15" w:type="dxa"/>
          <w:bottom w:w="15" w:type="dxa"/>
          <w:right w:w="15" w:type="dxa"/>
        </w:tblCellMar>
        <w:tblLook w:val="04A0" w:firstRow="1" w:lastRow="0" w:firstColumn="1" w:lastColumn="0" w:noHBand="0" w:noVBand="1"/>
      </w:tblPr>
      <w:tblGrid>
        <w:gridCol w:w="37"/>
        <w:gridCol w:w="192"/>
        <w:gridCol w:w="36"/>
        <w:gridCol w:w="37"/>
        <w:gridCol w:w="7961"/>
        <w:gridCol w:w="36"/>
      </w:tblGrid>
      <w:tr w:rsidR="00000000">
        <w:trPr>
          <w:divId w:val="1485974715"/>
          <w:jc w:val="center"/>
        </w:trPr>
        <w:tc>
          <w:tcPr>
            <w:tcW w:w="5" w:type="pct"/>
            <w:vAlign w:val="center"/>
            <w:hideMark/>
          </w:tcPr>
          <w:p w:rsidR="00000000" w:rsidRDefault="00943C43">
            <w:pPr>
              <w:jc w:val="center"/>
              <w:rPr>
                <w:rFonts w:eastAsia="Times New Roman"/>
              </w:rPr>
            </w:pPr>
          </w:p>
        </w:tc>
        <w:tc>
          <w:tcPr>
            <w:tcW w:w="92"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842"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1485974715"/>
          <w:jc w:val="center"/>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rsidR="00000000" w:rsidRDefault="00943C43">
      <w:pPr>
        <w:jc w:val="center"/>
        <w:divId w:val="458301665"/>
        <w:rPr>
          <w:rFonts w:eastAsia="Times New Roman"/>
        </w:rPr>
      </w:pPr>
      <w:r>
        <w:rPr>
          <w:rFonts w:eastAsia="Times New Roman"/>
          <w:b/>
          <w:bCs/>
          <w:color w:val="000000"/>
          <w:sz w:val="20"/>
          <w:szCs w:val="20"/>
        </w:rPr>
        <w:t>For the transition period from          to</w:t>
      </w:r>
    </w:p>
    <w:p w:rsidR="00000000" w:rsidRDefault="00943C43">
      <w:pPr>
        <w:jc w:val="center"/>
        <w:divId w:val="1999730324"/>
        <w:rPr>
          <w:rFonts w:eastAsia="Times New Roman"/>
        </w:rPr>
      </w:pPr>
      <w:r>
        <w:rPr>
          <w:rFonts w:eastAsia="Times New Roman"/>
          <w:b/>
          <w:bCs/>
          <w:color w:val="000000"/>
          <w:sz w:val="20"/>
          <w:szCs w:val="20"/>
        </w:rPr>
        <w:t xml:space="preserve">Commission file number: 001-33520 </w:t>
      </w:r>
    </w:p>
    <w:p w:rsidR="00000000" w:rsidRDefault="00943C43">
      <w:pPr>
        <w:jc w:val="center"/>
        <w:divId w:val="824395301"/>
        <w:rPr>
          <w:rFonts w:eastAsia="Times New Roman"/>
        </w:rPr>
      </w:pPr>
      <w:r>
        <w:rPr>
          <w:rFonts w:eastAsia="Times New Roman"/>
          <w:color w:val="000000"/>
          <w:sz w:val="20"/>
          <w:szCs w:val="20"/>
        </w:rPr>
        <w:t>_____________________________________________</w:t>
      </w:r>
    </w:p>
    <w:p w:rsidR="00000000" w:rsidRDefault="00943C43">
      <w:pPr>
        <w:jc w:val="center"/>
        <w:rPr>
          <w:rFonts w:eastAsia="Times New Roman"/>
        </w:rPr>
      </w:pPr>
      <w:r>
        <w:rPr>
          <w:rFonts w:eastAsia="Times New Roman"/>
          <w:b/>
          <w:bCs/>
          <w:color w:val="000000"/>
          <w:sz w:val="48"/>
          <w:szCs w:val="48"/>
        </w:rPr>
        <w:t>COMSCORE, INC.</w:t>
      </w:r>
    </w:p>
    <w:p w:rsidR="00000000" w:rsidRDefault="00943C43">
      <w:pPr>
        <w:jc w:val="center"/>
        <w:rPr>
          <w:rFonts w:eastAsia="Times New Roman"/>
        </w:rPr>
      </w:pPr>
      <w:r>
        <w:rPr>
          <w:rFonts w:eastAsia="Times New Roman"/>
          <w:b/>
          <w:bCs/>
          <w:color w:val="000000"/>
          <w:sz w:val="20"/>
          <w:szCs w:val="20"/>
        </w:rPr>
        <w:t>(Exact name of registrant as specified in its charter)</w:t>
      </w:r>
    </w:p>
    <w:p w:rsidR="00000000" w:rsidRDefault="00943C43">
      <w:pPr>
        <w:jc w:val="center"/>
        <w:rPr>
          <w:rFonts w:eastAsia="Times New Roman"/>
        </w:rPr>
      </w:pPr>
      <w:r>
        <w:rPr>
          <w:rFonts w:eastAsia="Times New Roman"/>
          <w:color w:val="000000"/>
          <w:sz w:val="20"/>
          <w:szCs w:val="20"/>
        </w:rPr>
        <w:t>_____________________________________________</w:t>
      </w:r>
    </w:p>
    <w:tbl>
      <w:tblPr>
        <w:tblW w:w="4989" w:type="pct"/>
        <w:tblCellMar>
          <w:top w:w="15" w:type="dxa"/>
          <w:left w:w="15" w:type="dxa"/>
          <w:bottom w:w="15" w:type="dxa"/>
          <w:right w:w="15" w:type="dxa"/>
        </w:tblCellMar>
        <w:tblLook w:val="04A0" w:firstRow="1" w:lastRow="0" w:firstColumn="1" w:lastColumn="0" w:noHBand="0" w:noVBand="1"/>
      </w:tblPr>
      <w:tblGrid>
        <w:gridCol w:w="53"/>
        <w:gridCol w:w="4001"/>
        <w:gridCol w:w="36"/>
        <w:gridCol w:w="36"/>
        <w:gridCol w:w="36"/>
        <w:gridCol w:w="36"/>
        <w:gridCol w:w="53"/>
        <w:gridCol w:w="4001"/>
        <w:gridCol w:w="36"/>
      </w:tblGrid>
      <w:tr w:rsidR="00000000">
        <w:trPr>
          <w:divId w:val="1571034261"/>
        </w:trPr>
        <w:tc>
          <w:tcPr>
            <w:tcW w:w="50" w:type="pct"/>
            <w:vAlign w:val="center"/>
            <w:hideMark/>
          </w:tcPr>
          <w:p w:rsidR="00000000" w:rsidRDefault="00943C43">
            <w:pPr>
              <w:jc w:val="center"/>
              <w:rPr>
                <w:rFonts w:eastAsia="Times New Roman"/>
              </w:rPr>
            </w:pPr>
          </w:p>
        </w:tc>
        <w:tc>
          <w:tcPr>
            <w:tcW w:w="2432"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2432"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1571034261"/>
        </w:trPr>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Delaware</w:t>
            </w:r>
          </w:p>
        </w:tc>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54-1955550</w:t>
            </w:r>
          </w:p>
        </w:tc>
      </w:tr>
      <w:tr w:rsidR="00000000">
        <w:trPr>
          <w:divId w:val="1571034261"/>
        </w:trPr>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(I.R.S. Employer Identification Number)</w:t>
            </w:r>
          </w:p>
        </w:tc>
      </w:tr>
    </w:tbl>
    <w:p w:rsidR="00000000" w:rsidRDefault="00943C43">
      <w:pPr>
        <w:jc w:val="center"/>
        <w:rPr>
          <w:rFonts w:eastAsia="Times New Roman"/>
        </w:rPr>
      </w:pPr>
    </w:p>
    <w:p w:rsidR="00000000" w:rsidRDefault="00943C43">
      <w:pPr>
        <w:jc w:val="center"/>
        <w:divId w:val="914389800"/>
        <w:rPr>
          <w:rFonts w:eastAsia="Times New Roman"/>
        </w:rPr>
      </w:pPr>
      <w:r>
        <w:rPr>
          <w:rFonts w:eastAsia="Times New Roman"/>
          <w:b/>
          <w:bCs/>
          <w:color w:val="000000"/>
          <w:sz w:val="20"/>
          <w:szCs w:val="20"/>
        </w:rPr>
        <w:t xml:space="preserve">11950 Democracy Drive, Suite 600 </w:t>
      </w:r>
    </w:p>
    <w:p w:rsidR="00000000" w:rsidRDefault="00943C43">
      <w:pPr>
        <w:jc w:val="center"/>
        <w:rPr>
          <w:rFonts w:eastAsia="Times New Roman"/>
        </w:rPr>
      </w:pPr>
      <w:r>
        <w:rPr>
          <w:rFonts w:eastAsia="Times New Roman"/>
          <w:b/>
          <w:bCs/>
          <w:color w:val="000000"/>
          <w:sz w:val="20"/>
          <w:szCs w:val="20"/>
        </w:rPr>
        <w:t xml:space="preserve">Reston, Virginia 20190 </w:t>
      </w:r>
    </w:p>
    <w:p w:rsidR="00000000" w:rsidRDefault="00943C43">
      <w:pPr>
        <w:jc w:val="center"/>
        <w:rPr>
          <w:rFonts w:eastAsia="Times New Roman"/>
        </w:rPr>
      </w:pPr>
      <w:r>
        <w:rPr>
          <w:rFonts w:eastAsia="Times New Roman"/>
          <w:b/>
          <w:bCs/>
          <w:i/>
          <w:iCs/>
          <w:color w:val="000000"/>
          <w:sz w:val="16"/>
          <w:szCs w:val="16"/>
        </w:rPr>
        <w:t>(Address of Principal Executive Offices)</w:t>
      </w:r>
    </w:p>
    <w:p w:rsidR="00000000" w:rsidRDefault="00943C43">
      <w:pPr>
        <w:jc w:val="center"/>
        <w:divId w:val="1787040429"/>
        <w:rPr>
          <w:rFonts w:eastAsia="Times New Roman"/>
        </w:rPr>
      </w:pPr>
      <w:r>
        <w:rPr>
          <w:rFonts w:eastAsia="Times New Roman"/>
          <w:b/>
          <w:bCs/>
          <w:color w:val="000000"/>
          <w:sz w:val="20"/>
          <w:szCs w:val="20"/>
        </w:rPr>
        <w:t xml:space="preserve">(703) 438-2000 </w:t>
      </w:r>
    </w:p>
    <w:p w:rsidR="00000000" w:rsidRDefault="00943C43">
      <w:pPr>
        <w:jc w:val="center"/>
        <w:rPr>
          <w:rFonts w:eastAsia="Times New Roman"/>
        </w:rPr>
      </w:pPr>
      <w:r>
        <w:rPr>
          <w:rFonts w:eastAsia="Times New Roman"/>
          <w:b/>
          <w:bCs/>
          <w:i/>
          <w:iCs/>
          <w:color w:val="000000"/>
          <w:sz w:val="16"/>
          <w:szCs w:val="16"/>
        </w:rPr>
        <w:t>(Registrant's Telephone Number, Including Area Code)</w:t>
      </w:r>
    </w:p>
    <w:p w:rsidR="00000000" w:rsidRDefault="00943C43">
      <w:pPr>
        <w:jc w:val="center"/>
        <w:rPr>
          <w:rFonts w:eastAsia="Times New Roman"/>
        </w:rPr>
      </w:pPr>
      <w:r>
        <w:rPr>
          <w:rFonts w:eastAsia="Times New Roman"/>
          <w:color w:val="000000"/>
          <w:sz w:val="20"/>
          <w:szCs w:val="20"/>
        </w:rPr>
        <w:t>_____________________________________________</w:t>
      </w:r>
    </w:p>
    <w:p w:rsidR="00000000" w:rsidRDefault="00943C43">
      <w:pPr>
        <w:jc w:val="both"/>
        <w:divId w:val="195394697"/>
        <w:rPr>
          <w:rFonts w:eastAsia="Times New Roman"/>
        </w:rPr>
      </w:pPr>
      <w:r>
        <w:rPr>
          <w:rFonts w:eastAsia="Times New Roman"/>
          <w:color w:val="000000"/>
          <w:sz w:val="18"/>
          <w:szCs w:val="18"/>
        </w:rPr>
        <w:t>Securities registered pursuant to Section 12(b) of the Act:</w:t>
      </w:r>
    </w:p>
    <w:tbl>
      <w:tblPr>
        <w:tblW w:w="4989" w:type="pct"/>
        <w:jc w:val="center"/>
        <w:tblCellMar>
          <w:top w:w="15" w:type="dxa"/>
          <w:left w:w="15" w:type="dxa"/>
          <w:bottom w:w="15" w:type="dxa"/>
          <w:right w:w="15" w:type="dxa"/>
        </w:tblCellMar>
        <w:tblLook w:val="04A0" w:firstRow="1" w:lastRow="0" w:firstColumn="1" w:lastColumn="0" w:noHBand="0" w:noVBand="1"/>
      </w:tblPr>
      <w:tblGrid>
        <w:gridCol w:w="46"/>
        <w:gridCol w:w="3184"/>
        <w:gridCol w:w="37"/>
        <w:gridCol w:w="36"/>
        <w:gridCol w:w="36"/>
        <w:gridCol w:w="36"/>
        <w:gridCol w:w="46"/>
        <w:gridCol w:w="1454"/>
        <w:gridCol w:w="36"/>
        <w:gridCol w:w="36"/>
        <w:gridCol w:w="36"/>
        <w:gridCol w:w="36"/>
        <w:gridCol w:w="47"/>
        <w:gridCol w:w="3185"/>
        <w:gridCol w:w="37"/>
      </w:tblGrid>
      <w:tr w:rsidR="00000000">
        <w:trPr>
          <w:divId w:val="1883592801"/>
          <w:jc w:val="center"/>
        </w:trPr>
        <w:tc>
          <w:tcPr>
            <w:tcW w:w="50" w:type="pct"/>
            <w:vAlign w:val="center"/>
            <w:hideMark/>
          </w:tcPr>
          <w:p w:rsidR="00000000" w:rsidRDefault="00943C43">
            <w:pPr>
              <w:jc w:val="both"/>
              <w:rPr>
                <w:rFonts w:eastAsia="Times New Roman"/>
              </w:rPr>
            </w:pPr>
          </w:p>
        </w:tc>
        <w:tc>
          <w:tcPr>
            <w:tcW w:w="1942"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898"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1942"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1883592801"/>
          <w:jc w:val="center"/>
        </w:trPr>
        <w:tc>
          <w:tcPr>
            <w:tcW w:w="0" w:type="auto"/>
            <w:gridSpan w:val="3"/>
            <w:tcMar>
              <w:top w:w="30" w:type="dxa"/>
              <w:left w:w="20" w:type="dxa"/>
              <w:bottom w:w="30" w:type="dxa"/>
              <w:right w:w="20" w:type="dxa"/>
            </w:tcMar>
            <w:vAlign w:val="center"/>
            <w:hideMark/>
          </w:tcPr>
          <w:p w:rsidR="00000000" w:rsidRDefault="00943C43">
            <w:pPr>
              <w:spacing w:after="100"/>
              <w:jc w:val="center"/>
              <w:rPr>
                <w:rFonts w:eastAsia="Times New Roman"/>
              </w:rPr>
            </w:pPr>
            <w:r>
              <w:rPr>
                <w:rFonts w:eastAsia="Times New Roman"/>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3C43">
            <w:pPr>
              <w:spacing w:after="100"/>
              <w:jc w:val="center"/>
              <w:rPr>
                <w:rFonts w:eastAsia="Times New Roman"/>
              </w:rPr>
            </w:pPr>
            <w:r>
              <w:rPr>
                <w:rFonts w:eastAsia="Times New Roman"/>
                <w:color w:val="000000"/>
                <w:sz w:val="16"/>
                <w:szCs w:val="16"/>
              </w:rPr>
              <w:t>Trading Symbol</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3C43">
            <w:pPr>
              <w:spacing w:after="100"/>
              <w:jc w:val="center"/>
              <w:rPr>
                <w:rFonts w:eastAsia="Times New Roman"/>
              </w:rPr>
            </w:pPr>
            <w:r>
              <w:rPr>
                <w:rFonts w:eastAsia="Times New Roman"/>
                <w:color w:val="000000"/>
                <w:sz w:val="16"/>
                <w:szCs w:val="16"/>
              </w:rPr>
              <w:t>Name of Each Exchange on Which Registered</w:t>
            </w:r>
          </w:p>
        </w:tc>
      </w:tr>
      <w:tr w:rsidR="00000000">
        <w:trPr>
          <w:divId w:val="1883592801"/>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43C43">
            <w:pPr>
              <w:spacing w:after="100"/>
              <w:jc w:val="center"/>
              <w:rPr>
                <w:rFonts w:eastAsia="Times New Roman"/>
              </w:rPr>
            </w:pPr>
            <w:r>
              <w:rPr>
                <w:rFonts w:eastAsia="Times New Roman"/>
                <w:color w:val="000000"/>
                <w:sz w:val="18"/>
                <w:szCs w:val="18"/>
              </w:rPr>
              <w:t>Common Stock, par value $0.001 per share</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43C43">
            <w:pPr>
              <w:spacing w:after="100"/>
              <w:jc w:val="center"/>
              <w:rPr>
                <w:rFonts w:eastAsia="Times New Roman"/>
              </w:rPr>
            </w:pPr>
            <w:r>
              <w:rPr>
                <w:rFonts w:eastAsia="Times New Roman"/>
                <w:color w:val="000000"/>
                <w:sz w:val="18"/>
                <w:szCs w:val="18"/>
              </w:rPr>
              <w:t>SCOR</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43C43">
            <w:pPr>
              <w:spacing w:after="100"/>
              <w:jc w:val="center"/>
              <w:rPr>
                <w:rFonts w:eastAsia="Times New Roman"/>
              </w:rPr>
            </w:pPr>
            <w:r>
              <w:rPr>
                <w:rFonts w:eastAsia="Times New Roman"/>
                <w:color w:val="000000"/>
                <w:sz w:val="18"/>
                <w:szCs w:val="18"/>
              </w:rPr>
              <w:t>NASDAQ Global Select Market</w:t>
            </w:r>
          </w:p>
        </w:tc>
      </w:tr>
    </w:tbl>
    <w:p w:rsidR="00000000" w:rsidRDefault="00943C43">
      <w:pPr>
        <w:jc w:val="both"/>
        <w:divId w:val="635716983"/>
        <w:rPr>
          <w:rFonts w:eastAsia="Times New Roman"/>
        </w:rPr>
      </w:pPr>
      <w:r>
        <w:rPr>
          <w:rFonts w:eastAsia="Times New Roman"/>
          <w:color w:val="000000"/>
          <w:sz w:val="18"/>
          <w:szCs w:val="18"/>
        </w:rPr>
        <w:t>Indicate by check mark whether the registrant (1) </w:t>
      </w:r>
      <w:r>
        <w:rPr>
          <w:rFonts w:eastAsia="Times New Roman"/>
          <w:color w:val="000000"/>
          <w:sz w:val="18"/>
          <w:szCs w:val="18"/>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eastAsia="Times New Roman"/>
          <w:color w:val="000000"/>
          <w:sz w:val="18"/>
          <w:szCs w:val="18"/>
        </w:rPr>
        <w:t>ing requirements for the past 90 days.     Yes </w:t>
      </w:r>
      <w:r>
        <w:rPr>
          <w:rFonts w:ascii="Segoe UI Emoji" w:eastAsia="Times New Roman" w:hAnsi="Segoe UI Emoji" w:cs="Segoe UI Emoji"/>
          <w:color w:val="000000"/>
          <w:sz w:val="18"/>
          <w:szCs w:val="18"/>
        </w:rPr>
        <w:t>☑</w:t>
      </w:r>
      <w:r>
        <w:rPr>
          <w:rFonts w:ascii="Wingdings" w:eastAsia="Times New Roman" w:hAnsi="Wingdings"/>
          <w:color w:val="000000"/>
          <w:sz w:val="18"/>
          <w:szCs w:val="18"/>
        </w:rPr>
        <w:t xml:space="preserve"> </w:t>
      </w:r>
      <w:r>
        <w:rPr>
          <w:rFonts w:eastAsia="Times New Roman"/>
          <w:color w:val="000000"/>
          <w:sz w:val="18"/>
          <w:szCs w:val="18"/>
        </w:rPr>
        <w:t>No </w:t>
      </w:r>
      <w:r>
        <w:rPr>
          <w:rFonts w:ascii="Segoe UI Symbol" w:eastAsia="Times New Roman" w:hAnsi="Segoe UI Symbol" w:cs="Segoe UI Symbol"/>
          <w:color w:val="000000"/>
          <w:sz w:val="18"/>
          <w:szCs w:val="18"/>
        </w:rPr>
        <w:t>☐</w:t>
      </w:r>
    </w:p>
    <w:p w:rsidR="00000000" w:rsidRDefault="00943C43">
      <w:pPr>
        <w:jc w:val="both"/>
        <w:divId w:val="2143234014"/>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18"/>
          <w:szCs w:val="18"/>
        </w:rPr>
        <w:t>t the registrant was required to submit such files).   Yes </w:t>
      </w:r>
      <w:r>
        <w:rPr>
          <w:rFonts w:ascii="Segoe UI Emoji" w:eastAsia="Times New Roman" w:hAnsi="Segoe UI Emoji" w:cs="Segoe UI Emoji"/>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rsidR="00000000" w:rsidRDefault="00943C43">
      <w:pPr>
        <w:jc w:val="both"/>
        <w:divId w:val="70320229"/>
        <w:rPr>
          <w:rFonts w:eastAsia="Times New Roman"/>
        </w:rPr>
      </w:pPr>
      <w:r>
        <w:rPr>
          <w:rFonts w:eastAsia="Times New Roman"/>
          <w:color w:val="000000"/>
          <w:sz w:val="18"/>
          <w:szCs w:val="18"/>
        </w:rPr>
        <w:t>Indicate by check mark whether the registrant is a large accelerated filer, an accelerated filer, a non-accelerated filer, a smaller reporting company, or an emerging growth company. See th</w:t>
      </w:r>
      <w:r>
        <w:rPr>
          <w:rFonts w:eastAsia="Times New Roman"/>
          <w:color w:val="000000"/>
          <w:sz w:val="18"/>
          <w:szCs w:val="18"/>
        </w:rPr>
        <w:t>e definitions of "large accelerated filer," "accelerated filer," "smaller reporting company," and "emerging growth company" in Rule 12b-2 of the Exchange Act.</w:t>
      </w:r>
    </w:p>
    <w:tbl>
      <w:tblPr>
        <w:tblW w:w="4989" w:type="pct"/>
        <w:tblCellMar>
          <w:top w:w="15" w:type="dxa"/>
          <w:left w:w="15" w:type="dxa"/>
          <w:bottom w:w="15" w:type="dxa"/>
          <w:right w:w="15" w:type="dxa"/>
        </w:tblCellMar>
        <w:tblLook w:val="04A0" w:firstRow="1" w:lastRow="0" w:firstColumn="1" w:lastColumn="0" w:noHBand="0" w:noVBand="1"/>
      </w:tblPr>
      <w:tblGrid>
        <w:gridCol w:w="62"/>
        <w:gridCol w:w="2036"/>
        <w:gridCol w:w="36"/>
        <w:gridCol w:w="62"/>
        <w:gridCol w:w="176"/>
        <w:gridCol w:w="36"/>
        <w:gridCol w:w="63"/>
        <w:gridCol w:w="2838"/>
        <w:gridCol w:w="36"/>
        <w:gridCol w:w="36"/>
        <w:gridCol w:w="144"/>
        <w:gridCol w:w="36"/>
        <w:gridCol w:w="78"/>
        <w:gridCol w:w="2022"/>
        <w:gridCol w:w="36"/>
        <w:gridCol w:w="63"/>
        <w:gridCol w:w="176"/>
        <w:gridCol w:w="36"/>
        <w:gridCol w:w="83"/>
        <w:gridCol w:w="197"/>
        <w:gridCol w:w="36"/>
      </w:tblGrid>
      <w:tr w:rsidR="00000000">
        <w:trPr>
          <w:divId w:val="1870338291"/>
        </w:trPr>
        <w:tc>
          <w:tcPr>
            <w:tcW w:w="50" w:type="pct"/>
            <w:vAlign w:val="center"/>
            <w:hideMark/>
          </w:tcPr>
          <w:p w:rsidR="00000000" w:rsidRDefault="00943C43">
            <w:pPr>
              <w:jc w:val="both"/>
              <w:rPr>
                <w:rFonts w:eastAsia="Times New Roman"/>
              </w:rPr>
            </w:pPr>
          </w:p>
        </w:tc>
        <w:tc>
          <w:tcPr>
            <w:tcW w:w="1240"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118"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1723"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9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1240"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118"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11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1870338291"/>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lastRenderedPageBreak/>
              <w:t>Large accelerated filer</w:t>
            </w:r>
          </w:p>
        </w:tc>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Accelerated filer</w:t>
            </w:r>
          </w:p>
        </w:tc>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ascii="Segoe UI Emoji" w:eastAsia="Times New Roman" w:hAnsi="Segoe UI Emoji" w:cs="Segoe UI Emoji"/>
                <w:color w:val="000000"/>
                <w:sz w:val="18"/>
                <w:szCs w:val="18"/>
              </w:rPr>
              <w:t>☑</w:t>
            </w:r>
          </w:p>
        </w:tc>
      </w:tr>
      <w:tr w:rsidR="00000000">
        <w:trPr>
          <w:divId w:val="1870338291"/>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Non-accelerated filer</w:t>
            </w:r>
          </w:p>
        </w:tc>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divId w:val="1017733356"/>
              <w:rPr>
                <w:rFonts w:eastAsia="Times New Roman"/>
              </w:rPr>
            </w:pPr>
            <w:r>
              <w:rPr>
                <w:rFonts w:ascii="Segoe UI Symbol" w:eastAsia="Times New Roman" w:hAnsi="Segoe UI Symbol" w:cs="Segoe UI Symbol"/>
                <w:color w:val="000000"/>
                <w:sz w:val="18"/>
                <w:szCs w:val="18"/>
              </w:rPr>
              <w:t>☐</w:t>
            </w: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Smaller reporting company</w:t>
            </w:r>
          </w:p>
        </w:tc>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ascii="Segoe UI Symbol" w:eastAsia="Times New Roman" w:hAnsi="Segoe UI Symbol" w:cs="Segoe UI Symbol"/>
                <w:color w:val="000000"/>
                <w:sz w:val="18"/>
                <w:szCs w:val="18"/>
              </w:rPr>
              <w:t>☐</w:t>
            </w:r>
          </w:p>
        </w:tc>
      </w:tr>
      <w:tr w:rsidR="00000000">
        <w:trPr>
          <w:divId w:val="1870338291"/>
        </w:trPr>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Emerging growth company</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ascii="Segoe UI Symbol" w:eastAsia="Times New Roman" w:hAnsi="Segoe UI Symbol" w:cs="Segoe UI Symbol"/>
                <w:color w:val="000000"/>
                <w:sz w:val="18"/>
                <w:szCs w:val="18"/>
              </w:rPr>
              <w:t>☐</w:t>
            </w:r>
          </w:p>
        </w:tc>
      </w:tr>
    </w:tbl>
    <w:p w:rsidR="00000000" w:rsidRDefault="00943C43">
      <w:pPr>
        <w:jc w:val="both"/>
        <w:divId w:val="925724206"/>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rsidR="00000000" w:rsidRDefault="00943C43">
      <w:pPr>
        <w:jc w:val="both"/>
        <w:divId w:val="82801286"/>
        <w:rPr>
          <w:rFonts w:eastAsia="Times New Roman"/>
        </w:rPr>
      </w:pPr>
      <w:r>
        <w:rPr>
          <w:rFonts w:eastAsia="Times New Roman"/>
          <w:color w:val="000000"/>
          <w:sz w:val="18"/>
          <w:szCs w:val="18"/>
        </w:rPr>
        <w:t>Ind</w:t>
      </w:r>
      <w:r>
        <w:rPr>
          <w:rFonts w:eastAsia="Times New Roman"/>
          <w:color w:val="000000"/>
          <w:sz w:val="18"/>
          <w:szCs w:val="18"/>
        </w:rPr>
        <w:t>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Emoji" w:eastAsia="Times New Roman" w:hAnsi="Segoe UI Emoji" w:cs="Segoe UI Emoji"/>
          <w:color w:val="000000"/>
          <w:sz w:val="18"/>
          <w:szCs w:val="18"/>
        </w:rPr>
        <w:t>☑</w:t>
      </w:r>
    </w:p>
    <w:p w:rsidR="00000000" w:rsidRDefault="00943C43">
      <w:pPr>
        <w:jc w:val="both"/>
        <w:divId w:val="597911096"/>
        <w:rPr>
          <w:rFonts w:eastAsia="Times New Roman"/>
        </w:rPr>
      </w:pPr>
      <w:r>
        <w:rPr>
          <w:rFonts w:eastAsia="Times New Roman"/>
          <w:color w:val="000000"/>
          <w:sz w:val="18"/>
          <w:szCs w:val="18"/>
        </w:rPr>
        <w:t>Indicate the number of shares outstanding of each of the registrant</w:t>
      </w:r>
      <w:r>
        <w:rPr>
          <w:rFonts w:eastAsia="Times New Roman"/>
          <w:color w:val="000000"/>
          <w:sz w:val="20"/>
          <w:szCs w:val="20"/>
        </w:rPr>
        <w:t>'</w:t>
      </w:r>
      <w:r>
        <w:rPr>
          <w:rFonts w:eastAsia="Times New Roman"/>
          <w:color w:val="000000"/>
          <w:sz w:val="18"/>
          <w:szCs w:val="18"/>
        </w:rPr>
        <w:t>s classes of common stock, as of the latest practicable date:</w:t>
      </w:r>
      <w:r>
        <w:rPr>
          <w:rFonts w:eastAsia="Times New Roman"/>
          <w:color w:val="000000"/>
          <w:sz w:val="18"/>
          <w:szCs w:val="18"/>
        </w:rPr>
        <w:t xml:space="preserve"> As of May 6, 2022, there were 90,705,342 shares of the registrant's Common Stock outstanding.</w:t>
      </w:r>
    </w:p>
    <w:tbl>
      <w:tblPr>
        <w:tblW w:w="4983" w:type="pct"/>
        <w:jc w:val="center"/>
        <w:tblCellMar>
          <w:top w:w="15" w:type="dxa"/>
          <w:left w:w="15" w:type="dxa"/>
          <w:bottom w:w="15" w:type="dxa"/>
          <w:right w:w="15" w:type="dxa"/>
        </w:tblCellMar>
        <w:tblLook w:val="04A0" w:firstRow="1" w:lastRow="0" w:firstColumn="1" w:lastColumn="0" w:noHBand="0" w:noVBand="1"/>
      </w:tblPr>
      <w:tblGrid>
        <w:gridCol w:w="68"/>
        <w:gridCol w:w="1550"/>
        <w:gridCol w:w="36"/>
        <w:gridCol w:w="69"/>
        <w:gridCol w:w="1551"/>
        <w:gridCol w:w="36"/>
        <w:gridCol w:w="69"/>
        <w:gridCol w:w="1551"/>
        <w:gridCol w:w="36"/>
        <w:gridCol w:w="69"/>
        <w:gridCol w:w="1551"/>
        <w:gridCol w:w="36"/>
        <w:gridCol w:w="69"/>
        <w:gridCol w:w="1551"/>
        <w:gridCol w:w="36"/>
      </w:tblGrid>
      <w:tr w:rsidR="00000000">
        <w:trPr>
          <w:divId w:val="1585381604"/>
          <w:jc w:val="center"/>
        </w:trPr>
        <w:tc>
          <w:tcPr>
            <w:tcW w:w="50" w:type="pct"/>
            <w:vAlign w:val="center"/>
            <w:hideMark/>
          </w:tcPr>
          <w:p w:rsidR="00000000" w:rsidRDefault="00943C43">
            <w:pPr>
              <w:jc w:val="both"/>
              <w:rPr>
                <w:rFonts w:eastAsia="Times New Roman"/>
              </w:rPr>
            </w:pPr>
          </w:p>
        </w:tc>
        <w:tc>
          <w:tcPr>
            <w:tcW w:w="9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9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9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9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9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1585381604"/>
          <w:trHeight w:val="60"/>
          <w:jc w:val="center"/>
        </w:trPr>
        <w:tc>
          <w:tcPr>
            <w:tcW w:w="0" w:type="auto"/>
            <w:gridSpan w:val="15"/>
            <w:tcBorders>
              <w:top w:val="single" w:sz="8" w:space="0" w:color="000000"/>
              <w:bottom w:val="single" w:sz="8" w:space="0" w:color="000000"/>
            </w:tcBorders>
            <w:tcMar>
              <w:top w:w="0" w:type="dxa"/>
              <w:left w:w="20" w:type="dxa"/>
              <w:bottom w:w="0" w:type="dxa"/>
              <w:right w:w="20" w:type="dxa"/>
            </w:tcMar>
            <w:vAlign w:val="center"/>
            <w:hideMark/>
          </w:tcPr>
          <w:p w:rsidR="00000000" w:rsidRDefault="00943C43">
            <w:pPr>
              <w:spacing w:after="100"/>
              <w:rPr>
                <w:rFonts w:eastAsia="Times New Roman"/>
                <w:sz w:val="20"/>
                <w:szCs w:val="20"/>
              </w:rPr>
            </w:pPr>
          </w:p>
        </w:tc>
      </w:tr>
    </w:tbl>
    <w:p w:rsidR="00000000" w:rsidRDefault="00943C43">
      <w:pPr>
        <w:jc w:val="both"/>
        <w:divId w:val="1076780669"/>
        <w:rPr>
          <w:rFonts w:eastAsia="Times New Roman"/>
        </w:rPr>
      </w:pPr>
    </w:p>
    <w:p w:rsidR="00000000" w:rsidRDefault="00943C43">
      <w:pPr>
        <w:rPr>
          <w:rFonts w:eastAsia="Times New Roman"/>
        </w:rPr>
      </w:pPr>
      <w:r>
        <w:rPr>
          <w:rFonts w:eastAsia="Times New Roman"/>
        </w:rPr>
        <w:pict>
          <v:rect id="_x0000_i1025" style="width:0;height:1.5pt" o:hralign="center" o:hrstd="t" o:hr="t" fillcolor="#a0a0a0" stroked="f"/>
        </w:pict>
      </w:r>
    </w:p>
    <w:p w:rsidR="00000000" w:rsidRDefault="00943C43">
      <w:pPr>
        <w:divId w:val="947155610"/>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888147138"/>
        <w:rPr>
          <w:rFonts w:eastAsia="Times New Roman"/>
        </w:rPr>
      </w:pPr>
    </w:p>
    <w:p w:rsidR="00000000" w:rsidRDefault="00943C43">
      <w:pPr>
        <w:jc w:val="center"/>
        <w:rPr>
          <w:rFonts w:eastAsia="Times New Roman"/>
        </w:rPr>
      </w:pPr>
      <w:r>
        <w:rPr>
          <w:rFonts w:eastAsia="Times New Roman"/>
          <w:b/>
          <w:bCs/>
          <w:color w:val="000000"/>
          <w:sz w:val="20"/>
          <w:szCs w:val="20"/>
        </w:rPr>
        <w:t>COMSCORE, INC.</w:t>
      </w:r>
    </w:p>
    <w:p w:rsidR="00000000" w:rsidRDefault="00943C43">
      <w:pPr>
        <w:jc w:val="center"/>
        <w:divId w:val="1940599163"/>
        <w:rPr>
          <w:rFonts w:eastAsia="Times New Roman"/>
        </w:rPr>
      </w:pPr>
      <w:r>
        <w:rPr>
          <w:rFonts w:eastAsia="Times New Roman"/>
          <w:b/>
          <w:bCs/>
          <w:color w:val="000000"/>
          <w:sz w:val="20"/>
          <w:szCs w:val="20"/>
        </w:rPr>
        <w:t>QUARTERLY REPORT ON FORM 10-Q</w:t>
      </w:r>
    </w:p>
    <w:p w:rsidR="00000000" w:rsidRDefault="00943C43">
      <w:pPr>
        <w:jc w:val="center"/>
        <w:rPr>
          <w:rFonts w:eastAsia="Times New Roman"/>
        </w:rPr>
      </w:pPr>
      <w:r>
        <w:rPr>
          <w:rFonts w:eastAsia="Times New Roman"/>
          <w:b/>
          <w:bCs/>
          <w:color w:val="000000"/>
          <w:sz w:val="20"/>
          <w:szCs w:val="20"/>
        </w:rPr>
        <w:t>FOR THE QUARTER ENDED MARCH 31, 2022</w:t>
      </w:r>
    </w:p>
    <w:p w:rsidR="00000000" w:rsidRDefault="00943C43">
      <w:pPr>
        <w:jc w:val="center"/>
        <w:divId w:val="1313024512"/>
        <w:rPr>
          <w:rFonts w:eastAsia="Times New Roman"/>
        </w:rPr>
      </w:pPr>
      <w:r>
        <w:rPr>
          <w:rFonts w:eastAsia="Times New Roman"/>
          <w:b/>
          <w:bCs/>
          <w:color w:val="000000"/>
          <w:sz w:val="20"/>
          <w:szCs w:val="20"/>
        </w:rPr>
        <w:t>TABLE OF CONTENTS</w:t>
      </w:r>
    </w:p>
    <w:p w:rsidR="00000000" w:rsidRDefault="00943C43">
      <w:pPr>
        <w:jc w:val="both"/>
        <w:rPr>
          <w:rFonts w:eastAsia="Times New Roman"/>
        </w:rPr>
      </w:pPr>
      <w:r>
        <w:rPr>
          <w:rFonts w:eastAsia="Times New Roman"/>
          <w:color w:val="000000"/>
          <w:sz w:val="18"/>
          <w:szCs w:val="18"/>
        </w:rPr>
        <w:t> </w:t>
      </w:r>
    </w:p>
    <w:tbl>
      <w:tblPr>
        <w:tblW w:w="4996" w:type="pct"/>
        <w:jc w:val="center"/>
        <w:tblCellMar>
          <w:top w:w="15" w:type="dxa"/>
          <w:left w:w="15" w:type="dxa"/>
          <w:bottom w:w="15" w:type="dxa"/>
          <w:right w:w="15" w:type="dxa"/>
        </w:tblCellMar>
        <w:tblLook w:val="04A0" w:firstRow="1" w:lastRow="0" w:firstColumn="1" w:lastColumn="0" w:noHBand="0" w:noVBand="1"/>
      </w:tblPr>
      <w:tblGrid>
        <w:gridCol w:w="69"/>
        <w:gridCol w:w="7158"/>
        <w:gridCol w:w="37"/>
        <w:gridCol w:w="69"/>
        <w:gridCol w:w="930"/>
        <w:gridCol w:w="36"/>
      </w:tblGrid>
      <w:tr w:rsidR="00000000">
        <w:trPr>
          <w:divId w:val="994263926"/>
          <w:jc w:val="center"/>
        </w:trPr>
        <w:tc>
          <w:tcPr>
            <w:tcW w:w="50" w:type="pct"/>
            <w:vAlign w:val="center"/>
            <w:hideMark/>
          </w:tcPr>
          <w:p w:rsidR="00000000" w:rsidRDefault="00943C43">
            <w:pPr>
              <w:jc w:val="both"/>
              <w:rPr>
                <w:rFonts w:eastAsia="Times New Roman"/>
              </w:rPr>
            </w:pPr>
          </w:p>
        </w:tc>
        <w:tc>
          <w:tcPr>
            <w:tcW w:w="4320"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994263926"/>
          <w:jc w:val="center"/>
        </w:trPr>
        <w:tc>
          <w:tcPr>
            <w:tcW w:w="0" w:type="auto"/>
            <w:gridSpan w:val="3"/>
            <w:tcMar>
              <w:top w:w="30" w:type="dxa"/>
              <w:left w:w="20" w:type="dxa"/>
              <w:bottom w:w="30" w:type="dxa"/>
              <w:right w:w="20" w:type="dxa"/>
            </w:tcMar>
            <w:hideMark/>
          </w:tcPr>
          <w:p w:rsidR="00000000" w:rsidRDefault="00943C43">
            <w:pPr>
              <w:spacing w:after="100"/>
              <w:divId w:val="1206985894"/>
              <w:rPr>
                <w:rFonts w:eastAsia="Times New Roman"/>
              </w:rPr>
            </w:pPr>
            <w:hyperlink w:anchor="i81c699a6f33e49f8a081f48620e58c22_10" w:history="1">
              <w:r>
                <w:rPr>
                  <w:rStyle w:val="a3"/>
                  <w:rFonts w:eastAsia="Times New Roman"/>
                  <w:sz w:val="20"/>
                  <w:szCs w:val="20"/>
                </w:rPr>
                <w:t>Cautionary Note Regarding Forward Looking Statements</w:t>
              </w:r>
            </w:hyperlink>
          </w:p>
        </w:tc>
        <w:tc>
          <w:tcPr>
            <w:tcW w:w="0" w:type="auto"/>
            <w:gridSpan w:val="3"/>
            <w:tcMar>
              <w:top w:w="30" w:type="dxa"/>
              <w:left w:w="20" w:type="dxa"/>
              <w:bottom w:w="30" w:type="dxa"/>
              <w:right w:w="20" w:type="dxa"/>
            </w:tcMar>
            <w:vAlign w:val="bottom"/>
            <w:hideMark/>
          </w:tcPr>
          <w:p w:rsidR="00000000" w:rsidRDefault="00943C43">
            <w:pPr>
              <w:spacing w:after="100"/>
              <w:jc w:val="right"/>
              <w:rPr>
                <w:rFonts w:eastAsia="Times New Roman"/>
              </w:rPr>
            </w:pPr>
            <w:hyperlink w:anchor="i81c699a6f33e49f8a081f48620e58c22_10" w:history="1">
              <w:r>
                <w:rPr>
                  <w:rStyle w:val="a3"/>
                  <w:rFonts w:eastAsia="Times New Roman"/>
                  <w:sz w:val="20"/>
                  <w:szCs w:val="20"/>
                </w:rPr>
                <w:t>i</w:t>
              </w:r>
            </w:hyperlink>
          </w:p>
        </w:tc>
      </w:tr>
      <w:tr w:rsidR="00000000">
        <w:trPr>
          <w:divId w:val="994263926"/>
          <w:jc w:val="center"/>
        </w:trPr>
        <w:tc>
          <w:tcPr>
            <w:tcW w:w="0" w:type="auto"/>
            <w:gridSpan w:val="3"/>
            <w:tcMar>
              <w:top w:w="30" w:type="dxa"/>
              <w:left w:w="20" w:type="dxa"/>
              <w:bottom w:w="30" w:type="dxa"/>
              <w:right w:w="20" w:type="dxa"/>
            </w:tcMar>
            <w:hideMark/>
          </w:tcPr>
          <w:p w:rsidR="00000000" w:rsidRDefault="00943C43">
            <w:pPr>
              <w:spacing w:after="100"/>
              <w:divId w:val="2022003956"/>
              <w:rPr>
                <w:rFonts w:eastAsia="Times New Roman"/>
              </w:rPr>
            </w:pPr>
            <w:hyperlink w:anchor="i81c699a6f33e49f8a081f48620e58c22_13" w:history="1">
              <w:r>
                <w:rPr>
                  <w:rStyle w:val="a3"/>
                  <w:rFonts w:eastAsia="Times New Roman"/>
                  <w:sz w:val="20"/>
                  <w:szCs w:val="20"/>
                </w:rPr>
                <w:t>PART I. FINANCIAL I</w:t>
              </w:r>
              <w:r>
                <w:rPr>
                  <w:rStyle w:val="a3"/>
                  <w:rFonts w:eastAsia="Times New Roman"/>
                  <w:sz w:val="20"/>
                  <w:szCs w:val="20"/>
                </w:rPr>
                <w:t>NFORMATION</w:t>
              </w:r>
            </w:hyperlink>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r>
      <w:tr w:rsidR="00000000">
        <w:trPr>
          <w:divId w:val="994263926"/>
          <w:jc w:val="center"/>
        </w:trPr>
        <w:tc>
          <w:tcPr>
            <w:tcW w:w="0" w:type="auto"/>
            <w:gridSpan w:val="3"/>
            <w:tcMar>
              <w:top w:w="30" w:type="dxa"/>
              <w:left w:w="20" w:type="dxa"/>
              <w:bottom w:w="30" w:type="dxa"/>
              <w:right w:w="20" w:type="dxa"/>
            </w:tcMar>
            <w:hideMark/>
          </w:tcPr>
          <w:p w:rsidR="00000000" w:rsidRDefault="00943C43">
            <w:pPr>
              <w:spacing w:after="100"/>
              <w:divId w:val="935600286"/>
              <w:rPr>
                <w:rFonts w:eastAsia="Times New Roman"/>
              </w:rPr>
            </w:pPr>
            <w:hyperlink w:anchor="i81c699a6f33e49f8a081f48620e58c22_16" w:history="1">
              <w:r>
                <w:rPr>
                  <w:rStyle w:val="a3"/>
                  <w:rFonts w:eastAsia="Times New Roman"/>
                  <w:sz w:val="20"/>
                  <w:szCs w:val="20"/>
                </w:rPr>
                <w:t>Item 1. Financial Statements</w:t>
              </w:r>
            </w:hyperlink>
          </w:p>
        </w:tc>
        <w:tc>
          <w:tcPr>
            <w:tcW w:w="0" w:type="auto"/>
            <w:gridSpan w:val="3"/>
            <w:tcMar>
              <w:top w:w="30" w:type="dxa"/>
              <w:left w:w="20" w:type="dxa"/>
              <w:bottom w:w="30" w:type="dxa"/>
              <w:right w:w="20" w:type="dxa"/>
            </w:tcMar>
            <w:vAlign w:val="bottom"/>
            <w:hideMark/>
          </w:tcPr>
          <w:p w:rsidR="00000000" w:rsidRDefault="00943C43">
            <w:pPr>
              <w:spacing w:after="100"/>
              <w:jc w:val="right"/>
              <w:rPr>
                <w:rFonts w:eastAsia="Times New Roman"/>
              </w:rPr>
            </w:pPr>
            <w:hyperlink w:anchor="i81c699a6f33e49f8a081f48620e58c22_16" w:history="1">
              <w:r>
                <w:rPr>
                  <w:rStyle w:val="a3"/>
                  <w:rFonts w:eastAsia="Times New Roman"/>
                  <w:sz w:val="20"/>
                  <w:szCs w:val="20"/>
                </w:rPr>
                <w:t>1</w:t>
              </w:r>
            </w:hyperlink>
          </w:p>
        </w:tc>
      </w:tr>
      <w:tr w:rsidR="00000000">
        <w:trPr>
          <w:divId w:val="994263926"/>
          <w:jc w:val="center"/>
        </w:trPr>
        <w:tc>
          <w:tcPr>
            <w:tcW w:w="0" w:type="auto"/>
            <w:gridSpan w:val="3"/>
            <w:tcMar>
              <w:top w:w="30" w:type="dxa"/>
              <w:left w:w="20" w:type="dxa"/>
              <w:bottom w:w="30" w:type="dxa"/>
              <w:right w:w="20" w:type="dxa"/>
            </w:tcMar>
            <w:hideMark/>
          </w:tcPr>
          <w:p w:rsidR="00000000" w:rsidRDefault="00943C43">
            <w:pPr>
              <w:spacing w:after="100"/>
              <w:divId w:val="1449621863"/>
              <w:rPr>
                <w:rFonts w:eastAsia="Times New Roman"/>
              </w:rPr>
            </w:pPr>
            <w:hyperlink w:anchor="i81c699a6f33e49f8a081f48620e58c22_91" w:history="1">
              <w:r>
                <w:rPr>
                  <w:rStyle w:val="a3"/>
                  <w:rFonts w:eastAsia="Times New Roman"/>
                  <w:sz w:val="20"/>
                  <w:szCs w:val="20"/>
                </w:rPr>
                <w:t>Item 2. 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943C43">
            <w:pPr>
              <w:spacing w:after="100"/>
              <w:jc w:val="right"/>
              <w:rPr>
                <w:rFonts w:eastAsia="Times New Roman"/>
              </w:rPr>
            </w:pPr>
            <w:hyperlink w:anchor="i81c699a6f33e49f8a081f48620e58c22_91" w:history="1">
              <w:r>
                <w:rPr>
                  <w:rStyle w:val="a3"/>
                  <w:rFonts w:eastAsia="Times New Roman"/>
                  <w:sz w:val="20"/>
                  <w:szCs w:val="20"/>
                </w:rPr>
                <w:t>15</w:t>
              </w:r>
            </w:hyperlink>
          </w:p>
        </w:tc>
      </w:tr>
      <w:tr w:rsidR="00000000">
        <w:trPr>
          <w:divId w:val="994263926"/>
          <w:jc w:val="center"/>
        </w:trPr>
        <w:tc>
          <w:tcPr>
            <w:tcW w:w="0" w:type="auto"/>
            <w:gridSpan w:val="3"/>
            <w:tcMar>
              <w:top w:w="30" w:type="dxa"/>
              <w:left w:w="20" w:type="dxa"/>
              <w:bottom w:w="30" w:type="dxa"/>
              <w:right w:w="20" w:type="dxa"/>
            </w:tcMar>
            <w:hideMark/>
          </w:tcPr>
          <w:p w:rsidR="00000000" w:rsidRDefault="00943C43">
            <w:pPr>
              <w:spacing w:after="100"/>
              <w:divId w:val="479926699"/>
              <w:rPr>
                <w:rFonts w:eastAsia="Times New Roman"/>
              </w:rPr>
            </w:pPr>
            <w:hyperlink w:anchor="i81c699a6f33e49f8a081f48620e58c22_115" w:history="1">
              <w:r>
                <w:rPr>
                  <w:rStyle w:val="a3"/>
                  <w:rFonts w:eastAsia="Times New Roman"/>
                  <w:sz w:val="20"/>
                  <w:szCs w:val="20"/>
                </w:rPr>
                <w:t>Item 3. 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943C43">
            <w:pPr>
              <w:spacing w:after="100"/>
              <w:jc w:val="right"/>
              <w:rPr>
                <w:rFonts w:eastAsia="Times New Roman"/>
              </w:rPr>
            </w:pPr>
            <w:hyperlink w:anchor="i81c699a6f33e49f8a081f48620e58c22_115" w:history="1">
              <w:r>
                <w:rPr>
                  <w:rStyle w:val="a3"/>
                  <w:rFonts w:eastAsia="Times New Roman"/>
                  <w:sz w:val="20"/>
                  <w:szCs w:val="20"/>
                </w:rPr>
                <w:t>23</w:t>
              </w:r>
            </w:hyperlink>
          </w:p>
        </w:tc>
      </w:tr>
      <w:tr w:rsidR="00000000">
        <w:trPr>
          <w:divId w:val="994263926"/>
          <w:jc w:val="center"/>
        </w:trPr>
        <w:tc>
          <w:tcPr>
            <w:tcW w:w="0" w:type="auto"/>
            <w:gridSpan w:val="3"/>
            <w:tcMar>
              <w:top w:w="30" w:type="dxa"/>
              <w:left w:w="20" w:type="dxa"/>
              <w:bottom w:w="30" w:type="dxa"/>
              <w:right w:w="20" w:type="dxa"/>
            </w:tcMar>
            <w:hideMark/>
          </w:tcPr>
          <w:p w:rsidR="00000000" w:rsidRDefault="00943C43">
            <w:pPr>
              <w:spacing w:after="100"/>
              <w:divId w:val="907695320"/>
              <w:rPr>
                <w:rFonts w:eastAsia="Times New Roman"/>
              </w:rPr>
            </w:pPr>
            <w:hyperlink w:anchor="i81c699a6f33e49f8a081f48620e58c22_121" w:history="1">
              <w:r>
                <w:rPr>
                  <w:rStyle w:val="a3"/>
                  <w:rFonts w:eastAsia="Times New Roman"/>
                  <w:sz w:val="20"/>
                  <w:szCs w:val="20"/>
                </w:rPr>
                <w:t>Item 4. Controls and Procedures</w:t>
              </w:r>
            </w:hyperlink>
          </w:p>
        </w:tc>
        <w:tc>
          <w:tcPr>
            <w:tcW w:w="0" w:type="auto"/>
            <w:gridSpan w:val="3"/>
            <w:tcMar>
              <w:top w:w="30" w:type="dxa"/>
              <w:left w:w="20" w:type="dxa"/>
              <w:bottom w:w="30" w:type="dxa"/>
              <w:right w:w="20" w:type="dxa"/>
            </w:tcMar>
            <w:vAlign w:val="bottom"/>
            <w:hideMark/>
          </w:tcPr>
          <w:p w:rsidR="00000000" w:rsidRDefault="00943C43">
            <w:pPr>
              <w:spacing w:after="100"/>
              <w:jc w:val="right"/>
              <w:rPr>
                <w:rFonts w:eastAsia="Times New Roman"/>
              </w:rPr>
            </w:pPr>
            <w:hyperlink w:anchor="i81c699a6f33e49f8a081f48620e58c22_121" w:history="1">
              <w:r>
                <w:rPr>
                  <w:rStyle w:val="a3"/>
                  <w:rFonts w:eastAsia="Times New Roman"/>
                  <w:sz w:val="20"/>
                  <w:szCs w:val="20"/>
                </w:rPr>
                <w:t>24</w:t>
              </w:r>
            </w:hyperlink>
          </w:p>
        </w:tc>
      </w:tr>
      <w:tr w:rsidR="00000000">
        <w:trPr>
          <w:divId w:val="994263926"/>
          <w:jc w:val="center"/>
        </w:trPr>
        <w:tc>
          <w:tcPr>
            <w:tcW w:w="0" w:type="auto"/>
            <w:gridSpan w:val="3"/>
            <w:tcMar>
              <w:top w:w="30" w:type="dxa"/>
              <w:left w:w="20" w:type="dxa"/>
              <w:bottom w:w="30" w:type="dxa"/>
              <w:right w:w="20" w:type="dxa"/>
            </w:tcMar>
            <w:hideMark/>
          </w:tcPr>
          <w:p w:rsidR="00000000" w:rsidRDefault="00943C43">
            <w:pPr>
              <w:spacing w:after="100"/>
              <w:divId w:val="335117293"/>
              <w:rPr>
                <w:rFonts w:eastAsia="Times New Roman"/>
              </w:rPr>
            </w:pPr>
            <w:hyperlink w:anchor="i81c699a6f33e49f8a081f48620e58c22_124" w:history="1">
              <w:r>
                <w:rPr>
                  <w:rStyle w:val="a3"/>
                  <w:rFonts w:eastAsia="Times New Roman"/>
                  <w:sz w:val="20"/>
                  <w:szCs w:val="20"/>
                </w:rPr>
                <w:t>PART II. OTHER INFORMATION</w:t>
              </w:r>
            </w:hyperlink>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r>
      <w:tr w:rsidR="00000000">
        <w:trPr>
          <w:divId w:val="994263926"/>
          <w:jc w:val="center"/>
        </w:trPr>
        <w:tc>
          <w:tcPr>
            <w:tcW w:w="0" w:type="auto"/>
            <w:gridSpan w:val="3"/>
            <w:tcMar>
              <w:top w:w="30" w:type="dxa"/>
              <w:left w:w="20" w:type="dxa"/>
              <w:bottom w:w="30" w:type="dxa"/>
              <w:right w:w="20" w:type="dxa"/>
            </w:tcMar>
            <w:hideMark/>
          </w:tcPr>
          <w:p w:rsidR="00000000" w:rsidRDefault="00943C43">
            <w:pPr>
              <w:spacing w:after="100"/>
              <w:divId w:val="1699349321"/>
              <w:rPr>
                <w:rFonts w:eastAsia="Times New Roman"/>
              </w:rPr>
            </w:pPr>
            <w:hyperlink w:anchor="i81c699a6f33e49f8a081f48620e58c22_127" w:history="1">
              <w:r>
                <w:rPr>
                  <w:rStyle w:val="a3"/>
                  <w:rFonts w:eastAsia="Times New Roman"/>
                  <w:sz w:val="20"/>
                  <w:szCs w:val="20"/>
                </w:rPr>
                <w:t>Item 1. Legal Proceedings</w:t>
              </w:r>
            </w:hyperlink>
          </w:p>
        </w:tc>
        <w:tc>
          <w:tcPr>
            <w:tcW w:w="0" w:type="auto"/>
            <w:gridSpan w:val="3"/>
            <w:tcMar>
              <w:top w:w="30" w:type="dxa"/>
              <w:left w:w="20" w:type="dxa"/>
              <w:bottom w:w="30" w:type="dxa"/>
              <w:right w:w="20" w:type="dxa"/>
            </w:tcMar>
            <w:vAlign w:val="bottom"/>
            <w:hideMark/>
          </w:tcPr>
          <w:p w:rsidR="00000000" w:rsidRDefault="00943C43">
            <w:pPr>
              <w:spacing w:after="100"/>
              <w:jc w:val="right"/>
              <w:rPr>
                <w:rFonts w:eastAsia="Times New Roman"/>
              </w:rPr>
            </w:pPr>
            <w:hyperlink w:anchor="i81c699a6f33e49f8a081f48620e58c22_127" w:history="1">
              <w:r>
                <w:rPr>
                  <w:rStyle w:val="a3"/>
                  <w:rFonts w:eastAsia="Times New Roman"/>
                  <w:sz w:val="20"/>
                  <w:szCs w:val="20"/>
                </w:rPr>
                <w:t>25</w:t>
              </w:r>
            </w:hyperlink>
          </w:p>
        </w:tc>
      </w:tr>
      <w:tr w:rsidR="00000000">
        <w:trPr>
          <w:divId w:val="994263926"/>
          <w:jc w:val="center"/>
        </w:trPr>
        <w:tc>
          <w:tcPr>
            <w:tcW w:w="0" w:type="auto"/>
            <w:gridSpan w:val="3"/>
            <w:tcMar>
              <w:top w:w="30" w:type="dxa"/>
              <w:left w:w="20" w:type="dxa"/>
              <w:bottom w:w="30" w:type="dxa"/>
              <w:right w:w="20" w:type="dxa"/>
            </w:tcMar>
            <w:hideMark/>
          </w:tcPr>
          <w:p w:rsidR="00000000" w:rsidRDefault="00943C43">
            <w:pPr>
              <w:spacing w:after="100"/>
              <w:divId w:val="571426171"/>
              <w:rPr>
                <w:rFonts w:eastAsia="Times New Roman"/>
              </w:rPr>
            </w:pPr>
            <w:hyperlink w:anchor="i81c699a6f33e49f8a081f48620e58c22_130" w:history="1">
              <w:r>
                <w:rPr>
                  <w:rStyle w:val="a3"/>
                  <w:rFonts w:eastAsia="Times New Roman"/>
                  <w:sz w:val="20"/>
                  <w:szCs w:val="20"/>
                </w:rPr>
                <w:t>Item 1A. Risk Factors</w:t>
              </w:r>
            </w:hyperlink>
          </w:p>
        </w:tc>
        <w:tc>
          <w:tcPr>
            <w:tcW w:w="0" w:type="auto"/>
            <w:gridSpan w:val="3"/>
            <w:tcMar>
              <w:top w:w="30" w:type="dxa"/>
              <w:left w:w="20" w:type="dxa"/>
              <w:bottom w:w="30" w:type="dxa"/>
              <w:right w:w="20" w:type="dxa"/>
            </w:tcMar>
            <w:vAlign w:val="bottom"/>
            <w:hideMark/>
          </w:tcPr>
          <w:p w:rsidR="00000000" w:rsidRDefault="00943C43">
            <w:pPr>
              <w:spacing w:after="100"/>
              <w:jc w:val="right"/>
              <w:rPr>
                <w:rFonts w:eastAsia="Times New Roman"/>
              </w:rPr>
            </w:pPr>
            <w:hyperlink w:anchor="i81c699a6f33e49f8a081f48620e58c22_130" w:history="1">
              <w:r>
                <w:rPr>
                  <w:rStyle w:val="a3"/>
                  <w:rFonts w:eastAsia="Times New Roman"/>
                  <w:sz w:val="20"/>
                  <w:szCs w:val="20"/>
                </w:rPr>
                <w:t>25</w:t>
              </w:r>
            </w:hyperlink>
          </w:p>
        </w:tc>
      </w:tr>
      <w:tr w:rsidR="00000000">
        <w:trPr>
          <w:divId w:val="994263926"/>
          <w:jc w:val="center"/>
        </w:trPr>
        <w:tc>
          <w:tcPr>
            <w:tcW w:w="0" w:type="auto"/>
            <w:gridSpan w:val="3"/>
            <w:tcMar>
              <w:top w:w="30" w:type="dxa"/>
              <w:left w:w="20" w:type="dxa"/>
              <w:bottom w:w="30" w:type="dxa"/>
              <w:right w:w="20" w:type="dxa"/>
            </w:tcMar>
            <w:hideMark/>
          </w:tcPr>
          <w:p w:rsidR="00000000" w:rsidRDefault="00943C43">
            <w:pPr>
              <w:spacing w:after="100"/>
              <w:divId w:val="499544845"/>
              <w:rPr>
                <w:rFonts w:eastAsia="Times New Roman"/>
              </w:rPr>
            </w:pPr>
            <w:hyperlink w:anchor="i81c699a6f33e49f8a081f48620e58c22_136" w:history="1">
              <w:r>
                <w:rPr>
                  <w:rStyle w:val="a3"/>
                  <w:rFonts w:eastAsia="Times New Roman"/>
                  <w:sz w:val="20"/>
                  <w:szCs w:val="20"/>
                </w:rPr>
                <w:t>Item 2. 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943C43">
            <w:pPr>
              <w:spacing w:after="100"/>
              <w:jc w:val="right"/>
              <w:rPr>
                <w:rFonts w:eastAsia="Times New Roman"/>
              </w:rPr>
            </w:pPr>
            <w:hyperlink w:anchor="i81c699a6f33e49f8a081f48620e58c22_136" w:history="1">
              <w:r>
                <w:rPr>
                  <w:rStyle w:val="a3"/>
                  <w:rFonts w:eastAsia="Times New Roman"/>
                  <w:sz w:val="20"/>
                  <w:szCs w:val="20"/>
                </w:rPr>
                <w:t>25</w:t>
              </w:r>
            </w:hyperlink>
          </w:p>
        </w:tc>
      </w:tr>
      <w:tr w:rsidR="00000000">
        <w:trPr>
          <w:divId w:val="994263926"/>
          <w:jc w:val="center"/>
        </w:trPr>
        <w:tc>
          <w:tcPr>
            <w:tcW w:w="0" w:type="auto"/>
            <w:gridSpan w:val="3"/>
            <w:tcMar>
              <w:top w:w="30" w:type="dxa"/>
              <w:left w:w="20" w:type="dxa"/>
              <w:bottom w:w="30" w:type="dxa"/>
              <w:right w:w="20" w:type="dxa"/>
            </w:tcMar>
            <w:hideMark/>
          </w:tcPr>
          <w:p w:rsidR="00000000" w:rsidRDefault="00943C43">
            <w:pPr>
              <w:spacing w:after="100"/>
              <w:divId w:val="1879511582"/>
              <w:rPr>
                <w:rFonts w:eastAsia="Times New Roman"/>
              </w:rPr>
            </w:pPr>
            <w:hyperlink w:anchor="i81c699a6f33e49f8a081f48620e58c22_142" w:history="1">
              <w:r>
                <w:rPr>
                  <w:rStyle w:val="a3"/>
                  <w:rFonts w:eastAsia="Times New Roman"/>
                  <w:sz w:val="20"/>
                  <w:szCs w:val="20"/>
                </w:rPr>
                <w:t>Item 3. Defaults Upon Senior Securities</w:t>
              </w:r>
            </w:hyperlink>
          </w:p>
        </w:tc>
        <w:tc>
          <w:tcPr>
            <w:tcW w:w="0" w:type="auto"/>
            <w:gridSpan w:val="3"/>
            <w:tcMar>
              <w:top w:w="30" w:type="dxa"/>
              <w:left w:w="20" w:type="dxa"/>
              <w:bottom w:w="30" w:type="dxa"/>
              <w:right w:w="20" w:type="dxa"/>
            </w:tcMar>
            <w:vAlign w:val="bottom"/>
            <w:hideMark/>
          </w:tcPr>
          <w:p w:rsidR="00000000" w:rsidRDefault="00943C43">
            <w:pPr>
              <w:spacing w:after="100"/>
              <w:jc w:val="right"/>
              <w:rPr>
                <w:rFonts w:eastAsia="Times New Roman"/>
              </w:rPr>
            </w:pPr>
            <w:hyperlink w:anchor="i81c699a6f33e49f8a081f48620e58c22_142" w:history="1">
              <w:r>
                <w:rPr>
                  <w:rStyle w:val="a3"/>
                  <w:rFonts w:eastAsia="Times New Roman"/>
                  <w:sz w:val="20"/>
                  <w:szCs w:val="20"/>
                </w:rPr>
                <w:t>26</w:t>
              </w:r>
            </w:hyperlink>
          </w:p>
        </w:tc>
      </w:tr>
      <w:tr w:rsidR="00000000">
        <w:trPr>
          <w:divId w:val="994263926"/>
          <w:jc w:val="center"/>
        </w:trPr>
        <w:tc>
          <w:tcPr>
            <w:tcW w:w="0" w:type="auto"/>
            <w:gridSpan w:val="3"/>
            <w:tcMar>
              <w:top w:w="30" w:type="dxa"/>
              <w:left w:w="20" w:type="dxa"/>
              <w:bottom w:w="30" w:type="dxa"/>
              <w:right w:w="20" w:type="dxa"/>
            </w:tcMar>
            <w:hideMark/>
          </w:tcPr>
          <w:p w:rsidR="00000000" w:rsidRDefault="00943C43">
            <w:pPr>
              <w:spacing w:after="100"/>
              <w:divId w:val="577904715"/>
              <w:rPr>
                <w:rFonts w:eastAsia="Times New Roman"/>
              </w:rPr>
            </w:pPr>
            <w:hyperlink w:anchor="i81c699a6f33e49f8a081f48620e58c22_145" w:history="1">
              <w:r>
                <w:rPr>
                  <w:rStyle w:val="a3"/>
                  <w:rFonts w:eastAsia="Times New Roman"/>
                  <w:sz w:val="20"/>
                  <w:szCs w:val="20"/>
                </w:rPr>
                <w:t>Item 4. Mine Safety Disclosures</w:t>
              </w:r>
            </w:hyperlink>
          </w:p>
        </w:tc>
        <w:tc>
          <w:tcPr>
            <w:tcW w:w="0" w:type="auto"/>
            <w:gridSpan w:val="3"/>
            <w:tcMar>
              <w:top w:w="30" w:type="dxa"/>
              <w:left w:w="20" w:type="dxa"/>
              <w:bottom w:w="30" w:type="dxa"/>
              <w:right w:w="20" w:type="dxa"/>
            </w:tcMar>
            <w:vAlign w:val="bottom"/>
            <w:hideMark/>
          </w:tcPr>
          <w:p w:rsidR="00000000" w:rsidRDefault="00943C43">
            <w:pPr>
              <w:spacing w:after="100"/>
              <w:jc w:val="right"/>
              <w:rPr>
                <w:rFonts w:eastAsia="Times New Roman"/>
              </w:rPr>
            </w:pPr>
            <w:hyperlink w:anchor="i81c699a6f33e49f8a081f48620e58c22_145" w:history="1">
              <w:r>
                <w:rPr>
                  <w:rStyle w:val="a3"/>
                  <w:rFonts w:eastAsia="Times New Roman"/>
                  <w:sz w:val="20"/>
                  <w:szCs w:val="20"/>
                </w:rPr>
                <w:t>26</w:t>
              </w:r>
            </w:hyperlink>
          </w:p>
        </w:tc>
      </w:tr>
      <w:tr w:rsidR="00000000">
        <w:trPr>
          <w:divId w:val="994263926"/>
          <w:jc w:val="center"/>
        </w:trPr>
        <w:tc>
          <w:tcPr>
            <w:tcW w:w="0" w:type="auto"/>
            <w:gridSpan w:val="3"/>
            <w:tcMar>
              <w:top w:w="30" w:type="dxa"/>
              <w:left w:w="20" w:type="dxa"/>
              <w:bottom w:w="30" w:type="dxa"/>
              <w:right w:w="20" w:type="dxa"/>
            </w:tcMar>
            <w:hideMark/>
          </w:tcPr>
          <w:p w:rsidR="00000000" w:rsidRDefault="00943C43">
            <w:pPr>
              <w:spacing w:after="100"/>
              <w:divId w:val="1624968468"/>
              <w:rPr>
                <w:rFonts w:eastAsia="Times New Roman"/>
              </w:rPr>
            </w:pPr>
            <w:hyperlink w:anchor="i81c699a6f33e49f8a081f48620e58c22_148" w:history="1">
              <w:r>
                <w:rPr>
                  <w:rStyle w:val="a3"/>
                  <w:rFonts w:eastAsia="Times New Roman"/>
                  <w:sz w:val="20"/>
                  <w:szCs w:val="20"/>
                </w:rPr>
                <w:t>Item 5. Other Information</w:t>
              </w:r>
            </w:hyperlink>
          </w:p>
        </w:tc>
        <w:tc>
          <w:tcPr>
            <w:tcW w:w="0" w:type="auto"/>
            <w:gridSpan w:val="3"/>
            <w:tcMar>
              <w:top w:w="30" w:type="dxa"/>
              <w:left w:w="20" w:type="dxa"/>
              <w:bottom w:w="30" w:type="dxa"/>
              <w:right w:w="20" w:type="dxa"/>
            </w:tcMar>
            <w:vAlign w:val="bottom"/>
            <w:hideMark/>
          </w:tcPr>
          <w:p w:rsidR="00000000" w:rsidRDefault="00943C43">
            <w:pPr>
              <w:spacing w:after="100"/>
              <w:jc w:val="right"/>
              <w:rPr>
                <w:rFonts w:eastAsia="Times New Roman"/>
              </w:rPr>
            </w:pPr>
            <w:hyperlink w:anchor="i81c699a6f33e49f8a081f48620e58c22_148" w:history="1">
              <w:r>
                <w:rPr>
                  <w:rStyle w:val="a3"/>
                  <w:rFonts w:eastAsia="Times New Roman"/>
                  <w:sz w:val="20"/>
                  <w:szCs w:val="20"/>
                </w:rPr>
                <w:t>26</w:t>
              </w:r>
            </w:hyperlink>
          </w:p>
        </w:tc>
      </w:tr>
      <w:tr w:rsidR="00000000">
        <w:trPr>
          <w:divId w:val="994263926"/>
          <w:jc w:val="center"/>
        </w:trPr>
        <w:tc>
          <w:tcPr>
            <w:tcW w:w="0" w:type="auto"/>
            <w:gridSpan w:val="3"/>
            <w:tcMar>
              <w:top w:w="30" w:type="dxa"/>
              <w:left w:w="20" w:type="dxa"/>
              <w:bottom w:w="30" w:type="dxa"/>
              <w:right w:w="20" w:type="dxa"/>
            </w:tcMar>
            <w:hideMark/>
          </w:tcPr>
          <w:p w:rsidR="00000000" w:rsidRDefault="00943C43">
            <w:pPr>
              <w:spacing w:after="100"/>
              <w:divId w:val="1018242091"/>
              <w:rPr>
                <w:rFonts w:eastAsia="Times New Roman"/>
              </w:rPr>
            </w:pPr>
            <w:hyperlink w:anchor="i81c699a6f33e49f8a081f48620e58c22_154" w:history="1">
              <w:r>
                <w:rPr>
                  <w:rStyle w:val="a3"/>
                  <w:rFonts w:eastAsia="Times New Roman"/>
                  <w:sz w:val="20"/>
                  <w:szCs w:val="20"/>
                </w:rPr>
                <w:t>Item 6. Exhibits</w:t>
              </w:r>
            </w:hyperlink>
          </w:p>
        </w:tc>
        <w:tc>
          <w:tcPr>
            <w:tcW w:w="0" w:type="auto"/>
            <w:gridSpan w:val="3"/>
            <w:tcMar>
              <w:top w:w="30" w:type="dxa"/>
              <w:left w:w="20" w:type="dxa"/>
              <w:bottom w:w="30" w:type="dxa"/>
              <w:right w:w="20" w:type="dxa"/>
            </w:tcMar>
            <w:vAlign w:val="bottom"/>
            <w:hideMark/>
          </w:tcPr>
          <w:p w:rsidR="00000000" w:rsidRDefault="00943C43">
            <w:pPr>
              <w:spacing w:after="100"/>
              <w:jc w:val="right"/>
              <w:rPr>
                <w:rFonts w:eastAsia="Times New Roman"/>
              </w:rPr>
            </w:pPr>
            <w:hyperlink w:anchor="i81c699a6f33e49f8a081f48620e58c22_154" w:history="1">
              <w:r>
                <w:rPr>
                  <w:rStyle w:val="a3"/>
                  <w:rFonts w:eastAsia="Times New Roman"/>
                  <w:sz w:val="20"/>
                  <w:szCs w:val="20"/>
                </w:rPr>
                <w:t>27</w:t>
              </w:r>
            </w:hyperlink>
          </w:p>
        </w:tc>
      </w:tr>
      <w:tr w:rsidR="00000000">
        <w:trPr>
          <w:divId w:val="994263926"/>
          <w:jc w:val="center"/>
        </w:trPr>
        <w:tc>
          <w:tcPr>
            <w:tcW w:w="0" w:type="auto"/>
            <w:gridSpan w:val="3"/>
            <w:tcMar>
              <w:top w:w="30" w:type="dxa"/>
              <w:left w:w="20" w:type="dxa"/>
              <w:bottom w:w="30" w:type="dxa"/>
              <w:right w:w="20" w:type="dxa"/>
            </w:tcMar>
            <w:hideMark/>
          </w:tcPr>
          <w:p w:rsidR="00000000" w:rsidRDefault="00943C43">
            <w:pPr>
              <w:spacing w:after="100"/>
              <w:divId w:val="459030607"/>
              <w:rPr>
                <w:rFonts w:eastAsia="Times New Roman"/>
              </w:rPr>
            </w:pPr>
            <w:hyperlink w:anchor="i81c699a6f33e49f8a081f48620e58c22_157" w:history="1">
              <w:r>
                <w:rPr>
                  <w:rStyle w:val="a3"/>
                  <w:rFonts w:eastAsia="Times New Roman"/>
                  <w:sz w:val="20"/>
                  <w:szCs w:val="20"/>
                </w:rPr>
                <w:t>SIGNATURE</w:t>
              </w:r>
            </w:hyperlink>
          </w:p>
        </w:tc>
        <w:tc>
          <w:tcPr>
            <w:tcW w:w="0" w:type="auto"/>
            <w:gridSpan w:val="3"/>
            <w:tcMar>
              <w:top w:w="30" w:type="dxa"/>
              <w:left w:w="20" w:type="dxa"/>
              <w:bottom w:w="30" w:type="dxa"/>
              <w:right w:w="20" w:type="dxa"/>
            </w:tcMar>
            <w:vAlign w:val="bottom"/>
            <w:hideMark/>
          </w:tcPr>
          <w:p w:rsidR="00000000" w:rsidRDefault="00943C43">
            <w:pPr>
              <w:spacing w:after="100"/>
              <w:jc w:val="right"/>
              <w:rPr>
                <w:rFonts w:eastAsia="Times New Roman"/>
              </w:rPr>
            </w:pPr>
            <w:hyperlink w:anchor="i81c699a6f33e49f8a081f48620e58c22_157" w:history="1">
              <w:r>
                <w:rPr>
                  <w:rStyle w:val="a3"/>
                  <w:rFonts w:eastAsia="Times New Roman"/>
                  <w:sz w:val="20"/>
                  <w:szCs w:val="20"/>
                </w:rPr>
                <w:t>28</w:t>
              </w:r>
            </w:hyperlink>
          </w:p>
        </w:tc>
      </w:tr>
    </w:tbl>
    <w:p w:rsidR="00000000" w:rsidRDefault="00943C43">
      <w:pPr>
        <w:ind w:firstLine="495"/>
        <w:jc w:val="both"/>
        <w:divId w:val="627316843"/>
        <w:rPr>
          <w:rFonts w:eastAsia="Times New Roman"/>
        </w:rPr>
      </w:pPr>
    </w:p>
    <w:p w:rsidR="00000000" w:rsidRDefault="00943C43">
      <w:pPr>
        <w:jc w:val="both"/>
        <w:divId w:val="1221408372"/>
        <w:rPr>
          <w:rFonts w:eastAsia="Times New Roman"/>
        </w:rPr>
      </w:pPr>
    </w:p>
    <w:p w:rsidR="00000000" w:rsidRDefault="00943C43">
      <w:pPr>
        <w:rPr>
          <w:rFonts w:eastAsia="Times New Roman"/>
        </w:rPr>
      </w:pPr>
      <w:r>
        <w:rPr>
          <w:rFonts w:eastAsia="Times New Roman"/>
        </w:rPr>
        <w:pict>
          <v:rect id="_x0000_i1026" style="width:0;height:1.5pt" o:hralign="center" o:hrstd="t" o:hr="t" fillcolor="#a0a0a0" stroked="f"/>
        </w:pict>
      </w:r>
    </w:p>
    <w:p w:rsidR="00000000" w:rsidRDefault="00943C43">
      <w:pPr>
        <w:divId w:val="1011032056"/>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1883590388"/>
        <w:rPr>
          <w:rFonts w:eastAsia="Times New Roman"/>
        </w:rPr>
      </w:pPr>
    </w:p>
    <w:p w:rsidR="00000000" w:rsidRDefault="00943C43">
      <w:pPr>
        <w:jc w:val="center"/>
        <w:divId w:val="2017532278"/>
        <w:rPr>
          <w:rFonts w:eastAsia="Times New Roman"/>
        </w:rPr>
      </w:pPr>
      <w:r>
        <w:rPr>
          <w:rFonts w:eastAsia="Times New Roman"/>
          <w:b/>
          <w:bCs/>
          <w:color w:val="000000"/>
          <w:sz w:val="20"/>
          <w:szCs w:val="20"/>
        </w:rPr>
        <w:lastRenderedPageBreak/>
        <w:t>CAUTIONARY NOTE REGARDING FORWARD-LOOKING STATEMENTS</w:t>
      </w:r>
    </w:p>
    <w:p w:rsidR="00000000" w:rsidRDefault="00943C43">
      <w:pPr>
        <w:jc w:val="both"/>
        <w:divId w:val="1130435959"/>
        <w:rPr>
          <w:rFonts w:eastAsia="Times New Roman"/>
        </w:rPr>
      </w:pPr>
      <w:r>
        <w:rPr>
          <w:rFonts w:eastAsia="Times New Roman"/>
          <w:i/>
          <w:iCs/>
          <w:color w:val="000000"/>
          <w:sz w:val="20"/>
          <w:szCs w:val="20"/>
        </w:rPr>
        <w:t xml:space="preserve">We may make certain statements, including in this Quarterly Report on Form 10-Q, or 10-Q, including the information contained in </w:t>
      </w:r>
      <w:hyperlink w:anchor="i81c699a6f33e49f8a081f48620e58c22_91" w:history="1">
        <w:r>
          <w:rPr>
            <w:rStyle w:val="a3"/>
            <w:rFonts w:eastAsia="Times New Roman"/>
            <w:i/>
            <w:iCs/>
            <w:sz w:val="20"/>
            <w:szCs w:val="20"/>
          </w:rPr>
          <w:t>Item 2</w:t>
        </w:r>
      </w:hyperlink>
      <w:r>
        <w:rPr>
          <w:rFonts w:eastAsia="Times New Roman"/>
          <w:i/>
          <w:iCs/>
          <w:color w:val="000000"/>
          <w:sz w:val="20"/>
          <w:szCs w:val="20"/>
        </w:rPr>
        <w:t>, "Management's Discussion and Analysis of Financial Condition</w:t>
      </w:r>
      <w:r>
        <w:rPr>
          <w:rFonts w:eastAsia="Times New Roman"/>
          <w:i/>
          <w:iCs/>
          <w:color w:val="000000"/>
          <w:sz w:val="20"/>
          <w:szCs w:val="20"/>
        </w:rPr>
        <w:t xml:space="preserve"> and Results of Operations", and the information incorporated by reference in this 10-Q, that constitute forward-looking statements within the meaning of federal and state securities laws. Forward-looking statements are all statements other than statements</w:t>
      </w:r>
      <w:r>
        <w:rPr>
          <w:rFonts w:eastAsia="Times New Roman"/>
          <w:i/>
          <w:iCs/>
          <w:color w:val="000000"/>
          <w:sz w:val="20"/>
          <w:szCs w:val="20"/>
        </w:rPr>
        <w:t xml:space="preserve"> of historical fact. We attempt to identify these forward-looking statements by words such as "may," "will," "should," "could," "might," "expect," "plan," "anticipate," "believe," "estimate," "target," "goal," "predict," "intend," "potential," "continue," </w:t>
      </w:r>
      <w:r>
        <w:rPr>
          <w:rFonts w:eastAsia="Times New Roman"/>
          <w:i/>
          <w:iCs/>
          <w:color w:val="000000"/>
          <w:sz w:val="20"/>
          <w:szCs w:val="20"/>
        </w:rPr>
        <w:t>"seek" and other comparable words. Similarly, statements that describe our business strategy, goals, prospects, opportunities, outlook, objectives, plans or intentions are also forward-looking statements. These statements may relate to, but are not limited</w:t>
      </w:r>
      <w:r>
        <w:rPr>
          <w:rFonts w:eastAsia="Times New Roman"/>
          <w:i/>
          <w:iCs/>
          <w:color w:val="000000"/>
          <w:sz w:val="20"/>
          <w:szCs w:val="20"/>
        </w:rPr>
        <w:t xml:space="preserve"> to, expectations of future operating results or financial performance; expectations regarding the impact on our business of the coronavirus ("COVID-19") pandemic and global measures to mitigate the spread of the virus; macroeconomic trends that we expect </w:t>
      </w:r>
      <w:r>
        <w:rPr>
          <w:rFonts w:eastAsia="Times New Roman"/>
          <w:i/>
          <w:iCs/>
          <w:color w:val="000000"/>
          <w:sz w:val="20"/>
          <w:szCs w:val="20"/>
        </w:rPr>
        <w:t>may influence our business, including any recession or changes in consumer behavior resulting from the COVID-19 pandemic; plans for financing and capital expenditures; expectations regarding liquidity, customer payments and compliance with debt and financi</w:t>
      </w:r>
      <w:r>
        <w:rPr>
          <w:rFonts w:eastAsia="Times New Roman"/>
          <w:i/>
          <w:iCs/>
          <w:color w:val="000000"/>
          <w:sz w:val="20"/>
          <w:szCs w:val="20"/>
        </w:rPr>
        <w:t>ng covenants and other payment obligations; expectations regarding enhanced commercial relationships and the development and introduction of new products; potential limitations on our net operating loss carryforwards and other tax assets; regulatory compli</w:t>
      </w:r>
      <w:r>
        <w:rPr>
          <w:rFonts w:eastAsia="Times New Roman"/>
          <w:i/>
          <w:iCs/>
          <w:color w:val="000000"/>
          <w:sz w:val="20"/>
          <w:szCs w:val="20"/>
        </w:rPr>
        <w:t>ance and expected changes in the regulatory or privacy landscape affecting our business; expected impact of litigation and regulatory proceedings; and plans for growth and future operations, as well as assumptions relating to the foregoing.</w:t>
      </w:r>
    </w:p>
    <w:p w:rsidR="00000000" w:rsidRDefault="00943C43">
      <w:pPr>
        <w:jc w:val="both"/>
        <w:divId w:val="98262654"/>
        <w:rPr>
          <w:rFonts w:eastAsia="Times New Roman"/>
        </w:rPr>
      </w:pPr>
      <w:r>
        <w:rPr>
          <w:rFonts w:eastAsia="Times New Roman"/>
          <w:i/>
          <w:iCs/>
          <w:color w:val="000000"/>
          <w:sz w:val="20"/>
          <w:szCs w:val="20"/>
        </w:rPr>
        <w:t>Forward-looking</w:t>
      </w:r>
      <w:r>
        <w:rPr>
          <w:rFonts w:eastAsia="Times New Roman"/>
          <w:i/>
          <w:iCs/>
          <w:color w:val="000000"/>
          <w:sz w:val="20"/>
          <w:szCs w:val="20"/>
        </w:rPr>
        <w:t xml:space="preserve"> statements are inherently subject to risks and uncertainties, some of which cannot be predicted or quantified. These statements are based on expectations and assumptions as of the date of this 10-Q regarding future events and business performance and invo</w:t>
      </w:r>
      <w:r>
        <w:rPr>
          <w:rFonts w:eastAsia="Times New Roman"/>
          <w:i/>
          <w:iCs/>
          <w:color w:val="000000"/>
          <w:sz w:val="20"/>
          <w:szCs w:val="20"/>
        </w:rPr>
        <w:t>lve known and unknown risks, uncertainties and other factors that may cause actual events or results to be materially different from any future events or results expressed or implied by these statements. These factors include those set forth in the followi</w:t>
      </w:r>
      <w:r>
        <w:rPr>
          <w:rFonts w:eastAsia="Times New Roman"/>
          <w:i/>
          <w:iCs/>
          <w:color w:val="000000"/>
          <w:sz w:val="20"/>
          <w:szCs w:val="20"/>
        </w:rPr>
        <w:t xml:space="preserve">ng discussion and within </w:t>
      </w:r>
      <w:hyperlink w:anchor="i81c699a6f33e49f8a081f48620e58c22_130" w:history="1">
        <w:r>
          <w:rPr>
            <w:rStyle w:val="a3"/>
            <w:rFonts w:eastAsia="Times New Roman"/>
            <w:i/>
            <w:iCs/>
            <w:sz w:val="20"/>
            <w:szCs w:val="20"/>
          </w:rPr>
          <w:t>Item 1A</w:t>
        </w:r>
      </w:hyperlink>
      <w:r>
        <w:rPr>
          <w:rFonts w:eastAsia="Times New Roman"/>
          <w:i/>
          <w:iCs/>
          <w:color w:val="000000"/>
          <w:sz w:val="20"/>
          <w:szCs w:val="20"/>
        </w:rPr>
        <w:t xml:space="preserve">, "Risk Factors" of this 10-Q and elsewhere within this report; those identified within </w:t>
      </w:r>
      <w:hyperlink r:id="rId4" w:anchor="i2bb226c9c8094f2686c2a2ad33a7e33b_22" w:history="1">
        <w:r>
          <w:rPr>
            <w:rStyle w:val="a3"/>
            <w:rFonts w:eastAsia="Times New Roman"/>
            <w:i/>
            <w:iCs/>
            <w:sz w:val="20"/>
            <w:szCs w:val="20"/>
          </w:rPr>
          <w:t>Item 1A</w:t>
        </w:r>
      </w:hyperlink>
      <w:r>
        <w:rPr>
          <w:rFonts w:eastAsia="Times New Roman"/>
          <w:i/>
          <w:iCs/>
          <w:color w:val="000000"/>
          <w:sz w:val="20"/>
          <w:szCs w:val="20"/>
        </w:rPr>
        <w:t xml:space="preserve">, "Risk Factors" of our Annual Report on Form 10-K for the year ended December 31, 2021; and those identified in other documents that we file from time to time with the U.S. </w:t>
      </w:r>
      <w:r>
        <w:rPr>
          <w:rFonts w:eastAsia="Times New Roman"/>
          <w:i/>
          <w:iCs/>
          <w:color w:val="000000"/>
          <w:sz w:val="20"/>
          <w:szCs w:val="20"/>
        </w:rPr>
        <w:t>Securities and Exchange Commission, or SEC.</w:t>
      </w:r>
    </w:p>
    <w:p w:rsidR="00000000" w:rsidRDefault="00943C43">
      <w:pPr>
        <w:jc w:val="both"/>
        <w:divId w:val="854344401"/>
        <w:rPr>
          <w:rFonts w:eastAsia="Times New Roman"/>
        </w:rPr>
      </w:pPr>
      <w:r>
        <w:rPr>
          <w:rFonts w:eastAsia="Times New Roman"/>
          <w:i/>
          <w:iCs/>
          <w:color w:val="000000"/>
          <w:sz w:val="20"/>
          <w:szCs w:val="20"/>
        </w:rPr>
        <w:t>We believe that it is important to communicate our future expectations to our investors. However, there may be events in the future that we are not able to accurately predict or control and that may cause our act</w:t>
      </w:r>
      <w:r>
        <w:rPr>
          <w:rFonts w:eastAsia="Times New Roman"/>
          <w:i/>
          <w:iCs/>
          <w:color w:val="000000"/>
          <w:sz w:val="20"/>
          <w:szCs w:val="20"/>
        </w:rPr>
        <w:t>ual results to differ materially from the expectations we describe in our forward-looking statements. You should not place undue reliance on forward-looking statements, which apply only as of the date of this 10-Q. You should carefully review the risk fact</w:t>
      </w:r>
      <w:r>
        <w:rPr>
          <w:rFonts w:eastAsia="Times New Roman"/>
          <w:i/>
          <w:iCs/>
          <w:color w:val="000000"/>
          <w:sz w:val="20"/>
          <w:szCs w:val="20"/>
        </w:rPr>
        <w:t>ors described in this 10-Q and in other documents that we file from time to time with the SEC. Except as required by applicable law, including the rules and regulations of the SEC, we undertake no obligation, and expressly disclaim any duty, to publicly up</w:t>
      </w:r>
      <w:r>
        <w:rPr>
          <w:rFonts w:eastAsia="Times New Roman"/>
          <w:i/>
          <w:iCs/>
          <w:color w:val="000000"/>
          <w:sz w:val="20"/>
          <w:szCs w:val="20"/>
        </w:rPr>
        <w:t>date or revise forward-looking statements, whether as a result of any new information, future events or otherwise. Although we believe the expectations reflected in the forward-looking statements are reasonable as of the date of this 10-Q, our statements a</w:t>
      </w:r>
      <w:r>
        <w:rPr>
          <w:rFonts w:eastAsia="Times New Roman"/>
          <w:i/>
          <w:iCs/>
          <w:color w:val="000000"/>
          <w:sz w:val="20"/>
          <w:szCs w:val="20"/>
        </w:rPr>
        <w:t>re not guarantees of future results, levels of activity, performance, or achievements, and actual outcomes and results may differ materially from those expressed in, or implied by, any of our statements.</w:t>
      </w:r>
    </w:p>
    <w:p w:rsidR="00000000" w:rsidRDefault="00943C43">
      <w:pPr>
        <w:jc w:val="center"/>
        <w:divId w:val="1627925331"/>
        <w:rPr>
          <w:rFonts w:eastAsia="Times New Roman"/>
        </w:rPr>
      </w:pPr>
      <w:r>
        <w:rPr>
          <w:rFonts w:eastAsia="Times New Roman"/>
          <w:color w:val="000000"/>
          <w:sz w:val="20"/>
          <w:szCs w:val="20"/>
        </w:rPr>
        <w:t>i</w:t>
      </w:r>
    </w:p>
    <w:p w:rsidR="00000000" w:rsidRDefault="00943C43">
      <w:pPr>
        <w:rPr>
          <w:rFonts w:eastAsia="Times New Roman"/>
        </w:rPr>
      </w:pPr>
      <w:r>
        <w:rPr>
          <w:rFonts w:eastAsia="Times New Roman"/>
        </w:rPr>
        <w:pict>
          <v:rect id="_x0000_i1027" style="width:0;height:1.5pt" o:hralign="center" o:hrstd="t" o:hr="t" fillcolor="#a0a0a0" stroked="f"/>
        </w:pict>
      </w:r>
    </w:p>
    <w:p w:rsidR="00000000" w:rsidRDefault="00943C43">
      <w:pPr>
        <w:divId w:val="342324898"/>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1524706973"/>
        <w:rPr>
          <w:rFonts w:eastAsia="Times New Roman"/>
        </w:rPr>
      </w:pPr>
    </w:p>
    <w:p w:rsidR="00000000" w:rsidRDefault="00943C43">
      <w:pPr>
        <w:jc w:val="center"/>
        <w:rPr>
          <w:rFonts w:eastAsia="Times New Roman"/>
        </w:rPr>
      </w:pPr>
    </w:p>
    <w:p w:rsidR="00000000" w:rsidRDefault="00943C43">
      <w:pPr>
        <w:jc w:val="center"/>
        <w:rPr>
          <w:rFonts w:eastAsia="Times New Roman"/>
        </w:rPr>
      </w:pPr>
      <w:r>
        <w:rPr>
          <w:rFonts w:eastAsia="Times New Roman"/>
          <w:b/>
          <w:bCs/>
          <w:color w:val="000000"/>
          <w:sz w:val="20"/>
          <w:szCs w:val="20"/>
        </w:rPr>
        <w:t>PART I. FINANCIAL INFORMATION</w:t>
      </w:r>
    </w:p>
    <w:tbl>
      <w:tblPr>
        <w:tblW w:w="4996" w:type="pct"/>
        <w:jc w:val="center"/>
        <w:tblCellMar>
          <w:top w:w="15" w:type="dxa"/>
          <w:left w:w="15" w:type="dxa"/>
          <w:bottom w:w="15" w:type="dxa"/>
          <w:right w:w="15" w:type="dxa"/>
        </w:tblCellMar>
        <w:tblLook w:val="04A0" w:firstRow="1" w:lastRow="0" w:firstColumn="1" w:lastColumn="0" w:noHBand="0" w:noVBand="1"/>
      </w:tblPr>
      <w:tblGrid>
        <w:gridCol w:w="76"/>
        <w:gridCol w:w="741"/>
        <w:gridCol w:w="36"/>
        <w:gridCol w:w="69"/>
        <w:gridCol w:w="7341"/>
        <w:gridCol w:w="36"/>
      </w:tblGrid>
      <w:tr w:rsidR="00000000">
        <w:trPr>
          <w:jc w:val="center"/>
        </w:trPr>
        <w:tc>
          <w:tcPr>
            <w:tcW w:w="50" w:type="pct"/>
            <w:vAlign w:val="center"/>
            <w:hideMark/>
          </w:tcPr>
          <w:p w:rsidR="00000000" w:rsidRDefault="00943C43">
            <w:pPr>
              <w:jc w:val="center"/>
              <w:rPr>
                <w:rFonts w:eastAsia="Times New Roman"/>
              </w:rPr>
            </w:pPr>
          </w:p>
        </w:tc>
        <w:tc>
          <w:tcPr>
            <w:tcW w:w="45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430"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b/>
                <w:bCs/>
                <w:color w:val="000000"/>
                <w:sz w:val="20"/>
                <w:szCs w:val="20"/>
              </w:rPr>
              <w:t>ITEM 1.</w:t>
            </w:r>
          </w:p>
        </w:tc>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b/>
                <w:bCs/>
                <w:i/>
                <w:iCs/>
                <w:color w:val="000000"/>
                <w:sz w:val="20"/>
                <w:szCs w:val="20"/>
              </w:rPr>
              <w:t>FINANCIAL STATEMENTS</w:t>
            </w:r>
          </w:p>
        </w:tc>
      </w:tr>
    </w:tbl>
    <w:p w:rsidR="00000000" w:rsidRDefault="00943C43">
      <w:pPr>
        <w:jc w:val="center"/>
        <w:rPr>
          <w:rFonts w:eastAsia="Times New Roman"/>
        </w:rPr>
      </w:pPr>
      <w:r>
        <w:rPr>
          <w:rFonts w:eastAsia="Times New Roman"/>
          <w:b/>
          <w:bCs/>
          <w:color w:val="000000"/>
          <w:sz w:val="20"/>
          <w:szCs w:val="20"/>
        </w:rPr>
        <w:t>COMSCORE, INC.</w:t>
      </w:r>
    </w:p>
    <w:p w:rsidR="00000000" w:rsidRDefault="00943C43">
      <w:pPr>
        <w:jc w:val="center"/>
        <w:rPr>
          <w:rFonts w:eastAsia="Times New Roman"/>
        </w:rPr>
      </w:pPr>
      <w:r>
        <w:rPr>
          <w:rFonts w:eastAsia="Times New Roman"/>
          <w:b/>
          <w:bCs/>
          <w:color w:val="000000"/>
          <w:sz w:val="20"/>
          <w:szCs w:val="20"/>
        </w:rPr>
        <w:t>CONDENSED CONSOLIDATED BALANCE SHEETS</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5869"/>
        <w:gridCol w:w="38"/>
        <w:gridCol w:w="111"/>
        <w:gridCol w:w="866"/>
        <w:gridCol w:w="37"/>
        <w:gridCol w:w="36"/>
        <w:gridCol w:w="36"/>
        <w:gridCol w:w="36"/>
        <w:gridCol w:w="112"/>
        <w:gridCol w:w="867"/>
        <w:gridCol w:w="36"/>
        <w:gridCol w:w="36"/>
        <w:gridCol w:w="36"/>
        <w:gridCol w:w="36"/>
        <w:gridCol w:w="36"/>
        <w:gridCol w:w="36"/>
        <w:gridCol w:w="36"/>
      </w:tblGrid>
      <w:tr w:rsidR="00000000">
        <w:trPr>
          <w:divId w:val="2016805545"/>
          <w:jc w:val="center"/>
        </w:trPr>
        <w:tc>
          <w:tcPr>
            <w:tcW w:w="50" w:type="pct"/>
            <w:vAlign w:val="center"/>
            <w:hideMark/>
          </w:tcPr>
          <w:p w:rsidR="00000000" w:rsidRDefault="00943C43">
            <w:pPr>
              <w:jc w:val="center"/>
              <w:rPr>
                <w:rFonts w:eastAsia="Times New Roman"/>
              </w:rPr>
            </w:pPr>
          </w:p>
        </w:tc>
        <w:tc>
          <w:tcPr>
            <w:tcW w:w="3670"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As of</w:t>
            </w:r>
          </w:p>
        </w:tc>
        <w:tc>
          <w:tcPr>
            <w:tcW w:w="0" w:type="auto"/>
            <w:vAlign w:val="center"/>
            <w:hideMark/>
          </w:tcPr>
          <w:p w:rsidR="00000000" w:rsidRDefault="00943C43">
            <w:pPr>
              <w:spacing w:after="100"/>
              <w:jc w:val="center"/>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rsidR="00000000" w:rsidRDefault="00943C43">
            <w:pPr>
              <w:spacing w:after="100"/>
              <w:jc w:val="center"/>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(In thousands, except share and par value data)</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(Unaudited)</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b/>
                <w:bCs/>
                <w:color w:val="000000"/>
                <w:sz w:val="18"/>
                <w:szCs w:val="18"/>
              </w:rPr>
              <w:lastRenderedPageBreak/>
              <w:t>Assets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CCEEFF"/>
            <w:tcMar>
              <w:top w:w="30" w:type="dxa"/>
              <w:left w:w="26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29,629 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21,854 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FFFFFF"/>
            <w:tcMar>
              <w:top w:w="30" w:type="dxa"/>
              <w:left w:w="26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425 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425 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219946758"/>
              <w:rPr>
                <w:rFonts w:eastAsia="Times New Roman"/>
              </w:rPr>
            </w:pPr>
            <w:r>
              <w:rPr>
                <w:rFonts w:eastAsia="Times New Roman"/>
                <w:color w:val="000000"/>
                <w:sz w:val="18"/>
                <w:szCs w:val="18"/>
              </w:rPr>
              <w:t xml:space="preserve">Accounts receivable, net of allowances of $972 and $1,173, respectively ($2,311 and $3,606 </w:t>
            </w:r>
            <w:r>
              <w:rPr>
                <w:rFonts w:eastAsia="Times New Roman"/>
                <w:color w:val="000000"/>
                <w:sz w:val="18"/>
                <w:szCs w:val="18"/>
              </w:rPr>
              <w:t>of accounts receivable attributable to related parties, respectively)</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64,618 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72,059 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FFFFFF"/>
            <w:tcMar>
              <w:top w:w="30" w:type="dxa"/>
              <w:left w:w="26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14,378 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14,769 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CCEEFF"/>
            <w:tcMar>
              <w:top w:w="30" w:type="dxa"/>
              <w:left w:w="15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109,050 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109,107 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xml:space="preserve">Property and equipment, net </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35,600 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36,451 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Operating right-of-use assets</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27,744 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29,186 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xml:space="preserve">Deferred tax assets </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3,173 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2,811 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xml:space="preserve">Intangible assets, net </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33,166 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39,945 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xml:space="preserve">Goodwill </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435,473 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435,711 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Other non-current assets</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11,507 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10,263 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FFFFFF"/>
            <w:tcMar>
              <w:top w:w="30" w:type="dxa"/>
              <w:left w:w="15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655,713 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663,474 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b/>
                <w:bCs/>
                <w:color w:val="000000"/>
                <w:sz w:val="18"/>
                <w:szCs w:val="18"/>
              </w:rPr>
              <w:t>Liabilities, Convertible Redeemable Preferred Stock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1035809027"/>
              <w:rPr>
                <w:rFonts w:eastAsia="Times New Roman"/>
              </w:rPr>
            </w:pPr>
            <w:r>
              <w:rPr>
                <w:rFonts w:eastAsia="Times New Roman"/>
                <w:color w:val="000000"/>
                <w:sz w:val="18"/>
                <w:szCs w:val="18"/>
              </w:rPr>
              <w:t xml:space="preserve">Accounts payable ($10,028 and $6,575 </w:t>
            </w:r>
            <w:r>
              <w:rPr>
                <w:rFonts w:eastAsia="Times New Roman"/>
                <w:color w:val="000000"/>
                <w:sz w:val="18"/>
                <w:szCs w:val="18"/>
              </w:rPr>
              <w:t>attributable to related parties, respectively)</w:t>
            </w:r>
          </w:p>
        </w:tc>
        <w:tc>
          <w:tcPr>
            <w:tcW w:w="0" w:type="auto"/>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29,124 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23,575 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divId w:val="1711681708"/>
              <w:rPr>
                <w:rFonts w:eastAsia="Times New Roman"/>
              </w:rPr>
            </w:pPr>
            <w:r>
              <w:rPr>
                <w:rFonts w:eastAsia="Times New Roman"/>
                <w:color w:val="000000"/>
                <w:sz w:val="18"/>
                <w:szCs w:val="18"/>
              </w:rPr>
              <w:t>Accrued expenses ($3,857 and $4,122 attributable to related parties, respectively)</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38,393 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45,264 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1036734863"/>
              <w:rPr>
                <w:rFonts w:eastAsia="Times New Roman"/>
              </w:rPr>
            </w:pPr>
            <w:r>
              <w:rPr>
                <w:rFonts w:eastAsia="Times New Roman"/>
                <w:color w:val="000000"/>
                <w:sz w:val="18"/>
                <w:szCs w:val="18"/>
              </w:rPr>
              <w:t>Contract liabilities ($3,748 and $3,553 attributable to related parties, respectively)</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58,563 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54,011 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FFFFFF"/>
            <w:tcMar>
              <w:top w:w="30" w:type="dxa"/>
              <w:left w:w="26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Customer advances</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10,933 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11,613 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CCEEFF"/>
            <w:tcMar>
              <w:top w:w="30" w:type="dxa"/>
              <w:left w:w="26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Warrants liability</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8,085 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10,520 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FFFFFF"/>
            <w:tcMar>
              <w:top w:w="30" w:type="dxa"/>
              <w:left w:w="26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Current 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7,579 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7,538 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1995254266"/>
              <w:rPr>
                <w:rFonts w:eastAsia="Times New Roman"/>
              </w:rPr>
            </w:pPr>
            <w:r>
              <w:rPr>
                <w:rFonts w:eastAsia="Times New Roman"/>
                <w:color w:val="000000"/>
                <w:sz w:val="18"/>
                <w:szCs w:val="18"/>
              </w:rPr>
              <w:t>Other current liabilities ($11,688 and $7,863 attributable to related parties, respectively)</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18,251 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12,850 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FFFFFF"/>
            <w:tcMar>
              <w:top w:w="30" w:type="dxa"/>
              <w:left w:w="15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170,928 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165,371 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Non-current operating lease liabilities</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34,238 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36,055 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divId w:val="2016877917"/>
              <w:rPr>
                <w:rFonts w:eastAsia="Times New Roman"/>
              </w:rPr>
            </w:pPr>
            <w:r>
              <w:rPr>
                <w:rFonts w:eastAsia="Times New Roman"/>
                <w:color w:val="000000"/>
                <w:sz w:val="18"/>
                <w:szCs w:val="18"/>
              </w:rPr>
              <w:t xml:space="preserve">Non-current portion of accrued data costs ($10,109 and $7,843 </w:t>
            </w:r>
            <w:r>
              <w:rPr>
                <w:rFonts w:eastAsia="Times New Roman"/>
                <w:color w:val="000000"/>
                <w:sz w:val="18"/>
                <w:szCs w:val="18"/>
              </w:rPr>
              <w:t>attributable to related parties, respectively)</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18,195 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16,005 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Revolving line of credit</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16,000 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16,000 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Deferred tax liabilities</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2,762 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2,103 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252973663"/>
              <w:rPr>
                <w:rFonts w:eastAsia="Times New Roman"/>
              </w:rPr>
            </w:pPr>
            <w:r>
              <w:rPr>
                <w:rFonts w:eastAsia="Times New Roman"/>
                <w:color w:val="000000"/>
                <w:sz w:val="18"/>
                <w:szCs w:val="18"/>
              </w:rPr>
              <w:t>Other non-current liabilities ($994 and $1,582 attributable to related parties, respectively)</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12,445 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16,879 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FFFFFF"/>
            <w:tcMar>
              <w:top w:w="30" w:type="dxa"/>
              <w:left w:w="15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254,568 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252,413 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Commitments and contingencies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divId w:val="1088381856"/>
              <w:rPr>
                <w:rFonts w:eastAsia="Times New Roman"/>
              </w:rPr>
            </w:pPr>
            <w:r>
              <w:rPr>
                <w:rFonts w:eastAsia="Times New Roman"/>
                <w:color w:val="000000"/>
                <w:sz w:val="18"/>
                <w:szCs w:val="18"/>
              </w:rPr>
              <w:t>Convertible redeemable preferred stock, $0.001 par value; 82,527,609 shares authorized, issued and outstanding as of March 31, 2022 and December </w:t>
            </w:r>
            <w:r>
              <w:rPr>
                <w:rFonts w:eastAsia="Times New Roman"/>
                <w:color w:val="000000"/>
                <w:sz w:val="18"/>
                <w:szCs w:val="18"/>
              </w:rPr>
              <w:t>31, 2021; aggregate liquidation preference of $215,688 as of March 31, 2022, and $211,863 as of December 31, 2021 (related parties)</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187,885 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187,885 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lastRenderedPageBreak/>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divId w:val="453714613"/>
              <w:rPr>
                <w:rFonts w:eastAsia="Times New Roman"/>
              </w:rPr>
            </w:pPr>
            <w:r>
              <w:rPr>
                <w:rFonts w:eastAsia="Times New Roman"/>
                <w:color w:val="000000"/>
                <w:sz w:val="18"/>
                <w:szCs w:val="18"/>
              </w:rPr>
              <w:t>Preferred stock, $0.001 par value; 7,472,391 shares authorized as of March 31, 2022 and December 31, 2021; no shares issued or outstanding as of March 31, 2022 or December 31, 2021</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114257017"/>
              <w:rPr>
                <w:rFonts w:eastAsia="Times New Roman"/>
              </w:rPr>
            </w:pPr>
            <w:r>
              <w:rPr>
                <w:rFonts w:eastAsia="Times New Roman"/>
                <w:color w:val="000000"/>
                <w:sz w:val="18"/>
                <w:szCs w:val="18"/>
              </w:rPr>
              <w:t xml:space="preserve">Common stock, $0.001 par value; </w:t>
            </w:r>
            <w:r>
              <w:rPr>
                <w:rFonts w:eastAsia="Times New Roman"/>
                <w:color w:val="000000"/>
                <w:sz w:val="18"/>
                <w:szCs w:val="18"/>
              </w:rPr>
              <w:t xml:space="preserve">275,000,000 shares authorized as of March 31, 2022 and December 31, 2021; 97,470,138 shares issued and 90,705,342 shares outstanding as of March 31, 2022, and 97,172,086 shares issued and 90,407,290 shares outstanding as of December 31, 2021 </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91 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FFFFFF"/>
            <w:tcMar>
              <w:top w:w="30" w:type="dxa"/>
              <w:left w:w="26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1,687,608 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1,683,883 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CCEEFF"/>
            <w:tcMar>
              <w:top w:w="30" w:type="dxa"/>
              <w:left w:w="26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Accumulated 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(12,639)</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(12,098)</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FFFFFF"/>
            <w:tcMar>
              <w:top w:w="30" w:type="dxa"/>
              <w:left w:w="26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Accumulated deficit</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(1,231,816)</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(1,218,715)</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39940869"/>
              <w:rPr>
                <w:rFonts w:eastAsia="Times New Roman"/>
              </w:rPr>
            </w:pPr>
            <w:r>
              <w:rPr>
                <w:rFonts w:eastAsia="Times New Roman"/>
                <w:color w:val="000000"/>
                <w:sz w:val="18"/>
                <w:szCs w:val="18"/>
              </w:rPr>
              <w:t>Treasury stock, at cost, 6,764,796 shares as of March 31, 2022 and December 31, 2021</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(229,984)</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(229,984)</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FFFFFF"/>
            <w:tcMar>
              <w:top w:w="30" w:type="dxa"/>
              <w:left w:w="15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213,260 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223,176 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2016805545"/>
          <w:jc w:val="center"/>
        </w:trPr>
        <w:tc>
          <w:tcPr>
            <w:tcW w:w="0" w:type="auto"/>
            <w:gridSpan w:val="3"/>
            <w:shd w:val="clear" w:color="auto" w:fill="CCEEFF"/>
            <w:tcMar>
              <w:top w:w="30" w:type="dxa"/>
              <w:left w:w="15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Total liabilities, convertible redeemable preferred stock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655,713 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663,474 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bl>
    <w:p w:rsidR="00000000" w:rsidRDefault="00943C43">
      <w:pPr>
        <w:jc w:val="center"/>
        <w:divId w:val="640186334"/>
        <w:rPr>
          <w:rFonts w:eastAsia="Times New Roman"/>
        </w:rPr>
      </w:pPr>
      <w:r>
        <w:rPr>
          <w:rFonts w:eastAsia="Times New Roman"/>
          <w:color w:val="000000"/>
          <w:sz w:val="18"/>
          <w:szCs w:val="18"/>
        </w:rPr>
        <w:t>See accompa</w:t>
      </w:r>
      <w:r>
        <w:rPr>
          <w:rFonts w:eastAsia="Times New Roman"/>
          <w:color w:val="000000"/>
          <w:sz w:val="18"/>
          <w:szCs w:val="18"/>
        </w:rPr>
        <w:t>nying Notes to Condensed Consolidated Financial Statements.</w:t>
      </w:r>
    </w:p>
    <w:p w:rsidR="00000000" w:rsidRDefault="00943C43">
      <w:pPr>
        <w:jc w:val="center"/>
        <w:divId w:val="649602705"/>
        <w:rPr>
          <w:rFonts w:eastAsia="Times New Roman"/>
        </w:rPr>
      </w:pPr>
      <w:r>
        <w:rPr>
          <w:rFonts w:eastAsia="Times New Roman"/>
          <w:color w:val="000000"/>
          <w:sz w:val="20"/>
          <w:szCs w:val="20"/>
        </w:rPr>
        <w:t>1</w:t>
      </w:r>
    </w:p>
    <w:p w:rsidR="00000000" w:rsidRDefault="00943C43">
      <w:pPr>
        <w:rPr>
          <w:rFonts w:eastAsia="Times New Roman"/>
        </w:rPr>
      </w:pPr>
      <w:r>
        <w:rPr>
          <w:rFonts w:eastAsia="Times New Roman"/>
        </w:rPr>
        <w:pict>
          <v:rect id="_x0000_i1028" style="width:0;height:1.5pt" o:hralign="center" o:hrstd="t" o:hr="t" fillcolor="#a0a0a0" stroked="f"/>
        </w:pict>
      </w:r>
    </w:p>
    <w:p w:rsidR="00000000" w:rsidRDefault="00943C43">
      <w:pPr>
        <w:divId w:val="198203303"/>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1279026560"/>
        <w:rPr>
          <w:rFonts w:eastAsia="Times New Roman"/>
        </w:rPr>
      </w:pPr>
    </w:p>
    <w:p w:rsidR="00000000" w:rsidRDefault="00943C43">
      <w:pPr>
        <w:jc w:val="center"/>
        <w:rPr>
          <w:rFonts w:eastAsia="Times New Roman"/>
        </w:rPr>
      </w:pPr>
      <w:r>
        <w:rPr>
          <w:rFonts w:eastAsia="Times New Roman"/>
          <w:b/>
          <w:bCs/>
          <w:color w:val="000000"/>
          <w:sz w:val="20"/>
          <w:szCs w:val="20"/>
        </w:rPr>
        <w:t>COMSCORE, INC.</w:t>
      </w:r>
    </w:p>
    <w:p w:rsidR="00000000" w:rsidRDefault="00943C43">
      <w:pPr>
        <w:jc w:val="center"/>
        <w:rPr>
          <w:rFonts w:eastAsia="Times New Roman"/>
        </w:rPr>
      </w:pPr>
      <w:r>
        <w:rPr>
          <w:rFonts w:eastAsia="Times New Roman"/>
          <w:b/>
          <w:bCs/>
          <w:color w:val="000000"/>
          <w:sz w:val="20"/>
          <w:szCs w:val="20"/>
        </w:rPr>
        <w:t>CONDENSED CONSOLIDATED STATEMENTS OF OPERATIONS AND COMPREHENSIVE LOSS</w:t>
      </w:r>
    </w:p>
    <w:p w:rsidR="00000000" w:rsidRDefault="00943C43">
      <w:pPr>
        <w:jc w:val="center"/>
        <w:rPr>
          <w:rFonts w:eastAsia="Times New Roman"/>
        </w:rPr>
      </w:pPr>
      <w:r>
        <w:rPr>
          <w:rFonts w:eastAsia="Times New Roman"/>
          <w:b/>
          <w:bCs/>
          <w:color w:val="000000"/>
          <w:sz w:val="16"/>
          <w:szCs w:val="16"/>
        </w:rPr>
        <w:t>(Unaudited)</w:t>
      </w:r>
    </w:p>
    <w:tbl>
      <w:tblPr>
        <w:tblW w:w="4996" w:type="pct"/>
        <w:jc w:val="center"/>
        <w:tblCellMar>
          <w:top w:w="15" w:type="dxa"/>
          <w:left w:w="15" w:type="dxa"/>
          <w:bottom w:w="15" w:type="dxa"/>
          <w:right w:w="15" w:type="dxa"/>
        </w:tblCellMar>
        <w:tblLook w:val="04A0" w:firstRow="1" w:lastRow="0" w:firstColumn="1" w:lastColumn="0" w:noHBand="0" w:noVBand="1"/>
      </w:tblPr>
      <w:tblGrid>
        <w:gridCol w:w="40"/>
        <w:gridCol w:w="5630"/>
        <w:gridCol w:w="39"/>
        <w:gridCol w:w="36"/>
        <w:gridCol w:w="36"/>
        <w:gridCol w:w="36"/>
        <w:gridCol w:w="111"/>
        <w:gridCol w:w="824"/>
        <w:gridCol w:w="36"/>
        <w:gridCol w:w="36"/>
        <w:gridCol w:w="36"/>
        <w:gridCol w:w="36"/>
        <w:gridCol w:w="111"/>
        <w:gridCol w:w="824"/>
        <w:gridCol w:w="36"/>
        <w:gridCol w:w="36"/>
        <w:gridCol w:w="36"/>
        <w:gridCol w:w="36"/>
        <w:gridCol w:w="36"/>
        <w:gridCol w:w="36"/>
        <w:gridCol w:w="36"/>
        <w:gridCol w:w="36"/>
        <w:gridCol w:w="36"/>
        <w:gridCol w:w="36"/>
        <w:gridCol w:w="36"/>
        <w:gridCol w:w="36"/>
        <w:gridCol w:w="36"/>
      </w:tblGrid>
      <w:tr w:rsidR="00000000">
        <w:trPr>
          <w:divId w:val="141897023"/>
          <w:jc w:val="center"/>
        </w:trPr>
        <w:tc>
          <w:tcPr>
            <w:tcW w:w="50" w:type="pct"/>
            <w:vAlign w:val="center"/>
            <w:hideMark/>
          </w:tcPr>
          <w:p w:rsidR="00000000" w:rsidRDefault="00943C43">
            <w:pPr>
              <w:jc w:val="center"/>
              <w:rPr>
                <w:rFonts w:eastAsia="Times New Roman"/>
              </w:rPr>
            </w:pPr>
          </w:p>
        </w:tc>
        <w:tc>
          <w:tcPr>
            <w:tcW w:w="36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Three Months Ended March 31,</w:t>
            </w:r>
          </w:p>
        </w:tc>
        <w:tc>
          <w:tcPr>
            <w:tcW w:w="0" w:type="auto"/>
            <w:gridSpan w:val="3"/>
            <w:vAlign w:val="center"/>
            <w:hideMark/>
          </w:tcPr>
          <w:p w:rsidR="00000000" w:rsidRDefault="00943C43">
            <w:pPr>
              <w:spacing w:after="100"/>
              <w:jc w:val="center"/>
              <w:rPr>
                <w:rFonts w:eastAsia="Times New Roman"/>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(In thousands, except share and per share data)</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rsidR="00000000" w:rsidRDefault="00943C43">
            <w:pPr>
              <w:spacing w:after="100"/>
              <w:jc w:val="center"/>
              <w:rPr>
                <w:rFonts w:eastAsia="Times New Roman"/>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163129583"/>
              <w:rPr>
                <w:rFonts w:eastAsia="Times New Roman"/>
              </w:rPr>
            </w:pPr>
            <w:r>
              <w:rPr>
                <w:rFonts w:eastAsia="Times New Roman"/>
                <w:color w:val="000000"/>
                <w:sz w:val="18"/>
                <w:szCs w:val="18"/>
              </w:rPr>
              <w:t>Revenues</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93,966 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90,330 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1633056228"/>
              <w:rPr>
                <w:rFonts w:eastAsia="Times New Roman"/>
              </w:rPr>
            </w:pPr>
            <w:r>
              <w:rPr>
                <w:rFonts w:eastAsia="Times New Roman"/>
                <w:color w:val="000000"/>
                <w:sz w:val="18"/>
                <w:szCs w:val="18"/>
              </w:rPr>
              <w:t>Cost of revenues</w:t>
            </w:r>
            <w:r>
              <w:rPr>
                <w:rFonts w:eastAsia="Times New Roman"/>
                <w:color w:val="000000"/>
                <w:sz w:val="18"/>
                <w:szCs w:val="18"/>
              </w:rPr>
              <w:t xml:space="preserve"> </w:t>
            </w:r>
            <w:r>
              <w:rPr>
                <w:rFonts w:eastAsia="Times New Roman"/>
                <w:color w:val="000000"/>
                <w:sz w:val="12"/>
                <w:szCs w:val="12"/>
              </w:rPr>
              <w:t>(1) (2) (3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52,918 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52,702 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divId w:val="1623684431"/>
              <w:rPr>
                <w:rFonts w:eastAsia="Times New Roman"/>
              </w:rPr>
            </w:pPr>
            <w:r>
              <w:rPr>
                <w:rFonts w:eastAsia="Times New Roman"/>
                <w:color w:val="000000"/>
                <w:sz w:val="18"/>
                <w:szCs w:val="18"/>
              </w:rPr>
              <w:t>Selling and marketing</w:t>
            </w:r>
            <w:r>
              <w:rPr>
                <w:rFonts w:eastAsia="Times New Roman"/>
                <w:color w:val="000000"/>
                <w:sz w:val="18"/>
                <w:szCs w:val="18"/>
              </w:rPr>
              <w:t xml:space="preserve"> </w:t>
            </w:r>
            <w:r>
              <w:rPr>
                <w:rFonts w:eastAsia="Times New Roman"/>
                <w:color w:val="000000"/>
                <w:sz w:val="12"/>
                <w:szCs w:val="12"/>
              </w:rPr>
              <w:t>(1) (3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17,166 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17,827 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2144496323"/>
              <w:rPr>
                <w:rFonts w:eastAsia="Times New Roman"/>
              </w:rPr>
            </w:pPr>
            <w:r>
              <w:rPr>
                <w:rFonts w:eastAsia="Times New Roman"/>
                <w:color w:val="000000"/>
                <w:sz w:val="18"/>
                <w:szCs w:val="18"/>
              </w:rPr>
              <w:t>Research and developmen</w:t>
            </w:r>
            <w:r>
              <w:rPr>
                <w:rFonts w:eastAsia="Times New Roman"/>
                <w:color w:val="000000"/>
                <w:sz w:val="18"/>
                <w:szCs w:val="18"/>
              </w:rPr>
              <w:t>t</w:t>
            </w:r>
            <w:r>
              <w:rPr>
                <w:rFonts w:eastAsia="Times New Roman"/>
                <w:color w:val="000000"/>
                <w:sz w:val="12"/>
                <w:szCs w:val="12"/>
              </w:rPr>
              <w:t xml:space="preserve"> (1) (3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9,532 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10,353 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divId w:val="1891183741"/>
              <w:rPr>
                <w:rFonts w:eastAsia="Times New Roman"/>
              </w:rPr>
            </w:pPr>
            <w:r>
              <w:rPr>
                <w:rFonts w:eastAsia="Times New Roman"/>
                <w:color w:val="000000"/>
                <w:sz w:val="18"/>
                <w:szCs w:val="18"/>
              </w:rPr>
              <w:t>General and administrative</w:t>
            </w:r>
            <w:r>
              <w:rPr>
                <w:rFonts w:eastAsia="Times New Roman"/>
                <w:color w:val="000000"/>
                <w:sz w:val="18"/>
                <w:szCs w:val="18"/>
              </w:rPr>
              <w:t xml:space="preserve"> </w:t>
            </w:r>
            <w:r>
              <w:rPr>
                <w:rFonts w:eastAsia="Times New Roman"/>
                <w:color w:val="000000"/>
                <w:sz w:val="12"/>
                <w:szCs w:val="12"/>
              </w:rPr>
              <w:t>(1) (3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18,117 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14,468 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Amortization of intangible assets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6,779 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6,439 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Total expenses from operations</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104,512 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101,789 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Loss from operations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(10,546)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(11,459)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Other income (expense), net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2,433 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(8,274)</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Gain from foreign currency transactions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420 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1,074 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divId w:val="1345477540"/>
              <w:rPr>
                <w:rFonts w:eastAsia="Times New Roman"/>
              </w:rPr>
            </w:pPr>
            <w:r>
              <w:rPr>
                <w:rFonts w:eastAsia="Times New Roman"/>
                <w:color w:val="000000"/>
                <w:sz w:val="18"/>
                <w:szCs w:val="18"/>
              </w:rPr>
              <w:t>Interest expense, net</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(200)</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(7,045)</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983390833"/>
              <w:rPr>
                <w:rFonts w:eastAsia="Times New Roman"/>
              </w:rPr>
            </w:pPr>
            <w:r>
              <w:rPr>
                <w:rFonts w:eastAsia="Times New Roman"/>
                <w:color w:val="000000"/>
                <w:sz w:val="18"/>
                <w:szCs w:val="18"/>
              </w:rPr>
              <w:t>Loss on extinguishment of debt</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(9,629)</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(7,893)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(35,333)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Income tax provision</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(1,383)</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(1,022)</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lastRenderedPageBreak/>
              <w:t>Net loss</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(9,276)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(36,355)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Net loss available to common stockholders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(9,276)</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(36,355)</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1398045412"/>
              <w:rPr>
                <w:rFonts w:eastAsia="Times New Roman"/>
              </w:rPr>
            </w:pPr>
            <w:r>
              <w:rPr>
                <w:rFonts w:eastAsia="Times New Roman"/>
                <w:color w:val="000000"/>
                <w:sz w:val="18"/>
                <w:szCs w:val="18"/>
              </w:rPr>
              <w:t>Convertible redeemable preferred stock dividends</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(3,825)</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(935)</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Total net loss available to common stockholders</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(13,101)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(37,290)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Net loss per common share:</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FFFFFF"/>
            <w:tcMar>
              <w:top w:w="30" w:type="dxa"/>
              <w:left w:w="26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Basic and diluted</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(0.14)</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(0.49)</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Weighted-average number of shares used in per share calculation - Common Stock:</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FFFFFF"/>
            <w:tcMar>
              <w:top w:w="30" w:type="dxa"/>
              <w:left w:w="26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Basic and diluted</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91,686,733 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76,147,342 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Comprehensive loss: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(9,276)</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(36,355)</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FFFFFF"/>
            <w:tcMar>
              <w:top w:w="30" w:type="dxa"/>
              <w:left w:w="26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Foreign currency cumulative translation adjustment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(541)</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(2,151)</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Total comprehensive loss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(9,817)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(38,506)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trHeight w:val="120"/>
          <w:jc w:val="center"/>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15"/>
            <w:tcMar>
              <w:top w:w="30" w:type="dxa"/>
              <w:left w:w="20" w:type="dxa"/>
              <w:bottom w:w="30" w:type="dxa"/>
              <w:right w:w="20" w:type="dxa"/>
            </w:tcMar>
            <w:vAlign w:val="bottom"/>
            <w:hideMark/>
          </w:tcPr>
          <w:p w:rsidR="00000000" w:rsidRDefault="00943C43">
            <w:pPr>
              <w:spacing w:after="100"/>
              <w:divId w:val="593973442"/>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Excludes amortization of intangible assets, which is presented as a separate line item.</w:t>
            </w: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41897023"/>
          <w:jc w:val="center"/>
        </w:trPr>
        <w:tc>
          <w:tcPr>
            <w:tcW w:w="0" w:type="auto"/>
            <w:gridSpan w:val="15"/>
            <w:shd w:val="clear" w:color="auto" w:fill="FFFFFF"/>
            <w:tcMar>
              <w:top w:w="30" w:type="dxa"/>
              <w:left w:w="20" w:type="dxa"/>
              <w:bottom w:w="30" w:type="dxa"/>
              <w:right w:w="20" w:type="dxa"/>
            </w:tcMar>
            <w:vAlign w:val="bottom"/>
            <w:hideMark/>
          </w:tcPr>
          <w:p w:rsidR="00000000" w:rsidRDefault="00943C43">
            <w:pPr>
              <w:spacing w:after="100"/>
              <w:jc w:val="both"/>
              <w:rPr>
                <w:rFonts w:eastAsia="Times New Roman"/>
              </w:rPr>
            </w:pPr>
            <w:r>
              <w:rPr>
                <w:rFonts w:eastAsia="Times New Roman"/>
                <w:color w:val="000000"/>
                <w:sz w:val="12"/>
                <w:szCs w:val="12"/>
              </w:rPr>
              <w:t>(2</w:t>
            </w:r>
            <w:r>
              <w:rPr>
                <w:rFonts w:eastAsia="Times New Roman"/>
                <w:color w:val="000000"/>
                <w:sz w:val="12"/>
                <w:szCs w:val="12"/>
              </w:rPr>
              <w:t>)</w:t>
            </w:r>
            <w:r>
              <w:rPr>
                <w:rFonts w:eastAsia="Times New Roman"/>
                <w:color w:val="000000"/>
                <w:sz w:val="18"/>
                <w:szCs w:val="18"/>
              </w:rPr>
              <w:t xml:space="preserve"> </w:t>
            </w:r>
            <w:r>
              <w:rPr>
                <w:rFonts w:eastAsia="Times New Roman"/>
                <w:color w:val="000000"/>
                <w:sz w:val="18"/>
                <w:szCs w:val="18"/>
              </w:rPr>
              <w:t>Transactions with related parties are included in the line items above as follows (refer to </w:t>
            </w:r>
            <w:hyperlink w:anchor="i81c699a6f33e49f8a081f48620e58c22_79" w:history="1">
              <w:r>
                <w:rPr>
                  <w:rStyle w:val="a3"/>
                  <w:rFonts w:eastAsia="Times New Roman"/>
                  <w:sz w:val="18"/>
                  <w:szCs w:val="18"/>
                </w:rPr>
                <w:t>Footnote 8</w:t>
              </w:r>
            </w:hyperlink>
            <w:r>
              <w:rPr>
                <w:rFonts w:eastAsia="Times New Roman"/>
                <w:color w:val="000000"/>
                <w:sz w:val="18"/>
                <w:szCs w:val="18"/>
              </w:rPr>
              <w:t xml:space="preserve">, </w:t>
            </w:r>
            <w:r>
              <w:rPr>
                <w:rFonts w:eastAsia="Times New Roman"/>
                <w:i/>
                <w:iCs/>
                <w:color w:val="000000"/>
                <w:sz w:val="18"/>
                <w:szCs w:val="18"/>
              </w:rPr>
              <w:t>Related Party Transactions</w:t>
            </w:r>
            <w:r>
              <w:rPr>
                <w:rFonts w:eastAsia="Times New Roman"/>
                <w:color w:val="000000"/>
                <w:sz w:val="18"/>
                <w:szCs w:val="18"/>
              </w:rPr>
              <w:t>, of the Notes to Condensed Consolidated Financial Statements for a</w:t>
            </w:r>
            <w:r>
              <w:rPr>
                <w:rFonts w:eastAsia="Times New Roman"/>
                <w:color w:val="000000"/>
                <w:sz w:val="18"/>
                <w:szCs w:val="18"/>
              </w:rPr>
              <w:t>dditional information):</w:t>
            </w: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bl>
    <w:tbl>
      <w:tblPr>
        <w:tblW w:w="4996" w:type="pct"/>
        <w:tblCellMar>
          <w:top w:w="15" w:type="dxa"/>
          <w:left w:w="15" w:type="dxa"/>
          <w:bottom w:w="15" w:type="dxa"/>
          <w:right w:w="15" w:type="dxa"/>
        </w:tblCellMar>
        <w:tblLook w:val="04A0" w:firstRow="1" w:lastRow="0" w:firstColumn="1" w:lastColumn="0" w:noHBand="0" w:noVBand="1"/>
      </w:tblPr>
      <w:tblGrid>
        <w:gridCol w:w="37"/>
        <w:gridCol w:w="5963"/>
        <w:gridCol w:w="37"/>
        <w:gridCol w:w="36"/>
        <w:gridCol w:w="36"/>
        <w:gridCol w:w="36"/>
        <w:gridCol w:w="110"/>
        <w:gridCol w:w="877"/>
        <w:gridCol w:w="36"/>
        <w:gridCol w:w="36"/>
        <w:gridCol w:w="36"/>
        <w:gridCol w:w="36"/>
        <w:gridCol w:w="110"/>
        <w:gridCol w:w="877"/>
        <w:gridCol w:w="36"/>
      </w:tblGrid>
      <w:tr w:rsidR="00000000">
        <w:tc>
          <w:tcPr>
            <w:tcW w:w="50" w:type="pct"/>
            <w:vAlign w:val="center"/>
            <w:hideMark/>
          </w:tcPr>
          <w:p w:rsidR="00000000" w:rsidRDefault="00943C43">
            <w:pPr>
              <w:jc w:val="center"/>
              <w:rPr>
                <w:rFonts w:eastAsia="Times New Roman"/>
              </w:rPr>
            </w:pPr>
          </w:p>
        </w:tc>
        <w:tc>
          <w:tcPr>
            <w:tcW w:w="36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Three Months Ended March 31,</w:t>
            </w:r>
          </w:p>
        </w:tc>
      </w:tr>
      <w:tr w:rsidR="00000000">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4,412 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3,856 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Cost of revenues</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7,668 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9,821 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(4,692)</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Loss on extinguishment of debt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(9,608)</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Convertible redeemable 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(3,825)</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(935)</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c>
          <w:tcPr>
            <w:tcW w:w="0" w:type="auto"/>
            <w:gridSpan w:val="3"/>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bl>
    <w:p w:rsidR="00000000" w:rsidRDefault="00943C43">
      <w:pPr>
        <w:jc w:val="center"/>
        <w:divId w:val="1984850403"/>
        <w:rPr>
          <w:rFonts w:eastAsia="Times New Roman"/>
          <w:vanish/>
        </w:rPr>
      </w:pPr>
    </w:p>
    <w:tbl>
      <w:tblPr>
        <w:tblW w:w="4996" w:type="pct"/>
        <w:jc w:val="center"/>
        <w:tblCellMar>
          <w:top w:w="15" w:type="dxa"/>
          <w:left w:w="15" w:type="dxa"/>
          <w:bottom w:w="15" w:type="dxa"/>
          <w:right w:w="15" w:type="dxa"/>
        </w:tblCellMar>
        <w:tblLook w:val="04A0" w:firstRow="1" w:lastRow="0" w:firstColumn="1" w:lastColumn="0" w:noHBand="0" w:noVBand="1"/>
      </w:tblPr>
      <w:tblGrid>
        <w:gridCol w:w="40"/>
        <w:gridCol w:w="5632"/>
        <w:gridCol w:w="39"/>
        <w:gridCol w:w="36"/>
        <w:gridCol w:w="36"/>
        <w:gridCol w:w="36"/>
        <w:gridCol w:w="110"/>
        <w:gridCol w:w="824"/>
        <w:gridCol w:w="36"/>
        <w:gridCol w:w="36"/>
        <w:gridCol w:w="36"/>
        <w:gridCol w:w="36"/>
        <w:gridCol w:w="110"/>
        <w:gridCol w:w="824"/>
        <w:gridCol w:w="36"/>
        <w:gridCol w:w="36"/>
        <w:gridCol w:w="36"/>
        <w:gridCol w:w="36"/>
        <w:gridCol w:w="36"/>
        <w:gridCol w:w="36"/>
        <w:gridCol w:w="36"/>
        <w:gridCol w:w="36"/>
        <w:gridCol w:w="36"/>
        <w:gridCol w:w="36"/>
        <w:gridCol w:w="36"/>
        <w:gridCol w:w="36"/>
        <w:gridCol w:w="36"/>
      </w:tblGrid>
      <w:tr w:rsidR="00000000">
        <w:trPr>
          <w:divId w:val="1984850403"/>
          <w:jc w:val="center"/>
        </w:trPr>
        <w:tc>
          <w:tcPr>
            <w:tcW w:w="50" w:type="pct"/>
            <w:vAlign w:val="center"/>
            <w:hideMark/>
          </w:tcPr>
          <w:p w:rsidR="00000000" w:rsidRDefault="00943C43">
            <w:pPr>
              <w:rPr>
                <w:rFonts w:eastAsia="Times New Roman"/>
              </w:rPr>
            </w:pPr>
          </w:p>
        </w:tc>
        <w:tc>
          <w:tcPr>
            <w:tcW w:w="36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984850403"/>
          <w:jc w:val="center"/>
        </w:trPr>
        <w:tc>
          <w:tcPr>
            <w:tcW w:w="0" w:type="auto"/>
            <w:gridSpan w:val="15"/>
            <w:shd w:val="clear" w:color="auto" w:fill="FFFFFF"/>
            <w:tcMar>
              <w:top w:w="30" w:type="dxa"/>
              <w:left w:w="20" w:type="dxa"/>
              <w:bottom w:w="30" w:type="dxa"/>
              <w:right w:w="20" w:type="dxa"/>
            </w:tcMar>
            <w:vAlign w:val="bottom"/>
            <w:hideMark/>
          </w:tcPr>
          <w:p w:rsidR="00000000" w:rsidRDefault="00943C43">
            <w:pPr>
              <w:spacing w:after="100"/>
              <w:divId w:val="365832633"/>
              <w:rPr>
                <w:rFonts w:eastAsia="Times New Roman"/>
              </w:rPr>
            </w:pPr>
            <w:r>
              <w:rPr>
                <w:rFonts w:eastAsia="Times New Roman"/>
                <w:color w:val="000000"/>
                <w:sz w:val="12"/>
                <w:szCs w:val="12"/>
              </w:rPr>
              <w:t>(3)</w:t>
            </w:r>
            <w:r>
              <w:rPr>
                <w:rFonts w:eastAsia="Times New Roman"/>
                <w:color w:val="000000"/>
                <w:sz w:val="12"/>
                <w:szCs w:val="12"/>
              </w:rPr>
              <w:t xml:space="preserve"> </w:t>
            </w:r>
            <w:r>
              <w:rPr>
                <w:rFonts w:eastAsia="Times New Roman"/>
                <w:color w:val="000000"/>
                <w:sz w:val="18"/>
                <w:szCs w:val="18"/>
              </w:rPr>
              <w:t>Stock-based compensation expense is included in the line items above as follows:</w:t>
            </w: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984850403"/>
          <w:trHeight w:val="60"/>
          <w:jc w:val="center"/>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984850403"/>
          <w:jc w:val="center"/>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Three Months Ended March 31,</w:t>
            </w:r>
          </w:p>
        </w:tc>
        <w:tc>
          <w:tcPr>
            <w:tcW w:w="0" w:type="auto"/>
            <w:gridSpan w:val="3"/>
            <w:vAlign w:val="center"/>
            <w:hideMark/>
          </w:tcPr>
          <w:p w:rsidR="00000000" w:rsidRDefault="00943C43">
            <w:pPr>
              <w:spacing w:after="100"/>
              <w:jc w:val="center"/>
              <w:rPr>
                <w:rFonts w:eastAsia="Times New Roman"/>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984850403"/>
          <w:jc w:val="center"/>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rsidR="00000000" w:rsidRDefault="00943C43">
            <w:pPr>
              <w:spacing w:after="100"/>
              <w:jc w:val="center"/>
              <w:rPr>
                <w:rFonts w:eastAsia="Times New Roman"/>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98485040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Cost of revenues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984850403"/>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Selling and marketing</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263 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955 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98485040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Research and development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200 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642 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984850403"/>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1,772 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2,485 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98485040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Total 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2,536 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4,937 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bl>
    <w:p w:rsidR="00000000" w:rsidRDefault="00943C43">
      <w:pPr>
        <w:jc w:val="center"/>
        <w:divId w:val="1090463498"/>
        <w:rPr>
          <w:rFonts w:eastAsia="Times New Roman"/>
        </w:rPr>
      </w:pPr>
      <w:r>
        <w:rPr>
          <w:rFonts w:eastAsia="Times New Roman"/>
          <w:color w:val="000000"/>
          <w:sz w:val="18"/>
          <w:szCs w:val="18"/>
        </w:rPr>
        <w:t xml:space="preserve">See accompanying Notes to Condensed Consolidated Financial Statements. </w:t>
      </w:r>
    </w:p>
    <w:p w:rsidR="00000000" w:rsidRDefault="00943C43">
      <w:pPr>
        <w:jc w:val="center"/>
        <w:divId w:val="1184516440"/>
        <w:rPr>
          <w:rFonts w:eastAsia="Times New Roman"/>
        </w:rPr>
      </w:pPr>
      <w:r>
        <w:rPr>
          <w:rFonts w:eastAsia="Times New Roman"/>
          <w:color w:val="000000"/>
          <w:sz w:val="20"/>
          <w:szCs w:val="20"/>
        </w:rPr>
        <w:t>2</w:t>
      </w:r>
    </w:p>
    <w:p w:rsidR="00000000" w:rsidRDefault="00943C43">
      <w:pPr>
        <w:rPr>
          <w:rFonts w:eastAsia="Times New Roman"/>
        </w:rPr>
      </w:pPr>
      <w:r>
        <w:rPr>
          <w:rFonts w:eastAsia="Times New Roman"/>
        </w:rPr>
        <w:pict>
          <v:rect id="_x0000_i1029" style="width:0;height:1.5pt" o:hralign="center" o:hrstd="t" o:hr="t" fillcolor="#a0a0a0" stroked="f"/>
        </w:pict>
      </w:r>
    </w:p>
    <w:p w:rsidR="00000000" w:rsidRDefault="00943C43">
      <w:pPr>
        <w:divId w:val="558709270"/>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1842232718"/>
        <w:rPr>
          <w:rFonts w:eastAsia="Times New Roman"/>
        </w:rPr>
      </w:pPr>
    </w:p>
    <w:p w:rsidR="00000000" w:rsidRDefault="00943C43">
      <w:pPr>
        <w:jc w:val="center"/>
        <w:rPr>
          <w:rFonts w:eastAsia="Times New Roman"/>
        </w:rPr>
      </w:pPr>
      <w:r>
        <w:rPr>
          <w:rFonts w:eastAsia="Times New Roman"/>
          <w:b/>
          <w:bCs/>
          <w:color w:val="000000"/>
          <w:sz w:val="20"/>
          <w:szCs w:val="20"/>
        </w:rPr>
        <w:t>COMSCORE, INC.</w:t>
      </w:r>
    </w:p>
    <w:p w:rsidR="00000000" w:rsidRDefault="00943C43">
      <w:pPr>
        <w:jc w:val="center"/>
        <w:rPr>
          <w:rFonts w:eastAsia="Times New Roman"/>
        </w:rPr>
      </w:pPr>
      <w:r>
        <w:rPr>
          <w:rFonts w:eastAsia="Times New Roman"/>
          <w:b/>
          <w:bCs/>
          <w:color w:val="000000"/>
          <w:sz w:val="20"/>
          <w:szCs w:val="20"/>
        </w:rPr>
        <w:t>CONDENSED CONSOLIDATED STATEMENTS OF CONVERTIBLE REDEEMABLE PREFERRED STOCK AND STOCKHOLDERS' EQUITY</w:t>
      </w:r>
    </w:p>
    <w:p w:rsidR="00000000" w:rsidRDefault="00943C43">
      <w:pPr>
        <w:jc w:val="center"/>
        <w:rPr>
          <w:rFonts w:eastAsia="Times New Roman"/>
        </w:rPr>
      </w:pPr>
      <w:r>
        <w:rPr>
          <w:rFonts w:eastAsia="Times New Roman"/>
          <w:b/>
          <w:bCs/>
          <w:color w:val="000000"/>
          <w:sz w:val="16"/>
          <w:szCs w:val="16"/>
        </w:rPr>
        <w:t>(Unaudited)</w:t>
      </w:r>
    </w:p>
    <w:tbl>
      <w:tblPr>
        <w:tblW w:w="4997" w:type="pct"/>
        <w:jc w:val="center"/>
        <w:tblCellMar>
          <w:top w:w="15" w:type="dxa"/>
          <w:left w:w="15" w:type="dxa"/>
          <w:bottom w:w="15" w:type="dxa"/>
          <w:right w:w="15" w:type="dxa"/>
        </w:tblCellMar>
        <w:tblLook w:val="04A0" w:firstRow="1" w:lastRow="0" w:firstColumn="1" w:lastColumn="0" w:noHBand="0" w:noVBand="1"/>
      </w:tblPr>
      <w:tblGrid>
        <w:gridCol w:w="40"/>
        <w:gridCol w:w="1006"/>
        <w:gridCol w:w="39"/>
        <w:gridCol w:w="128"/>
        <w:gridCol w:w="747"/>
        <w:gridCol w:w="36"/>
        <w:gridCol w:w="36"/>
        <w:gridCol w:w="36"/>
        <w:gridCol w:w="36"/>
        <w:gridCol w:w="110"/>
        <w:gridCol w:w="630"/>
        <w:gridCol w:w="36"/>
        <w:gridCol w:w="36"/>
        <w:gridCol w:w="36"/>
        <w:gridCol w:w="36"/>
        <w:gridCol w:w="36"/>
        <w:gridCol w:w="36"/>
        <w:gridCol w:w="36"/>
        <w:gridCol w:w="128"/>
        <w:gridCol w:w="747"/>
        <w:gridCol w:w="37"/>
        <w:gridCol w:w="37"/>
        <w:gridCol w:w="37"/>
        <w:gridCol w:w="37"/>
        <w:gridCol w:w="111"/>
        <w:gridCol w:w="506"/>
        <w:gridCol w:w="36"/>
        <w:gridCol w:w="36"/>
        <w:gridCol w:w="36"/>
        <w:gridCol w:w="36"/>
        <w:gridCol w:w="110"/>
        <w:gridCol w:w="765"/>
        <w:gridCol w:w="36"/>
        <w:gridCol w:w="36"/>
        <w:gridCol w:w="36"/>
        <w:gridCol w:w="36"/>
        <w:gridCol w:w="141"/>
        <w:gridCol w:w="952"/>
        <w:gridCol w:w="36"/>
        <w:gridCol w:w="36"/>
        <w:gridCol w:w="36"/>
        <w:gridCol w:w="36"/>
        <w:gridCol w:w="110"/>
        <w:gridCol w:w="840"/>
        <w:gridCol w:w="36"/>
        <w:gridCol w:w="36"/>
        <w:gridCol w:w="36"/>
        <w:gridCol w:w="36"/>
        <w:gridCol w:w="110"/>
        <w:gridCol w:w="705"/>
        <w:gridCol w:w="36"/>
        <w:gridCol w:w="36"/>
        <w:gridCol w:w="36"/>
        <w:gridCol w:w="36"/>
        <w:gridCol w:w="140"/>
        <w:gridCol w:w="821"/>
        <w:gridCol w:w="36"/>
      </w:tblGrid>
      <w:tr w:rsidR="00000000">
        <w:trPr>
          <w:divId w:val="1313682357"/>
          <w:jc w:val="center"/>
        </w:trPr>
        <w:tc>
          <w:tcPr>
            <w:tcW w:w="50" w:type="pct"/>
            <w:vAlign w:val="center"/>
            <w:hideMark/>
          </w:tcPr>
          <w:p w:rsidR="00000000" w:rsidRDefault="00943C43">
            <w:pPr>
              <w:jc w:val="center"/>
              <w:rPr>
                <w:rFonts w:eastAsia="Times New Roman"/>
              </w:rPr>
            </w:pPr>
          </w:p>
        </w:tc>
        <w:tc>
          <w:tcPr>
            <w:tcW w:w="1582"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29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29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29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29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29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338"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29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29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29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1313682357"/>
          <w:trHeight w:val="420"/>
          <w:jc w:val="center"/>
        </w:trPr>
        <w:tc>
          <w:tcPr>
            <w:tcW w:w="0" w:type="auto"/>
            <w:gridSpan w:val="3"/>
            <w:vMerge w:val="restart"/>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(In thousands, except share data)</w:t>
            </w:r>
          </w:p>
        </w:tc>
        <w:tc>
          <w:tcPr>
            <w:tcW w:w="0" w:type="auto"/>
            <w:gridSpan w:val="9"/>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Convertible Redeemable Preferred Stock</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vMerge w:val="restart"/>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Loss</w:t>
            </w:r>
          </w:p>
        </w:tc>
        <w:tc>
          <w:tcPr>
            <w:tcW w:w="0" w:type="auto"/>
            <w:gridSpan w:val="3"/>
            <w:vMerge w:val="restart"/>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Treasury stock, at cost</w:t>
            </w:r>
          </w:p>
        </w:tc>
        <w:tc>
          <w:tcPr>
            <w:tcW w:w="0" w:type="auto"/>
            <w:gridSpan w:val="3"/>
            <w:vMerge w:val="restart"/>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trPr>
          <w:divId w:val="1313682357"/>
          <w:trHeight w:val="460"/>
          <w:jc w:val="center"/>
        </w:trPr>
        <w:tc>
          <w:tcPr>
            <w:tcW w:w="0" w:type="auto"/>
            <w:gridSpan w:val="3"/>
            <w:vMerge/>
            <w:vAlign w:val="center"/>
            <w:hideMark/>
          </w:tcPr>
          <w:p w:rsidR="00000000" w:rsidRDefault="00943C4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vMerge/>
            <w:vAlign w:val="center"/>
            <w:hideMark/>
          </w:tcPr>
          <w:p w:rsidR="00000000" w:rsidRDefault="00943C43">
            <w:pPr>
              <w:spacing w:after="100"/>
              <w:rPr>
                <w:rFonts w:eastAsia="Times New Roman"/>
              </w:rPr>
            </w:pPr>
          </w:p>
        </w:tc>
        <w:tc>
          <w:tcPr>
            <w:tcW w:w="0" w:type="auto"/>
            <w:gridSpan w:val="3"/>
            <w:vMerge/>
            <w:vAlign w:val="center"/>
            <w:hideMark/>
          </w:tcPr>
          <w:p w:rsidR="00000000" w:rsidRDefault="00943C43">
            <w:pPr>
              <w:spacing w:after="100"/>
              <w:rPr>
                <w:rFonts w:eastAsia="Times New Roman"/>
              </w:rPr>
            </w:pPr>
          </w:p>
        </w:tc>
        <w:tc>
          <w:tcPr>
            <w:tcW w:w="0" w:type="auto"/>
            <w:gridSpan w:val="3"/>
            <w:vMerge/>
            <w:vAlign w:val="center"/>
            <w:hideMark/>
          </w:tcPr>
          <w:p w:rsidR="00000000" w:rsidRDefault="00943C43">
            <w:pPr>
              <w:spacing w:after="100"/>
              <w:rPr>
                <w:rFonts w:eastAsia="Times New Roman"/>
              </w:rPr>
            </w:pPr>
          </w:p>
        </w:tc>
        <w:tc>
          <w:tcPr>
            <w:tcW w:w="0" w:type="auto"/>
            <w:gridSpan w:val="3"/>
            <w:vMerge/>
            <w:vAlign w:val="center"/>
            <w:hideMark/>
          </w:tcPr>
          <w:p w:rsidR="00000000" w:rsidRDefault="00943C43">
            <w:pPr>
              <w:spacing w:after="100"/>
              <w:rPr>
                <w:rFonts w:eastAsia="Times New Roman"/>
              </w:rPr>
            </w:pPr>
          </w:p>
        </w:tc>
        <w:tc>
          <w:tcPr>
            <w:tcW w:w="0" w:type="auto"/>
            <w:gridSpan w:val="3"/>
            <w:vMerge/>
            <w:vAlign w:val="center"/>
            <w:hideMark/>
          </w:tcPr>
          <w:p w:rsidR="00000000" w:rsidRDefault="00943C43">
            <w:pPr>
              <w:spacing w:after="100"/>
              <w:rPr>
                <w:rFonts w:eastAsia="Times New Roman"/>
              </w:rPr>
            </w:pPr>
          </w:p>
        </w:tc>
        <w:tc>
          <w:tcPr>
            <w:tcW w:w="0" w:type="auto"/>
            <w:gridSpan w:val="3"/>
            <w:vMerge/>
            <w:vAlign w:val="center"/>
            <w:hideMark/>
          </w:tcPr>
          <w:p w:rsidR="00000000" w:rsidRDefault="00943C43">
            <w:pPr>
              <w:spacing w:after="100"/>
              <w:rPr>
                <w:rFonts w:eastAsia="Times New Roman"/>
              </w:rPr>
            </w:pPr>
          </w:p>
        </w:tc>
        <w:tc>
          <w:tcPr>
            <w:tcW w:w="0" w:type="auto"/>
            <w:gridSpan w:val="3"/>
            <w:vMerge/>
            <w:vAlign w:val="center"/>
            <w:hideMark/>
          </w:tcPr>
          <w:p w:rsidR="00000000" w:rsidRDefault="00943C43">
            <w:pPr>
              <w:spacing w:after="100"/>
              <w:rPr>
                <w:rFonts w:eastAsia="Times New Roman"/>
              </w:rPr>
            </w:pPr>
          </w:p>
        </w:tc>
        <w:tc>
          <w:tcPr>
            <w:tcW w:w="0" w:type="auto"/>
            <w:gridSpan w:val="3"/>
            <w:vMerge/>
            <w:vAlign w:val="center"/>
            <w:hideMark/>
          </w:tcPr>
          <w:p w:rsidR="00000000" w:rsidRDefault="00943C43">
            <w:pPr>
              <w:spacing w:after="100"/>
              <w:rPr>
                <w:rFonts w:eastAsia="Times New Roman"/>
              </w:rPr>
            </w:pPr>
          </w:p>
        </w:tc>
        <w:tc>
          <w:tcPr>
            <w:tcW w:w="0" w:type="auto"/>
            <w:gridSpan w:val="3"/>
            <w:vMerge/>
            <w:vAlign w:val="center"/>
            <w:hideMark/>
          </w:tcPr>
          <w:p w:rsidR="00000000" w:rsidRDefault="00943C43">
            <w:pPr>
              <w:spacing w:after="100"/>
              <w:rPr>
                <w:rFonts w:eastAsia="Times New Roman"/>
              </w:rPr>
            </w:pPr>
          </w:p>
        </w:tc>
      </w:tr>
      <w:tr w:rsidR="00943C43">
        <w:trPr>
          <w:divId w:val="1313682357"/>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b/>
                <w:bCs/>
                <w:color w:val="000000"/>
                <w:sz w:val="18"/>
                <w:szCs w:val="18"/>
              </w:rPr>
              <w:t>Balance as of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82,527,609 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187,885 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90,407,290 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1,683,883 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(12,098)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(1,218,715)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223,176 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943C43">
        <w:trPr>
          <w:divId w:val="1313682357"/>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Net loss</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(9,276)</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(9,276)</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943C43">
        <w:trPr>
          <w:divId w:val="1313682357"/>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2105682068"/>
              <w:rPr>
                <w:rFonts w:eastAsia="Times New Roman"/>
              </w:rPr>
            </w:pPr>
            <w:r>
              <w:rPr>
                <w:rFonts w:eastAsia="Times New Roman"/>
                <w:color w:val="000000"/>
                <w:sz w:val="18"/>
                <w:szCs w:val="18"/>
              </w:rPr>
              <w:t>Convertible redeemable preferred stock dividends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(3,825)</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(3,825)</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943C43">
        <w:trPr>
          <w:divId w:val="1313682357"/>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Restricted stock units distributed</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212,246 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943C43">
        <w:trPr>
          <w:divId w:val="1313682357"/>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Exercise of Common Stock options</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86,941 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102 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103 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943C43">
        <w:trPr>
          <w:divId w:val="1313682357"/>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(474)</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943C43">
        <w:trPr>
          <w:divId w:val="1313682357"/>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Amortization of stock-based compensation</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1,908 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1,908 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943C43">
        <w:trPr>
          <w:divId w:val="1313682357"/>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Settlement of restricted stock unit liability</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1,719 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1,719 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943C43">
        <w:trPr>
          <w:divId w:val="1313682357"/>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(661)</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943C43">
        <w:trPr>
          <w:divId w:val="1313682357"/>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(541)</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(541)</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943C43">
        <w:trPr>
          <w:divId w:val="1313682357"/>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b/>
                <w:bCs/>
                <w:color w:val="000000"/>
                <w:sz w:val="18"/>
                <w:szCs w:val="18"/>
              </w:rPr>
              <w:t>Balance as of March 31, 2022</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82,527,609 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187,885 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90,705,342 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1,687,608 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(12,639)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w:t>
            </w:r>
            <w:r>
              <w:rPr>
                <w:rFonts w:eastAsia="Times New Roman"/>
                <w:color w:val="000000"/>
                <w:sz w:val="18"/>
                <w:szCs w:val="18"/>
              </w:rPr>
              <w:t>1,231,816)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(229,984)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213,260 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1313682357"/>
          <w:jc w:val="center"/>
        </w:trPr>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136823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bl>
    <w:tbl>
      <w:tblPr>
        <w:tblW w:w="4997" w:type="pct"/>
        <w:jc w:val="center"/>
        <w:tblCellMar>
          <w:top w:w="15" w:type="dxa"/>
          <w:left w:w="15" w:type="dxa"/>
          <w:bottom w:w="15" w:type="dxa"/>
          <w:right w:w="15" w:type="dxa"/>
        </w:tblCellMar>
        <w:tblLook w:val="04A0" w:firstRow="1" w:lastRow="0" w:firstColumn="1" w:lastColumn="0" w:noHBand="0" w:noVBand="1"/>
      </w:tblPr>
      <w:tblGrid>
        <w:gridCol w:w="144"/>
        <w:gridCol w:w="2626"/>
        <w:gridCol w:w="144"/>
        <w:gridCol w:w="144"/>
        <w:gridCol w:w="488"/>
        <w:gridCol w:w="144"/>
        <w:gridCol w:w="144"/>
        <w:gridCol w:w="144"/>
        <w:gridCol w:w="144"/>
        <w:gridCol w:w="144"/>
        <w:gridCol w:w="488"/>
        <w:gridCol w:w="144"/>
        <w:gridCol w:w="144"/>
        <w:gridCol w:w="144"/>
        <w:gridCol w:w="144"/>
        <w:gridCol w:w="144"/>
        <w:gridCol w:w="144"/>
        <w:gridCol w:w="144"/>
        <w:gridCol w:w="144"/>
        <w:gridCol w:w="488"/>
        <w:gridCol w:w="144"/>
        <w:gridCol w:w="144"/>
        <w:gridCol w:w="144"/>
        <w:gridCol w:w="144"/>
        <w:gridCol w:w="144"/>
        <w:gridCol w:w="488"/>
        <w:gridCol w:w="144"/>
        <w:gridCol w:w="144"/>
        <w:gridCol w:w="144"/>
        <w:gridCol w:w="144"/>
        <w:gridCol w:w="144"/>
        <w:gridCol w:w="488"/>
        <w:gridCol w:w="144"/>
        <w:gridCol w:w="144"/>
        <w:gridCol w:w="144"/>
        <w:gridCol w:w="144"/>
        <w:gridCol w:w="160"/>
        <w:gridCol w:w="160"/>
        <w:gridCol w:w="160"/>
        <w:gridCol w:w="144"/>
        <w:gridCol w:w="561"/>
        <w:gridCol w:w="144"/>
        <w:gridCol w:w="144"/>
        <w:gridCol w:w="144"/>
        <w:gridCol w:w="144"/>
        <w:gridCol w:w="144"/>
        <w:gridCol w:w="488"/>
        <w:gridCol w:w="144"/>
        <w:gridCol w:w="144"/>
        <w:gridCol w:w="144"/>
        <w:gridCol w:w="144"/>
        <w:gridCol w:w="144"/>
        <w:gridCol w:w="488"/>
        <w:gridCol w:w="144"/>
        <w:gridCol w:w="144"/>
        <w:gridCol w:w="144"/>
        <w:gridCol w:w="144"/>
        <w:gridCol w:w="144"/>
        <w:gridCol w:w="488"/>
        <w:gridCol w:w="144"/>
      </w:tblGrid>
      <w:tr w:rsidR="00000000">
        <w:trPr>
          <w:jc w:val="center"/>
        </w:trPr>
        <w:tc>
          <w:tcPr>
            <w:tcW w:w="50" w:type="pct"/>
            <w:vAlign w:val="center"/>
            <w:hideMark/>
          </w:tcPr>
          <w:p w:rsidR="00000000" w:rsidRDefault="00943C43">
            <w:pPr>
              <w:jc w:val="center"/>
              <w:rPr>
                <w:rFonts w:eastAsia="Times New Roman"/>
              </w:rPr>
            </w:pPr>
          </w:p>
        </w:tc>
        <w:tc>
          <w:tcPr>
            <w:tcW w:w="1582"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29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29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29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29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29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338"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29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29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29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trHeight w:val="480"/>
          <w:jc w:val="center"/>
        </w:trPr>
        <w:tc>
          <w:tcPr>
            <w:tcW w:w="0" w:type="auto"/>
            <w:gridSpan w:val="3"/>
            <w:vMerge w:val="restart"/>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(In thousands, except share data)</w:t>
            </w:r>
          </w:p>
        </w:tc>
        <w:tc>
          <w:tcPr>
            <w:tcW w:w="0" w:type="auto"/>
            <w:gridSpan w:val="9"/>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Convertible Redeemable Preferred Stock</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vMerge w:val="restart"/>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Loss</w:t>
            </w:r>
          </w:p>
        </w:tc>
        <w:tc>
          <w:tcPr>
            <w:tcW w:w="0" w:type="auto"/>
            <w:gridSpan w:val="3"/>
            <w:vMerge w:val="restart"/>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Treasury stock, at cost</w:t>
            </w:r>
          </w:p>
        </w:tc>
        <w:tc>
          <w:tcPr>
            <w:tcW w:w="0" w:type="auto"/>
            <w:gridSpan w:val="3"/>
            <w:vMerge w:val="restart"/>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trPr>
          <w:trHeight w:val="240"/>
          <w:jc w:val="center"/>
        </w:trPr>
        <w:tc>
          <w:tcPr>
            <w:tcW w:w="0" w:type="auto"/>
            <w:gridSpan w:val="3"/>
            <w:vMerge/>
            <w:vAlign w:val="center"/>
            <w:hideMark/>
          </w:tcPr>
          <w:p w:rsidR="00000000" w:rsidRDefault="00943C4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vMerge/>
            <w:vAlign w:val="center"/>
            <w:hideMark/>
          </w:tcPr>
          <w:p w:rsidR="00000000" w:rsidRDefault="00943C43">
            <w:pPr>
              <w:spacing w:after="100"/>
              <w:rPr>
                <w:rFonts w:eastAsia="Times New Roman"/>
              </w:rPr>
            </w:pPr>
          </w:p>
        </w:tc>
        <w:tc>
          <w:tcPr>
            <w:tcW w:w="0" w:type="auto"/>
            <w:gridSpan w:val="3"/>
            <w:vMerge/>
            <w:vAlign w:val="center"/>
            <w:hideMark/>
          </w:tcPr>
          <w:p w:rsidR="00000000" w:rsidRDefault="00943C43">
            <w:pPr>
              <w:spacing w:after="100"/>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Merge/>
            <w:vAlign w:val="center"/>
            <w:hideMark/>
          </w:tcPr>
          <w:p w:rsidR="00000000" w:rsidRDefault="00943C43">
            <w:pPr>
              <w:spacing w:after="100"/>
              <w:rPr>
                <w:rFonts w:eastAsia="Times New Roman"/>
              </w:rPr>
            </w:pPr>
          </w:p>
        </w:tc>
        <w:tc>
          <w:tcPr>
            <w:tcW w:w="0" w:type="auto"/>
            <w:gridSpan w:val="3"/>
            <w:vMerge/>
            <w:vAlign w:val="center"/>
            <w:hideMark/>
          </w:tcPr>
          <w:p w:rsidR="00000000" w:rsidRDefault="00943C43">
            <w:pPr>
              <w:spacing w:after="100"/>
              <w:rPr>
                <w:rFonts w:eastAsia="Times New Roman"/>
              </w:rPr>
            </w:pPr>
          </w:p>
        </w:tc>
        <w:tc>
          <w:tcPr>
            <w:tcW w:w="0" w:type="auto"/>
            <w:gridSpan w:val="3"/>
            <w:vMerge/>
            <w:vAlign w:val="center"/>
            <w:hideMark/>
          </w:tcPr>
          <w:p w:rsidR="00000000" w:rsidRDefault="00943C43">
            <w:pPr>
              <w:spacing w:after="100"/>
              <w:rPr>
                <w:rFonts w:eastAsia="Times New Roman"/>
              </w:rPr>
            </w:pPr>
          </w:p>
        </w:tc>
        <w:tc>
          <w:tcPr>
            <w:tcW w:w="0" w:type="auto"/>
            <w:gridSpan w:val="3"/>
            <w:vMerge/>
            <w:vAlign w:val="center"/>
            <w:hideMark/>
          </w:tcPr>
          <w:p w:rsidR="00000000" w:rsidRDefault="00943C43">
            <w:pPr>
              <w:spacing w:after="100"/>
              <w:rPr>
                <w:rFonts w:eastAsia="Times New Roman"/>
              </w:rPr>
            </w:pPr>
          </w:p>
        </w:tc>
        <w:tc>
          <w:tcPr>
            <w:tcW w:w="0" w:type="auto"/>
            <w:gridSpan w:val="3"/>
            <w:vMerge/>
            <w:vAlign w:val="center"/>
            <w:hideMark/>
          </w:tcPr>
          <w:p w:rsidR="00000000" w:rsidRDefault="00943C43">
            <w:pPr>
              <w:spacing w:after="100"/>
              <w:rPr>
                <w:rFonts w:eastAsia="Times New Roman"/>
              </w:rPr>
            </w:pPr>
          </w:p>
        </w:tc>
        <w:tc>
          <w:tcPr>
            <w:tcW w:w="0" w:type="auto"/>
            <w:gridSpan w:val="3"/>
            <w:vMerge/>
            <w:vAlign w:val="center"/>
            <w:hideMark/>
          </w:tcPr>
          <w:p w:rsidR="00000000" w:rsidRDefault="00943C43">
            <w:pPr>
              <w:spacing w:after="100"/>
              <w:rPr>
                <w:rFonts w:eastAsia="Times New Roman"/>
              </w:rPr>
            </w:pPr>
          </w:p>
        </w:tc>
        <w:tc>
          <w:tcPr>
            <w:tcW w:w="0" w:type="auto"/>
            <w:gridSpan w:val="3"/>
            <w:vMerge/>
            <w:vAlign w:val="center"/>
            <w:hideMark/>
          </w:tcPr>
          <w:p w:rsidR="00000000" w:rsidRDefault="00943C43">
            <w:pPr>
              <w:spacing w:after="100"/>
              <w:rPr>
                <w:rFonts w:eastAsia="Times New Roman"/>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b/>
                <w:bCs/>
                <w:color w:val="000000"/>
                <w:sz w:val="18"/>
                <w:szCs w:val="18"/>
              </w:rPr>
              <w:t>Balance as of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72,938,546 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1,621,986 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(7,030)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(1,156,055)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228,990 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jc w:val="center"/>
        </w:trPr>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Net loss</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(36,355)</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(36,355)</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1271818403"/>
              <w:rPr>
                <w:rFonts w:eastAsia="Times New Roman"/>
              </w:rPr>
            </w:pPr>
            <w:r>
              <w:rPr>
                <w:rFonts w:eastAsia="Times New Roman"/>
                <w:color w:val="000000"/>
                <w:sz w:val="18"/>
                <w:szCs w:val="18"/>
              </w:rPr>
              <w:t>Convertible redeemable preferred stock, net of issuance costs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82,527,609 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188,183 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divId w:val="1695106655"/>
              <w:rPr>
                <w:rFonts w:eastAsia="Times New Roman"/>
              </w:rPr>
            </w:pPr>
            <w:r>
              <w:rPr>
                <w:rFonts w:eastAsia="Times New Roman"/>
                <w:color w:val="000000"/>
                <w:sz w:val="18"/>
                <w:szCs w:val="18"/>
              </w:rPr>
              <w:t>Convertible redeemable preferred stock dividends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(935)</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(935)</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1414006799"/>
              <w:rPr>
                <w:rFonts w:eastAsia="Times New Roman"/>
              </w:rPr>
            </w:pPr>
            <w:r>
              <w:rPr>
                <w:rFonts w:eastAsia="Times New Roman"/>
                <w:color w:val="000000"/>
                <w:sz w:val="18"/>
                <w:szCs w:val="18"/>
              </w:rPr>
              <w:t>Interest paid in Common Stock</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4,165,781 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10,808 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10,812 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divId w:val="986594733"/>
              <w:rPr>
                <w:rFonts w:eastAsia="Times New Roman"/>
              </w:rPr>
            </w:pPr>
            <w:r>
              <w:rPr>
                <w:rFonts w:eastAsia="Times New Roman"/>
                <w:color w:val="000000"/>
                <w:sz w:val="18"/>
                <w:szCs w:val="18"/>
              </w:rPr>
              <w:t>Conversion shares issued as extinguishment cost on senior secured convertible notes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3,150,000 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9,605 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9,608 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Restricted stock units distributed</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442,051 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(10,231)</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(37)</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(37)</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Settlement of restricted stock unit liability</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7,117 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7,117 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Amortization of 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1,358 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1,358 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(2,151)</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(2,151)</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jc w:val="center"/>
        </w:trPr>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b/>
                <w:bCs/>
                <w:color w:val="000000"/>
                <w:sz w:val="18"/>
                <w:szCs w:val="18"/>
              </w:rPr>
              <w:t>Balance as of March 31,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82,527,609 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188,183 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80,686,147 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1,650,837 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(9,181)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(1,193,345)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(229,984)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218,408 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jc w:val="center"/>
        </w:trPr>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bl>
    <w:p w:rsidR="00000000" w:rsidRDefault="00943C43">
      <w:pPr>
        <w:jc w:val="both"/>
        <w:divId w:val="1661734368"/>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w:t>
      </w:r>
      <w:r>
        <w:rPr>
          <w:rFonts w:eastAsia="Times New Roman"/>
          <w:color w:val="000000"/>
          <w:sz w:val="18"/>
          <w:szCs w:val="18"/>
        </w:rPr>
        <w:t xml:space="preserve">Transactions for these line items were exclusively with related parties (refer to </w:t>
      </w:r>
      <w:hyperlink w:anchor="i81c699a6f33e49f8a081f48620e58c22_64" w:history="1">
        <w:r>
          <w:rPr>
            <w:rStyle w:val="a3"/>
            <w:rFonts w:eastAsia="Times New Roman"/>
            <w:sz w:val="18"/>
            <w:szCs w:val="18"/>
          </w:rPr>
          <w:t>Footnote 4</w:t>
        </w:r>
      </w:hyperlink>
      <w:r>
        <w:rPr>
          <w:rFonts w:eastAsia="Times New Roman"/>
          <w:color w:val="000000"/>
          <w:sz w:val="18"/>
          <w:szCs w:val="18"/>
        </w:rPr>
        <w:t xml:space="preserve">, </w:t>
      </w:r>
      <w:r>
        <w:rPr>
          <w:rFonts w:eastAsia="Times New Roman"/>
          <w:i/>
          <w:iCs/>
          <w:color w:val="000000"/>
          <w:sz w:val="18"/>
          <w:szCs w:val="18"/>
        </w:rPr>
        <w:t>Convertible Redeemable Preferred Stock and Stockholders' Equity</w:t>
      </w:r>
      <w:r>
        <w:rPr>
          <w:rFonts w:eastAsia="Times New Roman"/>
          <w:color w:val="000000"/>
          <w:sz w:val="18"/>
          <w:szCs w:val="18"/>
        </w:rPr>
        <w:t xml:space="preserve">, </w:t>
      </w:r>
      <w:hyperlink w:anchor="i81c699a6f33e49f8a081f48620e58c22_55" w:history="1">
        <w:r>
          <w:rPr>
            <w:rStyle w:val="a3"/>
            <w:rFonts w:eastAsia="Times New Roman"/>
            <w:sz w:val="18"/>
            <w:szCs w:val="18"/>
          </w:rPr>
          <w:t>Footnote 5</w:t>
        </w:r>
      </w:hyperlink>
      <w:r>
        <w:rPr>
          <w:rFonts w:eastAsia="Times New Roman"/>
          <w:color w:val="000000"/>
          <w:sz w:val="18"/>
          <w:szCs w:val="18"/>
        </w:rPr>
        <w:t xml:space="preserve">, </w:t>
      </w:r>
      <w:r>
        <w:rPr>
          <w:rFonts w:eastAsia="Times New Roman"/>
          <w:i/>
          <w:iCs/>
          <w:color w:val="000000"/>
          <w:sz w:val="18"/>
          <w:szCs w:val="18"/>
        </w:rPr>
        <w:t>Debt</w:t>
      </w:r>
      <w:r>
        <w:rPr>
          <w:rFonts w:eastAsia="Times New Roman"/>
          <w:color w:val="000000"/>
          <w:sz w:val="18"/>
          <w:szCs w:val="18"/>
        </w:rPr>
        <w:t xml:space="preserve">, and </w:t>
      </w:r>
      <w:hyperlink w:anchor="i81c699a6f33e49f8a081f48620e58c22_79" w:history="1">
        <w:r>
          <w:rPr>
            <w:rStyle w:val="a3"/>
            <w:rFonts w:eastAsia="Times New Roman"/>
            <w:sz w:val="18"/>
            <w:szCs w:val="18"/>
          </w:rPr>
          <w:t xml:space="preserve">Footnote </w:t>
        </w:r>
      </w:hyperlink>
      <w:hyperlink w:anchor="i81c699a6f33e49f8a081f48620e58c22_79" w:history="1">
        <w:r>
          <w:rPr>
            <w:rStyle w:val="a3"/>
            <w:rFonts w:eastAsia="Times New Roman"/>
            <w:sz w:val="18"/>
            <w:szCs w:val="18"/>
          </w:rPr>
          <w:t>8</w:t>
        </w:r>
      </w:hyperlink>
      <w:r>
        <w:rPr>
          <w:rFonts w:eastAsia="Times New Roman"/>
          <w:color w:val="000000"/>
          <w:sz w:val="18"/>
          <w:szCs w:val="18"/>
        </w:rPr>
        <w:t xml:space="preserve">, </w:t>
      </w:r>
      <w:r>
        <w:rPr>
          <w:rFonts w:eastAsia="Times New Roman"/>
          <w:i/>
          <w:iCs/>
          <w:color w:val="000000"/>
          <w:sz w:val="18"/>
          <w:szCs w:val="18"/>
        </w:rPr>
        <w:t>Related Party Transactions</w:t>
      </w:r>
      <w:r>
        <w:rPr>
          <w:rFonts w:eastAsia="Times New Roman"/>
          <w:color w:val="000000"/>
          <w:sz w:val="18"/>
          <w:szCs w:val="18"/>
        </w:rPr>
        <w:t>, of the Notes to Condensed Consolidated Financial Statem</w:t>
      </w:r>
      <w:r>
        <w:rPr>
          <w:rFonts w:eastAsia="Times New Roman"/>
          <w:color w:val="000000"/>
          <w:sz w:val="18"/>
          <w:szCs w:val="18"/>
        </w:rPr>
        <w:t>ents for additional information). Gross proceeds from related parties for the issuance of convertible redeemable preferred stock were $204.0 million.</w:t>
      </w:r>
    </w:p>
    <w:p w:rsidR="00000000" w:rsidRDefault="00943C43">
      <w:pPr>
        <w:jc w:val="center"/>
        <w:divId w:val="1317420369"/>
        <w:rPr>
          <w:rFonts w:eastAsia="Times New Roman"/>
        </w:rPr>
      </w:pPr>
      <w:r>
        <w:rPr>
          <w:rFonts w:eastAsia="Times New Roman"/>
          <w:color w:val="000000"/>
          <w:sz w:val="18"/>
          <w:szCs w:val="18"/>
        </w:rPr>
        <w:t>See accompanying Notes to Condensed Consolidated Financial Statements.</w:t>
      </w:r>
    </w:p>
    <w:p w:rsidR="00000000" w:rsidRDefault="00943C43">
      <w:pPr>
        <w:jc w:val="center"/>
        <w:divId w:val="1814834411"/>
        <w:rPr>
          <w:rFonts w:eastAsia="Times New Roman"/>
        </w:rPr>
      </w:pPr>
      <w:r>
        <w:rPr>
          <w:rFonts w:eastAsia="Times New Roman"/>
          <w:color w:val="000000"/>
          <w:sz w:val="20"/>
          <w:szCs w:val="20"/>
        </w:rPr>
        <w:t>3</w:t>
      </w:r>
    </w:p>
    <w:p w:rsidR="00000000" w:rsidRDefault="00943C43">
      <w:pPr>
        <w:rPr>
          <w:rFonts w:eastAsia="Times New Roman"/>
        </w:rPr>
      </w:pPr>
      <w:r>
        <w:rPr>
          <w:rFonts w:eastAsia="Times New Roman"/>
        </w:rPr>
        <w:pict>
          <v:rect id="_x0000_i1030" style="width:0;height:1.5pt" o:hralign="center" o:hrstd="t" o:hr="t" fillcolor="#a0a0a0" stroked="f"/>
        </w:pict>
      </w:r>
    </w:p>
    <w:p w:rsidR="00000000" w:rsidRDefault="00943C43">
      <w:pPr>
        <w:divId w:val="1396932209"/>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1673021558"/>
        <w:rPr>
          <w:rFonts w:eastAsia="Times New Roman"/>
        </w:rPr>
      </w:pPr>
    </w:p>
    <w:p w:rsidR="00000000" w:rsidRDefault="00943C43">
      <w:pPr>
        <w:jc w:val="center"/>
        <w:rPr>
          <w:rFonts w:eastAsia="Times New Roman"/>
        </w:rPr>
      </w:pPr>
      <w:r>
        <w:rPr>
          <w:rFonts w:eastAsia="Times New Roman"/>
          <w:b/>
          <w:bCs/>
          <w:color w:val="000000"/>
          <w:sz w:val="20"/>
          <w:szCs w:val="20"/>
        </w:rPr>
        <w:t>COMSCORE, INC.</w:t>
      </w:r>
    </w:p>
    <w:p w:rsidR="00000000" w:rsidRDefault="00943C43">
      <w:pPr>
        <w:jc w:val="center"/>
        <w:rPr>
          <w:rFonts w:eastAsia="Times New Roman"/>
        </w:rPr>
      </w:pPr>
      <w:r>
        <w:rPr>
          <w:rFonts w:eastAsia="Times New Roman"/>
          <w:b/>
          <w:bCs/>
          <w:color w:val="000000"/>
          <w:sz w:val="20"/>
          <w:szCs w:val="20"/>
        </w:rPr>
        <w:t>CONDENSED CONSOLIDATED STATEMENTS OF CASH FLOWS</w:t>
      </w:r>
    </w:p>
    <w:p w:rsidR="00000000" w:rsidRDefault="00943C43">
      <w:pPr>
        <w:jc w:val="center"/>
        <w:rPr>
          <w:rFonts w:eastAsia="Times New Roman"/>
        </w:rPr>
      </w:pPr>
      <w:r>
        <w:rPr>
          <w:rFonts w:eastAsia="Times New Roman"/>
          <w:b/>
          <w:bCs/>
          <w:color w:val="000000"/>
          <w:sz w:val="16"/>
          <w:szCs w:val="16"/>
        </w:rPr>
        <w:t>(Unaudited)</w:t>
      </w:r>
    </w:p>
    <w:tbl>
      <w:tblPr>
        <w:tblW w:w="4996" w:type="pct"/>
        <w:jc w:val="center"/>
        <w:tblCellMar>
          <w:top w:w="15" w:type="dxa"/>
          <w:left w:w="15" w:type="dxa"/>
          <w:bottom w:w="15" w:type="dxa"/>
          <w:right w:w="15" w:type="dxa"/>
        </w:tblCellMar>
        <w:tblLook w:val="04A0" w:firstRow="1" w:lastRow="0" w:firstColumn="1" w:lastColumn="0" w:noHBand="0" w:noVBand="1"/>
      </w:tblPr>
      <w:tblGrid>
        <w:gridCol w:w="41"/>
        <w:gridCol w:w="5958"/>
        <w:gridCol w:w="40"/>
        <w:gridCol w:w="36"/>
        <w:gridCol w:w="36"/>
        <w:gridCol w:w="36"/>
        <w:gridCol w:w="110"/>
        <w:gridCol w:w="876"/>
        <w:gridCol w:w="36"/>
        <w:gridCol w:w="36"/>
        <w:gridCol w:w="36"/>
        <w:gridCol w:w="36"/>
        <w:gridCol w:w="110"/>
        <w:gridCol w:w="876"/>
        <w:gridCol w:w="36"/>
      </w:tblGrid>
      <w:tr w:rsidR="00000000">
        <w:trPr>
          <w:divId w:val="822310915"/>
          <w:jc w:val="center"/>
        </w:trPr>
        <w:tc>
          <w:tcPr>
            <w:tcW w:w="50" w:type="pct"/>
            <w:vAlign w:val="center"/>
            <w:hideMark/>
          </w:tcPr>
          <w:p w:rsidR="00000000" w:rsidRDefault="00943C43">
            <w:pPr>
              <w:jc w:val="center"/>
              <w:rPr>
                <w:rFonts w:eastAsia="Times New Roman"/>
              </w:rPr>
            </w:pPr>
          </w:p>
        </w:tc>
        <w:tc>
          <w:tcPr>
            <w:tcW w:w="36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Three Months Ended March 31,</w:t>
            </w:r>
          </w:p>
        </w:tc>
      </w:tr>
      <w:tr w:rsidR="00000000">
        <w:trPr>
          <w:divId w:val="822310915"/>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2021</w:t>
            </w:r>
          </w:p>
        </w:tc>
      </w:tr>
      <w:tr w:rsidR="00000000">
        <w:trPr>
          <w:divId w:val="82231091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127015016"/>
              <w:rPr>
                <w:rFonts w:eastAsia="Times New Roman"/>
              </w:rPr>
            </w:pPr>
            <w:r>
              <w:rPr>
                <w:rFonts w:eastAsia="Times New Roman"/>
                <w:b/>
                <w:bCs/>
                <w:color w:val="000000"/>
                <w:sz w:val="18"/>
                <w:szCs w:val="18"/>
              </w:rPr>
              <w:t>Operating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(9,276)</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(36,355)</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1286889975"/>
              <w:rPr>
                <w:rFonts w:eastAsia="Times New Roman"/>
              </w:rPr>
            </w:pPr>
            <w:r>
              <w:rPr>
                <w:rFonts w:eastAsia="Times New Roman"/>
                <w:color w:val="000000"/>
                <w:sz w:val="18"/>
                <w:szCs w:val="18"/>
              </w:rPr>
              <w:t>Adjustments to reconcile net loss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shd w:val="clear" w:color="auto" w:fill="FFFFFF"/>
            <w:tcMar>
              <w:top w:w="30" w:type="dxa"/>
              <w:left w:w="26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xml:space="preserve">Amortization of intangible assets </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6,779 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6,439 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CCEEFF"/>
            <w:tcMar>
              <w:top w:w="30" w:type="dxa"/>
              <w:left w:w="26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Depreciation</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4,191 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4,054 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FFFFFF"/>
            <w:tcMar>
              <w:top w:w="30" w:type="dxa"/>
              <w:left w:w="26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2,536 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4,937 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CCEEFF"/>
            <w:tcMar>
              <w:top w:w="30" w:type="dxa"/>
              <w:left w:w="26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Change in fair value of contingent consideration liability</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2,348 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FFFFFF"/>
            <w:tcMar>
              <w:top w:w="30" w:type="dxa"/>
              <w:left w:w="26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Non-cash operating lease expense</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1,483 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1,262 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CCEEFF"/>
            <w:tcMar>
              <w:top w:w="30" w:type="dxa"/>
              <w:left w:w="26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Amortization expense of finance leases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704 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443 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FFFFFF"/>
            <w:tcMar>
              <w:top w:w="30" w:type="dxa"/>
              <w:left w:w="26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Deferred tax provision</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513 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638 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shd w:val="clear" w:color="auto" w:fill="CCEEFF"/>
            <w:tcMar>
              <w:top w:w="30" w:type="dxa"/>
              <w:left w:w="26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Change in fair value of warrants liability</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(2,435)</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10,001 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FFFFFF"/>
            <w:tcMar>
              <w:top w:w="30" w:type="dxa"/>
              <w:left w:w="26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Loss on extinguishment of debt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9,629 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1959338971"/>
              <w:rPr>
                <w:rFonts w:eastAsia="Times New Roman"/>
              </w:rPr>
            </w:pPr>
            <w:r>
              <w:rPr>
                <w:rFonts w:eastAsia="Times New Roman"/>
                <w:color w:val="000000"/>
                <w:sz w:val="18"/>
                <w:szCs w:val="18"/>
              </w:rPr>
              <w:t>Non-cash interest expense on senior secured convertible notes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4,692 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shd w:val="clear" w:color="auto" w:fill="FFFFFF"/>
            <w:tcMar>
              <w:top w:w="30" w:type="dxa"/>
              <w:left w:w="26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xml:space="preserve">Other </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469 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260 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CCEEFF"/>
            <w:tcMar>
              <w:top w:w="30" w:type="dxa"/>
              <w:left w:w="26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Changes in operating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shd w:val="clear" w:color="auto" w:fill="FFFFFF"/>
            <w:tcMar>
              <w:top w:w="30" w:type="dxa"/>
              <w:left w:w="48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Accounts receivable</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7,301 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7,326 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CCEEFF"/>
            <w:tcMar>
              <w:top w:w="30" w:type="dxa"/>
              <w:left w:w="48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Prepaid expenses and other assets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(1,270)</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3,119 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FFFFFF"/>
            <w:tcMar>
              <w:top w:w="30" w:type="dxa"/>
              <w:left w:w="48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Accounts payable, accrued expenses and other liabilities</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(2,288)</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4,970 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CCEEFF"/>
            <w:tcMar>
              <w:top w:w="30" w:type="dxa"/>
              <w:left w:w="48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Contract liabilities and customer advances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3,209 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(2,085)</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FFFFFF"/>
            <w:tcMar>
              <w:top w:w="30" w:type="dxa"/>
              <w:left w:w="48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Operating lease liabilities</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(1,856)</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(1,442)</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12,408 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17,888 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277031922"/>
              <w:rPr>
                <w:rFonts w:eastAsia="Times New Roman"/>
              </w:rPr>
            </w:pPr>
            <w:r>
              <w:rPr>
                <w:rFonts w:eastAsia="Times New Roman"/>
                <w:b/>
                <w:bCs/>
                <w:color w:val="000000"/>
                <w:sz w:val="18"/>
                <w:szCs w:val="18"/>
              </w:rPr>
              <w:t>Investing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Capitalized internal-use software costs</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(3,452)</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(3,535)</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Purchases of property and equipment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(347)</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(157)</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Net cash used in investing activities</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(3,799)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(3,692)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divId w:val="1692142844"/>
              <w:rPr>
                <w:rFonts w:eastAsia="Times New Roman"/>
              </w:rPr>
            </w:pPr>
            <w:r>
              <w:rPr>
                <w:rFonts w:eastAsia="Times New Roman"/>
                <w:b/>
                <w:bCs/>
                <w:color w:val="000000"/>
                <w:sz w:val="18"/>
                <w:szCs w:val="18"/>
              </w:rPr>
              <w:t>Financing activities</w:t>
            </w: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Principal payments on finance leases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(796)</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(466)</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divId w:val="580606908"/>
              <w:rPr>
                <w:rFonts w:eastAsia="Times New Roman"/>
              </w:rPr>
            </w:pPr>
            <w:r>
              <w:rPr>
                <w:rFonts w:eastAsia="Times New Roman"/>
                <w:color w:val="000000"/>
                <w:sz w:val="18"/>
                <w:szCs w:val="18"/>
              </w:rPr>
              <w:t>Principal payment and extinguishment costs on senior secured convertible notes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(204,014)</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Principal payment and extinguishment costs on secured term note</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(14,031)</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divId w:val="1403334134"/>
              <w:rPr>
                <w:rFonts w:eastAsia="Times New Roman"/>
              </w:rPr>
            </w:pPr>
            <w:r>
              <w:rPr>
                <w:rFonts w:eastAsia="Times New Roman"/>
                <w:color w:val="000000"/>
                <w:sz w:val="18"/>
                <w:szCs w:val="18"/>
              </w:rPr>
              <w:t>Proceeds from issuance of convertible redeemable preferred stock, net of issuance costs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188,183 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48 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(149)</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Net cash used in financing activities</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(30,477)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Effect of exchange rate changes on 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(86)</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(588)</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Net increase (decrease) in cash, cash equivalents and restricted cash</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7,775 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(16,869)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Cash, cash equivalents and restricted cash at beginning of period</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22,279 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50,741 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Cash, cash equivalents and restricted cash at end of period</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30,054 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33,872 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22310915"/>
          <w:jc w:val="center"/>
        </w:trPr>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2231091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bl>
    <w:tbl>
      <w:tblPr>
        <w:tblW w:w="4996" w:type="pct"/>
        <w:tblCellMar>
          <w:top w:w="15" w:type="dxa"/>
          <w:left w:w="15" w:type="dxa"/>
          <w:bottom w:w="15" w:type="dxa"/>
          <w:right w:w="15" w:type="dxa"/>
        </w:tblCellMar>
        <w:tblLook w:val="04A0" w:firstRow="1" w:lastRow="0" w:firstColumn="1" w:lastColumn="0" w:noHBand="0" w:noVBand="1"/>
      </w:tblPr>
      <w:tblGrid>
        <w:gridCol w:w="144"/>
        <w:gridCol w:w="6049"/>
        <w:gridCol w:w="144"/>
        <w:gridCol w:w="144"/>
        <w:gridCol w:w="144"/>
        <w:gridCol w:w="144"/>
        <w:gridCol w:w="144"/>
        <w:gridCol w:w="944"/>
        <w:gridCol w:w="144"/>
        <w:gridCol w:w="144"/>
        <w:gridCol w:w="144"/>
        <w:gridCol w:w="144"/>
        <w:gridCol w:w="144"/>
        <w:gridCol w:w="944"/>
        <w:gridCol w:w="144"/>
      </w:tblGrid>
      <w:tr w:rsidR="00000000">
        <w:tc>
          <w:tcPr>
            <w:tcW w:w="50" w:type="pct"/>
            <w:vAlign w:val="center"/>
            <w:hideMark/>
          </w:tcPr>
          <w:p w:rsidR="00000000" w:rsidRDefault="00943C43">
            <w:pPr>
              <w:jc w:val="center"/>
              <w:rPr>
                <w:rFonts w:eastAsia="Times New Roman"/>
              </w:rPr>
            </w:pPr>
          </w:p>
        </w:tc>
        <w:tc>
          <w:tcPr>
            <w:tcW w:w="36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xml:space="preserve">As of March 31, </w:t>
            </w:r>
          </w:p>
        </w:tc>
      </w:tr>
      <w:tr w:rsidR="00000000">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2021</w:t>
            </w:r>
          </w:p>
        </w:tc>
      </w:tr>
      <w:tr w:rsidR="00000000">
        <w:tc>
          <w:tcPr>
            <w:tcW w:w="0" w:type="auto"/>
            <w:gridSpan w:val="3"/>
            <w:shd w:val="clear" w:color="auto" w:fill="CCEEFF"/>
            <w:tcMar>
              <w:top w:w="30" w:type="dxa"/>
              <w:left w:w="3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29,629 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29,075 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c>
          <w:tcPr>
            <w:tcW w:w="0" w:type="auto"/>
            <w:gridSpan w:val="3"/>
            <w:tcMar>
              <w:top w:w="30" w:type="dxa"/>
              <w:left w:w="3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Restricted cash</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425 </w:t>
            </w:r>
          </w:p>
        </w:tc>
        <w:tc>
          <w:tcPr>
            <w:tcW w:w="0" w:type="auto"/>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4,797 </w:t>
            </w:r>
          </w:p>
        </w:tc>
        <w:tc>
          <w:tcPr>
            <w:tcW w:w="0" w:type="auto"/>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xml:space="preserve">Total cash, cash equivalents and restricted cash </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30,054 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33,872 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bl>
    <w:p w:rsidR="00000000" w:rsidRDefault="00943C43">
      <w:pPr>
        <w:jc w:val="center"/>
        <w:rPr>
          <w:rFonts w:eastAsia="Times New Roman"/>
        </w:rPr>
      </w:pPr>
    </w:p>
    <w:p w:rsidR="00000000" w:rsidRDefault="00943C43">
      <w:pPr>
        <w:jc w:val="center"/>
        <w:divId w:val="83192385"/>
        <w:rPr>
          <w:rFonts w:eastAsia="Times New Roman"/>
        </w:rPr>
      </w:pPr>
      <w:r>
        <w:rPr>
          <w:rFonts w:eastAsia="Times New Roman"/>
          <w:color w:val="000000"/>
          <w:sz w:val="20"/>
          <w:szCs w:val="20"/>
        </w:rPr>
        <w:t>4</w:t>
      </w:r>
    </w:p>
    <w:p w:rsidR="00000000" w:rsidRDefault="00943C43">
      <w:pPr>
        <w:rPr>
          <w:rFonts w:eastAsia="Times New Roman"/>
        </w:rPr>
      </w:pPr>
      <w:r>
        <w:rPr>
          <w:rFonts w:eastAsia="Times New Roman"/>
        </w:rPr>
        <w:pict>
          <v:rect id="_x0000_i1031" style="width:0;height:1.5pt" o:hralign="center" o:hrstd="t" o:hr="t" fillcolor="#a0a0a0" stroked="f"/>
        </w:pict>
      </w:r>
    </w:p>
    <w:p w:rsidR="00000000" w:rsidRDefault="00943C43">
      <w:pPr>
        <w:divId w:val="2084134872"/>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1986279273"/>
        <w:rPr>
          <w:rFonts w:eastAsia="Times New Roman"/>
        </w:rPr>
      </w:pPr>
    </w:p>
    <w:tbl>
      <w:tblPr>
        <w:tblW w:w="4996" w:type="pct"/>
        <w:tblCellMar>
          <w:top w:w="15" w:type="dxa"/>
          <w:left w:w="15" w:type="dxa"/>
          <w:bottom w:w="15" w:type="dxa"/>
          <w:right w:w="15" w:type="dxa"/>
        </w:tblCellMar>
        <w:tblLook w:val="04A0" w:firstRow="1" w:lastRow="0" w:firstColumn="1" w:lastColumn="0" w:noHBand="0" w:noVBand="1"/>
      </w:tblPr>
      <w:tblGrid>
        <w:gridCol w:w="37"/>
        <w:gridCol w:w="5962"/>
        <w:gridCol w:w="36"/>
        <w:gridCol w:w="36"/>
        <w:gridCol w:w="36"/>
        <w:gridCol w:w="36"/>
        <w:gridCol w:w="110"/>
        <w:gridCol w:w="877"/>
        <w:gridCol w:w="36"/>
        <w:gridCol w:w="36"/>
        <w:gridCol w:w="36"/>
        <w:gridCol w:w="36"/>
        <w:gridCol w:w="112"/>
        <w:gridCol w:w="877"/>
        <w:gridCol w:w="36"/>
      </w:tblGrid>
      <w:tr w:rsidR="00000000">
        <w:trPr>
          <w:divId w:val="440808300"/>
        </w:trPr>
        <w:tc>
          <w:tcPr>
            <w:tcW w:w="50" w:type="pct"/>
            <w:vAlign w:val="center"/>
            <w:hideMark/>
          </w:tcPr>
          <w:p w:rsidR="00000000" w:rsidRDefault="00943C43">
            <w:pPr>
              <w:jc w:val="both"/>
              <w:rPr>
                <w:rFonts w:eastAsia="Times New Roman"/>
              </w:rPr>
            </w:pPr>
          </w:p>
        </w:tc>
        <w:tc>
          <w:tcPr>
            <w:tcW w:w="36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440808300"/>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Three Months Ended March 31,</w:t>
            </w:r>
          </w:p>
        </w:tc>
      </w:tr>
      <w:tr w:rsidR="00000000">
        <w:trPr>
          <w:divId w:val="440808300"/>
        </w:trPr>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2021</w:t>
            </w:r>
          </w:p>
        </w:tc>
      </w:tr>
      <w:tr w:rsidR="00000000">
        <w:trPr>
          <w:divId w:val="440808300"/>
        </w:trPr>
        <w:tc>
          <w:tcPr>
            <w:tcW w:w="0" w:type="auto"/>
            <w:gridSpan w:val="3"/>
            <w:vAlign w:val="center"/>
            <w:hideMark/>
          </w:tcPr>
          <w:p w:rsidR="00000000" w:rsidRDefault="00943C43">
            <w:pPr>
              <w:spacing w:after="100"/>
              <w:jc w:val="center"/>
              <w:rPr>
                <w:rFonts w:eastAsia="Times New Roman"/>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40808300"/>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40808300"/>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40808300"/>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40808300"/>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1204370922"/>
              <w:rPr>
                <w:rFonts w:eastAsia="Times New Roman"/>
              </w:rPr>
            </w:pPr>
            <w:r>
              <w:rPr>
                <w:rFonts w:eastAsia="Times New Roman"/>
                <w:b/>
                <w:bCs/>
                <w:color w:val="000000"/>
                <w:sz w:val="18"/>
                <w:szCs w:val="18"/>
              </w:rPr>
              <w:t>Supplemental disclosures of non-cash investing and financing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divId w:val="440808300"/>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divId w:val="1641230198"/>
              <w:rPr>
                <w:rFonts w:eastAsia="Times New Roman"/>
              </w:rPr>
            </w:pPr>
            <w:r>
              <w:rPr>
                <w:rFonts w:eastAsia="Times New Roman"/>
                <w:color w:val="000000"/>
                <w:sz w:val="18"/>
                <w:szCs w:val="18"/>
              </w:rPr>
              <w:t>Convertible redeemable preferred stock dividends accrued but not yet paid</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3,825 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935 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440808300"/>
        </w:trPr>
        <w:tc>
          <w:tcPr>
            <w:tcW w:w="0" w:type="auto"/>
            <w:gridSpan w:val="3"/>
            <w:shd w:val="clear" w:color="auto" w:fill="CCEEFF"/>
            <w:tcMar>
              <w:top w:w="30" w:type="dxa"/>
              <w:left w:w="15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Settlement of restricted stock unit liability</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1,719 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7,118 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440808300"/>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divId w:val="1402215859"/>
              <w:rPr>
                <w:rFonts w:eastAsia="Times New Roman"/>
              </w:rPr>
            </w:pPr>
            <w:r>
              <w:rPr>
                <w:rFonts w:eastAsia="Times New Roman"/>
                <w:color w:val="000000"/>
                <w:sz w:val="18"/>
                <w:szCs w:val="18"/>
              </w:rPr>
              <w:t>Interest paid in Common Stock</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10,812 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440808300"/>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1613786808"/>
              <w:rPr>
                <w:rFonts w:eastAsia="Times New Roman"/>
              </w:rPr>
            </w:pPr>
            <w:r>
              <w:rPr>
                <w:rFonts w:eastAsia="Times New Roman"/>
                <w:color w:val="000000"/>
                <w:sz w:val="18"/>
                <w:szCs w:val="18"/>
              </w:rPr>
              <w:t>Conversion shares issued as extinguishment cost on senior secured convertible notes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9,608 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440808300"/>
        </w:trPr>
        <w:tc>
          <w:tcPr>
            <w:tcW w:w="0" w:type="auto"/>
            <w:gridSpan w:val="3"/>
            <w:shd w:val="clear" w:color="auto" w:fill="FFFFFF"/>
            <w:tcMar>
              <w:top w:w="30" w:type="dxa"/>
              <w:left w:w="15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Right-of-use assets obtained in exchange for operating lease liabilities</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2,977 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440808300"/>
        </w:trPr>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40808300"/>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40808300"/>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40808300"/>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40808300"/>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bl>
    <w:p w:rsidR="00000000" w:rsidRDefault="00943C43">
      <w:pPr>
        <w:jc w:val="both"/>
        <w:divId w:val="1120152879"/>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Transactions for these line items were exclusively with related parties (refer to </w:t>
      </w:r>
      <w:hyperlink w:anchor="i81c699a6f33e49f8a081f48620e58c22_64" w:history="1">
        <w:r>
          <w:rPr>
            <w:rStyle w:val="a3"/>
            <w:rFonts w:eastAsia="Times New Roman"/>
            <w:sz w:val="18"/>
            <w:szCs w:val="18"/>
          </w:rPr>
          <w:t>Footnote 4</w:t>
        </w:r>
      </w:hyperlink>
      <w:r>
        <w:rPr>
          <w:rFonts w:eastAsia="Times New Roman"/>
          <w:color w:val="000000"/>
          <w:sz w:val="18"/>
          <w:szCs w:val="18"/>
        </w:rPr>
        <w:t xml:space="preserve">, </w:t>
      </w:r>
      <w:r>
        <w:rPr>
          <w:rFonts w:eastAsia="Times New Roman"/>
          <w:i/>
          <w:iCs/>
          <w:color w:val="000000"/>
          <w:sz w:val="18"/>
          <w:szCs w:val="18"/>
        </w:rPr>
        <w:t>Convertible Redeemable Preferred Stock and Stockholders' Equity</w:t>
      </w:r>
      <w:r>
        <w:rPr>
          <w:rFonts w:eastAsia="Times New Roman"/>
          <w:color w:val="000000"/>
          <w:sz w:val="18"/>
          <w:szCs w:val="18"/>
        </w:rPr>
        <w:t xml:space="preserve">, </w:t>
      </w:r>
      <w:hyperlink w:anchor="i81c699a6f33e49f8a081f48620e58c22_55" w:history="1">
        <w:r>
          <w:rPr>
            <w:rStyle w:val="a3"/>
            <w:rFonts w:eastAsia="Times New Roman"/>
            <w:sz w:val="18"/>
            <w:szCs w:val="18"/>
          </w:rPr>
          <w:t>Footnote 5</w:t>
        </w:r>
      </w:hyperlink>
      <w:r>
        <w:rPr>
          <w:rFonts w:eastAsia="Times New Roman"/>
          <w:color w:val="000000"/>
          <w:sz w:val="18"/>
          <w:szCs w:val="18"/>
        </w:rPr>
        <w:t xml:space="preserve">, </w:t>
      </w:r>
      <w:r>
        <w:rPr>
          <w:rFonts w:eastAsia="Times New Roman"/>
          <w:i/>
          <w:iCs/>
          <w:color w:val="000000"/>
          <w:sz w:val="18"/>
          <w:szCs w:val="18"/>
        </w:rPr>
        <w:t>Debt</w:t>
      </w:r>
      <w:r>
        <w:rPr>
          <w:rFonts w:eastAsia="Times New Roman"/>
          <w:color w:val="000000"/>
          <w:sz w:val="18"/>
          <w:szCs w:val="18"/>
        </w:rPr>
        <w:t xml:space="preserve">, and </w:t>
      </w:r>
      <w:hyperlink w:anchor="i81c699a6f33e49f8a081f48620e58c22_79" w:history="1">
        <w:r>
          <w:rPr>
            <w:rStyle w:val="a3"/>
            <w:rFonts w:eastAsia="Times New Roman"/>
            <w:sz w:val="18"/>
            <w:szCs w:val="18"/>
          </w:rPr>
          <w:t>Footnote 8</w:t>
        </w:r>
      </w:hyperlink>
      <w:r>
        <w:rPr>
          <w:rFonts w:eastAsia="Times New Roman"/>
          <w:color w:val="000000"/>
          <w:sz w:val="18"/>
          <w:szCs w:val="18"/>
        </w:rPr>
        <w:t xml:space="preserve">, </w:t>
      </w:r>
      <w:r>
        <w:rPr>
          <w:rFonts w:eastAsia="Times New Roman"/>
          <w:i/>
          <w:iCs/>
          <w:color w:val="000000"/>
          <w:sz w:val="18"/>
          <w:szCs w:val="18"/>
        </w:rPr>
        <w:t>Related Party Transactions</w:t>
      </w:r>
      <w:r>
        <w:rPr>
          <w:rFonts w:eastAsia="Times New Roman"/>
          <w:color w:val="000000"/>
          <w:sz w:val="18"/>
          <w:szCs w:val="18"/>
        </w:rPr>
        <w:t>, of the Note</w:t>
      </w:r>
      <w:r>
        <w:rPr>
          <w:rFonts w:eastAsia="Times New Roman"/>
          <w:color w:val="000000"/>
          <w:sz w:val="18"/>
          <w:szCs w:val="18"/>
        </w:rPr>
        <w:t>s to Condensed Consolidated Financial Statements for additional information). Gross proceeds from related parties for the issuance of convertible redeemable preferred stock were $204.0 million.</w:t>
      </w:r>
    </w:p>
    <w:p w:rsidR="00000000" w:rsidRDefault="00943C43">
      <w:pPr>
        <w:jc w:val="center"/>
        <w:divId w:val="34283397"/>
        <w:rPr>
          <w:rFonts w:eastAsia="Times New Roman"/>
        </w:rPr>
      </w:pPr>
      <w:r>
        <w:rPr>
          <w:rFonts w:eastAsia="Times New Roman"/>
          <w:color w:val="000000"/>
          <w:sz w:val="18"/>
          <w:szCs w:val="18"/>
        </w:rPr>
        <w:t>See accompanying Notes to Condensed Consolidated Financial Sta</w:t>
      </w:r>
      <w:r>
        <w:rPr>
          <w:rFonts w:eastAsia="Times New Roman"/>
          <w:color w:val="000000"/>
          <w:sz w:val="18"/>
          <w:szCs w:val="18"/>
        </w:rPr>
        <w:t>tements.</w:t>
      </w:r>
    </w:p>
    <w:p w:rsidR="00000000" w:rsidRDefault="00943C43">
      <w:pPr>
        <w:jc w:val="center"/>
        <w:divId w:val="1219051059"/>
        <w:rPr>
          <w:rFonts w:eastAsia="Times New Roman"/>
        </w:rPr>
      </w:pPr>
      <w:r>
        <w:rPr>
          <w:rFonts w:eastAsia="Times New Roman"/>
          <w:color w:val="000000"/>
          <w:sz w:val="20"/>
          <w:szCs w:val="20"/>
        </w:rPr>
        <w:t>5</w:t>
      </w:r>
    </w:p>
    <w:p w:rsidR="00000000" w:rsidRDefault="00943C43">
      <w:pPr>
        <w:rPr>
          <w:rFonts w:eastAsia="Times New Roman"/>
        </w:rPr>
      </w:pPr>
      <w:r>
        <w:rPr>
          <w:rFonts w:eastAsia="Times New Roman"/>
        </w:rPr>
        <w:pict>
          <v:rect id="_x0000_i1032" style="width:0;height:1.5pt" o:hralign="center" o:hrstd="t" o:hr="t" fillcolor="#a0a0a0" stroked="f"/>
        </w:pict>
      </w:r>
    </w:p>
    <w:p w:rsidR="00000000" w:rsidRDefault="00943C43">
      <w:pPr>
        <w:divId w:val="680203896"/>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2113279819"/>
        <w:rPr>
          <w:rFonts w:eastAsia="Times New Roman"/>
        </w:rPr>
      </w:pPr>
    </w:p>
    <w:p w:rsidR="00000000" w:rsidRDefault="00943C43">
      <w:pPr>
        <w:jc w:val="center"/>
        <w:rPr>
          <w:rFonts w:eastAsia="Times New Roman"/>
        </w:rPr>
      </w:pPr>
      <w:r>
        <w:rPr>
          <w:rFonts w:eastAsia="Times New Roman"/>
          <w:b/>
          <w:bCs/>
          <w:color w:val="000000"/>
          <w:sz w:val="20"/>
          <w:szCs w:val="20"/>
        </w:rPr>
        <w:t>COMSCORE, INC.</w:t>
      </w:r>
    </w:p>
    <w:p w:rsidR="00000000" w:rsidRDefault="00943C43">
      <w:pPr>
        <w:jc w:val="center"/>
        <w:rPr>
          <w:rFonts w:eastAsia="Times New Roman"/>
        </w:rPr>
      </w:pPr>
      <w:r>
        <w:rPr>
          <w:rFonts w:eastAsia="Times New Roman"/>
          <w:b/>
          <w:bCs/>
          <w:color w:val="000000"/>
          <w:sz w:val="20"/>
          <w:szCs w:val="20"/>
        </w:rPr>
        <w:t>NOTES TO CONDENSED CONSOLIDATED FINANCIAL STATEMENTS</w:t>
      </w:r>
    </w:p>
    <w:p w:rsidR="00000000" w:rsidRDefault="00943C43">
      <w:pPr>
        <w:ind w:hanging="360"/>
        <w:jc w:val="both"/>
        <w:divId w:val="486560167"/>
        <w:rPr>
          <w:rFonts w:eastAsia="Times New Roman"/>
        </w:rPr>
      </w:pPr>
      <w:r>
        <w:rPr>
          <w:rFonts w:eastAsia="Times New Roman"/>
          <w:b/>
          <w:bCs/>
          <w:color w:val="000000"/>
          <w:sz w:val="20"/>
          <w:szCs w:val="20"/>
        </w:rPr>
        <w:t>1.Organization</w:t>
      </w:r>
    </w:p>
    <w:p w:rsidR="00000000" w:rsidRDefault="00943C43">
      <w:pPr>
        <w:jc w:val="both"/>
        <w:divId w:val="595988054"/>
        <w:rPr>
          <w:rFonts w:eastAsia="Times New Roman"/>
        </w:rPr>
      </w:pPr>
      <w:r>
        <w:rPr>
          <w:rFonts w:eastAsia="Times New Roman"/>
          <w:color w:val="000000"/>
          <w:sz w:val="20"/>
          <w:szCs w:val="20"/>
        </w:rPr>
        <w:t>comScore, Inc., together with its consolidated subsidiaries (collectively, "Comscore" or the "Company"), headquartered in Reston, Virginia, is a global information and analytics company that measures audiences, consumer behavior and advertising across medi</w:t>
      </w:r>
      <w:r>
        <w:rPr>
          <w:rFonts w:eastAsia="Times New Roman"/>
          <w:color w:val="000000"/>
          <w:sz w:val="20"/>
          <w:szCs w:val="20"/>
        </w:rPr>
        <w:t xml:space="preserve">a platforms. </w:t>
      </w:r>
    </w:p>
    <w:p w:rsidR="00000000" w:rsidRDefault="00943C43">
      <w:pPr>
        <w:jc w:val="both"/>
        <w:divId w:val="295373736"/>
        <w:rPr>
          <w:rFonts w:eastAsia="Times New Roman"/>
        </w:rPr>
      </w:pPr>
      <w:r>
        <w:rPr>
          <w:rFonts w:eastAsia="Times New Roman"/>
          <w:color w:val="000000"/>
          <w:sz w:val="20"/>
          <w:szCs w:val="20"/>
        </w:rPr>
        <w:t>Operating segments are defined as components of a business that can earn revenues and incur expenses for which discrete financial information is available that is evaluated on a regular basis by the chief operating decision maker ("CODM"). Th</w:t>
      </w:r>
      <w:r>
        <w:rPr>
          <w:rFonts w:eastAsia="Times New Roman"/>
          <w:color w:val="000000"/>
          <w:sz w:val="20"/>
          <w:szCs w:val="20"/>
        </w:rPr>
        <w:t xml:space="preserve">e Company's CODM is its Chief Executive Officer, who decides how to allocate resources and assess performance. The Company has one operating segment. A single management team reports to the CODM, who manages the entire business. The Company's CODM reviews </w:t>
      </w:r>
      <w:r>
        <w:rPr>
          <w:rFonts w:eastAsia="Times New Roman"/>
          <w:color w:val="000000"/>
          <w:sz w:val="20"/>
          <w:szCs w:val="20"/>
        </w:rPr>
        <w:t>consolidated results of operations to make decisions, allocate resources and assess performance and does not evaluate the profit or loss from any separate geography or product line.</w:t>
      </w:r>
    </w:p>
    <w:p w:rsidR="00000000" w:rsidRDefault="00943C43">
      <w:pPr>
        <w:ind w:hanging="360"/>
        <w:jc w:val="both"/>
        <w:divId w:val="664406861"/>
        <w:rPr>
          <w:rFonts w:eastAsia="Times New Roman"/>
        </w:rPr>
      </w:pPr>
      <w:r>
        <w:rPr>
          <w:rFonts w:eastAsia="Times New Roman"/>
          <w:b/>
          <w:bCs/>
          <w:color w:val="000000"/>
          <w:sz w:val="20"/>
          <w:szCs w:val="20"/>
        </w:rPr>
        <w:t>2.Summary of Significant Accounting Policies</w:t>
      </w:r>
    </w:p>
    <w:p w:rsidR="00000000" w:rsidRDefault="00943C43">
      <w:pPr>
        <w:jc w:val="both"/>
        <w:divId w:val="244538498"/>
        <w:rPr>
          <w:rFonts w:eastAsia="Times New Roman"/>
        </w:rPr>
      </w:pPr>
      <w:r>
        <w:rPr>
          <w:rFonts w:eastAsia="Times New Roman"/>
          <w:b/>
          <w:bCs/>
          <w:i/>
          <w:iCs/>
          <w:color w:val="000000"/>
          <w:sz w:val="20"/>
          <w:szCs w:val="20"/>
        </w:rPr>
        <w:t>Basis of Presentation and Con</w:t>
      </w:r>
      <w:r>
        <w:rPr>
          <w:rFonts w:eastAsia="Times New Roman"/>
          <w:b/>
          <w:bCs/>
          <w:i/>
          <w:iCs/>
          <w:color w:val="000000"/>
          <w:sz w:val="20"/>
          <w:szCs w:val="20"/>
        </w:rPr>
        <w:t>solidation</w:t>
      </w:r>
    </w:p>
    <w:p w:rsidR="00000000" w:rsidRDefault="00943C43">
      <w:pPr>
        <w:jc w:val="both"/>
        <w:divId w:val="315572129"/>
        <w:rPr>
          <w:rFonts w:eastAsia="Times New Roman"/>
        </w:rPr>
      </w:pPr>
      <w:r>
        <w:rPr>
          <w:rFonts w:eastAsia="Times New Roman"/>
          <w:color w:val="000000"/>
          <w:sz w:val="20"/>
          <w:szCs w:val="20"/>
        </w:rPr>
        <w:t>The accompanying Condensed Consolidated Financial Statements include the accounts of the Company and its wholly-owned domestic and foreign subsidiaries. All intercompany transactions and balances are eliminated upon consolidation.</w:t>
      </w:r>
    </w:p>
    <w:p w:rsidR="00000000" w:rsidRDefault="00943C43">
      <w:pPr>
        <w:jc w:val="both"/>
        <w:divId w:val="505170835"/>
        <w:rPr>
          <w:rFonts w:eastAsia="Times New Roman"/>
        </w:rPr>
      </w:pPr>
      <w:r>
        <w:rPr>
          <w:rFonts w:eastAsia="Times New Roman"/>
          <w:b/>
          <w:bCs/>
          <w:i/>
          <w:iCs/>
          <w:color w:val="000000"/>
          <w:sz w:val="20"/>
          <w:szCs w:val="20"/>
        </w:rPr>
        <w:t>Reclassificati</w:t>
      </w:r>
      <w:r>
        <w:rPr>
          <w:rFonts w:eastAsia="Times New Roman"/>
          <w:b/>
          <w:bCs/>
          <w:i/>
          <w:iCs/>
          <w:color w:val="000000"/>
          <w:sz w:val="20"/>
          <w:szCs w:val="20"/>
        </w:rPr>
        <w:t>on</w:t>
      </w:r>
    </w:p>
    <w:p w:rsidR="00000000" w:rsidRDefault="00943C43">
      <w:pPr>
        <w:jc w:val="both"/>
        <w:divId w:val="1555655243"/>
        <w:rPr>
          <w:rFonts w:eastAsia="Times New Roman"/>
        </w:rPr>
      </w:pPr>
      <w:r>
        <w:rPr>
          <w:rFonts w:eastAsia="Times New Roman"/>
          <w:color w:val="000000"/>
          <w:sz w:val="20"/>
          <w:szCs w:val="20"/>
        </w:rPr>
        <w:t>Certain amounts in the prior year financial statements have been reclassified to conform to the current year presentation. Specifically, change in fair value of financing derivatives, accretion of debt discount, and amortization of deferred financing co</w:t>
      </w:r>
      <w:r>
        <w:rPr>
          <w:rFonts w:eastAsia="Times New Roman"/>
          <w:color w:val="000000"/>
          <w:sz w:val="20"/>
          <w:szCs w:val="20"/>
        </w:rPr>
        <w:t>sts have been aggregated within other operating activities on the Condensed Consolidated Statements of Cash Flows.</w:t>
      </w:r>
    </w:p>
    <w:p w:rsidR="00000000" w:rsidRDefault="00943C43">
      <w:pPr>
        <w:jc w:val="both"/>
        <w:divId w:val="1612735739"/>
        <w:rPr>
          <w:rFonts w:eastAsia="Times New Roman"/>
        </w:rPr>
      </w:pPr>
      <w:r>
        <w:rPr>
          <w:rFonts w:eastAsia="Times New Roman"/>
          <w:b/>
          <w:bCs/>
          <w:i/>
          <w:iCs/>
          <w:color w:val="000000"/>
          <w:sz w:val="20"/>
          <w:szCs w:val="20"/>
        </w:rPr>
        <w:t>Unaudited Interim Financial Information</w:t>
      </w:r>
    </w:p>
    <w:p w:rsidR="00000000" w:rsidRDefault="00943C43">
      <w:pPr>
        <w:jc w:val="both"/>
        <w:divId w:val="246696766"/>
        <w:rPr>
          <w:rFonts w:eastAsia="Times New Roman"/>
        </w:rPr>
      </w:pPr>
      <w:r>
        <w:rPr>
          <w:rFonts w:eastAsia="Times New Roman"/>
          <w:color w:val="000000"/>
          <w:sz w:val="20"/>
          <w:szCs w:val="20"/>
        </w:rPr>
        <w:t>The interim Condensed Consolidated Financial Statements included in this quarterly report have been prepared by the Company and are unaudited, pursuant to the rules and regulations of the United States Securities and Exchange Commission ("SEC"). Certain in</w:t>
      </w:r>
      <w:r>
        <w:rPr>
          <w:rFonts w:eastAsia="Times New Roman"/>
          <w:color w:val="000000"/>
          <w:sz w:val="20"/>
          <w:szCs w:val="20"/>
        </w:rPr>
        <w:t xml:space="preserve">formation and footnote disclosures normally included in financial statements prepared in accordance with generally accepted accounting principles in the United States ("GAAP") have been condensed or omitted pursuant to such rules and regulations. However, </w:t>
      </w:r>
      <w:r>
        <w:rPr>
          <w:rFonts w:eastAsia="Times New Roman"/>
          <w:color w:val="000000"/>
          <w:sz w:val="20"/>
          <w:szCs w:val="20"/>
        </w:rPr>
        <w:t>the Company believes that the disclosures contained in this quarterly report comply with the requirements of Section 13(a) of the Securities Exchange Act of 1934, as amended (the "Exchange Act"), for a quarterly report on Form 10-Q and are adequate to make</w:t>
      </w:r>
      <w:r>
        <w:rPr>
          <w:rFonts w:eastAsia="Times New Roman"/>
          <w:color w:val="000000"/>
          <w:sz w:val="20"/>
          <w:szCs w:val="20"/>
        </w:rPr>
        <w:t xml:space="preserve"> the information presented not misleading. The interim Condensed Consolidated Financial Statements included herein reflect all adjustments (consisting of normal recurring adjustments) which are, in the opinion of management, necessary for a fair presentati</w:t>
      </w:r>
      <w:r>
        <w:rPr>
          <w:rFonts w:eastAsia="Times New Roman"/>
          <w:color w:val="000000"/>
          <w:sz w:val="20"/>
          <w:szCs w:val="20"/>
        </w:rPr>
        <w:t>on of the financial position, results of operations and cash flows for the interim periods presented. These interim Condensed Consolidated Financial Statements should be read in conjunction with the Consolidated Financial Statements and Notes thereto conta</w:t>
      </w:r>
      <w:r>
        <w:rPr>
          <w:rFonts w:eastAsia="Times New Roman"/>
          <w:color w:val="000000"/>
          <w:sz w:val="20"/>
          <w:szCs w:val="20"/>
        </w:rPr>
        <w:t xml:space="preserve">ined in the Company's Annual Report on </w:t>
      </w:r>
      <w:hyperlink r:id="rId5" w:history="1">
        <w:r>
          <w:rPr>
            <w:rStyle w:val="a3"/>
            <w:rFonts w:eastAsia="Times New Roman"/>
            <w:sz w:val="20"/>
            <w:szCs w:val="20"/>
          </w:rPr>
          <w:t>Form 10-K</w:t>
        </w:r>
      </w:hyperlink>
      <w:r>
        <w:rPr>
          <w:rFonts w:eastAsia="Times New Roman"/>
          <w:color w:val="000000"/>
          <w:sz w:val="20"/>
          <w:szCs w:val="20"/>
        </w:rPr>
        <w:t xml:space="preserve"> for the year ended December 31, 2021 (the "2021 10-K"). The Condensed Consolidated Results of Oper</w:t>
      </w:r>
      <w:r>
        <w:rPr>
          <w:rFonts w:eastAsia="Times New Roman"/>
          <w:color w:val="000000"/>
          <w:sz w:val="20"/>
          <w:szCs w:val="20"/>
        </w:rPr>
        <w:t>ations for the three months ended March 31, 2022 are not necessarily indicative of the results to be anticipated for the entire year ending December 31, 2022 or thereafter. All references to March 31, 2022 and 2021 in the Notes to Condensed Consolidated Fi</w:t>
      </w:r>
      <w:r>
        <w:rPr>
          <w:rFonts w:eastAsia="Times New Roman"/>
          <w:color w:val="000000"/>
          <w:sz w:val="20"/>
          <w:szCs w:val="20"/>
        </w:rPr>
        <w:t>nancial Statements are unaudited.</w:t>
      </w:r>
    </w:p>
    <w:p w:rsidR="00000000" w:rsidRDefault="00943C43">
      <w:pPr>
        <w:jc w:val="both"/>
        <w:divId w:val="650984593"/>
        <w:rPr>
          <w:rFonts w:eastAsia="Times New Roman"/>
        </w:rPr>
      </w:pPr>
      <w:r>
        <w:rPr>
          <w:rFonts w:eastAsia="Times New Roman"/>
          <w:b/>
          <w:bCs/>
          <w:i/>
          <w:iCs/>
          <w:color w:val="000000"/>
          <w:sz w:val="20"/>
          <w:szCs w:val="20"/>
        </w:rPr>
        <w:t>Use of Estimates and Judgments in the Preparation of the Condensed Consolidated Financial Statements</w:t>
      </w:r>
    </w:p>
    <w:p w:rsidR="00000000" w:rsidRDefault="00943C43">
      <w:pPr>
        <w:jc w:val="both"/>
        <w:divId w:val="616565087"/>
        <w:rPr>
          <w:rFonts w:eastAsia="Times New Roman"/>
        </w:rPr>
      </w:pPr>
      <w:r>
        <w:rPr>
          <w:rFonts w:eastAsia="Times New Roman"/>
          <w:color w:val="000000"/>
          <w:sz w:val="20"/>
          <w:szCs w:val="20"/>
        </w:rPr>
        <w:t>The preparation of financial statements in conformity with GAAP requires management to make estimates and assumptions tha</w:t>
      </w:r>
      <w:r>
        <w:rPr>
          <w:rFonts w:eastAsia="Times New Roman"/>
          <w:color w:val="000000"/>
          <w:sz w:val="20"/>
          <w:szCs w:val="20"/>
        </w:rPr>
        <w:t>t affect the reported amounts of assets and liabilities and the reported amounts of revenue and expense during the reporting periods. Significant estimates and judgments are inherent in the analysis and the measurement of management's standalone selling pr</w:t>
      </w:r>
      <w:r>
        <w:rPr>
          <w:rFonts w:eastAsia="Times New Roman"/>
          <w:color w:val="000000"/>
          <w:sz w:val="20"/>
          <w:szCs w:val="20"/>
        </w:rPr>
        <w:t>ice, principal versus agent revenue recognition, determination of performance obligations, determination of transaction price, including the determination of variable consideration and allocation of transaction price to performance obligations, deferred ta</w:t>
      </w:r>
      <w:r>
        <w:rPr>
          <w:rFonts w:eastAsia="Times New Roman"/>
          <w:color w:val="000000"/>
          <w:sz w:val="20"/>
          <w:szCs w:val="20"/>
        </w:rPr>
        <w:t>x assets and liabilities, including the identification and quantification of income tax liabilities due to uncertain tax positions, the valuation and recoverability of goodwill, intangible and other long-lived assets, the determination of appropriate disco</w:t>
      </w:r>
      <w:r>
        <w:rPr>
          <w:rFonts w:eastAsia="Times New Roman"/>
          <w:color w:val="000000"/>
          <w:sz w:val="20"/>
          <w:szCs w:val="20"/>
        </w:rPr>
        <w:t>unt rates for lease accounting, the probability of exercising either lease renewal or termination clauses, the assessment of potential loss from contingencies, the fair value determination of contingent consideration from business combinations, financing-r</w:t>
      </w:r>
      <w:r>
        <w:rPr>
          <w:rFonts w:eastAsia="Times New Roman"/>
          <w:color w:val="000000"/>
          <w:sz w:val="20"/>
          <w:szCs w:val="20"/>
        </w:rPr>
        <w:t>elated liabilities and warrants, and the valuation of options, performance-based and market-based stock awards. Management bases its estimates and assumptions on historical experience and on various other factors that are believed to be reasonable under th</w:t>
      </w:r>
      <w:r>
        <w:rPr>
          <w:rFonts w:eastAsia="Times New Roman"/>
          <w:color w:val="000000"/>
          <w:sz w:val="20"/>
          <w:szCs w:val="20"/>
        </w:rPr>
        <w:t xml:space="preserve">e circumstances. </w:t>
      </w:r>
    </w:p>
    <w:p w:rsidR="00000000" w:rsidRDefault="00943C43">
      <w:pPr>
        <w:jc w:val="both"/>
        <w:divId w:val="490172445"/>
        <w:rPr>
          <w:rFonts w:eastAsia="Times New Roman"/>
        </w:rPr>
      </w:pPr>
      <w:r>
        <w:rPr>
          <w:rFonts w:eastAsia="Times New Roman"/>
          <w:color w:val="000000"/>
          <w:sz w:val="20"/>
          <w:szCs w:val="20"/>
        </w:rPr>
        <w:t>Due to the inherent uncertainty involved in making estimates, actual results reported in future periods may be affected by changes in those estimates. The Company evaluates its estimates and assumptions on an ongoing basis.</w:t>
      </w:r>
    </w:p>
    <w:p w:rsidR="00000000" w:rsidRDefault="00943C43">
      <w:pPr>
        <w:divId w:val="1072000013"/>
        <w:rPr>
          <w:rFonts w:eastAsia="Times New Roman"/>
        </w:rPr>
      </w:pPr>
      <w:r>
        <w:rPr>
          <w:rFonts w:eastAsia="Times New Roman"/>
          <w:b/>
          <w:bCs/>
          <w:i/>
          <w:iCs/>
          <w:color w:val="000000"/>
          <w:sz w:val="20"/>
          <w:szCs w:val="20"/>
        </w:rPr>
        <w:t>Business Combi</w:t>
      </w:r>
      <w:r>
        <w:rPr>
          <w:rFonts w:eastAsia="Times New Roman"/>
          <w:b/>
          <w:bCs/>
          <w:i/>
          <w:iCs/>
          <w:color w:val="000000"/>
          <w:sz w:val="20"/>
          <w:szCs w:val="20"/>
        </w:rPr>
        <w:t>nation</w:t>
      </w:r>
    </w:p>
    <w:p w:rsidR="00000000" w:rsidRDefault="00943C43">
      <w:pPr>
        <w:jc w:val="both"/>
        <w:divId w:val="1738938457"/>
        <w:rPr>
          <w:rFonts w:eastAsia="Times New Roman"/>
        </w:rPr>
      </w:pPr>
      <w:r>
        <w:rPr>
          <w:rFonts w:eastAsia="Times New Roman"/>
          <w:color w:val="000000"/>
          <w:sz w:val="20"/>
          <w:szCs w:val="20"/>
        </w:rPr>
        <w:t>In December 2021, the Company and two newly formed, wholly owned subsidiaries of the Company entered into an Agreement and Plan of Merger (the "Merger Agreement") with Shareablee, Inc. ("Shareablee"), pursuant to which the Company acquired Shareable</w:t>
      </w:r>
      <w:r>
        <w:rPr>
          <w:rFonts w:eastAsia="Times New Roman"/>
          <w:color w:val="000000"/>
          <w:sz w:val="20"/>
          <w:szCs w:val="20"/>
        </w:rPr>
        <w:t xml:space="preserve">e (the "Merger"). Total consideration paid or payable by the Company related to the Merger (valued as of the closing date of the Merger) was $31.4 million, which </w:t>
      </w:r>
    </w:p>
    <w:p w:rsidR="00000000" w:rsidRDefault="00943C43">
      <w:pPr>
        <w:jc w:val="center"/>
        <w:divId w:val="582642833"/>
        <w:rPr>
          <w:rFonts w:eastAsia="Times New Roman"/>
        </w:rPr>
      </w:pPr>
      <w:r>
        <w:rPr>
          <w:rFonts w:eastAsia="Times New Roman"/>
          <w:color w:val="000000"/>
          <w:sz w:val="20"/>
          <w:szCs w:val="20"/>
        </w:rPr>
        <w:t>6</w:t>
      </w:r>
    </w:p>
    <w:p w:rsidR="00000000" w:rsidRDefault="00943C43">
      <w:pPr>
        <w:rPr>
          <w:rFonts w:eastAsia="Times New Roman"/>
        </w:rPr>
      </w:pPr>
      <w:r>
        <w:rPr>
          <w:rFonts w:eastAsia="Times New Roman"/>
        </w:rPr>
        <w:pict>
          <v:rect id="_x0000_i1033" style="width:0;height:1.5pt" o:hralign="center" o:hrstd="t" o:hr="t" fillcolor="#a0a0a0" stroked="f"/>
        </w:pict>
      </w:r>
    </w:p>
    <w:p w:rsidR="00000000" w:rsidRDefault="00943C43">
      <w:pPr>
        <w:divId w:val="813647282"/>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1313175208"/>
        <w:rPr>
          <w:rFonts w:eastAsia="Times New Roman"/>
        </w:rPr>
      </w:pPr>
    </w:p>
    <w:p w:rsidR="00000000" w:rsidRDefault="00943C43">
      <w:pPr>
        <w:jc w:val="both"/>
        <w:divId w:val="1092894506"/>
        <w:rPr>
          <w:rFonts w:eastAsia="Times New Roman"/>
        </w:rPr>
      </w:pPr>
      <w:r>
        <w:rPr>
          <w:rFonts w:eastAsia="Times New Roman"/>
          <w:color w:val="000000"/>
          <w:sz w:val="20"/>
          <w:szCs w:val="20"/>
        </w:rPr>
        <w:t xml:space="preserve">included $5.6 million for the fair value of contingent consideration payable based on the achievement of certain contractual milestones or future revenue performance. The maximum amount of contingent consideration payable under the </w:t>
      </w:r>
      <w:r>
        <w:rPr>
          <w:rFonts w:eastAsia="Times New Roman"/>
          <w:color w:val="000000"/>
          <w:sz w:val="20"/>
          <w:szCs w:val="20"/>
        </w:rPr>
        <w:t>Merger is $8.6 million.</w:t>
      </w:r>
    </w:p>
    <w:p w:rsidR="00000000" w:rsidRDefault="00943C43">
      <w:pPr>
        <w:jc w:val="both"/>
        <w:divId w:val="1061055930"/>
        <w:rPr>
          <w:rFonts w:eastAsia="Times New Roman"/>
        </w:rPr>
      </w:pPr>
      <w:r>
        <w:rPr>
          <w:rFonts w:eastAsia="Times New Roman"/>
          <w:color w:val="000000"/>
          <w:sz w:val="20"/>
          <w:szCs w:val="20"/>
        </w:rPr>
        <w:t>The contingent consideration is classified as a liability due to the fact it will be settled in cash or a variable number of shares of the Company's common stock, par value $0.001 ("Common Stock") (or a combination thereof), and the</w:t>
      </w:r>
      <w:r>
        <w:rPr>
          <w:rFonts w:eastAsia="Times New Roman"/>
          <w:color w:val="000000"/>
          <w:sz w:val="20"/>
          <w:szCs w:val="20"/>
        </w:rPr>
        <w:t xml:space="preserve"> amount of the payment is not dependent upon the fair value of the Common Stock. The contingent consideration liability is measured at fair value on a recurring basis until the contingency is resolved.</w:t>
      </w:r>
    </w:p>
    <w:p w:rsidR="00000000" w:rsidRDefault="00943C43">
      <w:pPr>
        <w:jc w:val="both"/>
        <w:divId w:val="301009880"/>
        <w:rPr>
          <w:rFonts w:eastAsia="Times New Roman"/>
        </w:rPr>
      </w:pPr>
      <w:r>
        <w:rPr>
          <w:rFonts w:eastAsia="Times New Roman"/>
          <w:color w:val="000000"/>
          <w:sz w:val="20"/>
          <w:szCs w:val="20"/>
        </w:rPr>
        <w:t>The fair value of the contingent consideration liabili</w:t>
      </w:r>
      <w:r>
        <w:rPr>
          <w:rFonts w:eastAsia="Times New Roman"/>
          <w:color w:val="000000"/>
          <w:sz w:val="20"/>
          <w:szCs w:val="20"/>
        </w:rPr>
        <w:t>ty is estimated using a combination of valuation techniques. One technique is an option pricing model within a Monte Carlo simulation that determines an average projected payment value across numerous iterations. This technique determines projected payment</w:t>
      </w:r>
      <w:r>
        <w:rPr>
          <w:rFonts w:eastAsia="Times New Roman"/>
          <w:color w:val="000000"/>
          <w:sz w:val="20"/>
          <w:szCs w:val="20"/>
        </w:rPr>
        <w:t>s based on simulated revenues derived from an internal forecast, adjusted for a selected revenue volatility and risk premium based on market data for comparable guideline public companies. The other technique is a discounted cash flow model that assumes ac</w:t>
      </w:r>
      <w:r>
        <w:rPr>
          <w:rFonts w:eastAsia="Times New Roman"/>
          <w:color w:val="000000"/>
          <w:sz w:val="20"/>
          <w:szCs w:val="20"/>
        </w:rPr>
        <w:t>hievement of the contractual milestones, resulting in payment of the full deferred amount. In both techniques, the projected payments are then discounted back to the valuation date at the Company's cost of debt using a term commensurate with the contractua</w:t>
      </w:r>
      <w:r>
        <w:rPr>
          <w:rFonts w:eastAsia="Times New Roman"/>
          <w:color w:val="000000"/>
          <w:sz w:val="20"/>
          <w:szCs w:val="20"/>
        </w:rPr>
        <w:t>l payment dates.</w:t>
      </w:r>
    </w:p>
    <w:p w:rsidR="00000000" w:rsidRDefault="00943C43">
      <w:pPr>
        <w:jc w:val="both"/>
        <w:divId w:val="1986736246"/>
        <w:rPr>
          <w:rFonts w:eastAsia="Times New Roman"/>
        </w:rPr>
      </w:pPr>
      <w:r>
        <w:rPr>
          <w:rFonts w:eastAsia="Times New Roman"/>
          <w:color w:val="000000"/>
          <w:sz w:val="20"/>
          <w:szCs w:val="20"/>
        </w:rPr>
        <w:t>As of March 31, 2022, the Company determined sufficient achievement of the contractual milestones had been demonstrated and the full amount of the contingent consideration was reasonably certain to be payable. The fair value was remeasured</w:t>
      </w:r>
      <w:r>
        <w:rPr>
          <w:rFonts w:eastAsia="Times New Roman"/>
          <w:color w:val="000000"/>
          <w:sz w:val="20"/>
          <w:szCs w:val="20"/>
        </w:rPr>
        <w:t xml:space="preserve"> using only the discounted cash flow model. As a result, the estimated fair value of the contingent consideration liability as of March 31, 2022 was $7.9 million. The loss due to change in fair value of $2.3 million for the three months ended March 31, 202</w:t>
      </w:r>
      <w:r>
        <w:rPr>
          <w:rFonts w:eastAsia="Times New Roman"/>
          <w:color w:val="000000"/>
          <w:sz w:val="20"/>
          <w:szCs w:val="20"/>
        </w:rPr>
        <w:t>2 was classified within general and administrative expense in the Condensed Consolidated Statements of Operations and Comprehensive Loss.</w:t>
      </w:r>
    </w:p>
    <w:p w:rsidR="00000000" w:rsidRDefault="00943C43">
      <w:pPr>
        <w:jc w:val="both"/>
        <w:divId w:val="797576932"/>
        <w:rPr>
          <w:rFonts w:eastAsia="Times New Roman"/>
        </w:rPr>
      </w:pPr>
      <w:r>
        <w:rPr>
          <w:rFonts w:eastAsia="Times New Roman"/>
          <w:color w:val="000000"/>
          <w:sz w:val="20"/>
          <w:szCs w:val="20"/>
        </w:rPr>
        <w:t xml:space="preserve">Refer to </w:t>
      </w:r>
      <w:hyperlink w:anchor="i81c699a6f33e49f8a081f48620e58c22_73"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Fair Value Measurements</w:t>
      </w:r>
      <w:r>
        <w:rPr>
          <w:rFonts w:eastAsia="Times New Roman"/>
          <w:color w:val="000000"/>
          <w:sz w:val="20"/>
          <w:szCs w:val="20"/>
        </w:rPr>
        <w:t>, for information on the Level 3 inputs utilized for the determination of the fair value of the contingent consideration.</w:t>
      </w:r>
    </w:p>
    <w:p w:rsidR="00000000" w:rsidRDefault="00943C43">
      <w:pPr>
        <w:jc w:val="both"/>
        <w:divId w:val="1252545778"/>
        <w:rPr>
          <w:rFonts w:eastAsia="Times New Roman"/>
        </w:rPr>
      </w:pPr>
      <w:r>
        <w:rPr>
          <w:rFonts w:eastAsia="Times New Roman"/>
          <w:color w:val="000000"/>
          <w:sz w:val="20"/>
          <w:szCs w:val="20"/>
        </w:rPr>
        <w:t>In April 2022, the contingency surrounding the amount of consideration payable was resolved and the full amount</w:t>
      </w:r>
      <w:r>
        <w:rPr>
          <w:rFonts w:eastAsia="Times New Roman"/>
          <w:color w:val="000000"/>
          <w:sz w:val="20"/>
          <w:szCs w:val="20"/>
        </w:rPr>
        <w:t xml:space="preserve"> was deemed payable, subject to reduction for any pending indemnification claims and other terms set forth in the Merger Agreement. The Company expects to settle the liability in three installments of $3.7 million, $3.7 million and $1.2 million payable in </w:t>
      </w:r>
      <w:r>
        <w:rPr>
          <w:rFonts w:eastAsia="Times New Roman"/>
          <w:color w:val="000000"/>
          <w:sz w:val="20"/>
          <w:szCs w:val="20"/>
        </w:rPr>
        <w:t>any combination of cash and Common Stock (at the Company's election) in December 2022, 2023 and 2024, respectively.</w:t>
      </w:r>
    </w:p>
    <w:p w:rsidR="00000000" w:rsidRDefault="00943C43">
      <w:pPr>
        <w:jc w:val="both"/>
        <w:divId w:val="2044943324"/>
        <w:rPr>
          <w:rFonts w:eastAsia="Times New Roman"/>
        </w:rPr>
      </w:pPr>
      <w:r>
        <w:rPr>
          <w:rFonts w:eastAsia="Times New Roman"/>
          <w:b/>
          <w:bCs/>
          <w:i/>
          <w:iCs/>
          <w:color w:val="000000"/>
          <w:sz w:val="20"/>
          <w:szCs w:val="20"/>
        </w:rPr>
        <w:t>Preferred Stock</w:t>
      </w:r>
    </w:p>
    <w:p w:rsidR="00000000" w:rsidRDefault="00943C43">
      <w:pPr>
        <w:jc w:val="both"/>
        <w:divId w:val="578053649"/>
        <w:rPr>
          <w:rFonts w:eastAsia="Times New Roman"/>
        </w:rPr>
      </w:pPr>
      <w:r>
        <w:rPr>
          <w:rFonts w:eastAsia="Times New Roman"/>
          <w:color w:val="000000"/>
          <w:sz w:val="20"/>
          <w:szCs w:val="20"/>
        </w:rPr>
        <w:t>In January 2021, the Company entered into separate Securities Purchase Agreements with each of Charter Communications Holdin</w:t>
      </w:r>
      <w:r>
        <w:rPr>
          <w:rFonts w:eastAsia="Times New Roman"/>
          <w:color w:val="000000"/>
          <w:sz w:val="20"/>
          <w:szCs w:val="20"/>
        </w:rPr>
        <w:t>g Company, LLC ("Charter"), Qurate Retail, Inc. ("Qurate") and Pine Investor, LLC ("Pine") (the "Securities Purchase Agreements") for the issuance and sale of shares of Series B Convertible Preferred Stock, par value $0.001 ("Preferred Stock") described in</w:t>
      </w:r>
      <w:r>
        <w:rPr>
          <w:rFonts w:eastAsia="Times New Roman"/>
          <w:color w:val="000000"/>
          <w:sz w:val="20"/>
          <w:szCs w:val="20"/>
        </w:rPr>
        <w:t xml:space="preserve"> </w:t>
      </w:r>
      <w:hyperlink w:anchor="i81c699a6f33e49f8a081f48620e58c22_64"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The issuance of the Preferred Stock pursuant to the Securities Purchase Agreements (the "Transactions") and related mat</w:t>
      </w:r>
      <w:r>
        <w:rPr>
          <w:rFonts w:eastAsia="Times New Roman"/>
          <w:color w:val="000000"/>
          <w:sz w:val="20"/>
          <w:szCs w:val="20"/>
        </w:rPr>
        <w:t>ters were approved by the Company's stockholders on March 9, 2021 and completed on March 10, 2021.</w:t>
      </w:r>
    </w:p>
    <w:p w:rsidR="00000000" w:rsidRDefault="00943C43">
      <w:pPr>
        <w:jc w:val="both"/>
        <w:divId w:val="987052744"/>
        <w:rPr>
          <w:rFonts w:eastAsia="Times New Roman"/>
        </w:rPr>
      </w:pPr>
      <w:r>
        <w:rPr>
          <w:rFonts w:eastAsia="Times New Roman"/>
          <w:color w:val="000000"/>
          <w:sz w:val="20"/>
          <w:szCs w:val="20"/>
        </w:rPr>
        <w:t xml:space="preserve">The Preferred Stock is contingently redeemable upon certain deemed liquidation events, such as a change in control. Because a deemed liquidation event could </w:t>
      </w:r>
      <w:r>
        <w:rPr>
          <w:rFonts w:eastAsia="Times New Roman"/>
          <w:color w:val="000000"/>
          <w:sz w:val="20"/>
          <w:szCs w:val="20"/>
        </w:rPr>
        <w:t xml:space="preserve">constitute a redemption event outside of the Company's control, all shares of Preferred Stock have been presented outside of permanent equity in mezzanine equity on the Condensed Consolidated Balance Sheets. The instrument was initially recognized at fair </w:t>
      </w:r>
      <w:r>
        <w:rPr>
          <w:rFonts w:eastAsia="Times New Roman"/>
          <w:color w:val="000000"/>
          <w:sz w:val="20"/>
          <w:szCs w:val="20"/>
        </w:rPr>
        <w:t>value net of issuance costs. The Company reassesses whether the Preferred Stock is currently redeemable, or probable to become redeemable in the future, as of each reporting date. If the instrument meets either of these criteria, the Company will accrete t</w:t>
      </w:r>
      <w:r>
        <w:rPr>
          <w:rFonts w:eastAsia="Times New Roman"/>
          <w:color w:val="000000"/>
          <w:sz w:val="20"/>
          <w:szCs w:val="20"/>
        </w:rPr>
        <w:t>he carrying value to the redemption value. The Preferred Stock has not been adjusted to its redemption amount as of March 31, 2022 because a deemed liquidation event is not considered probable.</w:t>
      </w:r>
    </w:p>
    <w:p w:rsidR="00000000" w:rsidRDefault="00943C43">
      <w:pPr>
        <w:jc w:val="both"/>
        <w:divId w:val="319893929"/>
        <w:rPr>
          <w:rFonts w:eastAsia="Times New Roman"/>
        </w:rPr>
      </w:pPr>
      <w:r>
        <w:rPr>
          <w:rFonts w:eastAsia="Times New Roman"/>
          <w:color w:val="000000"/>
          <w:sz w:val="20"/>
          <w:szCs w:val="20"/>
        </w:rPr>
        <w:t>The Preferred Stock includes a change of control put option wh</w:t>
      </w:r>
      <w:r>
        <w:rPr>
          <w:rFonts w:eastAsia="Times New Roman"/>
          <w:color w:val="000000"/>
          <w:sz w:val="20"/>
          <w:szCs w:val="20"/>
        </w:rPr>
        <w:t>ich allows the holders of the Preferred Stock to require the Company to repurchase such holders' shares in cash in an amount equal to the initial purchase price plus accrued dividends. The change of control put option was determined to be a derivative liab</w:t>
      </w:r>
      <w:r>
        <w:rPr>
          <w:rFonts w:eastAsia="Times New Roman"/>
          <w:color w:val="000000"/>
          <w:sz w:val="20"/>
          <w:szCs w:val="20"/>
        </w:rPr>
        <w:t>ility. As of March 31, 2022, the probability of a change of control was determined to be remote and the fair value of the change of control derivative was determined to be negligible.</w:t>
      </w:r>
    </w:p>
    <w:p w:rsidR="00000000" w:rsidRDefault="00943C43">
      <w:pPr>
        <w:jc w:val="both"/>
        <w:divId w:val="655184328"/>
        <w:rPr>
          <w:rFonts w:eastAsia="Times New Roman"/>
        </w:rPr>
      </w:pPr>
      <w:r>
        <w:rPr>
          <w:rFonts w:eastAsia="Times New Roman"/>
          <w:b/>
          <w:bCs/>
          <w:i/>
          <w:iCs/>
          <w:color w:val="000000"/>
          <w:sz w:val="20"/>
          <w:szCs w:val="20"/>
        </w:rPr>
        <w:t>Warrants Liability</w:t>
      </w:r>
    </w:p>
    <w:p w:rsidR="00000000" w:rsidRDefault="00943C43">
      <w:pPr>
        <w:jc w:val="both"/>
        <w:divId w:val="1940024367"/>
        <w:rPr>
          <w:rFonts w:eastAsia="Times New Roman"/>
        </w:rPr>
      </w:pPr>
      <w:r>
        <w:rPr>
          <w:rFonts w:eastAsia="Times New Roman"/>
          <w:color w:val="000000"/>
          <w:sz w:val="20"/>
          <w:szCs w:val="20"/>
        </w:rPr>
        <w:t>In June 2019, the Company issued warrants to CVI Inve</w:t>
      </w:r>
      <w:r>
        <w:rPr>
          <w:rFonts w:eastAsia="Times New Roman"/>
          <w:color w:val="000000"/>
          <w:sz w:val="20"/>
          <w:szCs w:val="20"/>
        </w:rPr>
        <w:t xml:space="preserve">stments, Inc. ("CVI") in connection with the private placement described in </w:t>
      </w:r>
      <w:hyperlink w:anchor="i81c699a6f33e49f8a081f48620e58c22_64"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The warrants were determined to be freestand</w:t>
      </w:r>
      <w:r>
        <w:rPr>
          <w:rFonts w:eastAsia="Times New Roman"/>
          <w:color w:val="000000"/>
          <w:sz w:val="20"/>
          <w:szCs w:val="20"/>
        </w:rPr>
        <w:t>ing financial instruments that qualify for liability treatment as a result of net cash settlement features associated with a cap on the issuance of shares, under certain circumstances, or upon a change of control. Changes in the fair value of these instrum</w:t>
      </w:r>
      <w:r>
        <w:rPr>
          <w:rFonts w:eastAsia="Times New Roman"/>
          <w:color w:val="000000"/>
          <w:sz w:val="20"/>
          <w:szCs w:val="20"/>
        </w:rPr>
        <w:t xml:space="preserve">ents are recorded in other income (expense), net in the Condensed Consolidated Statements of Operations and Comprehensive Loss. </w:t>
      </w:r>
    </w:p>
    <w:p w:rsidR="00000000" w:rsidRDefault="00943C43">
      <w:pPr>
        <w:jc w:val="both"/>
        <w:divId w:val="1641184949"/>
        <w:rPr>
          <w:rFonts w:eastAsia="Times New Roman"/>
        </w:rPr>
      </w:pPr>
      <w:r>
        <w:rPr>
          <w:rFonts w:eastAsia="Times New Roman"/>
          <w:color w:val="000000"/>
          <w:sz w:val="20"/>
          <w:szCs w:val="20"/>
        </w:rPr>
        <w:t>The fair value of each warrant is estimated utilizing an option pricing model. Significant valuation inputs include the price a</w:t>
      </w:r>
      <w:r>
        <w:rPr>
          <w:rFonts w:eastAsia="Times New Roman"/>
          <w:color w:val="000000"/>
          <w:sz w:val="20"/>
          <w:szCs w:val="20"/>
        </w:rPr>
        <w:t>nd expected volatility of the Company's Common Stock, risk-free rate, and the remaining term of the warrants. As of March 31, 2022, the probability of a change of control was determined to be remote and did not require an enhancement to the valuation techn</w:t>
      </w:r>
      <w:r>
        <w:rPr>
          <w:rFonts w:eastAsia="Times New Roman"/>
          <w:color w:val="000000"/>
          <w:sz w:val="20"/>
          <w:szCs w:val="20"/>
        </w:rPr>
        <w:t>ique.</w:t>
      </w:r>
    </w:p>
    <w:p w:rsidR="00000000" w:rsidRDefault="00943C43">
      <w:pPr>
        <w:jc w:val="both"/>
        <w:divId w:val="113059459"/>
        <w:rPr>
          <w:rFonts w:eastAsia="Times New Roman"/>
        </w:rPr>
      </w:pPr>
      <w:r>
        <w:rPr>
          <w:rFonts w:eastAsia="Times New Roman"/>
          <w:b/>
          <w:bCs/>
          <w:i/>
          <w:iCs/>
          <w:color w:val="000000"/>
          <w:sz w:val="20"/>
          <w:szCs w:val="20"/>
        </w:rPr>
        <w:t>Loss on Extinguishment of Debt</w:t>
      </w:r>
    </w:p>
    <w:p w:rsidR="00000000" w:rsidRDefault="00943C43">
      <w:pPr>
        <w:jc w:val="both"/>
        <w:divId w:val="1982073486"/>
        <w:rPr>
          <w:rFonts w:eastAsia="Times New Roman"/>
        </w:rPr>
      </w:pPr>
      <w:r>
        <w:rPr>
          <w:rFonts w:eastAsia="Times New Roman"/>
          <w:color w:val="000000"/>
          <w:sz w:val="20"/>
          <w:szCs w:val="20"/>
        </w:rPr>
        <w:t>In March 2021, the Company recorded a $9.6 million loss on debt extinguishment related to the payoff of its senior secured convertible notes (the "Notes") and a foreign secured promissory note (the "Secured Term Note").</w:t>
      </w:r>
      <w:r>
        <w:rPr>
          <w:rFonts w:eastAsia="Times New Roman"/>
          <w:color w:val="000000"/>
          <w:sz w:val="20"/>
          <w:szCs w:val="20"/>
        </w:rPr>
        <w:t xml:space="preserve"> Loss on extinguishment of debt represents the difference between the </w:t>
      </w:r>
    </w:p>
    <w:p w:rsidR="00000000" w:rsidRDefault="00943C43">
      <w:pPr>
        <w:jc w:val="center"/>
        <w:divId w:val="1750686609"/>
        <w:rPr>
          <w:rFonts w:eastAsia="Times New Roman"/>
        </w:rPr>
      </w:pPr>
      <w:r>
        <w:rPr>
          <w:rFonts w:eastAsia="Times New Roman"/>
          <w:color w:val="000000"/>
          <w:sz w:val="20"/>
          <w:szCs w:val="20"/>
        </w:rPr>
        <w:t>7</w:t>
      </w:r>
    </w:p>
    <w:p w:rsidR="00000000" w:rsidRDefault="00943C43">
      <w:pPr>
        <w:rPr>
          <w:rFonts w:eastAsia="Times New Roman"/>
        </w:rPr>
      </w:pPr>
      <w:r>
        <w:rPr>
          <w:rFonts w:eastAsia="Times New Roman"/>
        </w:rPr>
        <w:pict>
          <v:rect id="_x0000_i1034" style="width:0;height:1.5pt" o:hralign="center" o:hrstd="t" o:hr="t" fillcolor="#a0a0a0" stroked="f"/>
        </w:pict>
      </w:r>
    </w:p>
    <w:p w:rsidR="00000000" w:rsidRDefault="00943C43">
      <w:pPr>
        <w:divId w:val="1450902387"/>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1735197044"/>
        <w:rPr>
          <w:rFonts w:eastAsia="Times New Roman"/>
        </w:rPr>
      </w:pPr>
    </w:p>
    <w:p w:rsidR="00000000" w:rsidRDefault="00943C43">
      <w:pPr>
        <w:jc w:val="both"/>
        <w:divId w:val="1074470173"/>
        <w:rPr>
          <w:rFonts w:eastAsia="Times New Roman"/>
        </w:rPr>
      </w:pPr>
      <w:r>
        <w:rPr>
          <w:rFonts w:eastAsia="Times New Roman"/>
          <w:color w:val="000000"/>
          <w:sz w:val="20"/>
          <w:szCs w:val="20"/>
        </w:rPr>
        <w:t xml:space="preserve">carrying value of the Company's debt instruments and any consideration paid to its creditors in the form of cash or shares of the Company's Common Stock on the extinguishment date. These transactions are described in </w:t>
      </w:r>
      <w:hyperlink w:anchor="i81c699a6f33e49f8a081f48620e58c22_55"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rsidR="00000000" w:rsidRDefault="00943C43">
      <w:pPr>
        <w:jc w:val="both"/>
        <w:divId w:val="1712265525"/>
        <w:rPr>
          <w:rFonts w:eastAsia="Times New Roman"/>
        </w:rPr>
      </w:pPr>
      <w:r>
        <w:rPr>
          <w:rFonts w:eastAsia="Times New Roman"/>
          <w:b/>
          <w:bCs/>
          <w:i/>
          <w:iCs/>
          <w:color w:val="000000"/>
          <w:sz w:val="20"/>
          <w:szCs w:val="20"/>
        </w:rPr>
        <w:t>Other Income (Expense), Net</w:t>
      </w:r>
    </w:p>
    <w:p w:rsidR="00000000" w:rsidRDefault="00943C43">
      <w:pPr>
        <w:jc w:val="both"/>
        <w:divId w:val="630480793"/>
        <w:rPr>
          <w:rFonts w:eastAsia="Times New Roman"/>
        </w:rPr>
      </w:pPr>
      <w:r>
        <w:rPr>
          <w:rFonts w:eastAsia="Times New Roman"/>
          <w:color w:val="000000"/>
          <w:sz w:val="20"/>
          <w:szCs w:val="20"/>
        </w:rPr>
        <w:t>Other income (expense), net represents income and expenses incurred that are generally not recurring in nature or are not part of the Company's normal operations. The following is a summary of the significant components of other income (expense), net:</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5546"/>
        <w:gridCol w:w="37"/>
        <w:gridCol w:w="36"/>
        <w:gridCol w:w="46"/>
        <w:gridCol w:w="36"/>
        <w:gridCol w:w="36"/>
        <w:gridCol w:w="36"/>
        <w:gridCol w:w="36"/>
        <w:gridCol w:w="110"/>
        <w:gridCol w:w="810"/>
        <w:gridCol w:w="36"/>
        <w:gridCol w:w="36"/>
        <w:gridCol w:w="36"/>
        <w:gridCol w:w="36"/>
        <w:gridCol w:w="110"/>
        <w:gridCol w:w="810"/>
        <w:gridCol w:w="36"/>
        <w:gridCol w:w="36"/>
        <w:gridCol w:w="36"/>
        <w:gridCol w:w="36"/>
        <w:gridCol w:w="36"/>
        <w:gridCol w:w="36"/>
        <w:gridCol w:w="36"/>
        <w:gridCol w:w="36"/>
        <w:gridCol w:w="36"/>
        <w:gridCol w:w="36"/>
        <w:gridCol w:w="36"/>
        <w:gridCol w:w="36"/>
        <w:gridCol w:w="36"/>
      </w:tblGrid>
      <w:tr w:rsidR="00000000">
        <w:trPr>
          <w:divId w:val="1761949593"/>
          <w:jc w:val="center"/>
        </w:trPr>
        <w:tc>
          <w:tcPr>
            <w:tcW w:w="50" w:type="pct"/>
            <w:vAlign w:val="center"/>
            <w:hideMark/>
          </w:tcPr>
          <w:p w:rsidR="00000000" w:rsidRDefault="00943C43">
            <w:pPr>
              <w:jc w:val="both"/>
              <w:rPr>
                <w:rFonts w:eastAsia="Times New Roman"/>
              </w:rPr>
            </w:pPr>
          </w:p>
        </w:tc>
        <w:tc>
          <w:tcPr>
            <w:tcW w:w="36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761949593"/>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w:t>
            </w:r>
          </w:p>
        </w:tc>
        <w:tc>
          <w:tcPr>
            <w:tcW w:w="0" w:type="auto"/>
            <w:vAlign w:val="center"/>
            <w:hideMark/>
          </w:tcPr>
          <w:p w:rsidR="00000000" w:rsidRDefault="00943C43">
            <w:pPr>
              <w:spacing w:after="100"/>
              <w:rPr>
                <w:rFonts w:eastAsia="Times New Roman"/>
              </w:rPr>
            </w:pPr>
          </w:p>
        </w:tc>
        <w:tc>
          <w:tcPr>
            <w:tcW w:w="0" w:type="auto"/>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Three Months Ended March 31,</w:t>
            </w:r>
          </w:p>
        </w:tc>
        <w:tc>
          <w:tcPr>
            <w:tcW w:w="0" w:type="auto"/>
            <w:gridSpan w:val="3"/>
            <w:vAlign w:val="center"/>
            <w:hideMark/>
          </w:tcPr>
          <w:p w:rsidR="00000000" w:rsidRDefault="00943C43">
            <w:pPr>
              <w:spacing w:after="100"/>
              <w:jc w:val="center"/>
              <w:rPr>
                <w:rFonts w:eastAsia="Times New Roman"/>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761949593"/>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(In thousands)</w:t>
            </w:r>
          </w:p>
        </w:tc>
        <w:tc>
          <w:tcPr>
            <w:tcW w:w="0" w:type="auto"/>
            <w:vAlign w:val="center"/>
            <w:hideMark/>
          </w:tcPr>
          <w:p w:rsidR="00000000" w:rsidRDefault="00943C43">
            <w:pPr>
              <w:spacing w:after="100"/>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rsidR="00000000" w:rsidRDefault="00943C43">
            <w:pPr>
              <w:spacing w:after="100"/>
              <w:jc w:val="center"/>
              <w:rPr>
                <w:rFonts w:eastAsia="Times New Roman"/>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76194959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Change in fair value of warrants liability</w:t>
            </w:r>
          </w:p>
        </w:tc>
        <w:tc>
          <w:tcPr>
            <w:tcW w:w="0" w:type="auto"/>
            <w:vAlign w:val="center"/>
            <w:hideMark/>
          </w:tcPr>
          <w:p w:rsidR="00000000" w:rsidRDefault="00943C43">
            <w:pPr>
              <w:spacing w:after="100"/>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2,435 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(10,001)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761949593"/>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Change in fair value of financing derivatives</w:t>
            </w:r>
          </w:p>
        </w:tc>
        <w:tc>
          <w:tcPr>
            <w:tcW w:w="0" w:type="auto"/>
            <w:vAlign w:val="center"/>
            <w:hideMark/>
          </w:tcPr>
          <w:p w:rsidR="00000000" w:rsidRDefault="00943C43">
            <w:pPr>
              <w:spacing w:after="100"/>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1,800 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761949593"/>
          <w:jc w:val="center"/>
        </w:trPr>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76194959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xml:space="preserve">Other </w:t>
            </w:r>
          </w:p>
        </w:tc>
        <w:tc>
          <w:tcPr>
            <w:tcW w:w="0" w:type="auto"/>
            <w:vAlign w:val="center"/>
            <w:hideMark/>
          </w:tcPr>
          <w:p w:rsidR="00000000" w:rsidRDefault="00943C43">
            <w:pPr>
              <w:spacing w:after="100"/>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(73)</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761949593"/>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divId w:val="387655932"/>
              <w:rPr>
                <w:rFonts w:eastAsia="Times New Roman"/>
              </w:rPr>
            </w:pPr>
            <w:r>
              <w:rPr>
                <w:rFonts w:eastAsia="Times New Roman"/>
                <w:color w:val="000000"/>
                <w:sz w:val="18"/>
                <w:szCs w:val="18"/>
              </w:rPr>
              <w:t>Total other income (expense), net</w:t>
            </w:r>
          </w:p>
        </w:tc>
        <w:tc>
          <w:tcPr>
            <w:tcW w:w="0" w:type="auto"/>
            <w:vAlign w:val="center"/>
            <w:hideMark/>
          </w:tcPr>
          <w:p w:rsidR="00000000" w:rsidRDefault="00943C43">
            <w:pPr>
              <w:spacing w:after="100"/>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2,433 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(8,274)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bl>
    <w:p w:rsidR="00000000" w:rsidRDefault="00943C43">
      <w:pPr>
        <w:jc w:val="both"/>
        <w:divId w:val="2118596559"/>
        <w:rPr>
          <w:rFonts w:eastAsia="Times New Roman"/>
        </w:rPr>
      </w:pPr>
      <w:r>
        <w:rPr>
          <w:rFonts w:eastAsia="Times New Roman"/>
          <w:b/>
          <w:bCs/>
          <w:i/>
          <w:iCs/>
          <w:color w:val="000000"/>
          <w:sz w:val="20"/>
          <w:szCs w:val="20"/>
        </w:rPr>
        <w:t>Loss Per Share</w:t>
      </w:r>
    </w:p>
    <w:p w:rsidR="00000000" w:rsidRDefault="00943C43">
      <w:pPr>
        <w:jc w:val="both"/>
        <w:divId w:val="157618274"/>
        <w:rPr>
          <w:rFonts w:eastAsia="Times New Roman"/>
        </w:rPr>
      </w:pPr>
      <w:r>
        <w:rPr>
          <w:rFonts w:eastAsia="Times New Roman"/>
          <w:color w:val="000000"/>
          <w:sz w:val="20"/>
          <w:szCs w:val="20"/>
        </w:rPr>
        <w:t>The Company uses the two-class method to calculate net loss per share. The two-class method is an earnings allocation formula that treats a participating security as having rights to earnings that otherwise would have been available to common stockholders.</w:t>
      </w:r>
      <w:r>
        <w:rPr>
          <w:rFonts w:eastAsia="Times New Roman"/>
          <w:color w:val="000000"/>
          <w:sz w:val="20"/>
          <w:szCs w:val="20"/>
        </w:rPr>
        <w:t xml:space="preserve"> Under the two-class method, earnings for the period are allocated between common stockholders and participating security holders based on their respective rights to receive dividends as if all undistributed book earnings for the period were distributed. </w:t>
      </w:r>
    </w:p>
    <w:p w:rsidR="00000000" w:rsidRDefault="00943C43">
      <w:pPr>
        <w:jc w:val="both"/>
        <w:divId w:val="462426716"/>
        <w:rPr>
          <w:rFonts w:eastAsia="Times New Roman"/>
        </w:rPr>
      </w:pPr>
      <w:r>
        <w:rPr>
          <w:rFonts w:eastAsia="Times New Roman"/>
          <w:color w:val="000000"/>
          <w:sz w:val="20"/>
          <w:szCs w:val="20"/>
        </w:rPr>
        <w:t>Basic loss per share is computed by dividing total net loss available to common stockholders by the weighted-average number of common shares outstanding for the period. This includes the effect of vested and deferred restricted stock units granted to membe</w:t>
      </w:r>
      <w:r>
        <w:rPr>
          <w:rFonts w:eastAsia="Times New Roman"/>
          <w:color w:val="000000"/>
          <w:sz w:val="20"/>
          <w:szCs w:val="20"/>
        </w:rPr>
        <w:t>rs of the Company's Board of Directors ("Board") and certain employees. These awards are expected to be settled in shares of Common Stock and generally distributed upon the earlier of the individual's separation from service or a change of control. Diluted</w:t>
      </w:r>
      <w:r>
        <w:rPr>
          <w:rFonts w:eastAsia="Times New Roman"/>
          <w:color w:val="000000"/>
          <w:sz w:val="20"/>
          <w:szCs w:val="20"/>
        </w:rPr>
        <w:t xml:space="preserve"> loss per share includes the effect of potential common shares, such as the Company's Preferred Stock, Notes, warrants, stock options and restricted stock units, and contingent consideration liability to the extent the effect is dilutive. In periods with a</w:t>
      </w:r>
      <w:r>
        <w:rPr>
          <w:rFonts w:eastAsia="Times New Roman"/>
          <w:color w:val="000000"/>
          <w:sz w:val="20"/>
          <w:szCs w:val="20"/>
        </w:rPr>
        <w:t xml:space="preserve"> net loss available to common stockholders, the anti-dilutive effect of these potential common shares is excluded and diluted net loss per share is equal to basic net loss per share. </w:t>
      </w:r>
    </w:p>
    <w:p w:rsidR="00000000" w:rsidRDefault="00943C43">
      <w:pPr>
        <w:jc w:val="both"/>
        <w:divId w:val="1728724324"/>
        <w:rPr>
          <w:rFonts w:eastAsia="Times New Roman"/>
        </w:rPr>
      </w:pPr>
      <w:r>
        <w:rPr>
          <w:rFonts w:eastAsia="Times New Roman"/>
          <w:color w:val="000000"/>
          <w:sz w:val="20"/>
          <w:szCs w:val="20"/>
        </w:rPr>
        <w:t>The following is a summary of the Common Stock equivalents for the secur</w:t>
      </w:r>
      <w:r>
        <w:rPr>
          <w:rFonts w:eastAsia="Times New Roman"/>
          <w:color w:val="000000"/>
          <w:sz w:val="20"/>
          <w:szCs w:val="20"/>
        </w:rPr>
        <w:t>ities outstanding during the respective periods that have been excluded from the computation of diluted net loss per common share, as their effect would be anti-dilutive:</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5593"/>
        <w:gridCol w:w="37"/>
        <w:gridCol w:w="36"/>
        <w:gridCol w:w="36"/>
        <w:gridCol w:w="36"/>
        <w:gridCol w:w="71"/>
        <w:gridCol w:w="810"/>
        <w:gridCol w:w="38"/>
        <w:gridCol w:w="36"/>
        <w:gridCol w:w="36"/>
        <w:gridCol w:w="36"/>
        <w:gridCol w:w="71"/>
        <w:gridCol w:w="811"/>
        <w:gridCol w:w="37"/>
        <w:gridCol w:w="36"/>
        <w:gridCol w:w="36"/>
        <w:gridCol w:w="36"/>
        <w:gridCol w:w="36"/>
        <w:gridCol w:w="36"/>
        <w:gridCol w:w="36"/>
        <w:gridCol w:w="36"/>
        <w:gridCol w:w="36"/>
        <w:gridCol w:w="36"/>
        <w:gridCol w:w="36"/>
        <w:gridCol w:w="36"/>
        <w:gridCol w:w="36"/>
        <w:gridCol w:w="36"/>
        <w:gridCol w:w="36"/>
        <w:gridCol w:w="36"/>
        <w:gridCol w:w="36"/>
      </w:tblGrid>
      <w:tr w:rsidR="00000000">
        <w:trPr>
          <w:divId w:val="1352486576"/>
          <w:jc w:val="center"/>
        </w:trPr>
        <w:tc>
          <w:tcPr>
            <w:tcW w:w="50" w:type="pct"/>
            <w:vAlign w:val="center"/>
            <w:hideMark/>
          </w:tcPr>
          <w:p w:rsidR="00000000" w:rsidRDefault="00943C43">
            <w:pPr>
              <w:jc w:val="both"/>
              <w:rPr>
                <w:rFonts w:eastAsia="Times New Roman"/>
              </w:rPr>
            </w:pPr>
          </w:p>
        </w:tc>
        <w:tc>
          <w:tcPr>
            <w:tcW w:w="36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52486576"/>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943C43">
            <w:pPr>
              <w:spacing w:after="100"/>
              <w:jc w:val="center"/>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352486576"/>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2021</w:t>
            </w:r>
          </w:p>
        </w:tc>
        <w:tc>
          <w:tcPr>
            <w:tcW w:w="0" w:type="auto"/>
            <w:vAlign w:val="center"/>
            <w:hideMark/>
          </w:tcPr>
          <w:p w:rsidR="00000000" w:rsidRDefault="00943C43">
            <w:pPr>
              <w:spacing w:after="100"/>
              <w:jc w:val="center"/>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52486576"/>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871311297"/>
              <w:rPr>
                <w:rFonts w:eastAsia="Times New Roman"/>
              </w:rPr>
            </w:pPr>
            <w:r>
              <w:rPr>
                <w:rFonts w:eastAsia="Times New Roman"/>
                <w:color w:val="000000"/>
                <w:sz w:val="18"/>
                <w:szCs w:val="18"/>
              </w:rPr>
              <w:t>Preferred stock</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85,708,361 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19,472,807 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52486576"/>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Warrants</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5,457,026 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5,457,026 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52486576"/>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Stock options and restricted stock units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4,672,593 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3,614,221 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52486576"/>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divId w:val="844712111"/>
              <w:rPr>
                <w:rFonts w:eastAsia="Times New Roman"/>
              </w:rPr>
            </w:pPr>
            <w:r>
              <w:rPr>
                <w:rFonts w:eastAsia="Times New Roman"/>
                <w:color w:val="000000"/>
                <w:sz w:val="18"/>
                <w:szCs w:val="18"/>
              </w:rPr>
              <w:t>Contingent consideration</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2,955,326 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52486576"/>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Senior secured convertible notes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4,981,309 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352486576"/>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98,793,306 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33,525,363 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bl>
    <w:p w:rsidR="00000000" w:rsidRDefault="00943C43">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w:t>
      </w:r>
      <w:r>
        <w:rPr>
          <w:rFonts w:eastAsia="Times New Roman"/>
          <w:color w:val="000000"/>
          <w:sz w:val="16"/>
          <w:szCs w:val="16"/>
        </w:rPr>
        <w:t xml:space="preserve">Includes the effect of potential Common Stock that would be issued to settle unpaid dividends accrued to holders of the Preferred Stock if they elected to convert their shares at the beginning of the period. </w:t>
      </w:r>
    </w:p>
    <w:p w:rsidR="00000000" w:rsidRDefault="00943C43">
      <w:pPr>
        <w:jc w:val="both"/>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 </w:t>
      </w:r>
      <w:r>
        <w:rPr>
          <w:rFonts w:eastAsia="Times New Roman"/>
          <w:color w:val="000000"/>
          <w:sz w:val="16"/>
          <w:szCs w:val="16"/>
        </w:rPr>
        <w:t xml:space="preserve">A contingent consideration liability was recognized as part of the Shareablee acquisition described in </w:t>
      </w:r>
      <w:hyperlink w:anchor="i81c699a6f33e49f8a081f48620e58c22_37" w:history="1">
        <w:r>
          <w:rPr>
            <w:rStyle w:val="a3"/>
            <w:rFonts w:eastAsia="Times New Roman"/>
            <w:sz w:val="16"/>
            <w:szCs w:val="16"/>
          </w:rPr>
          <w:t xml:space="preserve">Footnote </w:t>
        </w:r>
      </w:hyperlink>
      <w:hyperlink w:anchor="i81c699a6f33e49f8a081f48620e58c22_37" w:history="1">
        <w:r>
          <w:rPr>
            <w:rStyle w:val="a3"/>
            <w:rFonts w:eastAsia="Times New Roman"/>
            <w:sz w:val="16"/>
            <w:szCs w:val="16"/>
          </w:rPr>
          <w:t>2</w:t>
        </w:r>
      </w:hyperlink>
      <w:r>
        <w:rPr>
          <w:rFonts w:eastAsia="Times New Roman"/>
          <w:color w:val="000000"/>
          <w:sz w:val="16"/>
          <w:szCs w:val="16"/>
        </w:rPr>
        <w:t xml:space="preserve">, </w:t>
      </w:r>
      <w:r>
        <w:rPr>
          <w:rFonts w:eastAsia="Times New Roman"/>
          <w:i/>
          <w:iCs/>
          <w:color w:val="000000"/>
          <w:sz w:val="16"/>
          <w:szCs w:val="16"/>
        </w:rPr>
        <w:t xml:space="preserve">Summary of Significant </w:t>
      </w:r>
      <w:r>
        <w:rPr>
          <w:rFonts w:eastAsia="Times New Roman"/>
          <w:i/>
          <w:iCs/>
          <w:color w:val="000000"/>
          <w:sz w:val="16"/>
          <w:szCs w:val="16"/>
        </w:rPr>
        <w:t>Accounting Policies</w:t>
      </w:r>
      <w:r>
        <w:rPr>
          <w:rFonts w:eastAsia="Times New Roman"/>
          <w:color w:val="000000"/>
          <w:sz w:val="16"/>
          <w:szCs w:val="16"/>
        </w:rPr>
        <w:t>. The liability payments may be settled in any combination of cash or shares of Common Stock (at the Company's election) based on the volume-weighted average trading price of the Common Stock for the ten trading days prior to the date of</w:t>
      </w:r>
      <w:r>
        <w:rPr>
          <w:rFonts w:eastAsia="Times New Roman"/>
          <w:color w:val="000000"/>
          <w:sz w:val="16"/>
          <w:szCs w:val="16"/>
        </w:rPr>
        <w:t xml:space="preserve"> each payment. Settlement of this liability in Common Stock could potentially dilute basic earnings per share in future periods. The Company calculated a potential anti-dilutive share count based on the maximum potential payments of $8.6 million and the $2</w:t>
      </w:r>
      <w:r>
        <w:rPr>
          <w:rFonts w:eastAsia="Times New Roman"/>
          <w:color w:val="000000"/>
          <w:sz w:val="16"/>
          <w:szCs w:val="16"/>
        </w:rPr>
        <w:t>.91 per share closing price of the Company's Common Stock on the Nasdaq Global Select Market on March 31, 2022.</w:t>
      </w:r>
    </w:p>
    <w:p w:rsidR="00000000" w:rsidRDefault="00943C43">
      <w:pPr>
        <w:jc w:val="both"/>
        <w:divId w:val="1322538641"/>
        <w:rPr>
          <w:rFonts w:eastAsia="Times New Roman"/>
        </w:rPr>
      </w:pPr>
      <w:r>
        <w:rPr>
          <w:rFonts w:eastAsia="Times New Roman"/>
          <w:b/>
          <w:bCs/>
          <w:i/>
          <w:iCs/>
          <w:color w:val="000000"/>
          <w:sz w:val="20"/>
          <w:szCs w:val="20"/>
        </w:rPr>
        <w:t>Income Taxes</w:t>
      </w:r>
    </w:p>
    <w:p w:rsidR="00000000" w:rsidRDefault="00943C43">
      <w:pPr>
        <w:jc w:val="both"/>
        <w:divId w:val="733818453"/>
        <w:rPr>
          <w:rFonts w:eastAsia="Times New Roman"/>
        </w:rPr>
      </w:pPr>
      <w:r>
        <w:rPr>
          <w:rFonts w:eastAsia="Times New Roman"/>
          <w:color w:val="000000"/>
          <w:sz w:val="20"/>
          <w:szCs w:val="20"/>
        </w:rPr>
        <w:t>A significant portion of the Company's net operating loss carryforwards are subject to an annual limitation under Section 382 of the Internal Revenue Code. The Company anticipates the Transactions may have triggered further limitations but has not yet reac</w:t>
      </w:r>
      <w:r>
        <w:rPr>
          <w:rFonts w:eastAsia="Times New Roman"/>
          <w:color w:val="000000"/>
          <w:sz w:val="20"/>
          <w:szCs w:val="20"/>
        </w:rPr>
        <w:t>hed a final conclusion as to whether an ownership change occurred and to what extent its net operating loss carryforwards are further limited. If an ownership change occurred as a result of the Transactions, the annual limitation under Section 382 may caus</w:t>
      </w:r>
      <w:r>
        <w:rPr>
          <w:rFonts w:eastAsia="Times New Roman"/>
          <w:color w:val="000000"/>
          <w:sz w:val="20"/>
          <w:szCs w:val="20"/>
        </w:rPr>
        <w:t>e a significant portion of the Company's net operating loss carryforwards to expire prior to use. Due to the Company's valuation allowance position in the United States, the required revaluation of its deferred tax assets related to these limited U.S. fede</w:t>
      </w:r>
      <w:r>
        <w:rPr>
          <w:rFonts w:eastAsia="Times New Roman"/>
          <w:color w:val="000000"/>
          <w:sz w:val="20"/>
          <w:szCs w:val="20"/>
        </w:rPr>
        <w:t>ral and state net operating loss carryforwards is not expected to have a material impact on the Condensed Consolidated Financial Statements or related disclosures.</w:t>
      </w:r>
    </w:p>
    <w:p w:rsidR="00000000" w:rsidRDefault="00943C43">
      <w:pPr>
        <w:jc w:val="center"/>
        <w:divId w:val="334697876"/>
        <w:rPr>
          <w:rFonts w:eastAsia="Times New Roman"/>
        </w:rPr>
      </w:pPr>
      <w:r>
        <w:rPr>
          <w:rFonts w:eastAsia="Times New Roman"/>
          <w:color w:val="000000"/>
          <w:sz w:val="20"/>
          <w:szCs w:val="20"/>
        </w:rPr>
        <w:t>8</w:t>
      </w:r>
    </w:p>
    <w:p w:rsidR="00000000" w:rsidRDefault="00943C43">
      <w:pPr>
        <w:rPr>
          <w:rFonts w:eastAsia="Times New Roman"/>
        </w:rPr>
      </w:pPr>
      <w:r>
        <w:rPr>
          <w:rFonts w:eastAsia="Times New Roman"/>
        </w:rPr>
        <w:pict>
          <v:rect id="_x0000_i1035" style="width:0;height:1.5pt" o:hralign="center" o:hrstd="t" o:hr="t" fillcolor="#a0a0a0" stroked="f"/>
        </w:pict>
      </w:r>
    </w:p>
    <w:p w:rsidR="00000000" w:rsidRDefault="00943C43">
      <w:pPr>
        <w:divId w:val="1475174796"/>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1285191283"/>
        <w:rPr>
          <w:rFonts w:eastAsia="Times New Roman"/>
        </w:rPr>
      </w:pPr>
    </w:p>
    <w:p w:rsidR="00000000" w:rsidRDefault="00943C43">
      <w:pPr>
        <w:ind w:hanging="360"/>
        <w:jc w:val="both"/>
        <w:divId w:val="1459184196"/>
        <w:rPr>
          <w:rFonts w:eastAsia="Times New Roman"/>
        </w:rPr>
      </w:pPr>
      <w:r>
        <w:rPr>
          <w:rFonts w:eastAsia="Times New Roman"/>
          <w:b/>
          <w:bCs/>
          <w:color w:val="000000"/>
          <w:sz w:val="20"/>
          <w:szCs w:val="20"/>
        </w:rPr>
        <w:t>3.Revenue Recognition</w:t>
      </w:r>
    </w:p>
    <w:p w:rsidR="00000000" w:rsidRDefault="00943C43">
      <w:pPr>
        <w:jc w:val="both"/>
        <w:divId w:val="2115400275"/>
        <w:rPr>
          <w:rFonts w:eastAsia="Times New Roman"/>
        </w:rPr>
      </w:pPr>
      <w:r>
        <w:rPr>
          <w:rFonts w:eastAsia="Times New Roman"/>
          <w:color w:val="000000"/>
          <w:sz w:val="20"/>
          <w:szCs w:val="20"/>
        </w:rPr>
        <w:t>The following table presents the Company's revenue disaggregated by solution group, geographical market and timing of transfer of products and services. The Company has one reportable segment in accordance with</w:t>
      </w:r>
      <w:r>
        <w:rPr>
          <w:rFonts w:eastAsia="Times New Roman"/>
          <w:color w:val="000000"/>
          <w:sz w:val="20"/>
          <w:szCs w:val="20"/>
        </w:rPr>
        <w:t xml:space="preserve"> ASC 280, </w:t>
      </w:r>
      <w:r>
        <w:rPr>
          <w:rFonts w:eastAsia="Times New Roman"/>
          <w:i/>
          <w:iCs/>
          <w:color w:val="000000"/>
          <w:sz w:val="20"/>
          <w:szCs w:val="20"/>
        </w:rPr>
        <w:t>Segment Reporting</w:t>
      </w:r>
      <w:r>
        <w:rPr>
          <w:rFonts w:eastAsia="Times New Roman"/>
          <w:color w:val="000000"/>
          <w:sz w:val="20"/>
          <w:szCs w:val="20"/>
        </w:rPr>
        <w:t>; as such, the disaggregation of revenue below reconciles directly to its unique reportable segment.</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5680"/>
        <w:gridCol w:w="38"/>
        <w:gridCol w:w="36"/>
        <w:gridCol w:w="36"/>
        <w:gridCol w:w="36"/>
        <w:gridCol w:w="110"/>
        <w:gridCol w:w="873"/>
        <w:gridCol w:w="36"/>
        <w:gridCol w:w="36"/>
        <w:gridCol w:w="36"/>
        <w:gridCol w:w="36"/>
        <w:gridCol w:w="110"/>
        <w:gridCol w:w="873"/>
        <w:gridCol w:w="36"/>
        <w:gridCol w:w="36"/>
        <w:gridCol w:w="36"/>
        <w:gridCol w:w="36"/>
        <w:gridCol w:w="36"/>
        <w:gridCol w:w="36"/>
        <w:gridCol w:w="36"/>
        <w:gridCol w:w="36"/>
        <w:gridCol w:w="36"/>
      </w:tblGrid>
      <w:tr w:rsidR="00000000">
        <w:trPr>
          <w:divId w:val="462162481"/>
          <w:jc w:val="center"/>
        </w:trPr>
        <w:tc>
          <w:tcPr>
            <w:tcW w:w="50" w:type="pct"/>
            <w:vAlign w:val="center"/>
            <w:hideMark/>
          </w:tcPr>
          <w:p w:rsidR="00000000" w:rsidRDefault="00943C43">
            <w:pPr>
              <w:jc w:val="both"/>
              <w:rPr>
                <w:rFonts w:eastAsia="Times New Roman"/>
              </w:rPr>
            </w:pPr>
          </w:p>
        </w:tc>
        <w:tc>
          <w:tcPr>
            <w:tcW w:w="3606"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88"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88"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62162481"/>
          <w:jc w:val="center"/>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943C43">
            <w:pPr>
              <w:spacing w:after="100"/>
              <w:jc w:val="center"/>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462162481"/>
          <w:jc w:val="center"/>
        </w:trPr>
        <w:tc>
          <w:tcPr>
            <w:tcW w:w="0" w:type="auto"/>
            <w:gridSpan w:val="3"/>
            <w:tcMar>
              <w:top w:w="30" w:type="dxa"/>
              <w:left w:w="20" w:type="dxa"/>
              <w:bottom w:w="30" w:type="dxa"/>
              <w:right w:w="20" w:type="dxa"/>
            </w:tcMar>
            <w:vAlign w:val="bottom"/>
            <w:hideMark/>
          </w:tcPr>
          <w:p w:rsidR="00000000" w:rsidRDefault="00943C43">
            <w:pPr>
              <w:spacing w:after="100"/>
              <w:jc w:val="both"/>
              <w:rPr>
                <w:rFonts w:eastAsia="Times New Roman"/>
              </w:rPr>
            </w:pPr>
            <w:r>
              <w:rPr>
                <w:rFonts w:eastAsia="Times New Roman"/>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2021</w:t>
            </w:r>
          </w:p>
        </w:tc>
        <w:tc>
          <w:tcPr>
            <w:tcW w:w="0" w:type="auto"/>
            <w:vAlign w:val="center"/>
            <w:hideMark/>
          </w:tcPr>
          <w:p w:rsidR="00000000" w:rsidRDefault="00943C43">
            <w:pPr>
              <w:spacing w:after="100"/>
              <w:jc w:val="center"/>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62162481"/>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1899393316"/>
              <w:rPr>
                <w:rFonts w:eastAsia="Times New Roman"/>
              </w:rPr>
            </w:pPr>
            <w:r>
              <w:rPr>
                <w:rFonts w:eastAsia="Times New Roman"/>
                <w:b/>
                <w:bCs/>
                <w:color w:val="000000"/>
                <w:sz w:val="18"/>
                <w:szCs w:val="18"/>
              </w:rPr>
              <w:t>By solution group</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62162481"/>
          <w:jc w:val="center"/>
        </w:trPr>
        <w:tc>
          <w:tcPr>
            <w:tcW w:w="0" w:type="auto"/>
            <w:gridSpan w:val="3"/>
            <w:shd w:val="clear" w:color="auto" w:fill="FFFFFF"/>
            <w:tcMar>
              <w:top w:w="30" w:type="dxa"/>
              <w:left w:w="24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Digital Ad Solutions</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53,137 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53,045 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62162481"/>
          <w:jc w:val="center"/>
        </w:trPr>
        <w:tc>
          <w:tcPr>
            <w:tcW w:w="0" w:type="auto"/>
            <w:gridSpan w:val="3"/>
            <w:shd w:val="clear" w:color="auto" w:fill="CCEEFF"/>
            <w:tcMar>
              <w:top w:w="30" w:type="dxa"/>
              <w:left w:w="24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Cross Platform Solutions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40,829 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37,285 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62162481"/>
          <w:jc w:val="center"/>
        </w:trPr>
        <w:tc>
          <w:tcPr>
            <w:tcW w:w="0" w:type="auto"/>
            <w:gridSpan w:val="3"/>
            <w:shd w:val="clear" w:color="auto" w:fill="FFFFFF"/>
            <w:tcMar>
              <w:top w:w="30" w:type="dxa"/>
              <w:left w:w="15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93,966 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90,330 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62162481"/>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609315092"/>
              <w:rPr>
                <w:rFonts w:eastAsia="Times New Roman"/>
              </w:rPr>
            </w:pPr>
            <w:r>
              <w:rPr>
                <w:rFonts w:eastAsia="Times New Roman"/>
                <w:b/>
                <w:bCs/>
                <w:color w:val="000000"/>
                <w:sz w:val="18"/>
                <w:szCs w:val="18"/>
              </w:rPr>
              <w:t>By geographical market</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62162481"/>
          <w:jc w:val="center"/>
        </w:trPr>
        <w:tc>
          <w:tcPr>
            <w:tcW w:w="0" w:type="auto"/>
            <w:gridSpan w:val="3"/>
            <w:shd w:val="clear" w:color="auto" w:fill="FFFFFF"/>
            <w:tcMar>
              <w:top w:w="30" w:type="dxa"/>
              <w:left w:w="24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United States</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84,082 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77,774 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62162481"/>
          <w:jc w:val="center"/>
        </w:trPr>
        <w:tc>
          <w:tcPr>
            <w:tcW w:w="0" w:type="auto"/>
            <w:gridSpan w:val="3"/>
            <w:shd w:val="clear" w:color="auto" w:fill="CCEEFF"/>
            <w:tcMar>
              <w:top w:w="30" w:type="dxa"/>
              <w:left w:w="24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Europe</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5,207 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8,271 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62162481"/>
          <w:jc w:val="center"/>
        </w:trPr>
        <w:tc>
          <w:tcPr>
            <w:tcW w:w="0" w:type="auto"/>
            <w:gridSpan w:val="3"/>
            <w:shd w:val="clear" w:color="auto" w:fill="FFFFFF"/>
            <w:tcMar>
              <w:top w:w="30" w:type="dxa"/>
              <w:left w:w="24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Canada</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1,819 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1,744 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62162481"/>
          <w:jc w:val="center"/>
        </w:trPr>
        <w:tc>
          <w:tcPr>
            <w:tcW w:w="0" w:type="auto"/>
            <w:gridSpan w:val="3"/>
            <w:shd w:val="clear" w:color="auto" w:fill="CCEEFF"/>
            <w:tcMar>
              <w:top w:w="30" w:type="dxa"/>
              <w:left w:w="24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Latin America</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1,790 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1,576 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62162481"/>
          <w:jc w:val="center"/>
        </w:trPr>
        <w:tc>
          <w:tcPr>
            <w:tcW w:w="0" w:type="auto"/>
            <w:gridSpan w:val="3"/>
            <w:shd w:val="clear" w:color="auto" w:fill="FFFFFF"/>
            <w:tcMar>
              <w:top w:w="30" w:type="dxa"/>
              <w:left w:w="24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1,068 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965 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62162481"/>
          <w:jc w:val="center"/>
        </w:trPr>
        <w:tc>
          <w:tcPr>
            <w:tcW w:w="0" w:type="auto"/>
            <w:gridSpan w:val="3"/>
            <w:shd w:val="clear" w:color="auto" w:fill="CCEEFF"/>
            <w:tcMar>
              <w:top w:w="30" w:type="dxa"/>
              <w:left w:w="15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93,966 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90,330 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62162481"/>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divId w:val="1279798813"/>
              <w:rPr>
                <w:rFonts w:eastAsia="Times New Roman"/>
              </w:rPr>
            </w:pPr>
            <w:r>
              <w:rPr>
                <w:rFonts w:eastAsia="Times New Roman"/>
                <w:b/>
                <w:bCs/>
                <w:color w:val="000000"/>
                <w:sz w:val="18"/>
                <w:szCs w:val="18"/>
              </w:rPr>
              <w:t>By timing of revenue recognition</w:t>
            </w: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62162481"/>
          <w:jc w:val="center"/>
        </w:trPr>
        <w:tc>
          <w:tcPr>
            <w:tcW w:w="0" w:type="auto"/>
            <w:gridSpan w:val="3"/>
            <w:shd w:val="clear" w:color="auto" w:fill="CCEEFF"/>
            <w:tcMar>
              <w:top w:w="30" w:type="dxa"/>
              <w:left w:w="24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Products and services transferred over time</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77,944 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68,116 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62162481"/>
          <w:jc w:val="center"/>
        </w:trPr>
        <w:tc>
          <w:tcPr>
            <w:tcW w:w="0" w:type="auto"/>
            <w:gridSpan w:val="3"/>
            <w:shd w:val="clear" w:color="auto" w:fill="FFFFFF"/>
            <w:tcMar>
              <w:top w:w="30" w:type="dxa"/>
              <w:left w:w="24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Products and services transferred at a point in time</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16,022 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22,214 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62162481"/>
          <w:jc w:val="center"/>
        </w:trPr>
        <w:tc>
          <w:tcPr>
            <w:tcW w:w="0" w:type="auto"/>
            <w:gridSpan w:val="3"/>
            <w:shd w:val="clear" w:color="auto" w:fill="CCEEFF"/>
            <w:tcMar>
              <w:top w:w="30" w:type="dxa"/>
              <w:left w:w="155"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93,966 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90,330 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bl>
    <w:p w:rsidR="00000000" w:rsidRDefault="00943C43">
      <w:pPr>
        <w:jc w:val="both"/>
        <w:divId w:val="164982842"/>
        <w:rPr>
          <w:rFonts w:eastAsia="Times New Roman"/>
        </w:rPr>
      </w:pPr>
      <w:r>
        <w:rPr>
          <w:rFonts w:eastAsia="Times New Roman"/>
          <w:b/>
          <w:bCs/>
          <w:i/>
          <w:iCs/>
          <w:color w:val="000000"/>
          <w:sz w:val="20"/>
          <w:szCs w:val="20"/>
        </w:rPr>
        <w:t>Contract Balances</w:t>
      </w:r>
    </w:p>
    <w:p w:rsidR="00000000" w:rsidRDefault="00943C43">
      <w:pPr>
        <w:jc w:val="both"/>
        <w:divId w:val="169877493"/>
        <w:rPr>
          <w:rFonts w:eastAsia="Times New Roman"/>
        </w:rPr>
      </w:pPr>
      <w:r>
        <w:rPr>
          <w:rFonts w:eastAsia="Times New Roman"/>
          <w:color w:val="000000"/>
          <w:sz w:val="20"/>
          <w:szCs w:val="20"/>
        </w:rPr>
        <w:t>The following table provides information about receivables, contract assets, contract liabilities and customer advances from contracts with customers:</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5961"/>
        <w:gridCol w:w="37"/>
        <w:gridCol w:w="36"/>
        <w:gridCol w:w="36"/>
        <w:gridCol w:w="36"/>
        <w:gridCol w:w="110"/>
        <w:gridCol w:w="877"/>
        <w:gridCol w:w="36"/>
        <w:gridCol w:w="36"/>
        <w:gridCol w:w="36"/>
        <w:gridCol w:w="36"/>
        <w:gridCol w:w="111"/>
        <w:gridCol w:w="877"/>
        <w:gridCol w:w="36"/>
      </w:tblGrid>
      <w:tr w:rsidR="00000000">
        <w:trPr>
          <w:divId w:val="1194077679"/>
          <w:jc w:val="center"/>
        </w:trPr>
        <w:tc>
          <w:tcPr>
            <w:tcW w:w="50" w:type="pct"/>
            <w:vAlign w:val="center"/>
            <w:hideMark/>
          </w:tcPr>
          <w:p w:rsidR="00000000" w:rsidRDefault="00943C43">
            <w:pPr>
              <w:jc w:val="both"/>
              <w:rPr>
                <w:rFonts w:eastAsia="Times New Roman"/>
              </w:rPr>
            </w:pPr>
          </w:p>
        </w:tc>
        <w:tc>
          <w:tcPr>
            <w:tcW w:w="36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1194077679"/>
          <w:jc w:val="center"/>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As of</w:t>
            </w:r>
          </w:p>
        </w:tc>
      </w:tr>
      <w:tr w:rsidR="00000000">
        <w:trPr>
          <w:divId w:val="1194077679"/>
          <w:jc w:val="center"/>
        </w:trPr>
        <w:tc>
          <w:tcPr>
            <w:tcW w:w="0" w:type="auto"/>
            <w:gridSpan w:val="3"/>
            <w:tcMar>
              <w:top w:w="30" w:type="dxa"/>
              <w:left w:w="20" w:type="dxa"/>
              <w:bottom w:w="30" w:type="dxa"/>
              <w:right w:w="20" w:type="dxa"/>
            </w:tcMar>
            <w:vAlign w:val="bottom"/>
            <w:hideMark/>
          </w:tcPr>
          <w:p w:rsidR="00000000" w:rsidRDefault="00943C43">
            <w:pPr>
              <w:spacing w:after="100"/>
              <w:jc w:val="both"/>
              <w:rPr>
                <w:rFonts w:eastAsia="Times New Roman"/>
              </w:rPr>
            </w:pPr>
            <w:r>
              <w:rPr>
                <w:rFonts w:eastAsia="Times New Roman"/>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December 31, 2021</w:t>
            </w:r>
          </w:p>
        </w:tc>
      </w:tr>
      <w:tr w:rsidR="00000000">
        <w:trPr>
          <w:divId w:val="1194077679"/>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Accounts receivable, net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64,618 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72,059 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1194077679"/>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Current and non-current contract assets</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5,392 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4,875 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1194077679"/>
          <w:jc w:val="center"/>
        </w:trPr>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194077679"/>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Current contract liabilities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58,563 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54,011 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1194077679"/>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Current customer advances</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10,933 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11,613 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1194077679"/>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Non-current contract liabilities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730 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1,262 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bl>
    <w:p w:rsidR="00000000" w:rsidRDefault="00943C43">
      <w:pPr>
        <w:jc w:val="both"/>
        <w:divId w:val="811141121"/>
        <w:rPr>
          <w:rFonts w:eastAsia="Times New Roman"/>
        </w:rPr>
      </w:pPr>
      <w:r>
        <w:rPr>
          <w:rFonts w:eastAsia="Times New Roman"/>
          <w:color w:val="000000"/>
          <w:sz w:val="20"/>
          <w:szCs w:val="20"/>
        </w:rPr>
        <w:t>Significant changes in the current contract liabilities balance are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6036"/>
        <w:gridCol w:w="37"/>
        <w:gridCol w:w="110"/>
        <w:gridCol w:w="894"/>
        <w:gridCol w:w="36"/>
        <w:gridCol w:w="36"/>
        <w:gridCol w:w="36"/>
        <w:gridCol w:w="36"/>
        <w:gridCol w:w="110"/>
        <w:gridCol w:w="894"/>
        <w:gridCol w:w="36"/>
      </w:tblGrid>
      <w:tr w:rsidR="00000000">
        <w:trPr>
          <w:divId w:val="1613709343"/>
          <w:jc w:val="center"/>
        </w:trPr>
        <w:tc>
          <w:tcPr>
            <w:tcW w:w="50" w:type="pct"/>
            <w:vAlign w:val="center"/>
            <w:hideMark/>
          </w:tcPr>
          <w:p w:rsidR="00000000" w:rsidRDefault="00943C43">
            <w:pPr>
              <w:jc w:val="both"/>
              <w:rPr>
                <w:rFonts w:eastAsia="Times New Roman"/>
              </w:rPr>
            </w:pPr>
          </w:p>
        </w:tc>
        <w:tc>
          <w:tcPr>
            <w:tcW w:w="3670"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1613709343"/>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13709343"/>
          <w:jc w:val="center"/>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Three months ended March 31,</w:t>
            </w:r>
          </w:p>
        </w:tc>
      </w:tr>
      <w:tr w:rsidR="00000000">
        <w:trPr>
          <w:divId w:val="1613709343"/>
          <w:jc w:val="center"/>
        </w:trPr>
        <w:tc>
          <w:tcPr>
            <w:tcW w:w="0" w:type="auto"/>
            <w:gridSpan w:val="3"/>
            <w:tcMar>
              <w:top w:w="30" w:type="dxa"/>
              <w:left w:w="20" w:type="dxa"/>
              <w:bottom w:w="30" w:type="dxa"/>
              <w:right w:w="20" w:type="dxa"/>
            </w:tcMar>
            <w:vAlign w:val="bottom"/>
            <w:hideMark/>
          </w:tcPr>
          <w:p w:rsidR="00000000" w:rsidRDefault="00943C43">
            <w:pPr>
              <w:spacing w:after="100"/>
              <w:jc w:val="both"/>
              <w:rPr>
                <w:rFonts w:eastAsia="Times New Roman"/>
              </w:rPr>
            </w:pPr>
            <w:r>
              <w:rPr>
                <w:rFonts w:eastAsia="Times New Roman"/>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2021</w:t>
            </w:r>
          </w:p>
        </w:tc>
      </w:tr>
      <w:tr w:rsidR="00000000">
        <w:trPr>
          <w:divId w:val="161370934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Revenue recognized that was included in the opening contract liabilities balance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(34,979)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(31,891)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1613709343"/>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Cash received or amounts billed in advance and not recognized as revenue</w:t>
            </w:r>
          </w:p>
        </w:tc>
        <w:tc>
          <w:tcPr>
            <w:tcW w:w="0" w:type="auto"/>
            <w:gridSpan w:val="2"/>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39,950 </w:t>
            </w:r>
          </w:p>
        </w:tc>
        <w:tc>
          <w:tcPr>
            <w:tcW w:w="0" w:type="auto"/>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30,844 </w:t>
            </w:r>
          </w:p>
        </w:tc>
        <w:tc>
          <w:tcPr>
            <w:tcW w:w="0" w:type="auto"/>
            <w:tcMar>
              <w:top w:w="30" w:type="dxa"/>
              <w:left w:w="0" w:type="dxa"/>
              <w:bottom w:w="30" w:type="dxa"/>
              <w:right w:w="20" w:type="dxa"/>
            </w:tcMar>
            <w:vAlign w:val="bottom"/>
            <w:hideMark/>
          </w:tcPr>
          <w:p w:rsidR="00000000" w:rsidRDefault="00943C43">
            <w:pPr>
              <w:spacing w:after="100"/>
              <w:jc w:val="right"/>
              <w:rPr>
                <w:rFonts w:eastAsia="Times New Roman"/>
              </w:rPr>
            </w:pPr>
          </w:p>
        </w:tc>
      </w:tr>
    </w:tbl>
    <w:p w:rsidR="00000000" w:rsidRDefault="00943C43">
      <w:pPr>
        <w:jc w:val="both"/>
        <w:divId w:val="56709930"/>
        <w:rPr>
          <w:rFonts w:eastAsia="Times New Roman"/>
        </w:rPr>
      </w:pPr>
      <w:r>
        <w:rPr>
          <w:rFonts w:eastAsia="Times New Roman"/>
          <w:b/>
          <w:bCs/>
          <w:i/>
          <w:iCs/>
          <w:color w:val="000000"/>
          <w:sz w:val="20"/>
          <w:szCs w:val="20"/>
        </w:rPr>
        <w:t xml:space="preserve">Remaining Performance Obligations </w:t>
      </w:r>
    </w:p>
    <w:p w:rsidR="00000000" w:rsidRDefault="00943C43">
      <w:pPr>
        <w:jc w:val="both"/>
        <w:divId w:val="388920098"/>
        <w:rPr>
          <w:rFonts w:eastAsia="Times New Roman"/>
        </w:rPr>
      </w:pPr>
      <w:r>
        <w:rPr>
          <w:rFonts w:eastAsia="Times New Roman"/>
          <w:color w:val="000000"/>
          <w:sz w:val="20"/>
          <w:szCs w:val="20"/>
        </w:rPr>
        <w:t>As of March 31, 2022, approximately $225.0 million of revenue is expected to be recognized from remaining performance obligations that are unsatisfied (or partially unsatisfied) for non-cancelable contracts with an origin</w:t>
      </w:r>
      <w:r>
        <w:rPr>
          <w:rFonts w:eastAsia="Times New Roman"/>
          <w:color w:val="000000"/>
          <w:sz w:val="20"/>
          <w:szCs w:val="20"/>
        </w:rPr>
        <w:t>al expected duration of longer than one year. The Company expects to recognize revenue on approximately 39% of these remaining performance obligations during the remainder of 2022, approximately 32% in 2023, and approximately 13% in 2024, with the remainde</w:t>
      </w:r>
      <w:r>
        <w:rPr>
          <w:rFonts w:eastAsia="Times New Roman"/>
          <w:color w:val="000000"/>
          <w:sz w:val="20"/>
          <w:szCs w:val="20"/>
        </w:rPr>
        <w:t>r recognized thereafter.</w:t>
      </w:r>
    </w:p>
    <w:p w:rsidR="00000000" w:rsidRDefault="00943C43">
      <w:pPr>
        <w:ind w:hanging="360"/>
        <w:jc w:val="both"/>
        <w:divId w:val="99952437"/>
        <w:rPr>
          <w:rFonts w:eastAsia="Times New Roman"/>
        </w:rPr>
      </w:pPr>
      <w:r>
        <w:rPr>
          <w:rFonts w:eastAsia="Times New Roman"/>
          <w:b/>
          <w:bCs/>
          <w:color w:val="000000"/>
          <w:sz w:val="20"/>
          <w:szCs w:val="20"/>
        </w:rPr>
        <w:t>4.Convertible Redeemable Preferred Stock and Stockholders' Equity</w:t>
      </w:r>
    </w:p>
    <w:p w:rsidR="00000000" w:rsidRDefault="00943C43">
      <w:pPr>
        <w:jc w:val="both"/>
        <w:divId w:val="964847929"/>
        <w:rPr>
          <w:rFonts w:eastAsia="Times New Roman"/>
        </w:rPr>
      </w:pPr>
      <w:r>
        <w:rPr>
          <w:rFonts w:eastAsia="Times New Roman"/>
          <w:b/>
          <w:bCs/>
          <w:i/>
          <w:iCs/>
          <w:color w:val="000000"/>
          <w:sz w:val="20"/>
          <w:szCs w:val="20"/>
        </w:rPr>
        <w:t>2021 Issuance of Preferred Stock</w:t>
      </w:r>
    </w:p>
    <w:p w:rsidR="00000000" w:rsidRDefault="00943C43">
      <w:pPr>
        <w:jc w:val="both"/>
        <w:divId w:val="1530411573"/>
        <w:rPr>
          <w:rFonts w:eastAsia="Times New Roman"/>
        </w:rPr>
      </w:pPr>
      <w:r>
        <w:rPr>
          <w:rFonts w:eastAsia="Times New Roman"/>
          <w:color w:val="000000"/>
          <w:sz w:val="20"/>
          <w:szCs w:val="20"/>
        </w:rPr>
        <w:t>On March 10, 2021, the Company issued and sold 82,527,609 shares of Preferred Stock in exchange for aggregate gross proceeds of $204</w:t>
      </w:r>
      <w:r>
        <w:rPr>
          <w:rFonts w:eastAsia="Times New Roman"/>
          <w:color w:val="000000"/>
          <w:sz w:val="20"/>
          <w:szCs w:val="20"/>
        </w:rPr>
        <w:t>.0 million. Net proceeds from the Transactions totaled $187.9 million after deducting issuance costs.</w:t>
      </w:r>
    </w:p>
    <w:p w:rsidR="00000000" w:rsidRDefault="00943C43">
      <w:pPr>
        <w:jc w:val="both"/>
        <w:divId w:val="297614797"/>
        <w:rPr>
          <w:rFonts w:eastAsia="Times New Roman"/>
        </w:rPr>
      </w:pPr>
      <w:r>
        <w:rPr>
          <w:rFonts w:eastAsia="Times New Roman"/>
          <w:color w:val="000000"/>
          <w:sz w:val="20"/>
          <w:szCs w:val="20"/>
        </w:rPr>
        <w:t xml:space="preserve">The Preferred Stock is convertible at the option of the holders at any time into shares of Common Stock based on a conversion rate set in accordance with </w:t>
      </w:r>
      <w:r>
        <w:rPr>
          <w:rFonts w:eastAsia="Times New Roman"/>
          <w:color w:val="000000"/>
          <w:sz w:val="20"/>
          <w:szCs w:val="20"/>
        </w:rPr>
        <w:t>the Certificate of Designations of the Preferred Stock. The conversion right is subject to certain anti-dilution adjustments and customary provisions related to partial dividend periods. As of March 31, 2022, each share of Preferred Stock was convertible i</w:t>
      </w:r>
      <w:r>
        <w:rPr>
          <w:rFonts w:eastAsia="Times New Roman"/>
          <w:color w:val="000000"/>
          <w:sz w:val="20"/>
          <w:szCs w:val="20"/>
        </w:rPr>
        <w:t xml:space="preserve">nto 1.057292 shares of Common Stock, with such conversion rate scheduled to return to 1.00 upon payment of accrued dividends on June 30, 2022. </w:t>
      </w:r>
    </w:p>
    <w:p w:rsidR="00000000" w:rsidRDefault="00943C43">
      <w:pPr>
        <w:jc w:val="center"/>
        <w:divId w:val="1887066109"/>
        <w:rPr>
          <w:rFonts w:eastAsia="Times New Roman"/>
        </w:rPr>
      </w:pPr>
      <w:r>
        <w:rPr>
          <w:rFonts w:eastAsia="Times New Roman"/>
          <w:color w:val="000000"/>
          <w:sz w:val="20"/>
          <w:szCs w:val="20"/>
        </w:rPr>
        <w:t>9</w:t>
      </w:r>
    </w:p>
    <w:p w:rsidR="00000000" w:rsidRDefault="00943C43">
      <w:pPr>
        <w:rPr>
          <w:rFonts w:eastAsia="Times New Roman"/>
        </w:rPr>
      </w:pPr>
      <w:r>
        <w:rPr>
          <w:rFonts w:eastAsia="Times New Roman"/>
        </w:rPr>
        <w:pict>
          <v:rect id="_x0000_i1036" style="width:0;height:1.5pt" o:hralign="center" o:hrstd="t" o:hr="t" fillcolor="#a0a0a0" stroked="f"/>
        </w:pict>
      </w:r>
    </w:p>
    <w:p w:rsidR="00000000" w:rsidRDefault="00943C43">
      <w:pPr>
        <w:divId w:val="1250313397"/>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1868175798"/>
        <w:rPr>
          <w:rFonts w:eastAsia="Times New Roman"/>
        </w:rPr>
      </w:pPr>
    </w:p>
    <w:p w:rsidR="00000000" w:rsidRDefault="00943C43">
      <w:pPr>
        <w:jc w:val="both"/>
        <w:divId w:val="1892695322"/>
        <w:rPr>
          <w:rFonts w:eastAsia="Times New Roman"/>
        </w:rPr>
      </w:pPr>
      <w:r>
        <w:rPr>
          <w:rFonts w:eastAsia="Times New Roman"/>
          <w:color w:val="000000"/>
          <w:sz w:val="20"/>
          <w:szCs w:val="20"/>
        </w:rPr>
        <w:t>As of March 31, 2022, no shares of Preferred Stock have been converted into Common Stock.</w:t>
      </w:r>
    </w:p>
    <w:p w:rsidR="00000000" w:rsidRDefault="00943C43">
      <w:pPr>
        <w:jc w:val="both"/>
        <w:divId w:val="877083767"/>
        <w:rPr>
          <w:rFonts w:eastAsia="Times New Roman"/>
        </w:rPr>
      </w:pPr>
      <w:r>
        <w:rPr>
          <w:rFonts w:eastAsia="Times New Roman"/>
          <w:color w:val="000000"/>
          <w:sz w:val="20"/>
          <w:szCs w:val="20"/>
        </w:rPr>
        <w:t>The holders of Preferred Stock are entitled to participate in all dividends declared on the Common Stock on an as-converted basis and are also entitled to a cumulative dividend at the rate of 7.5% per annum, payable annually in arrears and subject to incre</w:t>
      </w:r>
      <w:r>
        <w:rPr>
          <w:rFonts w:eastAsia="Times New Roman"/>
          <w:color w:val="000000"/>
          <w:sz w:val="20"/>
          <w:szCs w:val="20"/>
        </w:rPr>
        <w:t>ase under certain circumstances. In addition, such holders are entitled to request, and the Company will take all actions reasonably necessary to pay, a one-time dividend ("Special Dividend") equal to the highest dividend that the Company's Board determine</w:t>
      </w:r>
      <w:r>
        <w:rPr>
          <w:rFonts w:eastAsia="Times New Roman"/>
          <w:color w:val="000000"/>
          <w:sz w:val="20"/>
          <w:szCs w:val="20"/>
        </w:rPr>
        <w:t>s can be paid at the applicable time (or a lesser amount agreed upon by the holders), subject to additional conditions and limitations set forth in a Stockholders Agreement entered into by the Company and the holders on March 10, 2021 (the "Stockholders Ag</w:t>
      </w:r>
      <w:r>
        <w:rPr>
          <w:rFonts w:eastAsia="Times New Roman"/>
          <w:color w:val="000000"/>
          <w:sz w:val="20"/>
          <w:szCs w:val="20"/>
        </w:rPr>
        <w:t>reement"). As set forth in the Stockholders Agreement, the Company may be obligated to obtain debt financing in order to effectuate the Special Dividend.</w:t>
      </w:r>
    </w:p>
    <w:p w:rsidR="00000000" w:rsidRDefault="00943C43">
      <w:pPr>
        <w:jc w:val="both"/>
        <w:divId w:val="826673446"/>
        <w:rPr>
          <w:rFonts w:eastAsia="Times New Roman"/>
        </w:rPr>
      </w:pPr>
      <w:r>
        <w:rPr>
          <w:rFonts w:eastAsia="Times New Roman"/>
          <w:b/>
          <w:bCs/>
          <w:i/>
          <w:iCs/>
          <w:color w:val="000000"/>
          <w:sz w:val="20"/>
          <w:szCs w:val="20"/>
        </w:rPr>
        <w:t xml:space="preserve">2019 Issuance and Sale of Common Stock and Warrants </w:t>
      </w:r>
    </w:p>
    <w:p w:rsidR="00000000" w:rsidRDefault="00943C43">
      <w:pPr>
        <w:jc w:val="both"/>
        <w:divId w:val="50468227"/>
        <w:rPr>
          <w:rFonts w:eastAsia="Times New Roman"/>
        </w:rPr>
      </w:pPr>
      <w:r>
        <w:rPr>
          <w:rFonts w:eastAsia="Times New Roman"/>
          <w:color w:val="000000"/>
          <w:sz w:val="20"/>
          <w:szCs w:val="20"/>
        </w:rPr>
        <w:t>On June 23, 2019, the Company entered into a Secu</w:t>
      </w:r>
      <w:r>
        <w:rPr>
          <w:rFonts w:eastAsia="Times New Roman"/>
          <w:color w:val="000000"/>
          <w:sz w:val="20"/>
          <w:szCs w:val="20"/>
        </w:rPr>
        <w:t>rities Purchase Agreement with CVI, pursuant to which CVI agreed to purchase (i) 2,728,513 shares of Common Stock (the "Initial Shares"), at a price of $7.33 per share and (ii) Series A Warrants, Series B-1 Warrants, Series B-2 Warrants and Series C Warran</w:t>
      </w:r>
      <w:r>
        <w:rPr>
          <w:rFonts w:eastAsia="Times New Roman"/>
          <w:color w:val="000000"/>
          <w:sz w:val="20"/>
          <w:szCs w:val="20"/>
        </w:rPr>
        <w:t>ts, for aggregate gross proceeds of $20.0 million (the "Private Placement"). The Private Placement closed on June 26, 2019 (the "CVI Closing Date"). The Series B-1 Warrants and Series B-2 Warrants expired in 2020.</w:t>
      </w:r>
    </w:p>
    <w:p w:rsidR="00000000" w:rsidRDefault="00943C43">
      <w:pPr>
        <w:jc w:val="both"/>
        <w:divId w:val="1312443852"/>
        <w:rPr>
          <w:rFonts w:eastAsia="Times New Roman"/>
        </w:rPr>
      </w:pPr>
      <w:r>
        <w:rPr>
          <w:rFonts w:eastAsia="Times New Roman"/>
          <w:color w:val="000000"/>
          <w:sz w:val="20"/>
          <w:szCs w:val="20"/>
        </w:rPr>
        <w:t>The Series C Warrants were exercised on Oc</w:t>
      </w:r>
      <w:r>
        <w:rPr>
          <w:rFonts w:eastAsia="Times New Roman"/>
          <w:color w:val="000000"/>
          <w:sz w:val="20"/>
          <w:szCs w:val="20"/>
        </w:rPr>
        <w:t>tober 10, 2019. As a result of this exercise, the Company issued 2,728,513 shares of Common Stock to CVI on October 14, 2019. In addition, the number of shares issuable under the Company's Series A Warrants was increased by 2,728,513.</w:t>
      </w:r>
    </w:p>
    <w:p w:rsidR="00000000" w:rsidRDefault="00943C43">
      <w:pPr>
        <w:jc w:val="both"/>
        <w:divId w:val="489105635"/>
        <w:rPr>
          <w:rFonts w:eastAsia="Times New Roman"/>
        </w:rPr>
      </w:pPr>
      <w:r>
        <w:rPr>
          <w:rFonts w:eastAsia="Times New Roman"/>
          <w:color w:val="000000"/>
          <w:sz w:val="20"/>
          <w:szCs w:val="20"/>
        </w:rPr>
        <w:t>The Series A Warrants</w:t>
      </w:r>
      <w:r>
        <w:rPr>
          <w:rFonts w:eastAsia="Times New Roman"/>
          <w:color w:val="000000"/>
          <w:sz w:val="20"/>
          <w:szCs w:val="20"/>
        </w:rPr>
        <w:t xml:space="preserve"> are exercisable by the holders for a period of five years from the CVI Closing Date and are currently exercisable into 5,457,026 shares of Common Stock. The Series A Warrants may be exercised for cash or through a net settlement feature under certain circ</w:t>
      </w:r>
      <w:r>
        <w:rPr>
          <w:rFonts w:eastAsia="Times New Roman"/>
          <w:color w:val="000000"/>
          <w:sz w:val="20"/>
          <w:szCs w:val="20"/>
        </w:rPr>
        <w:t>umstances.</w:t>
      </w:r>
    </w:p>
    <w:p w:rsidR="00000000" w:rsidRDefault="00943C43">
      <w:pPr>
        <w:jc w:val="both"/>
        <w:divId w:val="581522664"/>
        <w:rPr>
          <w:rFonts w:eastAsia="Times New Roman"/>
        </w:rPr>
      </w:pPr>
      <w:r>
        <w:rPr>
          <w:rFonts w:eastAsia="Times New Roman"/>
          <w:color w:val="000000"/>
          <w:sz w:val="20"/>
          <w:szCs w:val="20"/>
        </w:rPr>
        <w:t>The exercise price for the Series A Warrants is subject to anti-dilution adjustment in certain circumstances, including upon certain issuances of capital stock. Upon the issuance of the Preferred Stock, the Company adjusted the exercise price of</w:t>
      </w:r>
      <w:r>
        <w:rPr>
          <w:rFonts w:eastAsia="Times New Roman"/>
          <w:color w:val="000000"/>
          <w:sz w:val="20"/>
          <w:szCs w:val="20"/>
        </w:rPr>
        <w:t xml:space="preserve"> the Series A Warrants from $12.00 to $2.4719 per share, the closing price of the Transactions.</w:t>
      </w:r>
    </w:p>
    <w:p w:rsidR="00000000" w:rsidRDefault="00943C43">
      <w:pPr>
        <w:jc w:val="both"/>
        <w:divId w:val="1884900265"/>
        <w:rPr>
          <w:rFonts w:eastAsia="Times New Roman"/>
        </w:rPr>
      </w:pPr>
      <w:r>
        <w:rPr>
          <w:rFonts w:eastAsia="Times New Roman"/>
          <w:color w:val="000000"/>
          <w:sz w:val="20"/>
          <w:szCs w:val="20"/>
        </w:rPr>
        <w:t>CVI will not have the right to exercise any warrant that would result in CVI beneficially owning more than 4.99% of the outstanding Common Stock after giving ef</w:t>
      </w:r>
      <w:r>
        <w:rPr>
          <w:rFonts w:eastAsia="Times New Roman"/>
          <w:color w:val="000000"/>
          <w:sz w:val="20"/>
          <w:szCs w:val="20"/>
        </w:rPr>
        <w:t>fect to such exercise. CVI has the right, in its discretion, to raise this threshold up to 9.99% with 60 days' notice to the Company. In addition, if and to the extent the exercise of any warrants would, together with the issuances of the Initial Shares an</w:t>
      </w:r>
      <w:r>
        <w:rPr>
          <w:rFonts w:eastAsia="Times New Roman"/>
          <w:color w:val="000000"/>
          <w:sz w:val="20"/>
          <w:szCs w:val="20"/>
        </w:rPr>
        <w:t>d the shares issued pursuant to the exercise of any other warrants, result in the issuance of 20.0% or more of the outstanding Common Stock of the Company on the CVI Closing Date, the Company intends to, in lieu of issuing such shares, settle the obligatio</w:t>
      </w:r>
      <w:r>
        <w:rPr>
          <w:rFonts w:eastAsia="Times New Roman"/>
          <w:color w:val="000000"/>
          <w:sz w:val="20"/>
          <w:szCs w:val="20"/>
        </w:rPr>
        <w:t>n to issue such shares in cash.</w:t>
      </w:r>
    </w:p>
    <w:p w:rsidR="00000000" w:rsidRDefault="00943C43">
      <w:pPr>
        <w:jc w:val="both"/>
        <w:divId w:val="967903925"/>
        <w:rPr>
          <w:rFonts w:eastAsia="Times New Roman"/>
        </w:rPr>
      </w:pPr>
      <w:r>
        <w:rPr>
          <w:rFonts w:eastAsia="Times New Roman"/>
          <w:color w:val="000000"/>
          <w:sz w:val="20"/>
          <w:szCs w:val="20"/>
        </w:rPr>
        <w:t xml:space="preserve">The estimated fair value of the Series A Warrants as of March 31, 2022 was $8.1 million. Refer to </w:t>
      </w:r>
      <w:hyperlink w:anchor="i81c699a6f33e49f8a081f48620e58c22_73"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Fair Value Measurements</w:t>
      </w:r>
      <w:r>
        <w:rPr>
          <w:rFonts w:eastAsia="Times New Roman"/>
          <w:color w:val="000000"/>
          <w:sz w:val="20"/>
          <w:szCs w:val="20"/>
        </w:rPr>
        <w:t>, for information on the Level 3</w:t>
      </w:r>
      <w:r>
        <w:rPr>
          <w:rFonts w:eastAsia="Times New Roman"/>
          <w:color w:val="000000"/>
          <w:sz w:val="20"/>
          <w:szCs w:val="20"/>
        </w:rPr>
        <w:t xml:space="preserve"> inputs utilized for the determination of the fair value of the warrants.</w:t>
      </w:r>
    </w:p>
    <w:p w:rsidR="00000000" w:rsidRDefault="00943C43">
      <w:pPr>
        <w:ind w:hanging="360"/>
        <w:jc w:val="both"/>
        <w:divId w:val="1242982476"/>
        <w:rPr>
          <w:rFonts w:eastAsia="Times New Roman"/>
        </w:rPr>
      </w:pPr>
      <w:r>
        <w:rPr>
          <w:rFonts w:eastAsia="Times New Roman"/>
          <w:b/>
          <w:bCs/>
          <w:color w:val="000000"/>
          <w:sz w:val="20"/>
          <w:szCs w:val="20"/>
        </w:rPr>
        <w:t>5.Debt</w:t>
      </w:r>
    </w:p>
    <w:p w:rsidR="00000000" w:rsidRDefault="00943C43">
      <w:pPr>
        <w:jc w:val="both"/>
        <w:divId w:val="1298877616"/>
        <w:rPr>
          <w:rFonts w:eastAsia="Times New Roman"/>
        </w:rPr>
      </w:pPr>
      <w:r>
        <w:rPr>
          <w:rFonts w:eastAsia="Times New Roman"/>
          <w:b/>
          <w:bCs/>
          <w:i/>
          <w:iCs/>
          <w:color w:val="000000"/>
          <w:sz w:val="20"/>
          <w:szCs w:val="20"/>
        </w:rPr>
        <w:t>Revolving Credit Agreement</w:t>
      </w:r>
    </w:p>
    <w:p w:rsidR="00000000" w:rsidRDefault="00943C43">
      <w:pPr>
        <w:jc w:val="both"/>
        <w:divId w:val="541332976"/>
        <w:rPr>
          <w:rFonts w:eastAsia="Times New Roman"/>
        </w:rPr>
      </w:pPr>
      <w:r>
        <w:rPr>
          <w:rFonts w:eastAsia="Times New Roman"/>
          <w:color w:val="000000"/>
          <w:sz w:val="20"/>
          <w:szCs w:val="20"/>
        </w:rPr>
        <w:t>On May 5, 2021, the Company entered into a senior secured revolving credit agreement (the "Revolving Credit Agreement") among the Company, as borrow</w:t>
      </w:r>
      <w:r>
        <w:rPr>
          <w:rFonts w:eastAsia="Times New Roman"/>
          <w:color w:val="000000"/>
          <w:sz w:val="20"/>
          <w:szCs w:val="20"/>
        </w:rPr>
        <w:t>er, certain subsidiaries of the Company, as guarantors, Bank of America N.A., as administrative agent (in such capacity, the "Agent"), and the lenders from time to time party thereto.</w:t>
      </w:r>
    </w:p>
    <w:p w:rsidR="00000000" w:rsidRDefault="00943C43">
      <w:pPr>
        <w:jc w:val="both"/>
        <w:divId w:val="844245972"/>
        <w:rPr>
          <w:rFonts w:eastAsia="Times New Roman"/>
        </w:rPr>
      </w:pPr>
      <w:r>
        <w:rPr>
          <w:rFonts w:eastAsia="Times New Roman"/>
          <w:color w:val="000000"/>
          <w:sz w:val="20"/>
          <w:szCs w:val="20"/>
        </w:rPr>
        <w:t xml:space="preserve">The Revolving Credit Agreement had an original borrowing capacity equal </w:t>
      </w:r>
      <w:r>
        <w:rPr>
          <w:rFonts w:eastAsia="Times New Roman"/>
          <w:color w:val="000000"/>
          <w:sz w:val="20"/>
          <w:szCs w:val="20"/>
        </w:rPr>
        <w:t>to $25.0 million and bore interest on borrowings at a Eurodollar Rate (as defined in the Revolving Credit Agreement) that was based on LIBOR. The Company may also request the issuance of letters of credit under the Revolving Credit Agreement in an aggregat</w:t>
      </w:r>
      <w:r>
        <w:rPr>
          <w:rFonts w:eastAsia="Times New Roman"/>
          <w:color w:val="000000"/>
          <w:sz w:val="20"/>
          <w:szCs w:val="20"/>
        </w:rPr>
        <w:t>e amount up to $5.0 million, which reduces the amount of available borrowings by the amount of such issued and outstanding letters of credit. The facility has a maturity of three years from the closing date of the agreement.</w:t>
      </w:r>
    </w:p>
    <w:p w:rsidR="00000000" w:rsidRDefault="00943C43">
      <w:pPr>
        <w:jc w:val="both"/>
        <w:divId w:val="92169308"/>
        <w:rPr>
          <w:rFonts w:eastAsia="Times New Roman"/>
        </w:rPr>
      </w:pPr>
      <w:r>
        <w:rPr>
          <w:rFonts w:eastAsia="Times New Roman"/>
          <w:color w:val="000000"/>
          <w:sz w:val="20"/>
          <w:szCs w:val="20"/>
        </w:rPr>
        <w:t>On February 25, 2022, the Compa</w:t>
      </w:r>
      <w:r>
        <w:rPr>
          <w:rFonts w:eastAsia="Times New Roman"/>
          <w:color w:val="000000"/>
          <w:sz w:val="20"/>
          <w:szCs w:val="20"/>
        </w:rPr>
        <w:t>ny entered into an amendment (the "Amendment") to the Revolving Credit Agreement to expand its aggregate borrowing capacity from $25.0 million to $40.0 million. The Amendment also replaced the Eurodollar Rate with a SOFR-based interest rate and modified th</w:t>
      </w:r>
      <w:r>
        <w:rPr>
          <w:rFonts w:eastAsia="Times New Roman"/>
          <w:color w:val="000000"/>
          <w:sz w:val="20"/>
          <w:szCs w:val="20"/>
        </w:rPr>
        <w:t>e Applicable Rate definition in the Revolving Credit Agreement to increase the Applicable Rate payable on SOFR-based loans to 2.50% until the date a compliance certificate is received for the quarter ending March 31, 2023, with such Applicable Rate thereaf</w:t>
      </w:r>
      <w:r>
        <w:rPr>
          <w:rFonts w:eastAsia="Times New Roman"/>
          <w:color w:val="000000"/>
          <w:sz w:val="20"/>
          <w:szCs w:val="20"/>
        </w:rPr>
        <w:t>ter reducing to 2.25%</w:t>
      </w:r>
      <w:r>
        <w:rPr>
          <w:rFonts w:ascii="Arial" w:eastAsia="Times New Roman" w:hAnsi="Arial" w:cs="Arial"/>
          <w:color w:val="2A303E"/>
          <w:sz w:val="20"/>
          <w:szCs w:val="20"/>
        </w:rPr>
        <w:t>.</w:t>
      </w:r>
    </w:p>
    <w:p w:rsidR="00000000" w:rsidRDefault="00943C43">
      <w:pPr>
        <w:jc w:val="both"/>
        <w:divId w:val="1164054777"/>
        <w:rPr>
          <w:rFonts w:eastAsia="Times New Roman"/>
        </w:rPr>
      </w:pPr>
      <w:r>
        <w:rPr>
          <w:rFonts w:eastAsia="Times New Roman"/>
          <w:color w:val="000000"/>
          <w:sz w:val="20"/>
          <w:szCs w:val="20"/>
        </w:rPr>
        <w:t>The Amendment also modified certain financial covenants under the Revolving Credit Agreement. As amended, the Revolving Credit Agreement requires the Company to maintain:</w:t>
      </w:r>
    </w:p>
    <w:p w:rsidR="00000000" w:rsidRDefault="00943C43">
      <w:pPr>
        <w:ind w:hanging="360"/>
        <w:jc w:val="both"/>
        <w:divId w:val="708381545"/>
        <w:rPr>
          <w:rFonts w:eastAsia="Times New Roman"/>
        </w:rPr>
      </w:pPr>
      <w:r>
        <w:rPr>
          <w:rFonts w:eastAsia="Times New Roman"/>
          <w:color w:val="000000"/>
          <w:sz w:val="20"/>
          <w:szCs w:val="20"/>
        </w:rPr>
        <w:t>•minimum Consolidated EBITDA (as defined in the Revolving Cred</w:t>
      </w:r>
      <w:r>
        <w:rPr>
          <w:rFonts w:eastAsia="Times New Roman"/>
          <w:color w:val="000000"/>
          <w:sz w:val="20"/>
          <w:szCs w:val="20"/>
        </w:rPr>
        <w:t>it Agreement) of not less than $20.0 million for the most recently ended four fiscal quarter period, tested as of the last day of each fiscal quarter ending on or before December 31, 2022;</w:t>
      </w:r>
    </w:p>
    <w:p w:rsidR="00000000" w:rsidRDefault="00943C43">
      <w:pPr>
        <w:ind w:hanging="360"/>
        <w:jc w:val="both"/>
        <w:divId w:val="1470592705"/>
        <w:rPr>
          <w:rFonts w:eastAsia="Times New Roman"/>
        </w:rPr>
      </w:pPr>
      <w:r>
        <w:rPr>
          <w:rFonts w:eastAsia="Times New Roman"/>
          <w:color w:val="000000"/>
          <w:sz w:val="20"/>
          <w:szCs w:val="20"/>
        </w:rPr>
        <w:t>•a minimum Consolidated Asset Coverage Ratio (as defined in the Rev</w:t>
      </w:r>
      <w:r>
        <w:rPr>
          <w:rFonts w:eastAsia="Times New Roman"/>
          <w:color w:val="000000"/>
          <w:sz w:val="20"/>
          <w:szCs w:val="20"/>
        </w:rPr>
        <w:t>olving Credit Agreement) of not less than 1.5 to 1.0, tested as of the last day of each fiscal quarter ending on or before December 31, 2022; and</w:t>
      </w:r>
    </w:p>
    <w:p w:rsidR="00000000" w:rsidRDefault="00943C43">
      <w:pPr>
        <w:ind w:hanging="360"/>
        <w:jc w:val="both"/>
        <w:divId w:val="1990360287"/>
        <w:rPr>
          <w:rFonts w:eastAsia="Times New Roman"/>
        </w:rPr>
      </w:pPr>
      <w:r>
        <w:rPr>
          <w:rFonts w:eastAsia="Times New Roman"/>
          <w:color w:val="000000"/>
          <w:sz w:val="20"/>
          <w:szCs w:val="20"/>
        </w:rPr>
        <w:t>•a minimum Consolidated Fixed Charge Coverage Ratio (as defined in the Revolving Credit Agreement) of not less</w:t>
      </w:r>
      <w:r>
        <w:rPr>
          <w:rFonts w:eastAsia="Times New Roman"/>
          <w:color w:val="000000"/>
          <w:sz w:val="20"/>
          <w:szCs w:val="20"/>
        </w:rPr>
        <w:t xml:space="preserve"> than 1.25 to 1.0 for the most recently ended four fiscal quarter period, tested as of the last day of each fiscal quarter ending on or after March 31, 2023.</w:t>
      </w:r>
    </w:p>
    <w:p w:rsidR="00000000" w:rsidRDefault="00943C43">
      <w:pPr>
        <w:jc w:val="both"/>
        <w:divId w:val="444035490"/>
        <w:rPr>
          <w:rFonts w:eastAsia="Times New Roman"/>
        </w:rPr>
      </w:pPr>
      <w:r>
        <w:rPr>
          <w:rFonts w:eastAsia="Times New Roman"/>
          <w:color w:val="000000"/>
          <w:sz w:val="20"/>
          <w:szCs w:val="20"/>
        </w:rPr>
        <w:t>Additionally, the Revolving Credit Agreement contains restrictive covenants that limit the Company</w:t>
      </w:r>
      <w:r>
        <w:rPr>
          <w:rFonts w:eastAsia="Times New Roman"/>
          <w:color w:val="000000"/>
          <w:sz w:val="20"/>
          <w:szCs w:val="20"/>
        </w:rPr>
        <w:t xml:space="preserve">'s ability to, among other things, incur additional indebtedness or liens, make investments and loans, enter into mergers and acquisitions, make or declare dividends and other payments, </w:t>
      </w:r>
    </w:p>
    <w:p w:rsidR="00000000" w:rsidRDefault="00943C43">
      <w:pPr>
        <w:jc w:val="center"/>
        <w:divId w:val="2057851045"/>
        <w:rPr>
          <w:rFonts w:eastAsia="Times New Roman"/>
        </w:rPr>
      </w:pPr>
      <w:r>
        <w:rPr>
          <w:rFonts w:eastAsia="Times New Roman"/>
          <w:color w:val="000000"/>
          <w:sz w:val="20"/>
          <w:szCs w:val="20"/>
        </w:rPr>
        <w:t>10</w:t>
      </w:r>
    </w:p>
    <w:p w:rsidR="00000000" w:rsidRDefault="00943C43">
      <w:pPr>
        <w:rPr>
          <w:rFonts w:eastAsia="Times New Roman"/>
        </w:rPr>
      </w:pPr>
      <w:r>
        <w:rPr>
          <w:rFonts w:eastAsia="Times New Roman"/>
        </w:rPr>
        <w:pict>
          <v:rect id="_x0000_i1037" style="width:0;height:1.5pt" o:hralign="center" o:hrstd="t" o:hr="t" fillcolor="#a0a0a0" stroked="f"/>
        </w:pict>
      </w:r>
    </w:p>
    <w:p w:rsidR="00000000" w:rsidRDefault="00943C43">
      <w:pPr>
        <w:divId w:val="794787226"/>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548300063"/>
        <w:rPr>
          <w:rFonts w:eastAsia="Times New Roman"/>
        </w:rPr>
      </w:pPr>
    </w:p>
    <w:p w:rsidR="00000000" w:rsidRDefault="00943C43">
      <w:pPr>
        <w:jc w:val="both"/>
        <w:divId w:val="202209421"/>
        <w:rPr>
          <w:rFonts w:eastAsia="Times New Roman"/>
        </w:rPr>
      </w:pPr>
      <w:r>
        <w:rPr>
          <w:rFonts w:eastAsia="Times New Roman"/>
          <w:color w:val="000000"/>
          <w:sz w:val="20"/>
          <w:szCs w:val="20"/>
        </w:rPr>
        <w:t>enter into certain contracts, sell assets and engage in transactions with affiliates. The Revolving Credit Agreement is also subject to customary events of default, including a c</w:t>
      </w:r>
      <w:r>
        <w:rPr>
          <w:rFonts w:eastAsia="Times New Roman"/>
          <w:color w:val="000000"/>
          <w:sz w:val="20"/>
          <w:szCs w:val="20"/>
        </w:rPr>
        <w:t>hange in control. If an event of default occurs and is continuing, the Agent or the Required Lenders may accelerate any amounts outstanding and terminate lender commitments. The Company is in compliance with the covenants under the amended Revolving Credit</w:t>
      </w:r>
      <w:r>
        <w:rPr>
          <w:rFonts w:eastAsia="Times New Roman"/>
          <w:color w:val="000000"/>
          <w:sz w:val="20"/>
          <w:szCs w:val="20"/>
        </w:rPr>
        <w:t xml:space="preserve"> Agreement as of March 31, 2022.</w:t>
      </w:r>
    </w:p>
    <w:p w:rsidR="00000000" w:rsidRDefault="00943C43">
      <w:pPr>
        <w:jc w:val="both"/>
        <w:divId w:val="1822501487"/>
        <w:rPr>
          <w:rFonts w:eastAsia="Times New Roman"/>
        </w:rPr>
      </w:pPr>
      <w:r>
        <w:rPr>
          <w:rFonts w:eastAsia="Times New Roman"/>
          <w:color w:val="000000"/>
          <w:sz w:val="20"/>
          <w:szCs w:val="20"/>
        </w:rPr>
        <w:t>The Revolving Credit Agreement is guaranteed by the Company and its domestic subsidiaries (other than Excluded Subsidiaries (as defined in the Revolving Credit Agreement)) and is secured by a first lien security interest in</w:t>
      </w:r>
      <w:r>
        <w:rPr>
          <w:rFonts w:eastAsia="Times New Roman"/>
          <w:color w:val="000000"/>
          <w:sz w:val="20"/>
          <w:szCs w:val="20"/>
        </w:rPr>
        <w:t xml:space="preserve"> substantially all assets of the Company and its domestic subsidiaries (other than Excluded Subsidiaries), subject to certain customary exclusions.</w:t>
      </w:r>
    </w:p>
    <w:p w:rsidR="00000000" w:rsidRDefault="00943C43">
      <w:pPr>
        <w:jc w:val="both"/>
        <w:divId w:val="1890648699"/>
        <w:rPr>
          <w:rFonts w:eastAsia="Times New Roman"/>
        </w:rPr>
      </w:pPr>
      <w:r>
        <w:rPr>
          <w:rFonts w:eastAsia="Times New Roman"/>
          <w:color w:val="000000"/>
          <w:sz w:val="20"/>
          <w:szCs w:val="20"/>
        </w:rPr>
        <w:t>As of March 31, 2022, the Company had outstanding borrowings of $16.0 million, and issued and outstanding le</w:t>
      </w:r>
      <w:r>
        <w:rPr>
          <w:rFonts w:eastAsia="Times New Roman"/>
          <w:color w:val="000000"/>
          <w:sz w:val="20"/>
          <w:szCs w:val="20"/>
        </w:rPr>
        <w:t>tters of credit of $3.3 million, under the amended Revolving Credit Agreement, with remaining borrowing capacity of $20.7 million.</w:t>
      </w:r>
    </w:p>
    <w:p w:rsidR="00000000" w:rsidRDefault="00943C43">
      <w:pPr>
        <w:jc w:val="both"/>
        <w:divId w:val="1084184199"/>
        <w:rPr>
          <w:rFonts w:eastAsia="Times New Roman"/>
        </w:rPr>
      </w:pPr>
      <w:r>
        <w:rPr>
          <w:rFonts w:eastAsia="Times New Roman"/>
          <w:b/>
          <w:bCs/>
          <w:i/>
          <w:iCs/>
          <w:color w:val="000000"/>
          <w:sz w:val="20"/>
          <w:szCs w:val="20"/>
        </w:rPr>
        <w:t>Senior Secured Convertible Notes and Financing Derivatives</w:t>
      </w:r>
    </w:p>
    <w:p w:rsidR="00000000" w:rsidRDefault="00943C43">
      <w:pPr>
        <w:jc w:val="both"/>
        <w:divId w:val="623073492"/>
        <w:rPr>
          <w:rFonts w:eastAsia="Times New Roman"/>
        </w:rPr>
      </w:pPr>
      <w:r>
        <w:rPr>
          <w:rFonts w:eastAsia="Times New Roman"/>
          <w:color w:val="000000"/>
          <w:sz w:val="20"/>
          <w:szCs w:val="20"/>
        </w:rPr>
        <w:t>During 2018, the Company entered into certain agreements with funds affiliated with or managed by Starboard Value LP (collectively, "Starboard"), pursuant to which the Company issued and sold to Starboard a total of $204.0 million in Notes, as well as warr</w:t>
      </w:r>
      <w:r>
        <w:rPr>
          <w:rFonts w:eastAsia="Times New Roman"/>
          <w:color w:val="000000"/>
          <w:sz w:val="20"/>
          <w:szCs w:val="20"/>
        </w:rPr>
        <w:t xml:space="preserve">ants to purchase shares of the Company's Common Stock. The warrants were exercised in full by Starboard in 2019. </w:t>
      </w:r>
    </w:p>
    <w:p w:rsidR="00000000" w:rsidRDefault="00943C43">
      <w:pPr>
        <w:jc w:val="both"/>
        <w:divId w:val="1372993757"/>
        <w:rPr>
          <w:rFonts w:eastAsia="Times New Roman"/>
        </w:rPr>
      </w:pPr>
      <w:r>
        <w:rPr>
          <w:rFonts w:eastAsia="Times New Roman"/>
          <w:color w:val="000000"/>
          <w:sz w:val="20"/>
          <w:szCs w:val="20"/>
        </w:rPr>
        <w:t>The Notes contained, among other features, an interest rate reset feature which the Company determined represented an embedded derivative that</w:t>
      </w:r>
      <w:r>
        <w:rPr>
          <w:rFonts w:eastAsia="Times New Roman"/>
          <w:color w:val="000000"/>
          <w:sz w:val="20"/>
          <w:szCs w:val="20"/>
        </w:rPr>
        <w:t xml:space="preserve"> must be bifurcated and accounted for separately from the Notes. This feature reset the interest rate on the Notes based on the trading price of the Company's Common Stock.</w:t>
      </w:r>
    </w:p>
    <w:p w:rsidR="00000000" w:rsidRDefault="00943C43">
      <w:pPr>
        <w:jc w:val="both"/>
        <w:divId w:val="485514223"/>
        <w:rPr>
          <w:rFonts w:eastAsia="Times New Roman"/>
        </w:rPr>
      </w:pPr>
      <w:r>
        <w:rPr>
          <w:rFonts w:eastAsia="Times New Roman"/>
          <w:color w:val="000000"/>
          <w:sz w:val="20"/>
          <w:szCs w:val="20"/>
        </w:rPr>
        <w:t>Interest on the Notes was payable on a quarterly basis in arrears, at the option of</w:t>
      </w:r>
      <w:r>
        <w:rPr>
          <w:rFonts w:eastAsia="Times New Roman"/>
          <w:color w:val="000000"/>
          <w:sz w:val="20"/>
          <w:szCs w:val="20"/>
        </w:rPr>
        <w:t xml:space="preserve"> the Company, in cash, or, subject to certain conditions, through the issuance by the Company of additional shares of Common Stock ("PIK Interest Shares"). On January 25, 2021, the Company paid quarterly accrued interest of $6.1 million through the issuanc</w:t>
      </w:r>
      <w:r>
        <w:rPr>
          <w:rFonts w:eastAsia="Times New Roman"/>
          <w:color w:val="000000"/>
          <w:sz w:val="20"/>
          <w:szCs w:val="20"/>
        </w:rPr>
        <w:t>e of 2,802,454 PIK Interest Shares.</w:t>
      </w:r>
    </w:p>
    <w:p w:rsidR="00000000" w:rsidRDefault="00943C43">
      <w:pPr>
        <w:jc w:val="both"/>
        <w:divId w:val="2026518853"/>
        <w:rPr>
          <w:rFonts w:eastAsia="Times New Roman"/>
        </w:rPr>
      </w:pPr>
      <w:r>
        <w:rPr>
          <w:rFonts w:eastAsia="Times New Roman"/>
          <w:color w:val="000000"/>
          <w:sz w:val="20"/>
          <w:szCs w:val="20"/>
        </w:rPr>
        <w:t xml:space="preserve">In connection with the Transactions described in </w:t>
      </w:r>
      <w:hyperlink w:anchor="i81c699a6f33e49f8a081f48620e58c22_64"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the Company used cash proceeds of $</w:t>
      </w:r>
      <w:r>
        <w:rPr>
          <w:rFonts w:eastAsia="Times New Roman"/>
          <w:color w:val="000000"/>
          <w:sz w:val="20"/>
          <w:szCs w:val="20"/>
        </w:rPr>
        <w:t>204.0 million from the issuance of shares of its Preferred Stock to extinguish the Notes and related financing derivatives on March 10, 2021. The Company also issued 3,150,000 additional shares to Starboard (the "Conversion Shares"), as additional creditor</w:t>
      </w:r>
      <w:r>
        <w:rPr>
          <w:rFonts w:eastAsia="Times New Roman"/>
          <w:color w:val="000000"/>
          <w:sz w:val="20"/>
          <w:szCs w:val="20"/>
        </w:rPr>
        <w:t xml:space="preserve"> consideration, which were valued at $9.6 million. Lastly, the Company paid interest accrued of $4.7 million for the period from January 1, 2021 to March 10, 2021 through the issuance of 1,363,327 PIK Interest Shares.</w:t>
      </w:r>
    </w:p>
    <w:p w:rsidR="00000000" w:rsidRDefault="00943C43">
      <w:pPr>
        <w:jc w:val="both"/>
        <w:divId w:val="657736291"/>
        <w:rPr>
          <w:rFonts w:eastAsia="Times New Roman"/>
        </w:rPr>
      </w:pPr>
      <w:r>
        <w:rPr>
          <w:rFonts w:eastAsia="Times New Roman"/>
          <w:color w:val="000000"/>
          <w:sz w:val="20"/>
          <w:szCs w:val="20"/>
        </w:rPr>
        <w:t>The Company recorded a loss on extingu</w:t>
      </w:r>
      <w:r>
        <w:rPr>
          <w:rFonts w:eastAsia="Times New Roman"/>
          <w:color w:val="000000"/>
          <w:sz w:val="20"/>
          <w:szCs w:val="20"/>
        </w:rPr>
        <w:t>ishment of the Notes of $9.3 million during the three months ended March 31, 2021.</w:t>
      </w:r>
    </w:p>
    <w:p w:rsidR="00000000" w:rsidRDefault="00943C43">
      <w:pPr>
        <w:jc w:val="both"/>
        <w:divId w:val="1580676431"/>
        <w:rPr>
          <w:rFonts w:eastAsia="Times New Roman"/>
        </w:rPr>
      </w:pPr>
      <w:r>
        <w:rPr>
          <w:rFonts w:eastAsia="Times New Roman"/>
          <w:b/>
          <w:bCs/>
          <w:i/>
          <w:iCs/>
          <w:color w:val="000000"/>
          <w:sz w:val="20"/>
          <w:szCs w:val="20"/>
        </w:rPr>
        <w:t>Secured Term Note</w:t>
      </w:r>
    </w:p>
    <w:p w:rsidR="00000000" w:rsidRDefault="00943C43">
      <w:pPr>
        <w:jc w:val="both"/>
        <w:divId w:val="1017121520"/>
        <w:rPr>
          <w:rFonts w:eastAsia="Times New Roman"/>
        </w:rPr>
      </w:pPr>
      <w:r>
        <w:rPr>
          <w:rFonts w:eastAsia="Times New Roman"/>
          <w:color w:val="000000"/>
          <w:sz w:val="20"/>
          <w:szCs w:val="20"/>
        </w:rPr>
        <w:t>During 2019, the Company's wholly owned subsidiary, Rentrak B.V., entered into an agreement with several third parties for the Secured Term Note in exchang</w:t>
      </w:r>
      <w:r>
        <w:rPr>
          <w:rFonts w:eastAsia="Times New Roman"/>
          <w:color w:val="000000"/>
          <w:sz w:val="20"/>
          <w:szCs w:val="20"/>
        </w:rPr>
        <w:t>e for gross proceeds of $13.0 million.</w:t>
      </w:r>
    </w:p>
    <w:p w:rsidR="00000000" w:rsidRDefault="00943C43">
      <w:pPr>
        <w:jc w:val="both"/>
        <w:divId w:val="340861306"/>
        <w:rPr>
          <w:rFonts w:eastAsia="Times New Roman"/>
        </w:rPr>
      </w:pPr>
      <w:r>
        <w:rPr>
          <w:rFonts w:eastAsia="Times New Roman"/>
          <w:color w:val="000000"/>
          <w:sz w:val="20"/>
          <w:szCs w:val="20"/>
        </w:rPr>
        <w:t>The Secured Term Note included a redemption feature which, upon the occurrence of certain fundamental transactions, would require the Company to redeem the Secured Term Note in full, plus accrued interest, and remit a</w:t>
      </w:r>
      <w:r>
        <w:rPr>
          <w:rFonts w:eastAsia="Times New Roman"/>
          <w:color w:val="000000"/>
          <w:sz w:val="20"/>
          <w:szCs w:val="20"/>
        </w:rPr>
        <w:t xml:space="preserve"> prepayment premium equal to the remaining contractual interest cash flows (the "interest make-whole redemption"). The Company determined this feature represented an embedded derivative that must be bifurcated and accounted for separately from the Secured </w:t>
      </w:r>
      <w:r>
        <w:rPr>
          <w:rFonts w:eastAsia="Times New Roman"/>
          <w:color w:val="000000"/>
          <w:sz w:val="20"/>
          <w:szCs w:val="20"/>
        </w:rPr>
        <w:t>Term Note.</w:t>
      </w:r>
    </w:p>
    <w:p w:rsidR="00000000" w:rsidRDefault="00943C43">
      <w:pPr>
        <w:jc w:val="both"/>
        <w:divId w:val="1328437657"/>
        <w:rPr>
          <w:rFonts w:eastAsia="Times New Roman"/>
        </w:rPr>
      </w:pPr>
      <w:r>
        <w:rPr>
          <w:rFonts w:eastAsia="Times New Roman"/>
          <w:color w:val="000000"/>
          <w:sz w:val="20"/>
          <w:szCs w:val="20"/>
        </w:rPr>
        <w:t xml:space="preserve">In connection with the Transactions described in </w:t>
      </w:r>
      <w:hyperlink w:anchor="i81c699a6f33e49f8a081f48620e58c22_64"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the Company used restricted cash from its balance sheet to e</w:t>
      </w:r>
      <w:r>
        <w:rPr>
          <w:rFonts w:eastAsia="Times New Roman"/>
          <w:color w:val="000000"/>
          <w:sz w:val="20"/>
          <w:szCs w:val="20"/>
        </w:rPr>
        <w:t>xtinguish the Secured Term Note and interest make-whole redemption on March 10, 2021, of which $13.0 million and $1.0 million were for principal repayments and settlement of the interest make-whole redemption, respectively.</w:t>
      </w:r>
    </w:p>
    <w:p w:rsidR="00000000" w:rsidRDefault="00943C43">
      <w:pPr>
        <w:jc w:val="both"/>
        <w:divId w:val="1713071420"/>
        <w:rPr>
          <w:rFonts w:eastAsia="Times New Roman"/>
        </w:rPr>
      </w:pPr>
      <w:r>
        <w:rPr>
          <w:rFonts w:eastAsia="Times New Roman"/>
          <w:color w:val="000000"/>
          <w:sz w:val="20"/>
          <w:szCs w:val="20"/>
        </w:rPr>
        <w:t>The Company recorded a loss on e</w:t>
      </w:r>
      <w:r>
        <w:rPr>
          <w:rFonts w:eastAsia="Times New Roman"/>
          <w:color w:val="000000"/>
          <w:sz w:val="20"/>
          <w:szCs w:val="20"/>
        </w:rPr>
        <w:t>xtinguishment of the Secured Term Note of $0.3 million during the three months ended March 31, 2021.    </w:t>
      </w:r>
    </w:p>
    <w:p w:rsidR="00000000" w:rsidRDefault="00943C43">
      <w:pPr>
        <w:ind w:hanging="360"/>
        <w:jc w:val="both"/>
        <w:divId w:val="1723211189"/>
        <w:rPr>
          <w:rFonts w:eastAsia="Times New Roman"/>
        </w:rPr>
      </w:pPr>
      <w:r>
        <w:rPr>
          <w:rFonts w:eastAsia="Times New Roman"/>
          <w:b/>
          <w:bCs/>
          <w:color w:val="000000"/>
          <w:sz w:val="20"/>
          <w:szCs w:val="20"/>
        </w:rPr>
        <w:t>6.Fair Value Measurements</w:t>
      </w:r>
    </w:p>
    <w:p w:rsidR="00000000" w:rsidRDefault="00943C43">
      <w:pPr>
        <w:jc w:val="both"/>
        <w:divId w:val="1066563787"/>
        <w:rPr>
          <w:rFonts w:eastAsia="Times New Roman"/>
        </w:rPr>
      </w:pPr>
      <w:r>
        <w:rPr>
          <w:rFonts w:eastAsia="Times New Roman"/>
          <w:color w:val="000000"/>
          <w:sz w:val="20"/>
          <w:szCs w:val="20"/>
        </w:rPr>
        <w:t>The Company's financial instruments measured at fair value in the accompanying Condensed Consolidated Balance Sheets on a rec</w:t>
      </w:r>
      <w:r>
        <w:rPr>
          <w:rFonts w:eastAsia="Times New Roman"/>
          <w:color w:val="000000"/>
          <w:sz w:val="20"/>
          <w:szCs w:val="20"/>
        </w:rPr>
        <w:t>urring basis consist of the following:</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2528"/>
        <w:gridCol w:w="38"/>
        <w:gridCol w:w="110"/>
        <w:gridCol w:w="450"/>
        <w:gridCol w:w="36"/>
        <w:gridCol w:w="36"/>
        <w:gridCol w:w="36"/>
        <w:gridCol w:w="36"/>
        <w:gridCol w:w="111"/>
        <w:gridCol w:w="354"/>
        <w:gridCol w:w="36"/>
        <w:gridCol w:w="36"/>
        <w:gridCol w:w="36"/>
        <w:gridCol w:w="36"/>
        <w:gridCol w:w="110"/>
        <w:gridCol w:w="540"/>
        <w:gridCol w:w="36"/>
        <w:gridCol w:w="36"/>
        <w:gridCol w:w="36"/>
        <w:gridCol w:w="36"/>
        <w:gridCol w:w="110"/>
        <w:gridCol w:w="540"/>
        <w:gridCol w:w="36"/>
        <w:gridCol w:w="36"/>
        <w:gridCol w:w="36"/>
        <w:gridCol w:w="36"/>
        <w:gridCol w:w="110"/>
        <w:gridCol w:w="450"/>
        <w:gridCol w:w="36"/>
        <w:gridCol w:w="36"/>
        <w:gridCol w:w="36"/>
        <w:gridCol w:w="36"/>
        <w:gridCol w:w="111"/>
        <w:gridCol w:w="354"/>
        <w:gridCol w:w="36"/>
        <w:gridCol w:w="36"/>
        <w:gridCol w:w="36"/>
        <w:gridCol w:w="36"/>
        <w:gridCol w:w="110"/>
        <w:gridCol w:w="540"/>
        <w:gridCol w:w="36"/>
        <w:gridCol w:w="36"/>
        <w:gridCol w:w="36"/>
        <w:gridCol w:w="36"/>
        <w:gridCol w:w="110"/>
        <w:gridCol w:w="540"/>
        <w:gridCol w:w="36"/>
      </w:tblGrid>
      <w:tr w:rsidR="00000000">
        <w:trPr>
          <w:divId w:val="882716534"/>
          <w:jc w:val="center"/>
        </w:trPr>
        <w:tc>
          <w:tcPr>
            <w:tcW w:w="50" w:type="pct"/>
            <w:vAlign w:val="center"/>
            <w:hideMark/>
          </w:tcPr>
          <w:p w:rsidR="00000000" w:rsidRDefault="00943C43">
            <w:pPr>
              <w:jc w:val="both"/>
              <w:rPr>
                <w:rFonts w:eastAsia="Times New Roman"/>
              </w:rPr>
            </w:pPr>
          </w:p>
        </w:tc>
        <w:tc>
          <w:tcPr>
            <w:tcW w:w="17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32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32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32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32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32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32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32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32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882716534"/>
          <w:jc w:val="center"/>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As of</w:t>
            </w:r>
          </w:p>
        </w:tc>
      </w:tr>
      <w:tr w:rsidR="00000000">
        <w:trPr>
          <w:divId w:val="882716534"/>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December 31, 2021</w:t>
            </w:r>
          </w:p>
        </w:tc>
      </w:tr>
      <w:tr w:rsidR="00000000">
        <w:trPr>
          <w:divId w:val="882716534"/>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Total</w:t>
            </w:r>
          </w:p>
        </w:tc>
      </w:tr>
      <w:tr w:rsidR="00000000">
        <w:trPr>
          <w:divId w:val="882716534"/>
          <w:jc w:val="center"/>
        </w:trPr>
        <w:tc>
          <w:tcPr>
            <w:tcW w:w="0" w:type="auto"/>
            <w:gridSpan w:val="3"/>
            <w:vAlign w:val="center"/>
            <w:hideMark/>
          </w:tcPr>
          <w:p w:rsidR="00000000" w:rsidRDefault="00943C43">
            <w:pPr>
              <w:spacing w:after="100"/>
              <w:jc w:val="center"/>
              <w:rPr>
                <w:rFonts w:eastAsia="Times New Roman"/>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82716534"/>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divId w:val="88271653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943C43">
        <w:trPr>
          <w:divId w:val="882716534"/>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divId w:val="1118569666"/>
              <w:rPr>
                <w:rFonts w:eastAsia="Times New Roman"/>
              </w:rPr>
            </w:pPr>
            <w:r>
              <w:rPr>
                <w:rFonts w:eastAsia="Times New Roman"/>
                <w:color w:val="000000"/>
                <w:sz w:val="18"/>
                <w:szCs w:val="18"/>
              </w:rPr>
              <w:t>Money market funds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7,929 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7,929 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2,429 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2,429 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82716534"/>
          <w:jc w:val="center"/>
        </w:trPr>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8271653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8271653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8271653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8271653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8271653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8271653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8271653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8271653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8271653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82716534"/>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divId w:val="882716534"/>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divId w:val="219830842"/>
              <w:rPr>
                <w:rFonts w:eastAsia="Times New Roman"/>
              </w:rPr>
            </w:pPr>
            <w:r>
              <w:rPr>
                <w:rFonts w:eastAsia="Times New Roman"/>
                <w:b/>
                <w:bCs/>
                <w:color w:val="000000"/>
                <w:sz w:val="18"/>
                <w:szCs w:val="18"/>
              </w:rPr>
              <w:t>Liabilities</w:t>
            </w:r>
            <w:r>
              <w:rPr>
                <w:rFonts w:eastAsia="Times New Roman"/>
                <w:b/>
                <w:bCs/>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divId w:val="88271653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943C43">
        <w:trPr>
          <w:divId w:val="882716534"/>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1951665345"/>
              <w:rPr>
                <w:rFonts w:eastAsia="Times New Roman"/>
              </w:rPr>
            </w:pPr>
            <w:r>
              <w:rPr>
                <w:rFonts w:eastAsia="Times New Roman"/>
                <w:color w:val="000000"/>
                <w:sz w:val="18"/>
                <w:szCs w:val="18"/>
              </w:rPr>
              <w:t>Warrants liability</w:t>
            </w:r>
            <w:r>
              <w:rPr>
                <w:rFonts w:eastAsia="Times New Roman"/>
                <w:color w:val="000000"/>
                <w:sz w:val="18"/>
                <w:szCs w:val="18"/>
              </w:rPr>
              <w:t xml:space="preserve"> </w:t>
            </w:r>
            <w:r>
              <w:rPr>
                <w:rFonts w:eastAsia="Times New Roman"/>
                <w:color w:val="000000"/>
                <w:sz w:val="12"/>
                <w:szCs w:val="12"/>
              </w:rPr>
              <w:t>(3</w:t>
            </w:r>
            <w:r>
              <w:rPr>
                <w:rFonts w:eastAsia="Times New Roman"/>
                <w:color w:val="000000"/>
                <w:sz w:val="12"/>
                <w:szCs w:val="12"/>
              </w:rPr>
              <w:t>)</w:t>
            </w:r>
          </w:p>
        </w:tc>
        <w:tc>
          <w:tcPr>
            <w:tcW w:w="0" w:type="auto"/>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8,085 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8,085 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10,520 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10,520 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82716534"/>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divId w:val="1229418641"/>
              <w:rPr>
                <w:rFonts w:eastAsia="Times New Roman"/>
              </w:rPr>
            </w:pPr>
            <w:r>
              <w:rPr>
                <w:rFonts w:eastAsia="Times New Roman"/>
                <w:color w:val="000000"/>
                <w:sz w:val="18"/>
                <w:szCs w:val="18"/>
              </w:rPr>
              <w:t>Contingent consideration liability</w:t>
            </w:r>
            <w:r>
              <w:rPr>
                <w:rFonts w:eastAsia="Times New Roman"/>
                <w:color w:val="000000"/>
                <w:sz w:val="18"/>
                <w:szCs w:val="18"/>
              </w:rPr>
              <w:t xml:space="preserve"> </w:t>
            </w:r>
            <w:r>
              <w:rPr>
                <w:rFonts w:eastAsia="Times New Roman"/>
                <w:color w:val="000000"/>
                <w:sz w:val="12"/>
                <w:szCs w:val="12"/>
              </w:rPr>
              <w:t>(4</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7,948 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7,948 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5,600 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5,600 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82716534"/>
          <w:jc w:val="center"/>
        </w:trPr>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8271653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8271653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8271653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8271653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8271653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8271653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8271653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8271653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8271653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943C43">
        <w:trPr>
          <w:divId w:val="882716534"/>
          <w:jc w:val="center"/>
        </w:trPr>
        <w:tc>
          <w:tcPr>
            <w:tcW w:w="0" w:type="auto"/>
            <w:gridSpan w:val="3"/>
            <w:shd w:val="clear" w:color="auto" w:fill="CCEEFF"/>
            <w:tcMar>
              <w:top w:w="30" w:type="dxa"/>
              <w:left w:w="14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Total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16,033 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16,033 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16,120 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16,120 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882716534"/>
          <w:jc w:val="center"/>
        </w:trPr>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bl>
    <w:p w:rsidR="00000000" w:rsidRDefault="00943C43">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Level 1 cash equivalents are invested in money market funds that are intended to maintain a stable net asset value of $1.00 per share by investing in liquid, high quality U.S. dollar-denominated mo</w:t>
      </w:r>
      <w:r>
        <w:rPr>
          <w:rFonts w:eastAsia="Times New Roman"/>
          <w:color w:val="000000"/>
          <w:sz w:val="16"/>
          <w:szCs w:val="16"/>
        </w:rPr>
        <w:t>ney market instruments with maturities less than three months.</w:t>
      </w:r>
    </w:p>
    <w:p w:rsidR="00000000" w:rsidRDefault="00943C43">
      <w:pPr>
        <w:jc w:val="center"/>
        <w:divId w:val="1713650783"/>
        <w:rPr>
          <w:rFonts w:eastAsia="Times New Roman"/>
        </w:rPr>
      </w:pPr>
      <w:r>
        <w:rPr>
          <w:rFonts w:eastAsia="Times New Roman"/>
          <w:color w:val="000000"/>
          <w:sz w:val="20"/>
          <w:szCs w:val="20"/>
        </w:rPr>
        <w:t>11</w:t>
      </w:r>
    </w:p>
    <w:p w:rsidR="00000000" w:rsidRDefault="00943C43">
      <w:pPr>
        <w:rPr>
          <w:rFonts w:eastAsia="Times New Roman"/>
        </w:rPr>
      </w:pPr>
      <w:r>
        <w:rPr>
          <w:rFonts w:eastAsia="Times New Roman"/>
        </w:rPr>
        <w:pict>
          <v:rect id="_x0000_i1038" style="width:0;height:1.5pt" o:hralign="center" o:hrstd="t" o:hr="t" fillcolor="#a0a0a0" stroked="f"/>
        </w:pict>
      </w:r>
    </w:p>
    <w:p w:rsidR="00000000" w:rsidRDefault="00943C43">
      <w:pPr>
        <w:divId w:val="1131093762"/>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482697148"/>
        <w:rPr>
          <w:rFonts w:eastAsia="Times New Roman"/>
        </w:rPr>
      </w:pPr>
    </w:p>
    <w:p w:rsidR="00000000" w:rsidRDefault="00943C43">
      <w:pPr>
        <w:jc w:val="both"/>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 The fair values of these liabilities are </w:t>
      </w:r>
      <w:r>
        <w:rPr>
          <w:rFonts w:eastAsia="Times New Roman"/>
          <w:color w:val="000000"/>
          <w:sz w:val="16"/>
          <w:szCs w:val="16"/>
        </w:rPr>
        <w:t>derived from techniques which utilize inputs, certain of which are significant and unobservable, that result in classification as Level 3 fair value measurements.</w:t>
      </w:r>
    </w:p>
    <w:p w:rsidR="00000000" w:rsidRDefault="00943C43">
      <w:pPr>
        <w:jc w:val="both"/>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 Warrants liability includes only the Series A warrants as of March 31, 2022 and December </w:t>
      </w:r>
      <w:r>
        <w:rPr>
          <w:rFonts w:eastAsia="Times New Roman"/>
          <w:color w:val="000000"/>
          <w:sz w:val="16"/>
          <w:szCs w:val="16"/>
        </w:rPr>
        <w:t>31, 2021.</w:t>
      </w:r>
    </w:p>
    <w:p w:rsidR="00000000" w:rsidRDefault="00943C43">
      <w:pPr>
        <w:jc w:val="both"/>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 xml:space="preserve"> The current and non-current portions of the contingent consideration liability are classified within other current and non-current liabilities in the Condensed Consolidated Balance Sheets. The current portion of the contingent consideration l</w:t>
      </w:r>
      <w:r>
        <w:rPr>
          <w:rFonts w:eastAsia="Times New Roman"/>
          <w:color w:val="000000"/>
          <w:sz w:val="16"/>
          <w:szCs w:val="16"/>
        </w:rPr>
        <w:t>iability was $3.6 million and $1.0 million as of March 31, 2022 and December 31, 2021, respectively. The non-current portion of the contingent consideration liability was $4.3 million and $4.6 million as of March 31, 2022 and December 31, 2021, respectivel</w:t>
      </w:r>
      <w:r>
        <w:rPr>
          <w:rFonts w:eastAsia="Times New Roman"/>
          <w:color w:val="000000"/>
          <w:sz w:val="16"/>
          <w:szCs w:val="16"/>
        </w:rPr>
        <w:t>y.</w:t>
      </w:r>
    </w:p>
    <w:p w:rsidR="00000000" w:rsidRDefault="00943C43">
      <w:pPr>
        <w:jc w:val="both"/>
        <w:divId w:val="1116675470"/>
        <w:rPr>
          <w:rFonts w:eastAsia="Times New Roman"/>
        </w:rPr>
      </w:pPr>
      <w:r>
        <w:rPr>
          <w:rFonts w:eastAsia="Times New Roman"/>
          <w:color w:val="000000"/>
          <w:sz w:val="20"/>
          <w:szCs w:val="20"/>
        </w:rPr>
        <w:t>There were no changes to the Company's valuation methodologies during the three months ended March 31, 2022 or 2021.</w:t>
      </w:r>
    </w:p>
    <w:p w:rsidR="00000000" w:rsidRDefault="00943C43">
      <w:pPr>
        <w:jc w:val="both"/>
        <w:divId w:val="1437628945"/>
        <w:rPr>
          <w:rFonts w:eastAsia="Times New Roman"/>
        </w:rPr>
      </w:pPr>
      <w:r>
        <w:rPr>
          <w:rFonts w:eastAsia="Times New Roman"/>
          <w:color w:val="000000"/>
          <w:sz w:val="20"/>
          <w:szCs w:val="20"/>
        </w:rPr>
        <w:t>The following tables present the changes in the Company's recurring Level 3 fair valued instruments for the three months ended March 31,</w:t>
      </w:r>
      <w:r>
        <w:rPr>
          <w:rFonts w:eastAsia="Times New Roman"/>
          <w:color w:val="000000"/>
          <w:sz w:val="20"/>
          <w:szCs w:val="20"/>
        </w:rPr>
        <w:t xml:space="preserve"> 2022 and 2021, respectively:</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5850"/>
        <w:gridCol w:w="38"/>
        <w:gridCol w:w="36"/>
        <w:gridCol w:w="36"/>
        <w:gridCol w:w="36"/>
        <w:gridCol w:w="111"/>
        <w:gridCol w:w="920"/>
        <w:gridCol w:w="36"/>
        <w:gridCol w:w="36"/>
        <w:gridCol w:w="36"/>
        <w:gridCol w:w="36"/>
        <w:gridCol w:w="36"/>
        <w:gridCol w:w="36"/>
        <w:gridCol w:w="36"/>
        <w:gridCol w:w="36"/>
        <w:gridCol w:w="111"/>
        <w:gridCol w:w="798"/>
        <w:gridCol w:w="36"/>
      </w:tblGrid>
      <w:tr w:rsidR="00000000">
        <w:trPr>
          <w:divId w:val="170263905"/>
          <w:jc w:val="center"/>
        </w:trPr>
        <w:tc>
          <w:tcPr>
            <w:tcW w:w="50" w:type="pct"/>
            <w:vAlign w:val="center"/>
            <w:hideMark/>
          </w:tcPr>
          <w:p w:rsidR="00000000" w:rsidRDefault="00943C43">
            <w:pPr>
              <w:jc w:val="both"/>
              <w:rPr>
                <w:rFonts w:eastAsia="Times New Roman"/>
              </w:rPr>
            </w:pPr>
          </w:p>
        </w:tc>
        <w:tc>
          <w:tcPr>
            <w:tcW w:w="36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170263905"/>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Contingent Consideration Liability</w:t>
            </w:r>
          </w:p>
        </w:tc>
        <w:tc>
          <w:tcPr>
            <w:tcW w:w="0" w:type="auto"/>
            <w:vAlign w:val="center"/>
            <w:hideMark/>
          </w:tcPr>
          <w:p w:rsidR="00000000" w:rsidRDefault="00943C43">
            <w:pPr>
              <w:spacing w:after="100"/>
              <w:jc w:val="center"/>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Warrants Liability</w:t>
            </w:r>
          </w:p>
        </w:tc>
      </w:tr>
      <w:tr w:rsidR="00000000">
        <w:trPr>
          <w:divId w:val="17026390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b/>
                <w:bCs/>
                <w:color w:val="000000"/>
                <w:sz w:val="18"/>
                <w:szCs w:val="18"/>
              </w:rPr>
              <w:t>Balance as of December 31, 2021</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10,520 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170263905"/>
          <w:jc w:val="center"/>
        </w:trPr>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70263905"/>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divId w:val="370494989"/>
              <w:rPr>
                <w:rFonts w:eastAsia="Times New Roman"/>
              </w:rPr>
            </w:pPr>
            <w:r>
              <w:rPr>
                <w:rFonts w:eastAsia="Times New Roman"/>
                <w:color w:val="000000"/>
                <w:sz w:val="18"/>
                <w:szCs w:val="18"/>
              </w:rPr>
              <w:t>Total loss (gain) recognized due to remeasurement</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2,348 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(2,435)</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170263905"/>
          <w:jc w:val="center"/>
        </w:trPr>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7026390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b/>
                <w:bCs/>
                <w:color w:val="000000"/>
                <w:sz w:val="18"/>
                <w:szCs w:val="18"/>
              </w:rPr>
              <w:t>Balance as of March 31, 2022</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7,948 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8,085 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bl>
    <w:p w:rsidR="00000000" w:rsidRDefault="00943C43">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w:t>
      </w:r>
      <w:r>
        <w:rPr>
          <w:rFonts w:eastAsia="Times New Roman"/>
          <w:color w:val="000000"/>
          <w:sz w:val="16"/>
          <w:szCs w:val="16"/>
        </w:rPr>
        <w:t>The loss due to remeasurement of the contingent consideration liability was recorded in general and administrative expense, and the gain on remeasurement of the warrants liability was recorded in other income (expense), net, in the Condensed Consolidated S</w:t>
      </w:r>
      <w:r>
        <w:rPr>
          <w:rFonts w:eastAsia="Times New Roman"/>
          <w:color w:val="000000"/>
          <w:sz w:val="16"/>
          <w:szCs w:val="16"/>
        </w:rPr>
        <w:t>tatements of Operations and Comprehensive Loss.</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4928"/>
        <w:gridCol w:w="38"/>
        <w:gridCol w:w="111"/>
        <w:gridCol w:w="879"/>
        <w:gridCol w:w="36"/>
        <w:gridCol w:w="36"/>
        <w:gridCol w:w="36"/>
        <w:gridCol w:w="36"/>
        <w:gridCol w:w="111"/>
        <w:gridCol w:w="879"/>
        <w:gridCol w:w="36"/>
        <w:gridCol w:w="36"/>
        <w:gridCol w:w="36"/>
        <w:gridCol w:w="36"/>
        <w:gridCol w:w="111"/>
        <w:gridCol w:w="879"/>
        <w:gridCol w:w="36"/>
      </w:tblGrid>
      <w:tr w:rsidR="00000000">
        <w:trPr>
          <w:divId w:val="424813472"/>
          <w:jc w:val="center"/>
        </w:trPr>
        <w:tc>
          <w:tcPr>
            <w:tcW w:w="50" w:type="pct"/>
            <w:vAlign w:val="center"/>
            <w:hideMark/>
          </w:tcPr>
          <w:p w:rsidR="00000000" w:rsidRDefault="00943C43">
            <w:pPr>
              <w:jc w:val="both"/>
              <w:rPr>
                <w:rFonts w:eastAsia="Times New Roman"/>
              </w:rPr>
            </w:pPr>
          </w:p>
        </w:tc>
        <w:tc>
          <w:tcPr>
            <w:tcW w:w="3020"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424813472"/>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Interest Make-whole Derivative Liability</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Financing Derivative Liabilities</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Warrants Liability</w:t>
            </w:r>
          </w:p>
        </w:tc>
      </w:tr>
      <w:tr w:rsidR="00000000">
        <w:trPr>
          <w:divId w:val="424813472"/>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b/>
                <w:bCs/>
                <w:color w:val="000000"/>
                <w:sz w:val="18"/>
                <w:szCs w:val="18"/>
              </w:rPr>
              <w:t>Balance as of December 31,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11,300 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2,831 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424813472"/>
          <w:jc w:val="center"/>
        </w:trPr>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24813472"/>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divId w:val="1683820580"/>
              <w:rPr>
                <w:rFonts w:eastAsia="Times New Roman"/>
              </w:rPr>
            </w:pPr>
            <w:r>
              <w:rPr>
                <w:rFonts w:eastAsia="Times New Roman"/>
                <w:color w:val="000000"/>
                <w:sz w:val="18"/>
                <w:szCs w:val="18"/>
              </w:rPr>
              <w:t>Total loss (gain) recognized due to remeasurement</w:t>
            </w:r>
            <w:r>
              <w:rPr>
                <w:rFonts w:eastAsia="Times New Roman"/>
                <w:i/>
                <w:iCs/>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150 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(1,800)</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10,001 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424813472"/>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divId w:val="1188105127"/>
              <w:rPr>
                <w:rFonts w:eastAsia="Times New Roman"/>
              </w:rPr>
            </w:pPr>
            <w:r>
              <w:rPr>
                <w:rFonts w:eastAsia="Times New Roman"/>
                <w:color w:val="000000"/>
                <w:sz w:val="18"/>
                <w:szCs w:val="18"/>
              </w:rPr>
              <w:t>Settlement or derecognition upon extinguishment of host debt</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(1,021)</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(9,500)</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424813472"/>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b/>
                <w:bCs/>
                <w:color w:val="000000"/>
                <w:sz w:val="18"/>
                <w:szCs w:val="18"/>
              </w:rPr>
              <w:t>Balance as of March 31,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12,832 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bl>
    <w:p w:rsidR="00000000" w:rsidRDefault="00943C43">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w:t>
      </w:r>
      <w:r>
        <w:rPr>
          <w:rFonts w:eastAsia="Times New Roman"/>
          <w:color w:val="000000"/>
          <w:sz w:val="16"/>
          <w:szCs w:val="16"/>
        </w:rPr>
        <w:t>All losses and gains were recorded in other income (expense), net in the Condensed Consolidated Statements of Operations and Comprehensive Loss.</w:t>
      </w:r>
    </w:p>
    <w:p w:rsidR="00000000" w:rsidRDefault="00943C43">
      <w:pPr>
        <w:jc w:val="both"/>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 Refer to </w:t>
      </w:r>
      <w:hyperlink w:anchor="i81c699a6f33e49f8a081f48620e58c22_55" w:history="1">
        <w:r>
          <w:rPr>
            <w:rStyle w:val="a3"/>
            <w:rFonts w:eastAsia="Times New Roman"/>
            <w:sz w:val="16"/>
            <w:szCs w:val="16"/>
          </w:rPr>
          <w:t>Footnote 5</w:t>
        </w:r>
      </w:hyperlink>
      <w:r>
        <w:rPr>
          <w:rFonts w:eastAsia="Times New Roman"/>
          <w:color w:val="000000"/>
          <w:sz w:val="16"/>
          <w:szCs w:val="16"/>
        </w:rPr>
        <w:t xml:space="preserve">, </w:t>
      </w:r>
      <w:r>
        <w:rPr>
          <w:rFonts w:eastAsia="Times New Roman"/>
          <w:i/>
          <w:iCs/>
          <w:color w:val="000000"/>
          <w:sz w:val="16"/>
          <w:szCs w:val="16"/>
        </w:rPr>
        <w:t>Debt</w:t>
      </w:r>
      <w:r>
        <w:rPr>
          <w:rFonts w:eastAsia="Times New Roman"/>
          <w:color w:val="000000"/>
          <w:sz w:val="16"/>
          <w:szCs w:val="16"/>
        </w:rPr>
        <w:t xml:space="preserve"> for additional informa</w:t>
      </w:r>
      <w:r>
        <w:rPr>
          <w:rFonts w:eastAsia="Times New Roman"/>
          <w:color w:val="000000"/>
          <w:sz w:val="16"/>
          <w:szCs w:val="16"/>
        </w:rPr>
        <w:t xml:space="preserve">tion on the extinguishment of the Notes and Secured Term Note. </w:t>
      </w:r>
    </w:p>
    <w:p w:rsidR="00000000" w:rsidRDefault="00943C43">
      <w:pPr>
        <w:jc w:val="both"/>
        <w:divId w:val="1032458458"/>
        <w:rPr>
          <w:rFonts w:eastAsia="Times New Roman"/>
        </w:rPr>
      </w:pPr>
      <w:r>
        <w:rPr>
          <w:rFonts w:eastAsia="Times New Roman"/>
          <w:color w:val="000000"/>
          <w:sz w:val="20"/>
          <w:szCs w:val="20"/>
        </w:rPr>
        <w:t xml:space="preserve">The following table displays the valuation technique and the significant inputs, certain of which are unobservable, for the Company's Level 3 liabilities that existed as of March 31, 2022 and </w:t>
      </w:r>
      <w:r>
        <w:rPr>
          <w:rFonts w:eastAsia="Times New Roman"/>
          <w:color w:val="000000"/>
          <w:sz w:val="20"/>
          <w:szCs w:val="20"/>
        </w:rPr>
        <w:t>December 31, 2021 that are measured at fair value on a recurring basis:</w:t>
      </w:r>
    </w:p>
    <w:tbl>
      <w:tblPr>
        <w:tblW w:w="4996" w:type="pct"/>
        <w:jc w:val="center"/>
        <w:tblCellMar>
          <w:top w:w="15" w:type="dxa"/>
          <w:left w:w="15" w:type="dxa"/>
          <w:bottom w:w="15" w:type="dxa"/>
          <w:right w:w="15" w:type="dxa"/>
        </w:tblCellMar>
        <w:tblLook w:val="04A0" w:firstRow="1" w:lastRow="0" w:firstColumn="1" w:lastColumn="0" w:noHBand="0" w:noVBand="1"/>
      </w:tblPr>
      <w:tblGrid>
        <w:gridCol w:w="41"/>
        <w:gridCol w:w="3854"/>
        <w:gridCol w:w="37"/>
        <w:gridCol w:w="36"/>
        <w:gridCol w:w="36"/>
        <w:gridCol w:w="36"/>
        <w:gridCol w:w="79"/>
        <w:gridCol w:w="450"/>
        <w:gridCol w:w="38"/>
        <w:gridCol w:w="79"/>
        <w:gridCol w:w="359"/>
        <w:gridCol w:w="37"/>
        <w:gridCol w:w="36"/>
        <w:gridCol w:w="36"/>
        <w:gridCol w:w="36"/>
        <w:gridCol w:w="63"/>
        <w:gridCol w:w="357"/>
        <w:gridCol w:w="36"/>
        <w:gridCol w:w="62"/>
        <w:gridCol w:w="317"/>
        <w:gridCol w:w="36"/>
        <w:gridCol w:w="36"/>
        <w:gridCol w:w="36"/>
        <w:gridCol w:w="36"/>
        <w:gridCol w:w="42"/>
        <w:gridCol w:w="903"/>
        <w:gridCol w:w="36"/>
        <w:gridCol w:w="36"/>
        <w:gridCol w:w="36"/>
        <w:gridCol w:w="36"/>
        <w:gridCol w:w="82"/>
        <w:gridCol w:w="922"/>
        <w:gridCol w:w="37"/>
      </w:tblGrid>
      <w:tr w:rsidR="00000000">
        <w:trPr>
          <w:divId w:val="835917905"/>
          <w:jc w:val="center"/>
        </w:trPr>
        <w:tc>
          <w:tcPr>
            <w:tcW w:w="50" w:type="pct"/>
            <w:vAlign w:val="center"/>
            <w:hideMark/>
          </w:tcPr>
          <w:p w:rsidR="00000000" w:rsidRDefault="00943C43">
            <w:pPr>
              <w:jc w:val="both"/>
              <w:rPr>
                <w:rFonts w:eastAsia="Times New Roman"/>
              </w:rPr>
            </w:pPr>
          </w:p>
        </w:tc>
        <w:tc>
          <w:tcPr>
            <w:tcW w:w="23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286"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228"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286"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228"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Fair Value Measurements</w:t>
            </w:r>
          </w:p>
        </w:tc>
      </w:tr>
      <w:tr w:rsidR="00000000">
        <w:trPr>
          <w:divId w:val="835917905"/>
          <w:jc w:val="center"/>
        </w:trPr>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Significant Valuation Technique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Significant Valuation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March 31,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December 31, 2021</w:t>
            </w:r>
          </w:p>
        </w:tc>
      </w:tr>
      <w:tr w:rsidR="00000000">
        <w:trPr>
          <w:divId w:val="835917905"/>
          <w:jc w:val="center"/>
        </w:trPr>
        <w:tc>
          <w:tcPr>
            <w:tcW w:w="0" w:type="auto"/>
            <w:gridSpan w:val="3"/>
            <w:vAlign w:val="center"/>
            <w:hideMark/>
          </w:tcPr>
          <w:p w:rsidR="00000000" w:rsidRDefault="00943C43">
            <w:pPr>
              <w:spacing w:after="100"/>
              <w:jc w:val="center"/>
              <w:rPr>
                <w:rFonts w:eastAsia="Times New Roman"/>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Warrants liability</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Option pricing</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Stock price</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$2.91</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$3.34</w:t>
            </w:r>
          </w:p>
        </w:tc>
      </w:tr>
      <w:tr w:rsidR="00000000">
        <w:trPr>
          <w:divId w:val="835917905"/>
          <w:jc w:val="center"/>
        </w:trPr>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6"/>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Exercise price</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$2.47</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$2.47</w:t>
            </w:r>
          </w:p>
        </w:tc>
      </w:tr>
      <w:tr w:rsidR="00000000">
        <w:trPr>
          <w:divId w:val="835917905"/>
          <w:jc w:val="center"/>
        </w:trPr>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6"/>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Volatility</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80.0%</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85.0%</w:t>
            </w:r>
          </w:p>
        </w:tc>
      </w:tr>
      <w:tr w:rsidR="00000000">
        <w:trPr>
          <w:divId w:val="835917905"/>
          <w:jc w:val="center"/>
        </w:trPr>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6"/>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Term</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2.24 years</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 xml:space="preserve">2.49 </w:t>
            </w:r>
            <w:r>
              <w:rPr>
                <w:rFonts w:eastAsia="Times New Roman"/>
                <w:color w:val="000000"/>
                <w:sz w:val="18"/>
                <w:szCs w:val="18"/>
              </w:rPr>
              <w:t>years</w:t>
            </w:r>
          </w:p>
        </w:tc>
      </w:tr>
      <w:tr w:rsidR="00000000">
        <w:trPr>
          <w:divId w:val="835917905"/>
          <w:jc w:val="center"/>
        </w:trPr>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6"/>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Risk-free rate</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2.3%</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 xml:space="preserve">0.9% </w:t>
            </w:r>
          </w:p>
        </w:tc>
      </w:tr>
      <w:tr w:rsidR="00000000">
        <w:trPr>
          <w:divId w:val="835917905"/>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Contingent consideration liability</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6"/>
            <w:shd w:val="clear" w:color="auto" w:fill="CCEE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Combination</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6"/>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Cost of debt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5.1% - 6.0%</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4.4%</w:t>
            </w:r>
          </w:p>
        </w:tc>
      </w:tr>
      <w:tr w:rsidR="00000000">
        <w:trPr>
          <w:divId w:val="835917905"/>
          <w:jc w:val="center"/>
        </w:trPr>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6"/>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Product credit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$10.7 million</w:t>
            </w:r>
          </w:p>
        </w:tc>
      </w:tr>
      <w:tr w:rsidR="00000000">
        <w:trPr>
          <w:divId w:val="835917905"/>
          <w:jc w:val="center"/>
        </w:trPr>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6"/>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Revenue volatility</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21.0%</w:t>
            </w:r>
          </w:p>
        </w:tc>
      </w:tr>
      <w:tr w:rsidR="00000000">
        <w:trPr>
          <w:divId w:val="835917905"/>
          <w:jc w:val="center"/>
        </w:trPr>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6"/>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Risk premium</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8.4%</w:t>
            </w:r>
          </w:p>
        </w:tc>
      </w:tr>
      <w:tr w:rsidR="00000000">
        <w:trPr>
          <w:divId w:val="835917905"/>
          <w:jc w:val="center"/>
        </w:trPr>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6"/>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Option term</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color w:val="000000"/>
                <w:sz w:val="18"/>
                <w:szCs w:val="18"/>
              </w:rPr>
              <w:t>1.04 years</w:t>
            </w:r>
          </w:p>
        </w:tc>
      </w:tr>
      <w:tr w:rsidR="00000000">
        <w:trPr>
          <w:divId w:val="835917905"/>
          <w:jc w:val="center"/>
        </w:trPr>
        <w:tc>
          <w:tcPr>
            <w:tcW w:w="0" w:type="auto"/>
            <w:gridSpan w:val="3"/>
            <w:vAlign w:val="center"/>
            <w:hideMark/>
          </w:tcPr>
          <w:p w:rsidR="00000000" w:rsidRDefault="00943C43">
            <w:pPr>
              <w:spacing w:after="100"/>
              <w:jc w:val="center"/>
              <w:rPr>
                <w:rFonts w:eastAsia="Times New Roman"/>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835917905"/>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bl>
    <w:p w:rsidR="00000000" w:rsidRDefault="00943C43">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The Company applied a 100.0% weighting to the discounted cash flow model outcome as of March </w:t>
      </w:r>
      <w:r>
        <w:rPr>
          <w:rFonts w:eastAsia="Times New Roman"/>
          <w:color w:val="000000"/>
          <w:sz w:val="16"/>
          <w:szCs w:val="16"/>
        </w:rPr>
        <w:t xml:space="preserve">31, 2022. The selected weightings for the option pricing model and discounted cash flow model outcomes were 70.0% and 30.0%, respectively, as of December 31, 2021. Refer to </w:t>
      </w:r>
      <w:hyperlink w:anchor="i81c699a6f33e49f8a081f48620e58c22_37" w:history="1">
        <w:r>
          <w:rPr>
            <w:rStyle w:val="a3"/>
            <w:rFonts w:eastAsia="Times New Roman"/>
            <w:sz w:val="16"/>
            <w:szCs w:val="16"/>
          </w:rPr>
          <w:t>Footnote 2</w:t>
        </w:r>
      </w:hyperlink>
      <w:r>
        <w:rPr>
          <w:rFonts w:eastAsia="Times New Roman"/>
          <w:color w:val="000000"/>
          <w:sz w:val="16"/>
          <w:szCs w:val="16"/>
        </w:rPr>
        <w:t xml:space="preserve">, </w:t>
      </w:r>
      <w:r>
        <w:rPr>
          <w:rFonts w:eastAsia="Times New Roman"/>
          <w:i/>
          <w:iCs/>
          <w:color w:val="000000"/>
          <w:sz w:val="16"/>
          <w:szCs w:val="16"/>
        </w:rPr>
        <w:t>Summary of S</w:t>
      </w:r>
      <w:r>
        <w:rPr>
          <w:rFonts w:eastAsia="Times New Roman"/>
          <w:i/>
          <w:iCs/>
          <w:color w:val="000000"/>
          <w:sz w:val="16"/>
          <w:szCs w:val="16"/>
        </w:rPr>
        <w:t>ignificant Accounting Policies</w:t>
      </w:r>
      <w:r>
        <w:rPr>
          <w:rFonts w:eastAsia="Times New Roman"/>
          <w:color w:val="000000"/>
          <w:sz w:val="16"/>
          <w:szCs w:val="16"/>
        </w:rPr>
        <w:t xml:space="preserve"> for further information on the valuation techniques.</w:t>
      </w:r>
    </w:p>
    <w:p w:rsidR="00000000" w:rsidRDefault="00943C43">
      <w:pPr>
        <w:jc w:val="both"/>
        <w:divId w:val="2031100004"/>
        <w:rPr>
          <w:rFonts w:eastAsia="Times New Roman"/>
        </w:rPr>
      </w:pPr>
      <w:r>
        <w:rPr>
          <w:rFonts w:eastAsia="Times New Roman"/>
          <w:color w:val="000000"/>
          <w:sz w:val="20"/>
          <w:szCs w:val="20"/>
        </w:rPr>
        <w:t xml:space="preserve">The primary sensitivities in the valuation of the warrants liability are driven by the Common Stock price at the measurement date and the expected volatility of the Common </w:t>
      </w:r>
      <w:r>
        <w:rPr>
          <w:rFonts w:eastAsia="Times New Roman"/>
          <w:color w:val="000000"/>
          <w:sz w:val="20"/>
          <w:szCs w:val="20"/>
        </w:rPr>
        <w:t>Stock over the remaining term.</w:t>
      </w:r>
    </w:p>
    <w:p w:rsidR="00000000" w:rsidRDefault="00943C43">
      <w:pPr>
        <w:jc w:val="both"/>
        <w:divId w:val="504785014"/>
        <w:rPr>
          <w:rFonts w:eastAsia="Times New Roman"/>
        </w:rPr>
      </w:pPr>
      <w:r>
        <w:rPr>
          <w:rFonts w:eastAsia="Times New Roman"/>
          <w:color w:val="000000"/>
          <w:sz w:val="20"/>
          <w:szCs w:val="20"/>
        </w:rPr>
        <w:t>The primary sensitivities in the discounted cash flow model are the cost of debt and the selected weighting of the model. The primary sensitivities in the option pricing model are driven by forecasted performance and the sele</w:t>
      </w:r>
      <w:r>
        <w:rPr>
          <w:rFonts w:eastAsia="Times New Roman"/>
          <w:color w:val="000000"/>
          <w:sz w:val="20"/>
          <w:szCs w:val="20"/>
        </w:rPr>
        <w:t>cted weighting of the model.</w:t>
      </w:r>
    </w:p>
    <w:p w:rsidR="00000000" w:rsidRDefault="00943C43">
      <w:pPr>
        <w:jc w:val="center"/>
        <w:divId w:val="428627555"/>
        <w:rPr>
          <w:rFonts w:eastAsia="Times New Roman"/>
        </w:rPr>
      </w:pPr>
      <w:r>
        <w:rPr>
          <w:rFonts w:eastAsia="Times New Roman"/>
          <w:color w:val="000000"/>
          <w:sz w:val="20"/>
          <w:szCs w:val="20"/>
        </w:rPr>
        <w:t>12</w:t>
      </w:r>
    </w:p>
    <w:p w:rsidR="00000000" w:rsidRDefault="00943C43">
      <w:pPr>
        <w:rPr>
          <w:rFonts w:eastAsia="Times New Roman"/>
        </w:rPr>
      </w:pPr>
      <w:r>
        <w:rPr>
          <w:rFonts w:eastAsia="Times New Roman"/>
        </w:rPr>
        <w:pict>
          <v:rect id="_x0000_i1039" style="width:0;height:1.5pt" o:hralign="center" o:hrstd="t" o:hr="t" fillcolor="#a0a0a0" stroked="f"/>
        </w:pict>
      </w:r>
    </w:p>
    <w:p w:rsidR="00000000" w:rsidRDefault="00943C43">
      <w:pPr>
        <w:divId w:val="1170412416"/>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763499189"/>
        <w:rPr>
          <w:rFonts w:eastAsia="Times New Roman"/>
        </w:rPr>
      </w:pPr>
    </w:p>
    <w:p w:rsidR="00000000" w:rsidRDefault="00943C43">
      <w:pPr>
        <w:ind w:hanging="360"/>
        <w:jc w:val="both"/>
        <w:divId w:val="1118379870"/>
        <w:rPr>
          <w:rFonts w:eastAsia="Times New Roman"/>
        </w:rPr>
      </w:pPr>
      <w:r>
        <w:rPr>
          <w:rFonts w:eastAsia="Times New Roman"/>
          <w:b/>
          <w:bCs/>
          <w:color w:val="000000"/>
          <w:sz w:val="20"/>
          <w:szCs w:val="20"/>
        </w:rPr>
        <w:t>7.Accrued Expenses</w:t>
      </w:r>
    </w:p>
    <w:tbl>
      <w:tblPr>
        <w:tblW w:w="4996" w:type="pct"/>
        <w:tblCellMar>
          <w:top w:w="15" w:type="dxa"/>
          <w:left w:w="15" w:type="dxa"/>
          <w:bottom w:w="15" w:type="dxa"/>
          <w:right w:w="15" w:type="dxa"/>
        </w:tblCellMar>
        <w:tblLook w:val="04A0" w:firstRow="1" w:lastRow="0" w:firstColumn="1" w:lastColumn="0" w:noHBand="0" w:noVBand="1"/>
      </w:tblPr>
      <w:tblGrid>
        <w:gridCol w:w="38"/>
        <w:gridCol w:w="5961"/>
        <w:gridCol w:w="37"/>
        <w:gridCol w:w="36"/>
        <w:gridCol w:w="36"/>
        <w:gridCol w:w="36"/>
        <w:gridCol w:w="110"/>
        <w:gridCol w:w="877"/>
        <w:gridCol w:w="36"/>
        <w:gridCol w:w="36"/>
        <w:gridCol w:w="36"/>
        <w:gridCol w:w="36"/>
        <w:gridCol w:w="111"/>
        <w:gridCol w:w="877"/>
        <w:gridCol w:w="36"/>
      </w:tblGrid>
      <w:tr w:rsidR="00000000">
        <w:trPr>
          <w:divId w:val="1545405858"/>
        </w:trPr>
        <w:tc>
          <w:tcPr>
            <w:tcW w:w="50" w:type="pct"/>
            <w:vAlign w:val="center"/>
            <w:hideMark/>
          </w:tcPr>
          <w:p w:rsidR="00000000" w:rsidRDefault="00943C43">
            <w:pPr>
              <w:ind w:hanging="360"/>
              <w:jc w:val="both"/>
              <w:rPr>
                <w:rFonts w:eastAsia="Times New Roman"/>
              </w:rPr>
            </w:pPr>
          </w:p>
        </w:tc>
        <w:tc>
          <w:tcPr>
            <w:tcW w:w="36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1545405858"/>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As of</w:t>
            </w:r>
          </w:p>
        </w:tc>
      </w:tr>
      <w:tr w:rsidR="00000000">
        <w:trPr>
          <w:divId w:val="1545405858"/>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December 31, 2021</w:t>
            </w:r>
          </w:p>
        </w:tc>
      </w:tr>
      <w:tr w:rsidR="00000000">
        <w:trPr>
          <w:divId w:val="1545405858"/>
        </w:trPr>
        <w:tc>
          <w:tcPr>
            <w:tcW w:w="0" w:type="auto"/>
            <w:gridSpan w:val="3"/>
            <w:vAlign w:val="center"/>
            <w:hideMark/>
          </w:tcPr>
          <w:p w:rsidR="00000000" w:rsidRDefault="00943C43">
            <w:pPr>
              <w:spacing w:after="100"/>
              <w:jc w:val="center"/>
              <w:rPr>
                <w:rFonts w:eastAsia="Times New Roman"/>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545405858"/>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Accrued data costs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17,749 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18,116 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1545405858"/>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Payroll and payroll-related</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10,205 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16,272 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1545405858"/>
        </w:trPr>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545405858"/>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Professional fees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2,763 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2,978 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1545405858"/>
        </w:trPr>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545405858"/>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545405858"/>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545405858"/>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7,676 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7,898 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1545405858"/>
        </w:trPr>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545405858"/>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Total accrued expenses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38,393 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45,264 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bl>
    <w:p w:rsidR="00000000" w:rsidRDefault="00943C43">
      <w:pPr>
        <w:ind w:hanging="360"/>
        <w:jc w:val="both"/>
        <w:divId w:val="514733065"/>
        <w:rPr>
          <w:rFonts w:eastAsia="Times New Roman"/>
        </w:rPr>
      </w:pPr>
      <w:r>
        <w:rPr>
          <w:rFonts w:eastAsia="Times New Roman"/>
          <w:b/>
          <w:bCs/>
          <w:color w:val="000000"/>
          <w:sz w:val="20"/>
          <w:szCs w:val="20"/>
        </w:rPr>
        <w:t>8.R</w:t>
      </w:r>
      <w:r>
        <w:rPr>
          <w:rFonts w:eastAsia="Times New Roman"/>
          <w:b/>
          <w:bCs/>
          <w:color w:val="000000"/>
          <w:sz w:val="20"/>
          <w:szCs w:val="20"/>
        </w:rPr>
        <w:t>elated Party Transactions</w:t>
      </w:r>
    </w:p>
    <w:p w:rsidR="00000000" w:rsidRDefault="00943C43">
      <w:pPr>
        <w:jc w:val="both"/>
        <w:divId w:val="1344088426"/>
        <w:rPr>
          <w:rFonts w:eastAsia="Times New Roman"/>
        </w:rPr>
      </w:pPr>
      <w:r>
        <w:rPr>
          <w:rFonts w:eastAsia="Times New Roman"/>
          <w:b/>
          <w:bCs/>
          <w:i/>
          <w:iCs/>
          <w:color w:val="000000"/>
          <w:sz w:val="20"/>
          <w:szCs w:val="20"/>
        </w:rPr>
        <w:t>Transactions with WPP plc</w:t>
      </w:r>
    </w:p>
    <w:p w:rsidR="00000000" w:rsidRDefault="00943C43">
      <w:pPr>
        <w:jc w:val="both"/>
        <w:divId w:val="1719233909"/>
        <w:rPr>
          <w:rFonts w:eastAsia="Times New Roman"/>
        </w:rPr>
      </w:pPr>
      <w:r>
        <w:rPr>
          <w:rFonts w:eastAsia="Times New Roman"/>
          <w:color w:val="000000"/>
          <w:sz w:val="20"/>
          <w:szCs w:val="20"/>
        </w:rPr>
        <w:t xml:space="preserve">As of March 31, 2022 (based on public filings), WPP plc and its affiliates ("WPP") owned 11,319,363 </w:t>
      </w:r>
      <w:r>
        <w:rPr>
          <w:rFonts w:eastAsia="Times New Roman"/>
          <w:color w:val="000000"/>
          <w:sz w:val="20"/>
          <w:szCs w:val="20"/>
        </w:rPr>
        <w:t>shares of the Company's outstanding Common Stock, representing 12.5% of the outstanding Common Stock. The Company provides WPP, in the normal course of business, services amongst its different product lines and receives various services from WPP supporting</w:t>
      </w:r>
      <w:r>
        <w:rPr>
          <w:rFonts w:eastAsia="Times New Roman"/>
          <w:color w:val="000000"/>
          <w:sz w:val="20"/>
          <w:szCs w:val="20"/>
        </w:rPr>
        <w:t xml:space="preserve"> the Company's data collection efforts. </w:t>
      </w:r>
    </w:p>
    <w:p w:rsidR="00000000" w:rsidRDefault="00943C43">
      <w:pPr>
        <w:jc w:val="both"/>
        <w:divId w:val="1170758200"/>
        <w:rPr>
          <w:rFonts w:eastAsia="Times New Roman"/>
        </w:rPr>
      </w:pPr>
      <w:r>
        <w:rPr>
          <w:rFonts w:eastAsia="Times New Roman"/>
          <w:color w:val="000000"/>
          <w:sz w:val="20"/>
          <w:szCs w:val="20"/>
        </w:rPr>
        <w:t>The Company's results from transactions with WPP, as reflected in the Condensed Consolidated Statements of Operations and Comprehensive Loss, are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7"/>
        <w:gridCol w:w="5820"/>
        <w:gridCol w:w="36"/>
        <w:gridCol w:w="110"/>
        <w:gridCol w:w="859"/>
        <w:gridCol w:w="36"/>
        <w:gridCol w:w="36"/>
        <w:gridCol w:w="36"/>
        <w:gridCol w:w="36"/>
        <w:gridCol w:w="110"/>
        <w:gridCol w:w="859"/>
        <w:gridCol w:w="36"/>
        <w:gridCol w:w="36"/>
        <w:gridCol w:w="36"/>
        <w:gridCol w:w="36"/>
        <w:gridCol w:w="36"/>
        <w:gridCol w:w="36"/>
        <w:gridCol w:w="36"/>
        <w:gridCol w:w="36"/>
        <w:gridCol w:w="36"/>
      </w:tblGrid>
      <w:tr w:rsidR="00000000">
        <w:trPr>
          <w:divId w:val="1497527954"/>
          <w:jc w:val="center"/>
        </w:trPr>
        <w:tc>
          <w:tcPr>
            <w:tcW w:w="50" w:type="pct"/>
            <w:vAlign w:val="center"/>
            <w:hideMark/>
          </w:tcPr>
          <w:p w:rsidR="00000000" w:rsidRDefault="00943C43">
            <w:pPr>
              <w:jc w:val="both"/>
              <w:rPr>
                <w:rFonts w:eastAsia="Times New Roman"/>
              </w:rPr>
            </w:pPr>
          </w:p>
        </w:tc>
        <w:tc>
          <w:tcPr>
            <w:tcW w:w="3670"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97527954"/>
          <w:jc w:val="center"/>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943C43">
            <w:pPr>
              <w:spacing w:after="100"/>
              <w:jc w:val="center"/>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497527954"/>
          <w:jc w:val="center"/>
        </w:trPr>
        <w:tc>
          <w:tcPr>
            <w:tcW w:w="0" w:type="auto"/>
            <w:gridSpan w:val="3"/>
            <w:tcMar>
              <w:top w:w="30" w:type="dxa"/>
              <w:left w:w="20" w:type="dxa"/>
              <w:bottom w:w="30" w:type="dxa"/>
              <w:right w:w="20" w:type="dxa"/>
            </w:tcMar>
            <w:vAlign w:val="bottom"/>
            <w:hideMark/>
          </w:tcPr>
          <w:p w:rsidR="00000000" w:rsidRDefault="00943C43">
            <w:pPr>
              <w:spacing w:after="100"/>
              <w:jc w:val="both"/>
              <w:rPr>
                <w:rFonts w:eastAsia="Times New Roman"/>
              </w:rPr>
            </w:pPr>
            <w:r>
              <w:rPr>
                <w:rFonts w:eastAsia="Times New Roman"/>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2021</w:t>
            </w:r>
          </w:p>
        </w:tc>
        <w:tc>
          <w:tcPr>
            <w:tcW w:w="0" w:type="auto"/>
            <w:vAlign w:val="center"/>
            <w:hideMark/>
          </w:tcPr>
          <w:p w:rsidR="00000000" w:rsidRDefault="00943C43">
            <w:pPr>
              <w:spacing w:after="100"/>
              <w:jc w:val="center"/>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97527954"/>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xml:space="preserve">Revenues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3,341 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3,326 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9752795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97527954"/>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Cost of revenues</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2,140 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4,677 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9752795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9752795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9752795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9752795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97527954"/>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bl>
    <w:p w:rsidR="00000000" w:rsidRDefault="00943C43">
      <w:pPr>
        <w:jc w:val="both"/>
        <w:divId w:val="2056856684"/>
        <w:rPr>
          <w:rFonts w:eastAsia="Times New Roman"/>
        </w:rPr>
      </w:pPr>
      <w:r>
        <w:rPr>
          <w:rFonts w:eastAsia="Times New Roman"/>
          <w:color w:val="000000"/>
          <w:sz w:val="20"/>
          <w:szCs w:val="20"/>
        </w:rPr>
        <w:t>The Company has the following balances related to transactions with WPP, as reflected in the Condensed Consolidated Balance Sheets:</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5961"/>
        <w:gridCol w:w="37"/>
        <w:gridCol w:w="36"/>
        <w:gridCol w:w="36"/>
        <w:gridCol w:w="36"/>
        <w:gridCol w:w="110"/>
        <w:gridCol w:w="877"/>
        <w:gridCol w:w="36"/>
        <w:gridCol w:w="36"/>
        <w:gridCol w:w="36"/>
        <w:gridCol w:w="36"/>
        <w:gridCol w:w="111"/>
        <w:gridCol w:w="877"/>
        <w:gridCol w:w="36"/>
      </w:tblGrid>
      <w:tr w:rsidR="00000000">
        <w:trPr>
          <w:divId w:val="448089059"/>
          <w:jc w:val="center"/>
        </w:trPr>
        <w:tc>
          <w:tcPr>
            <w:tcW w:w="50" w:type="pct"/>
            <w:vAlign w:val="center"/>
            <w:hideMark/>
          </w:tcPr>
          <w:p w:rsidR="00000000" w:rsidRDefault="00943C43">
            <w:pPr>
              <w:jc w:val="both"/>
              <w:rPr>
                <w:rFonts w:eastAsia="Times New Roman"/>
              </w:rPr>
            </w:pPr>
          </w:p>
        </w:tc>
        <w:tc>
          <w:tcPr>
            <w:tcW w:w="36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448089059"/>
          <w:jc w:val="center"/>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As of</w:t>
            </w:r>
          </w:p>
        </w:tc>
      </w:tr>
      <w:tr w:rsidR="00000000">
        <w:trPr>
          <w:divId w:val="448089059"/>
          <w:jc w:val="center"/>
        </w:trPr>
        <w:tc>
          <w:tcPr>
            <w:tcW w:w="0" w:type="auto"/>
            <w:gridSpan w:val="3"/>
            <w:tcMar>
              <w:top w:w="30" w:type="dxa"/>
              <w:left w:w="20" w:type="dxa"/>
              <w:bottom w:w="30" w:type="dxa"/>
              <w:right w:w="20" w:type="dxa"/>
            </w:tcMar>
            <w:vAlign w:val="bottom"/>
            <w:hideMark/>
          </w:tcPr>
          <w:p w:rsidR="00000000" w:rsidRDefault="00943C43">
            <w:pPr>
              <w:spacing w:after="100"/>
              <w:jc w:val="both"/>
              <w:rPr>
                <w:rFonts w:eastAsia="Times New Roman"/>
              </w:rPr>
            </w:pPr>
            <w:r>
              <w:rPr>
                <w:rFonts w:eastAsia="Times New Roman"/>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December 31, 2021</w:t>
            </w:r>
          </w:p>
        </w:tc>
      </w:tr>
      <w:tr w:rsidR="00000000">
        <w:trPr>
          <w:divId w:val="448089059"/>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divId w:val="448089059"/>
          <w:jc w:val="center"/>
        </w:trPr>
        <w:tc>
          <w:tcPr>
            <w:tcW w:w="0" w:type="auto"/>
            <w:gridSpan w:val="3"/>
            <w:shd w:val="clear" w:color="auto" w:fill="FFFFFF"/>
            <w:tcMar>
              <w:top w:w="30" w:type="dxa"/>
              <w:left w:w="14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Accounts receivable, net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2,019 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3,506 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448089059"/>
          <w:jc w:val="center"/>
        </w:trPr>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48089059"/>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48089059"/>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divId w:val="448089059"/>
          <w:jc w:val="center"/>
        </w:trPr>
        <w:tc>
          <w:tcPr>
            <w:tcW w:w="0" w:type="auto"/>
            <w:gridSpan w:val="3"/>
            <w:shd w:val="clear" w:color="auto" w:fill="FFFFFF"/>
            <w:tcMar>
              <w:top w:w="30" w:type="dxa"/>
              <w:left w:w="14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2,428 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1,395 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448089059"/>
          <w:jc w:val="center"/>
        </w:trPr>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448089059"/>
          <w:jc w:val="center"/>
        </w:trPr>
        <w:tc>
          <w:tcPr>
            <w:tcW w:w="0" w:type="auto"/>
            <w:gridSpan w:val="3"/>
            <w:shd w:val="clear" w:color="auto" w:fill="CCEEFF"/>
            <w:tcMar>
              <w:top w:w="30" w:type="dxa"/>
              <w:left w:w="14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Contract liabilities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3,276 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3,403 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448089059"/>
          <w:jc w:val="center"/>
        </w:trPr>
        <w:tc>
          <w:tcPr>
            <w:tcW w:w="0" w:type="auto"/>
            <w:gridSpan w:val="3"/>
            <w:shd w:val="clear" w:color="auto" w:fill="FFFFFF"/>
            <w:tcMar>
              <w:top w:w="30" w:type="dxa"/>
              <w:left w:w="14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Other 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994 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1,582 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bl>
    <w:p w:rsidR="00000000" w:rsidRDefault="00943C43">
      <w:pPr>
        <w:divId w:val="1440687530"/>
        <w:rPr>
          <w:rFonts w:eastAsia="Times New Roman"/>
        </w:rPr>
      </w:pPr>
      <w:r>
        <w:rPr>
          <w:rFonts w:eastAsia="Times New Roman"/>
          <w:b/>
          <w:bCs/>
          <w:i/>
          <w:iCs/>
          <w:color w:val="000000"/>
          <w:sz w:val="20"/>
          <w:szCs w:val="20"/>
        </w:rPr>
        <w:t>Transactions with Charter, Qurate and Pine</w:t>
      </w:r>
    </w:p>
    <w:p w:rsidR="00000000" w:rsidRDefault="00943C43">
      <w:pPr>
        <w:jc w:val="both"/>
        <w:divId w:val="48572635"/>
        <w:rPr>
          <w:rFonts w:eastAsia="Times New Roman"/>
        </w:rPr>
      </w:pPr>
      <w:r>
        <w:rPr>
          <w:rFonts w:eastAsia="Times New Roman"/>
          <w:color w:val="000000"/>
          <w:sz w:val="20"/>
          <w:szCs w:val="20"/>
        </w:rPr>
        <w:t>Charter, Qurate (through an affiliate) and Pine each hold 33.3</w:t>
      </w:r>
      <w:r>
        <w:rPr>
          <w:rFonts w:eastAsia="Times New Roman"/>
          <w:color w:val="000000"/>
          <w:sz w:val="20"/>
          <w:szCs w:val="20"/>
        </w:rPr>
        <w:t>% of the outstanding shares of Preferred Stock, which are entitled to convert into shares of Common Stock and to vote as a single class with the holders of the Common Stock as set forth in the Certificate of Designations. In addition, Charter, Qurate and P</w:t>
      </w:r>
      <w:r>
        <w:rPr>
          <w:rFonts w:eastAsia="Times New Roman"/>
          <w:color w:val="000000"/>
          <w:sz w:val="20"/>
          <w:szCs w:val="20"/>
        </w:rPr>
        <w:t>ine each designated two members of the Company's Board in accordance with the Stockholders Agreement.</w:t>
      </w:r>
    </w:p>
    <w:p w:rsidR="00000000" w:rsidRDefault="00943C43">
      <w:pPr>
        <w:jc w:val="both"/>
        <w:divId w:val="1530216283"/>
        <w:rPr>
          <w:rFonts w:eastAsia="Times New Roman"/>
        </w:rPr>
      </w:pPr>
      <w:r>
        <w:rPr>
          <w:rFonts w:eastAsia="Times New Roman"/>
          <w:color w:val="000000"/>
          <w:sz w:val="20"/>
          <w:szCs w:val="20"/>
        </w:rPr>
        <w:t>As of March 31, 2022 and December 31, 2021, Charter, Qurate and Pine each owned 27,509,203 shares of the Company's outstanding Preferred Stock. Accrued di</w:t>
      </w:r>
      <w:r>
        <w:rPr>
          <w:rFonts w:eastAsia="Times New Roman"/>
          <w:color w:val="000000"/>
          <w:sz w:val="20"/>
          <w:szCs w:val="20"/>
        </w:rPr>
        <w:t>vidends to the holders of Preferred Stock totaled $11.7 million and $7.9 million as of March 31, 2022 and December 31, 2021, respectively. The next scheduled dividend payment date for the Preferred Stock is June 30, 2022.</w:t>
      </w:r>
    </w:p>
    <w:p w:rsidR="00000000" w:rsidRDefault="00943C43">
      <w:pPr>
        <w:jc w:val="both"/>
        <w:divId w:val="702369433"/>
        <w:rPr>
          <w:rFonts w:eastAsia="Times New Roman"/>
        </w:rPr>
      </w:pPr>
      <w:r>
        <w:rPr>
          <w:rFonts w:eastAsia="Times New Roman"/>
          <w:color w:val="000000"/>
          <w:sz w:val="20"/>
          <w:szCs w:val="20"/>
        </w:rPr>
        <w:t>Concurrent with the closing of the</w:t>
      </w:r>
      <w:r>
        <w:rPr>
          <w:rFonts w:eastAsia="Times New Roman"/>
          <w:color w:val="000000"/>
          <w:sz w:val="20"/>
          <w:szCs w:val="20"/>
        </w:rPr>
        <w:t xml:space="preserve"> Transactions on March 10, 2021, the Company entered into a ten-year Data License Agreement ("DLA") with Charter Communications Operating, LLC ("Charter Operating"), an affiliate of Charter. Under the DLA, Charter Operating will bill the Company for licens</w:t>
      </w:r>
      <w:r>
        <w:rPr>
          <w:rFonts w:eastAsia="Times New Roman"/>
          <w:color w:val="000000"/>
          <w:sz w:val="20"/>
          <w:szCs w:val="20"/>
        </w:rPr>
        <w:t>e fees according to a payment schedule that gradually increases from $10.0 million in the first year of the term to $32.3 million in the tenth year of the term. The Company recognizes expense for the license fees ratably over the term. A portion of the ann</w:t>
      </w:r>
      <w:r>
        <w:rPr>
          <w:rFonts w:eastAsia="Times New Roman"/>
          <w:color w:val="000000"/>
          <w:sz w:val="20"/>
          <w:szCs w:val="20"/>
        </w:rPr>
        <w:t>ual license fees is allocated to a base license comparable to the Company's prior license with Charter Operating. The remaining fees are allocated to the additional data sets contemplated by the DLA and the designation and related endorsement of the Compan</w:t>
      </w:r>
      <w:r>
        <w:rPr>
          <w:rFonts w:eastAsia="Times New Roman"/>
          <w:color w:val="000000"/>
          <w:sz w:val="20"/>
          <w:szCs w:val="20"/>
        </w:rPr>
        <w:t>y as Charter Operating's preferred data measurement partner for the term.</w:t>
      </w:r>
    </w:p>
    <w:p w:rsidR="00000000" w:rsidRDefault="00943C43">
      <w:pPr>
        <w:jc w:val="both"/>
        <w:divId w:val="1819955692"/>
        <w:rPr>
          <w:rFonts w:eastAsia="Times New Roman"/>
        </w:rPr>
      </w:pPr>
      <w:r>
        <w:rPr>
          <w:rFonts w:eastAsia="Times New Roman"/>
          <w:color w:val="000000"/>
          <w:sz w:val="20"/>
          <w:szCs w:val="20"/>
        </w:rPr>
        <w:t>The Company's results from transactions with Charter and its affiliates, as reflected in the Condensed Consolidated Statements of Operations and Comprehensive Loss, are detailed belo</w:t>
      </w:r>
      <w:r>
        <w:rPr>
          <w:rFonts w:eastAsia="Times New Roman"/>
          <w:color w:val="000000"/>
          <w:sz w:val="20"/>
          <w:szCs w:val="20"/>
        </w:rPr>
        <w:t>w:</w:t>
      </w:r>
    </w:p>
    <w:tbl>
      <w:tblPr>
        <w:tblW w:w="4996" w:type="pct"/>
        <w:jc w:val="center"/>
        <w:tblCellMar>
          <w:top w:w="15" w:type="dxa"/>
          <w:left w:w="15" w:type="dxa"/>
          <w:bottom w:w="15" w:type="dxa"/>
          <w:right w:w="15" w:type="dxa"/>
        </w:tblCellMar>
        <w:tblLook w:val="04A0" w:firstRow="1" w:lastRow="0" w:firstColumn="1" w:lastColumn="0" w:noHBand="0" w:noVBand="1"/>
      </w:tblPr>
      <w:tblGrid>
        <w:gridCol w:w="37"/>
        <w:gridCol w:w="5954"/>
        <w:gridCol w:w="36"/>
        <w:gridCol w:w="111"/>
        <w:gridCol w:w="881"/>
        <w:gridCol w:w="36"/>
        <w:gridCol w:w="36"/>
        <w:gridCol w:w="36"/>
        <w:gridCol w:w="36"/>
        <w:gridCol w:w="111"/>
        <w:gridCol w:w="881"/>
        <w:gridCol w:w="36"/>
        <w:gridCol w:w="36"/>
        <w:gridCol w:w="36"/>
        <w:gridCol w:w="36"/>
      </w:tblGrid>
      <w:tr w:rsidR="00000000">
        <w:trPr>
          <w:divId w:val="1091043652"/>
          <w:jc w:val="center"/>
        </w:trPr>
        <w:tc>
          <w:tcPr>
            <w:tcW w:w="50" w:type="pct"/>
            <w:vAlign w:val="center"/>
            <w:hideMark/>
          </w:tcPr>
          <w:p w:rsidR="00000000" w:rsidRDefault="00943C43">
            <w:pPr>
              <w:jc w:val="both"/>
              <w:rPr>
                <w:rFonts w:eastAsia="Times New Roman"/>
              </w:rPr>
            </w:pPr>
          </w:p>
        </w:tc>
        <w:tc>
          <w:tcPr>
            <w:tcW w:w="3670"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091043652"/>
          <w:jc w:val="center"/>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091043652"/>
          <w:jc w:val="center"/>
        </w:trPr>
        <w:tc>
          <w:tcPr>
            <w:tcW w:w="0" w:type="auto"/>
            <w:gridSpan w:val="3"/>
            <w:tcMar>
              <w:top w:w="30" w:type="dxa"/>
              <w:left w:w="20" w:type="dxa"/>
              <w:bottom w:w="30" w:type="dxa"/>
              <w:right w:w="20" w:type="dxa"/>
            </w:tcMar>
            <w:vAlign w:val="bottom"/>
            <w:hideMark/>
          </w:tcPr>
          <w:p w:rsidR="00000000" w:rsidRDefault="00943C43">
            <w:pPr>
              <w:spacing w:after="100"/>
              <w:jc w:val="both"/>
              <w:rPr>
                <w:rFonts w:eastAsia="Times New Roman"/>
              </w:rPr>
            </w:pPr>
            <w:r>
              <w:rPr>
                <w:rFonts w:eastAsia="Times New Roman"/>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rsidR="00000000" w:rsidRDefault="00943C43">
            <w:pPr>
              <w:spacing w:after="100"/>
              <w:jc w:val="center"/>
              <w:rPr>
                <w:rFonts w:eastAsia="Times New Roman"/>
              </w:rPr>
            </w:pPr>
          </w:p>
        </w:tc>
      </w:tr>
      <w:tr w:rsidR="00000000">
        <w:trPr>
          <w:divId w:val="1091043652"/>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r>
      <w:tr w:rsidR="00000000">
        <w:trPr>
          <w:divId w:val="1091043652"/>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Cost of revenues</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5,528 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5,145 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r>
      <w:tr w:rsidR="00000000">
        <w:trPr>
          <w:divId w:val="1091043652"/>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091043652"/>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091043652"/>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091043652"/>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bl>
    <w:p w:rsidR="00000000" w:rsidRDefault="00943C43">
      <w:pPr>
        <w:jc w:val="center"/>
        <w:divId w:val="57556147"/>
        <w:rPr>
          <w:rFonts w:eastAsia="Times New Roman"/>
        </w:rPr>
      </w:pPr>
      <w:r>
        <w:rPr>
          <w:rFonts w:eastAsia="Times New Roman"/>
          <w:color w:val="000000"/>
          <w:sz w:val="20"/>
          <w:szCs w:val="20"/>
        </w:rPr>
        <w:t>13</w:t>
      </w:r>
    </w:p>
    <w:p w:rsidR="00000000" w:rsidRDefault="00943C43">
      <w:pPr>
        <w:rPr>
          <w:rFonts w:eastAsia="Times New Roman"/>
        </w:rPr>
      </w:pPr>
      <w:r>
        <w:rPr>
          <w:rFonts w:eastAsia="Times New Roman"/>
        </w:rPr>
        <w:pict>
          <v:rect id="_x0000_i1040" style="width:0;height:1.5pt" o:hralign="center" o:hrstd="t" o:hr="t" fillcolor="#a0a0a0" stroked="f"/>
        </w:pict>
      </w:r>
    </w:p>
    <w:p w:rsidR="00000000" w:rsidRDefault="00943C43">
      <w:pPr>
        <w:divId w:val="124353390"/>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1670058218"/>
        <w:rPr>
          <w:rFonts w:eastAsia="Times New Roman"/>
        </w:rPr>
      </w:pPr>
    </w:p>
    <w:p w:rsidR="00000000" w:rsidRDefault="00943C43">
      <w:pPr>
        <w:jc w:val="both"/>
        <w:divId w:val="1796294827"/>
        <w:rPr>
          <w:rFonts w:eastAsia="Times New Roman"/>
        </w:rPr>
      </w:pPr>
      <w:r>
        <w:rPr>
          <w:rFonts w:eastAsia="Times New Roman"/>
          <w:color w:val="000000"/>
          <w:sz w:val="20"/>
          <w:szCs w:val="20"/>
        </w:rPr>
        <w:t>The Company has the following liability balances related to transactions with Charter and its affiliates, as reflected in the Condensed Consol</w:t>
      </w:r>
      <w:r>
        <w:rPr>
          <w:rFonts w:eastAsia="Times New Roman"/>
          <w:color w:val="000000"/>
          <w:sz w:val="20"/>
          <w:szCs w:val="20"/>
        </w:rPr>
        <w:t>idated Balance Sheet:</w:t>
      </w:r>
    </w:p>
    <w:tbl>
      <w:tblPr>
        <w:tblW w:w="4996" w:type="pct"/>
        <w:jc w:val="center"/>
        <w:tblCellMar>
          <w:top w:w="15" w:type="dxa"/>
          <w:left w:w="15" w:type="dxa"/>
          <w:bottom w:w="15" w:type="dxa"/>
          <w:right w:w="15" w:type="dxa"/>
        </w:tblCellMar>
        <w:tblLook w:val="04A0" w:firstRow="1" w:lastRow="0" w:firstColumn="1" w:lastColumn="0" w:noHBand="0" w:noVBand="1"/>
      </w:tblPr>
      <w:tblGrid>
        <w:gridCol w:w="37"/>
        <w:gridCol w:w="5963"/>
        <w:gridCol w:w="36"/>
        <w:gridCol w:w="36"/>
        <w:gridCol w:w="36"/>
        <w:gridCol w:w="36"/>
        <w:gridCol w:w="110"/>
        <w:gridCol w:w="877"/>
        <w:gridCol w:w="36"/>
        <w:gridCol w:w="36"/>
        <w:gridCol w:w="36"/>
        <w:gridCol w:w="36"/>
        <w:gridCol w:w="111"/>
        <w:gridCol w:w="877"/>
        <w:gridCol w:w="36"/>
      </w:tblGrid>
      <w:tr w:rsidR="00000000">
        <w:trPr>
          <w:divId w:val="1562785456"/>
          <w:jc w:val="center"/>
        </w:trPr>
        <w:tc>
          <w:tcPr>
            <w:tcW w:w="50" w:type="pct"/>
            <w:vAlign w:val="center"/>
            <w:hideMark/>
          </w:tcPr>
          <w:p w:rsidR="00000000" w:rsidRDefault="00943C43">
            <w:pPr>
              <w:jc w:val="both"/>
              <w:rPr>
                <w:rFonts w:eastAsia="Times New Roman"/>
              </w:rPr>
            </w:pPr>
          </w:p>
        </w:tc>
        <w:tc>
          <w:tcPr>
            <w:tcW w:w="36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1562785456"/>
          <w:jc w:val="center"/>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As of</w:t>
            </w:r>
          </w:p>
        </w:tc>
      </w:tr>
      <w:tr w:rsidR="00000000">
        <w:trPr>
          <w:divId w:val="1562785456"/>
          <w:jc w:val="center"/>
        </w:trPr>
        <w:tc>
          <w:tcPr>
            <w:tcW w:w="0" w:type="auto"/>
            <w:gridSpan w:val="3"/>
            <w:tcMar>
              <w:top w:w="30" w:type="dxa"/>
              <w:left w:w="20" w:type="dxa"/>
              <w:bottom w:w="30" w:type="dxa"/>
              <w:right w:w="20" w:type="dxa"/>
            </w:tcMar>
            <w:vAlign w:val="bottom"/>
            <w:hideMark/>
          </w:tcPr>
          <w:p w:rsidR="00000000" w:rsidRDefault="00943C43">
            <w:pPr>
              <w:spacing w:after="100"/>
              <w:jc w:val="both"/>
              <w:rPr>
                <w:rFonts w:eastAsia="Times New Roman"/>
              </w:rPr>
            </w:pPr>
            <w:r>
              <w:rPr>
                <w:rFonts w:eastAsia="Times New Roman"/>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December 31, 2021</w:t>
            </w:r>
          </w:p>
        </w:tc>
      </w:tr>
      <w:tr w:rsidR="00000000">
        <w:trPr>
          <w:divId w:val="1562785456"/>
          <w:jc w:val="center"/>
        </w:trPr>
        <w:tc>
          <w:tcPr>
            <w:tcW w:w="0" w:type="auto"/>
            <w:gridSpan w:val="3"/>
            <w:vAlign w:val="center"/>
            <w:hideMark/>
          </w:tcPr>
          <w:p w:rsidR="00000000" w:rsidRDefault="00943C43">
            <w:pPr>
              <w:spacing w:after="100"/>
              <w:jc w:val="center"/>
              <w:rPr>
                <w:rFonts w:eastAsia="Times New Roman"/>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562785456"/>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562785456"/>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562785456"/>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5,181 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1562785456"/>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Accrued expenses</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3,652 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3,377 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1562785456"/>
          <w:jc w:val="center"/>
        </w:trPr>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562785456"/>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Non-current portion of accrued data costs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10,109 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7,843 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r>
      <w:tr w:rsidR="00000000">
        <w:trPr>
          <w:divId w:val="1562785456"/>
          <w:jc w:val="center"/>
        </w:trPr>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bl>
    <w:p w:rsidR="00000000" w:rsidRDefault="00943C43">
      <w:pPr>
        <w:jc w:val="both"/>
        <w:divId w:val="602105130"/>
        <w:rPr>
          <w:rFonts w:eastAsia="Times New Roman"/>
        </w:rPr>
      </w:pPr>
      <w:r>
        <w:rPr>
          <w:rFonts w:eastAsia="Times New Roman"/>
          <w:color w:val="000000"/>
          <w:sz w:val="20"/>
          <w:szCs w:val="20"/>
        </w:rPr>
        <w:t xml:space="preserve">The Company recognized revenues of $0.2 </w:t>
      </w:r>
      <w:r>
        <w:rPr>
          <w:rFonts w:eastAsia="Times New Roman"/>
          <w:color w:val="000000"/>
          <w:sz w:val="20"/>
          <w:szCs w:val="20"/>
        </w:rPr>
        <w:t>million from transactions with Qurate and its affiliates in the normal course of business during the three months ended March 31, 2022 and 2021, as reflected in the Condensed Consolidated Statements of Operations and Comprehensive Loss.</w:t>
      </w:r>
    </w:p>
    <w:p w:rsidR="00000000" w:rsidRDefault="00943C43">
      <w:pPr>
        <w:jc w:val="both"/>
        <w:divId w:val="585306342"/>
        <w:rPr>
          <w:rFonts w:eastAsia="Times New Roman"/>
        </w:rPr>
      </w:pPr>
      <w:r>
        <w:rPr>
          <w:rFonts w:eastAsia="Times New Roman"/>
          <w:color w:val="000000"/>
          <w:sz w:val="20"/>
          <w:szCs w:val="20"/>
        </w:rPr>
        <w:t xml:space="preserve">The Company had no </w:t>
      </w:r>
      <w:r>
        <w:rPr>
          <w:rFonts w:eastAsia="Times New Roman"/>
          <w:color w:val="000000"/>
          <w:sz w:val="20"/>
          <w:szCs w:val="20"/>
        </w:rPr>
        <w:t>transactions, other than the issuance of shares of Preferred Stock and related matters, with Pine for the three months ended March 31, 2022 and 2021.</w:t>
      </w:r>
    </w:p>
    <w:p w:rsidR="00000000" w:rsidRDefault="00943C43">
      <w:pPr>
        <w:jc w:val="both"/>
        <w:divId w:val="1226835604"/>
        <w:rPr>
          <w:rFonts w:eastAsia="Times New Roman"/>
        </w:rPr>
      </w:pPr>
      <w:r>
        <w:rPr>
          <w:rFonts w:eastAsia="Times New Roman"/>
          <w:b/>
          <w:bCs/>
          <w:i/>
          <w:iCs/>
          <w:color w:val="000000"/>
          <w:sz w:val="20"/>
          <w:szCs w:val="20"/>
        </w:rPr>
        <w:t xml:space="preserve">Transactions with Starboard </w:t>
      </w:r>
    </w:p>
    <w:p w:rsidR="00000000" w:rsidRDefault="00943C43">
      <w:pPr>
        <w:jc w:val="both"/>
        <w:divId w:val="1636178048"/>
        <w:rPr>
          <w:rFonts w:eastAsia="Times New Roman"/>
        </w:rPr>
      </w:pPr>
      <w:r>
        <w:rPr>
          <w:rFonts w:eastAsia="Times New Roman"/>
          <w:color w:val="000000"/>
          <w:sz w:val="20"/>
          <w:szCs w:val="20"/>
        </w:rPr>
        <w:t>In 2018, the Company entered into certain agreements with Starboard, then a b</w:t>
      </w:r>
      <w:r>
        <w:rPr>
          <w:rFonts w:eastAsia="Times New Roman"/>
          <w:color w:val="000000"/>
          <w:sz w:val="20"/>
          <w:szCs w:val="20"/>
        </w:rPr>
        <w:t xml:space="preserve">eneficial owner of more than 5.0% of the Company's outstanding Common Stock. Refer to </w:t>
      </w:r>
      <w:hyperlink w:anchor="i81c699a6f33e49f8a081f48620e58c22_55"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for further information regarding these agreements and the Company's issuance of Notes to Sta</w:t>
      </w:r>
      <w:r>
        <w:rPr>
          <w:rFonts w:eastAsia="Times New Roman"/>
          <w:color w:val="000000"/>
          <w:sz w:val="20"/>
          <w:szCs w:val="20"/>
        </w:rPr>
        <w:t>rboard in 2018. As a result of these agreements and the transactions contemplated thereby, Starboard ceased to be a beneficial owner of more than 5.0% of the Company's outstanding Common Stock in January 2018. In addition, pursuant to a prior agreement wit</w:t>
      </w:r>
      <w:r>
        <w:rPr>
          <w:rFonts w:eastAsia="Times New Roman"/>
          <w:color w:val="000000"/>
          <w:sz w:val="20"/>
          <w:szCs w:val="20"/>
        </w:rPr>
        <w:t>h Starboard, the Company provided Starboard the right to designate certain members to the Company's Board. As of December 31, 2018, Starboard had no remaining right to designate any directors to the Board. As of March 31, 2022, there were no directors rema</w:t>
      </w:r>
      <w:r>
        <w:rPr>
          <w:rFonts w:eastAsia="Times New Roman"/>
          <w:color w:val="000000"/>
          <w:sz w:val="20"/>
          <w:szCs w:val="20"/>
        </w:rPr>
        <w:t>ining on the Board who were designated by Starboard.</w:t>
      </w:r>
    </w:p>
    <w:p w:rsidR="00000000" w:rsidRDefault="00943C43">
      <w:pPr>
        <w:jc w:val="both"/>
        <w:divId w:val="134838979"/>
        <w:rPr>
          <w:rFonts w:eastAsia="Times New Roman"/>
        </w:rPr>
      </w:pPr>
      <w:r>
        <w:rPr>
          <w:rFonts w:eastAsia="Times New Roman"/>
          <w:color w:val="000000"/>
          <w:sz w:val="20"/>
          <w:szCs w:val="20"/>
        </w:rPr>
        <w:t xml:space="preserve">In connection with the extinguishment of the Notes on March 10, 2021, the Company issued 3,150,000 Conversion Shares to Starboard valued at $9.6 million as discussed in </w:t>
      </w:r>
      <w:hyperlink w:anchor="i81c699a6f33e49f8a081f48620e58c22_55"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xml:space="preserve">, which amount was included as a component of loss on extinguishment of debt in the Condensed Consolidated Statement of Operations and Comprehensive Loss. </w:t>
      </w:r>
    </w:p>
    <w:p w:rsidR="00000000" w:rsidRDefault="00943C43">
      <w:pPr>
        <w:jc w:val="both"/>
        <w:divId w:val="613830533"/>
        <w:rPr>
          <w:rFonts w:eastAsia="Times New Roman"/>
        </w:rPr>
      </w:pPr>
      <w:r>
        <w:rPr>
          <w:rFonts w:eastAsia="Times New Roman"/>
          <w:color w:val="000000"/>
          <w:sz w:val="20"/>
          <w:szCs w:val="20"/>
        </w:rPr>
        <w:t>The Company recorded interest expense, inclusive of non-cas</w:t>
      </w:r>
      <w:r>
        <w:rPr>
          <w:rFonts w:eastAsia="Times New Roman"/>
          <w:color w:val="000000"/>
          <w:sz w:val="20"/>
          <w:szCs w:val="20"/>
        </w:rPr>
        <w:t>h accretion of issuance discount and deferred financing costs, related to the Notes of $6.6 million during the three months ended March 31, 2021.</w:t>
      </w:r>
    </w:p>
    <w:p w:rsidR="00000000" w:rsidRDefault="00943C43">
      <w:pPr>
        <w:jc w:val="both"/>
        <w:divId w:val="1020665298"/>
        <w:rPr>
          <w:rFonts w:eastAsia="Times New Roman"/>
        </w:rPr>
      </w:pPr>
      <w:r>
        <w:rPr>
          <w:rFonts w:eastAsia="Times New Roman"/>
          <w:color w:val="000000"/>
          <w:sz w:val="20"/>
          <w:szCs w:val="20"/>
        </w:rPr>
        <w:t>The Company had no outstanding balances related to Starboard as of March 31, 2022 or December 31, 2021.</w:t>
      </w:r>
    </w:p>
    <w:p w:rsidR="00000000" w:rsidRDefault="00943C43">
      <w:pPr>
        <w:ind w:hanging="360"/>
        <w:jc w:val="both"/>
        <w:divId w:val="444925028"/>
        <w:rPr>
          <w:rFonts w:eastAsia="Times New Roman"/>
        </w:rPr>
      </w:pPr>
      <w:r>
        <w:rPr>
          <w:rFonts w:eastAsia="Times New Roman"/>
          <w:b/>
          <w:bCs/>
          <w:color w:val="000000"/>
          <w:sz w:val="20"/>
          <w:szCs w:val="20"/>
        </w:rPr>
        <w:t>9.Comm</w:t>
      </w:r>
      <w:r>
        <w:rPr>
          <w:rFonts w:eastAsia="Times New Roman"/>
          <w:b/>
          <w:bCs/>
          <w:color w:val="000000"/>
          <w:sz w:val="20"/>
          <w:szCs w:val="20"/>
        </w:rPr>
        <w:t>itments and Contingencies</w:t>
      </w:r>
    </w:p>
    <w:p w:rsidR="00000000" w:rsidRDefault="00943C43">
      <w:pPr>
        <w:jc w:val="both"/>
        <w:divId w:val="1949465304"/>
        <w:rPr>
          <w:rFonts w:eastAsia="Times New Roman"/>
        </w:rPr>
      </w:pPr>
      <w:r>
        <w:rPr>
          <w:rFonts w:eastAsia="Times New Roman"/>
          <w:b/>
          <w:bCs/>
          <w:i/>
          <w:iCs/>
          <w:color w:val="000000"/>
          <w:sz w:val="20"/>
          <w:szCs w:val="20"/>
        </w:rPr>
        <w:t xml:space="preserve">Contingencies </w:t>
      </w:r>
    </w:p>
    <w:p w:rsidR="00000000" w:rsidRDefault="00943C43">
      <w:pPr>
        <w:jc w:val="both"/>
        <w:divId w:val="1426146626"/>
        <w:rPr>
          <w:rFonts w:eastAsia="Times New Roman"/>
        </w:rPr>
      </w:pPr>
      <w:r>
        <w:rPr>
          <w:rFonts w:eastAsia="Times New Roman"/>
          <w:color w:val="000000"/>
          <w:sz w:val="20"/>
          <w:szCs w:val="20"/>
        </w:rPr>
        <w:t>The Company is involved in various legal proceedings from time to time. </w:t>
      </w:r>
      <w:r>
        <w:rPr>
          <w:rFonts w:eastAsia="Times New Roman"/>
          <w:color w:val="000000"/>
          <w:sz w:val="20"/>
          <w:szCs w:val="20"/>
        </w:rPr>
        <w:t>The Company establishes reserves for specific legal proceedings when management determines that the likelihood of an unfavorable outcome is probable, and the amount of loss can be reasonably estimated. The Company has also identified certain other legal ma</w:t>
      </w:r>
      <w:r>
        <w:rPr>
          <w:rFonts w:eastAsia="Times New Roman"/>
          <w:color w:val="000000"/>
          <w:sz w:val="20"/>
          <w:szCs w:val="20"/>
        </w:rPr>
        <w:t>tters where an unfavorable outcome is reasonably possible and/or for which no estimate of possible losses can be made. In these cases, the Company does not establish a reserve until it can reasonably estimate the loss. Legal fees related to contingencies a</w:t>
      </w:r>
      <w:r>
        <w:rPr>
          <w:rFonts w:eastAsia="Times New Roman"/>
          <w:color w:val="000000"/>
          <w:sz w:val="20"/>
          <w:szCs w:val="20"/>
        </w:rPr>
        <w:t>re expensed as incurred. The outcomes of legal proceedings are inherently unpredictable, subject to significant uncertainties, and could be material to the Company's operating results and cash flows for a particular period.</w:t>
      </w:r>
    </w:p>
    <w:p w:rsidR="00000000" w:rsidRDefault="00943C43">
      <w:pPr>
        <w:jc w:val="both"/>
        <w:divId w:val="2145343368"/>
        <w:rPr>
          <w:rFonts w:eastAsia="Times New Roman"/>
        </w:rPr>
      </w:pPr>
      <w:r>
        <w:rPr>
          <w:rFonts w:eastAsia="Times New Roman"/>
          <w:b/>
          <w:bCs/>
          <w:i/>
          <w:iCs/>
          <w:color w:val="000000"/>
          <w:sz w:val="20"/>
          <w:szCs w:val="20"/>
        </w:rPr>
        <w:t>Current Matters</w:t>
      </w:r>
    </w:p>
    <w:p w:rsidR="00000000" w:rsidRDefault="00943C43">
      <w:pPr>
        <w:jc w:val="both"/>
        <w:divId w:val="788546967"/>
        <w:rPr>
          <w:rFonts w:eastAsia="Times New Roman"/>
        </w:rPr>
      </w:pPr>
      <w:r>
        <w:rPr>
          <w:rFonts w:eastAsia="Times New Roman"/>
          <w:color w:val="000000"/>
          <w:sz w:val="20"/>
          <w:szCs w:val="20"/>
        </w:rPr>
        <w:t xml:space="preserve">The Company is, </w:t>
      </w:r>
      <w:r>
        <w:rPr>
          <w:rFonts w:eastAsia="Times New Roman"/>
          <w:color w:val="000000"/>
          <w:sz w:val="20"/>
          <w:szCs w:val="20"/>
        </w:rPr>
        <w:t>and may become, a party to a variety of legal proceedings from time to time that arise in the normal course of the Company's business. While the results of such legal proceedings cannot be predicted with certainty, management believes that, based on curren</w:t>
      </w:r>
      <w:r>
        <w:rPr>
          <w:rFonts w:eastAsia="Times New Roman"/>
          <w:color w:val="000000"/>
          <w:sz w:val="20"/>
          <w:szCs w:val="20"/>
        </w:rPr>
        <w:t>t knowledge, the final outcome of any such current pending matters will not have a material effect on the Company's financial position, results of operations or cash flows. Regardless of the outcome, legal proceedings can have an adverse effect on the Comp</w:t>
      </w:r>
      <w:r>
        <w:rPr>
          <w:rFonts w:eastAsia="Times New Roman"/>
          <w:color w:val="000000"/>
          <w:sz w:val="20"/>
          <w:szCs w:val="20"/>
        </w:rPr>
        <w:t>any because of defense costs, diversion of management resources and other factors.</w:t>
      </w:r>
    </w:p>
    <w:p w:rsidR="00000000" w:rsidRDefault="00943C43">
      <w:pPr>
        <w:jc w:val="both"/>
        <w:divId w:val="1277373546"/>
        <w:rPr>
          <w:rFonts w:eastAsia="Times New Roman"/>
        </w:rPr>
      </w:pPr>
      <w:r>
        <w:rPr>
          <w:rFonts w:eastAsia="Times New Roman"/>
          <w:b/>
          <w:bCs/>
          <w:i/>
          <w:iCs/>
          <w:color w:val="000000"/>
          <w:sz w:val="20"/>
          <w:szCs w:val="20"/>
        </w:rPr>
        <w:t>Indemnification</w:t>
      </w:r>
    </w:p>
    <w:p w:rsidR="00000000" w:rsidRDefault="00943C43">
      <w:pPr>
        <w:jc w:val="both"/>
        <w:divId w:val="1991250003"/>
        <w:rPr>
          <w:rFonts w:eastAsia="Times New Roman"/>
        </w:rPr>
      </w:pPr>
      <w:r>
        <w:rPr>
          <w:rFonts w:eastAsia="Times New Roman"/>
          <w:color w:val="000000"/>
          <w:sz w:val="20"/>
          <w:szCs w:val="20"/>
        </w:rPr>
        <w:t>The Company has entered into indemnification agreements with each of the Company's directors and certain officers, and the Company's amended and restated cer</w:t>
      </w:r>
      <w:r>
        <w:rPr>
          <w:rFonts w:eastAsia="Times New Roman"/>
          <w:color w:val="000000"/>
          <w:sz w:val="20"/>
          <w:szCs w:val="20"/>
        </w:rPr>
        <w:t>tificate of incorporation requires it to indemnify each of its officers and directors, to the fullest extent permitted by Delaware law, who was or is a party or is threatened to be made a party to any threatened, pending or completed action, suit or procee</w:t>
      </w:r>
      <w:r>
        <w:rPr>
          <w:rFonts w:eastAsia="Times New Roman"/>
          <w:color w:val="000000"/>
          <w:sz w:val="20"/>
          <w:szCs w:val="20"/>
        </w:rPr>
        <w:t>ding by reason of the fact that he or she is or was a director or officer of the Company. The Company has paid and may in the future pay legal counsel fees incurred by current and former directors and officers who are involved in legal proceedings that req</w:t>
      </w:r>
      <w:r>
        <w:rPr>
          <w:rFonts w:eastAsia="Times New Roman"/>
          <w:color w:val="000000"/>
          <w:sz w:val="20"/>
          <w:szCs w:val="20"/>
        </w:rPr>
        <w:t xml:space="preserve">uire indemnification. </w:t>
      </w:r>
    </w:p>
    <w:p w:rsidR="00000000" w:rsidRDefault="00943C43">
      <w:pPr>
        <w:jc w:val="both"/>
        <w:divId w:val="1034497830"/>
        <w:rPr>
          <w:rFonts w:eastAsia="Times New Roman"/>
        </w:rPr>
      </w:pPr>
      <w:r>
        <w:rPr>
          <w:rFonts w:eastAsia="Times New Roman"/>
          <w:color w:val="000000"/>
          <w:sz w:val="20"/>
          <w:szCs w:val="20"/>
        </w:rPr>
        <w:t>Similarly, certain of the Company's commercial contracts require it to indemnify contract counterparties under specified circumstances, and the Company may incur legal counsel fees and other costs in connection with these obligations</w:t>
      </w:r>
      <w:r>
        <w:rPr>
          <w:rFonts w:eastAsia="Times New Roman"/>
          <w:color w:val="000000"/>
          <w:sz w:val="20"/>
          <w:szCs w:val="20"/>
        </w:rPr>
        <w:t>.</w:t>
      </w:r>
    </w:p>
    <w:p w:rsidR="00000000" w:rsidRDefault="00943C43">
      <w:pPr>
        <w:jc w:val="center"/>
        <w:divId w:val="1768384462"/>
        <w:rPr>
          <w:rFonts w:eastAsia="Times New Roman"/>
        </w:rPr>
      </w:pPr>
      <w:r>
        <w:rPr>
          <w:rFonts w:eastAsia="Times New Roman"/>
          <w:color w:val="000000"/>
          <w:sz w:val="20"/>
          <w:szCs w:val="20"/>
        </w:rPr>
        <w:t>14</w:t>
      </w:r>
    </w:p>
    <w:p w:rsidR="00000000" w:rsidRDefault="00943C43">
      <w:pPr>
        <w:rPr>
          <w:rFonts w:eastAsia="Times New Roman"/>
        </w:rPr>
      </w:pPr>
      <w:r>
        <w:rPr>
          <w:rFonts w:eastAsia="Times New Roman"/>
        </w:rPr>
        <w:pict>
          <v:rect id="_x0000_i1041" style="width:0;height:1.5pt" o:hralign="center" o:hrstd="t" o:hr="t" fillcolor="#a0a0a0" stroked="f"/>
        </w:pict>
      </w:r>
    </w:p>
    <w:p w:rsidR="00000000" w:rsidRDefault="00943C43">
      <w:pPr>
        <w:divId w:val="1415128051"/>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614599805"/>
        <w:rPr>
          <w:rFonts w:eastAsia="Times New Roman"/>
        </w:rPr>
      </w:pPr>
    </w:p>
    <w:p w:rsidR="00000000" w:rsidRDefault="00943C43">
      <w:pPr>
        <w:jc w:val="both"/>
        <w:divId w:val="595137519"/>
        <w:rPr>
          <w:rFonts w:eastAsia="Times New Roman"/>
        </w:rPr>
      </w:pPr>
      <w:r>
        <w:rPr>
          <w:rFonts w:eastAsia="Times New Roman"/>
          <w:b/>
          <w:bCs/>
          <w:color w:val="000000"/>
          <w:sz w:val="20"/>
          <w:szCs w:val="20"/>
        </w:rPr>
        <w:t>ITEM 2.</w:t>
      </w:r>
      <w:r>
        <w:rPr>
          <w:rFonts w:eastAsia="Times New Roman"/>
          <w:b/>
          <w:bCs/>
          <w:i/>
          <w:iCs/>
          <w:color w:val="000000"/>
          <w:sz w:val="20"/>
          <w:szCs w:val="20"/>
        </w:rPr>
        <w:t> MANAGEMENT'S DISCUSSION AND ANALYSIS OF FINANCIAL CONDITION AND RESULTS OF OPERATIONS</w:t>
      </w:r>
    </w:p>
    <w:p w:rsidR="00000000" w:rsidRDefault="00943C43">
      <w:pPr>
        <w:jc w:val="both"/>
        <w:divId w:val="1194490473"/>
        <w:rPr>
          <w:rFonts w:eastAsia="Times New Roman"/>
        </w:rPr>
      </w:pPr>
      <w:r>
        <w:rPr>
          <w:rFonts w:eastAsia="Times New Roman"/>
          <w:i/>
          <w:iCs/>
          <w:color w:val="000000"/>
          <w:sz w:val="20"/>
          <w:szCs w:val="20"/>
        </w:rPr>
        <w:t>The following discussion and analysis of our financial condition and results of operations should be read in conjunction with our Condensed Consolidated Financial Statements and the related Notes to Condensed Consolidated Financial Statements included in P</w:t>
      </w:r>
      <w:r>
        <w:rPr>
          <w:rFonts w:eastAsia="Times New Roman"/>
          <w:i/>
          <w:iCs/>
          <w:color w:val="000000"/>
          <w:sz w:val="20"/>
          <w:szCs w:val="20"/>
        </w:rPr>
        <w:t xml:space="preserve">art I, </w:t>
      </w:r>
      <w:hyperlink w:anchor="i81c699a6f33e49f8a081f48620e58c22_16" w:history="1">
        <w:r>
          <w:rPr>
            <w:rStyle w:val="a3"/>
            <w:rFonts w:eastAsia="Times New Roman"/>
            <w:i/>
            <w:iCs/>
            <w:sz w:val="20"/>
            <w:szCs w:val="20"/>
          </w:rPr>
          <w:t>Item 1</w:t>
        </w:r>
      </w:hyperlink>
      <w:r>
        <w:rPr>
          <w:rFonts w:eastAsia="Times New Roman"/>
          <w:i/>
          <w:iCs/>
          <w:color w:val="000000"/>
          <w:sz w:val="20"/>
          <w:szCs w:val="20"/>
        </w:rPr>
        <w:t xml:space="preserve"> of this Quarterly Report on Form 10-Q, or 10-Q. In addition to historical financial information, the following discussion and analysis contains forward-looking statements that involve</w:t>
      </w:r>
      <w:r>
        <w:rPr>
          <w:rFonts w:eastAsia="Times New Roman"/>
          <w:i/>
          <w:iCs/>
          <w:color w:val="000000"/>
          <w:sz w:val="20"/>
          <w:szCs w:val="20"/>
        </w:rPr>
        <w:t xml:space="preserve"> risks, uncertainties and assumptions. Our actual results and timing of selected events in future periods may differ materially from those anticipated or implied in these forward-looking statements as a result of many factors, including those discussed und</w:t>
      </w:r>
      <w:r>
        <w:rPr>
          <w:rFonts w:eastAsia="Times New Roman"/>
          <w:i/>
          <w:iCs/>
          <w:color w:val="000000"/>
          <w:sz w:val="20"/>
          <w:szCs w:val="20"/>
        </w:rPr>
        <w:t xml:space="preserve">er </w:t>
      </w:r>
      <w:hyperlink r:id="rId6" w:anchor="i2bb226c9c8094f2686c2a2ad33a7e33b_22" w:history="1">
        <w:r>
          <w:rPr>
            <w:rStyle w:val="a3"/>
            <w:rFonts w:eastAsia="Times New Roman"/>
            <w:i/>
            <w:iCs/>
            <w:sz w:val="20"/>
            <w:szCs w:val="20"/>
          </w:rPr>
          <w:t>Item 1A</w:t>
        </w:r>
      </w:hyperlink>
      <w:r>
        <w:rPr>
          <w:rFonts w:eastAsia="Times New Roman"/>
          <w:i/>
          <w:iCs/>
          <w:color w:val="000000"/>
          <w:sz w:val="20"/>
          <w:szCs w:val="20"/>
        </w:rPr>
        <w:t>, "Risk Factors" in our Annual Report on Form 10-K for the year ended December 31, 2021 (the "2</w:t>
      </w:r>
      <w:r>
        <w:rPr>
          <w:rFonts w:eastAsia="Times New Roman"/>
          <w:i/>
          <w:iCs/>
          <w:color w:val="000000"/>
          <w:sz w:val="20"/>
          <w:szCs w:val="20"/>
        </w:rPr>
        <w:t xml:space="preserve">021 10-K"), under </w:t>
      </w:r>
      <w:hyperlink w:anchor="i81c699a6f33e49f8a081f48620e58c22_130" w:history="1">
        <w:r>
          <w:rPr>
            <w:rStyle w:val="a3"/>
            <w:rFonts w:eastAsia="Times New Roman"/>
            <w:i/>
            <w:iCs/>
            <w:sz w:val="20"/>
            <w:szCs w:val="20"/>
          </w:rPr>
          <w:t>Item 1A</w:t>
        </w:r>
      </w:hyperlink>
      <w:r>
        <w:rPr>
          <w:rFonts w:eastAsia="Times New Roman"/>
          <w:i/>
          <w:iCs/>
          <w:color w:val="000000"/>
          <w:sz w:val="20"/>
          <w:szCs w:val="20"/>
        </w:rPr>
        <w:t>, "Risk Factors" in this 10-Q and elsewhere in this 10-Q. See also "</w:t>
      </w:r>
      <w:hyperlink w:anchor="i81c699a6f33e49f8a081f48620e58c22_10" w:history="1">
        <w:r>
          <w:rPr>
            <w:rStyle w:val="a3"/>
            <w:rFonts w:eastAsia="Times New Roman"/>
            <w:i/>
            <w:iCs/>
            <w:sz w:val="20"/>
            <w:szCs w:val="20"/>
          </w:rPr>
          <w:t>Cautionary Note Regarding Forward-Looking Statements</w:t>
        </w:r>
      </w:hyperlink>
      <w:r>
        <w:rPr>
          <w:rFonts w:eastAsia="Times New Roman"/>
          <w:i/>
          <w:iCs/>
          <w:color w:val="000000"/>
          <w:sz w:val="20"/>
          <w:szCs w:val="20"/>
        </w:rPr>
        <w:t>" at the beginning of this 10-Q.</w:t>
      </w:r>
    </w:p>
    <w:p w:rsidR="00000000" w:rsidRDefault="00943C43">
      <w:pPr>
        <w:jc w:val="both"/>
        <w:divId w:val="668823683"/>
        <w:rPr>
          <w:rFonts w:eastAsia="Times New Roman"/>
        </w:rPr>
      </w:pPr>
      <w:r>
        <w:rPr>
          <w:rFonts w:eastAsia="Times New Roman"/>
          <w:b/>
          <w:bCs/>
          <w:color w:val="000000"/>
          <w:sz w:val="20"/>
          <w:szCs w:val="20"/>
        </w:rPr>
        <w:t>Overview</w:t>
      </w:r>
    </w:p>
    <w:p w:rsidR="00000000" w:rsidRDefault="00943C43">
      <w:pPr>
        <w:jc w:val="both"/>
        <w:divId w:val="1825507695"/>
        <w:rPr>
          <w:rFonts w:eastAsia="Times New Roman"/>
        </w:rPr>
      </w:pPr>
      <w:r>
        <w:rPr>
          <w:rFonts w:eastAsia="Times New Roman"/>
          <w:color w:val="000000"/>
          <w:sz w:val="20"/>
          <w:szCs w:val="20"/>
        </w:rPr>
        <w:t xml:space="preserve">We are a global information and analytics company that measures advertising, content, and the consumer </w:t>
      </w:r>
      <w:r>
        <w:rPr>
          <w:rFonts w:eastAsia="Times New Roman"/>
          <w:color w:val="000000"/>
          <w:sz w:val="20"/>
          <w:szCs w:val="20"/>
        </w:rPr>
        <w:t>audiences of each, across media platforms. We create our products using a global data platform that combines information on digital platforms (connected (Smart) televisions, mobile devices, tablets and computers), television ("TV"), over the top devices ("</w:t>
      </w:r>
      <w:r>
        <w:rPr>
          <w:rFonts w:eastAsia="Times New Roman"/>
          <w:color w:val="000000"/>
          <w:sz w:val="20"/>
          <w:szCs w:val="20"/>
        </w:rPr>
        <w:t>OTT"), direct to consumer applications, and movie screens with demographics and other descriptive information. We have developed proprietary data science that enables measurement of person-level and household-level audiences, removing duplicated viewing ac</w:t>
      </w:r>
      <w:r>
        <w:rPr>
          <w:rFonts w:eastAsia="Times New Roman"/>
          <w:color w:val="000000"/>
          <w:sz w:val="20"/>
          <w:szCs w:val="20"/>
        </w:rPr>
        <w:t>ross devices and over time. This combination of data and methods enables a common standard for buyers and sellers to transact on advertising. This helps companies across the media ecosystem better understand and monetize their audiences and develop marketi</w:t>
      </w:r>
      <w:r>
        <w:rPr>
          <w:rFonts w:eastAsia="Times New Roman"/>
          <w:color w:val="000000"/>
          <w:sz w:val="20"/>
          <w:szCs w:val="20"/>
        </w:rPr>
        <w:t>ng plans, content and products to more efficiently and effectively reach those audiences. Our ability to unify behavioral and other descriptive data enables us to provide audience ratings, advertising verification, and granular consumer segments that descr</w:t>
      </w:r>
      <w:r>
        <w:rPr>
          <w:rFonts w:eastAsia="Times New Roman"/>
          <w:color w:val="000000"/>
          <w:sz w:val="20"/>
          <w:szCs w:val="20"/>
        </w:rPr>
        <w:t>ibe hundreds of millions of consumers. Our customers include digital publishers, television networks, movie studios, content owners, brand advertisers, agencies and technology providers.</w:t>
      </w:r>
    </w:p>
    <w:p w:rsidR="00000000" w:rsidRDefault="00943C43">
      <w:pPr>
        <w:jc w:val="both"/>
        <w:divId w:val="1857688449"/>
        <w:rPr>
          <w:rFonts w:eastAsia="Times New Roman"/>
        </w:rPr>
      </w:pPr>
      <w:r>
        <w:rPr>
          <w:rFonts w:eastAsia="Times New Roman"/>
          <w:color w:val="000000"/>
          <w:sz w:val="20"/>
          <w:szCs w:val="20"/>
        </w:rPr>
        <w:t xml:space="preserve">The information we analyze crosses geographies, types of content and </w:t>
      </w:r>
      <w:r>
        <w:rPr>
          <w:rFonts w:eastAsia="Times New Roman"/>
          <w:color w:val="000000"/>
          <w:sz w:val="20"/>
          <w:szCs w:val="20"/>
        </w:rPr>
        <w:t>activities, including websites, mobile and OTT applications ("apps"), video games, television and movie programming, electronic commerce ("e-commerce") and advertising.</w:t>
      </w:r>
    </w:p>
    <w:p w:rsidR="00000000" w:rsidRDefault="00943C43">
      <w:pPr>
        <w:jc w:val="both"/>
        <w:divId w:val="1007633795"/>
        <w:rPr>
          <w:rFonts w:eastAsia="Times New Roman"/>
        </w:rPr>
      </w:pPr>
      <w:r>
        <w:rPr>
          <w:rFonts w:eastAsia="Times New Roman"/>
          <w:b/>
          <w:bCs/>
          <w:color w:val="000000"/>
          <w:sz w:val="20"/>
          <w:szCs w:val="20"/>
        </w:rPr>
        <w:t>Results of Operations</w:t>
      </w:r>
    </w:p>
    <w:p w:rsidR="00000000" w:rsidRDefault="00943C43">
      <w:pPr>
        <w:jc w:val="both"/>
        <w:divId w:val="1582786999"/>
        <w:rPr>
          <w:rFonts w:eastAsia="Times New Roman"/>
        </w:rPr>
      </w:pPr>
      <w:r>
        <w:rPr>
          <w:rFonts w:eastAsia="Times New Roman"/>
          <w:color w:val="000000"/>
          <w:sz w:val="20"/>
          <w:szCs w:val="20"/>
        </w:rPr>
        <w:t>The following table sets forth selected Condensed Consolidated St</w:t>
      </w:r>
      <w:r>
        <w:rPr>
          <w:rFonts w:eastAsia="Times New Roman"/>
          <w:color w:val="000000"/>
          <w:sz w:val="20"/>
          <w:szCs w:val="20"/>
        </w:rPr>
        <w:t>atements of Operations data as a percentage of total revenues for each of the periods indicated. Percentages may not add due to rounding.</w:t>
      </w:r>
    </w:p>
    <w:tbl>
      <w:tblPr>
        <w:tblW w:w="4996" w:type="pct"/>
        <w:jc w:val="center"/>
        <w:tblCellMar>
          <w:top w:w="15" w:type="dxa"/>
          <w:left w:w="15" w:type="dxa"/>
          <w:bottom w:w="15" w:type="dxa"/>
          <w:right w:w="15" w:type="dxa"/>
        </w:tblCellMar>
        <w:tblLook w:val="04A0" w:firstRow="1" w:lastRow="0" w:firstColumn="1" w:lastColumn="0" w:noHBand="0" w:noVBand="1"/>
      </w:tblPr>
      <w:tblGrid>
        <w:gridCol w:w="40"/>
        <w:gridCol w:w="3713"/>
        <w:gridCol w:w="39"/>
        <w:gridCol w:w="110"/>
        <w:gridCol w:w="576"/>
        <w:gridCol w:w="36"/>
        <w:gridCol w:w="36"/>
        <w:gridCol w:w="36"/>
        <w:gridCol w:w="36"/>
        <w:gridCol w:w="59"/>
        <w:gridCol w:w="563"/>
        <w:gridCol w:w="170"/>
        <w:gridCol w:w="36"/>
        <w:gridCol w:w="36"/>
        <w:gridCol w:w="36"/>
        <w:gridCol w:w="110"/>
        <w:gridCol w:w="615"/>
        <w:gridCol w:w="36"/>
        <w:gridCol w:w="36"/>
        <w:gridCol w:w="36"/>
        <w:gridCol w:w="36"/>
        <w:gridCol w:w="59"/>
        <w:gridCol w:w="563"/>
        <w:gridCol w:w="17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1663049232"/>
          <w:jc w:val="center"/>
        </w:trPr>
        <w:tc>
          <w:tcPr>
            <w:tcW w:w="50" w:type="pct"/>
            <w:vAlign w:val="center"/>
            <w:hideMark/>
          </w:tcPr>
          <w:p w:rsidR="00000000" w:rsidRDefault="00943C43">
            <w:pPr>
              <w:jc w:val="both"/>
              <w:rPr>
                <w:rFonts w:eastAsia="Times New Roman"/>
              </w:rPr>
            </w:pPr>
          </w:p>
        </w:tc>
        <w:tc>
          <w:tcPr>
            <w:tcW w:w="270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8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8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8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8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63049232"/>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w:t>
            </w: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943C43">
            <w:pPr>
              <w:spacing w:after="100"/>
              <w:jc w:val="center"/>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63049232"/>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2021</w:t>
            </w:r>
          </w:p>
        </w:tc>
        <w:tc>
          <w:tcPr>
            <w:tcW w:w="0" w:type="auto"/>
            <w:vAlign w:val="center"/>
            <w:hideMark/>
          </w:tcPr>
          <w:p w:rsidR="00000000" w:rsidRDefault="00943C43">
            <w:pPr>
              <w:spacing w:after="100"/>
              <w:jc w:val="center"/>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63049232"/>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of Revenue</w:t>
            </w:r>
          </w:p>
        </w:tc>
        <w:tc>
          <w:tcPr>
            <w:tcW w:w="0" w:type="auto"/>
            <w:vAlign w:val="center"/>
            <w:hideMark/>
          </w:tcPr>
          <w:p w:rsidR="00000000" w:rsidRDefault="00943C43">
            <w:pPr>
              <w:spacing w:after="100"/>
              <w:jc w:val="center"/>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63049232"/>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93,966 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90,330 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3C43">
            <w:pPr>
              <w:spacing w:after="100"/>
              <w:jc w:val="right"/>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63049232"/>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Cost of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52,918 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52,702 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3C43">
            <w:pPr>
              <w:spacing w:after="100"/>
              <w:jc w:val="right"/>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63049232"/>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Selling and marketing</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17,166 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18.3 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17,827 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19.7 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3C43">
            <w:pPr>
              <w:spacing w:after="100"/>
              <w:jc w:val="right"/>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63049232"/>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Research and development</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9,532 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10.1 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10,353 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11.5 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3C43">
            <w:pPr>
              <w:spacing w:after="100"/>
              <w:jc w:val="right"/>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63049232"/>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General and administrative</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18,117 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19.3 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14,468 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16.0 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3C43">
            <w:pPr>
              <w:spacing w:after="100"/>
              <w:jc w:val="right"/>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63049232"/>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63049232"/>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Amortization of intangible assets</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6,779 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7.2 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6,439 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7.1 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3C43">
            <w:pPr>
              <w:spacing w:after="100"/>
              <w:jc w:val="right"/>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63049232"/>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63049232"/>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63049232"/>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63049232"/>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63049232"/>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63049232"/>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Total expenses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104,512 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111.2 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101,789 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112.7 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3C43">
            <w:pPr>
              <w:spacing w:after="100"/>
              <w:jc w:val="right"/>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63049232"/>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Loss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(10,546)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(11,459)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3C43">
            <w:pPr>
              <w:spacing w:after="100"/>
              <w:jc w:val="right"/>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63049232"/>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Other income (expense), net</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2,433 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(8,274)</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(9.2)</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3C43">
            <w:pPr>
              <w:spacing w:after="100"/>
              <w:jc w:val="right"/>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63049232"/>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Gain from foreign currency transactions</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420 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1,074 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3C43">
            <w:pPr>
              <w:spacing w:after="100"/>
              <w:jc w:val="right"/>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63049232"/>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Interest expense, net</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(200)</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(0.2)</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(7,045)</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(7.8)</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3C43">
            <w:pPr>
              <w:spacing w:after="100"/>
              <w:jc w:val="right"/>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63049232"/>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Loss on extinguishment of debt</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(9,629)</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(10.7)</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3C43">
            <w:pPr>
              <w:spacing w:after="100"/>
              <w:jc w:val="right"/>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63049232"/>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Loss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(7,893)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(35,333)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3C43">
            <w:pPr>
              <w:spacing w:after="100"/>
              <w:jc w:val="right"/>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63049232"/>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Income tax provision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(1,383)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3C43">
            <w:pPr>
              <w:spacing w:after="100"/>
              <w:jc w:val="right"/>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663049232"/>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Net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(9,276)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(36,355)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(40.2)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3C43">
            <w:pPr>
              <w:spacing w:after="100"/>
              <w:jc w:val="right"/>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2"/>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bl>
    <w:p w:rsidR="00000000" w:rsidRDefault="00943C43">
      <w:pPr>
        <w:jc w:val="both"/>
        <w:divId w:val="1315991221"/>
        <w:rPr>
          <w:rFonts w:eastAsia="Times New Roman"/>
        </w:rPr>
      </w:pPr>
      <w:r>
        <w:rPr>
          <w:rFonts w:eastAsia="Times New Roman"/>
          <w:b/>
          <w:bCs/>
          <w:i/>
          <w:iCs/>
          <w:color w:val="000000"/>
          <w:sz w:val="20"/>
          <w:szCs w:val="20"/>
        </w:rPr>
        <w:t>Revenues</w:t>
      </w:r>
    </w:p>
    <w:p w:rsidR="00000000" w:rsidRDefault="00943C43">
      <w:pPr>
        <w:jc w:val="both"/>
        <w:divId w:val="1303653568"/>
        <w:rPr>
          <w:rFonts w:eastAsia="Times New Roman"/>
        </w:rPr>
      </w:pPr>
      <w:r>
        <w:rPr>
          <w:rFonts w:eastAsia="Times New Roman"/>
          <w:color w:val="000000"/>
          <w:sz w:val="20"/>
          <w:szCs w:val="20"/>
        </w:rPr>
        <w:t>In the first quarter of 2022, we decided to evaluate future revenue results around solution groups that better represent our evolving business and customer needs. Beginning with the first quarter of 2022, we evaluate and present revenues in the following t</w:t>
      </w:r>
      <w:r>
        <w:rPr>
          <w:rFonts w:eastAsia="Times New Roman"/>
          <w:color w:val="000000"/>
          <w:sz w:val="20"/>
          <w:szCs w:val="20"/>
        </w:rPr>
        <w:t>wo solution groups:</w:t>
      </w:r>
    </w:p>
    <w:p w:rsidR="00000000" w:rsidRDefault="00943C43">
      <w:pPr>
        <w:ind w:hanging="360"/>
        <w:jc w:val="both"/>
        <w:divId w:val="1503161638"/>
        <w:rPr>
          <w:rFonts w:eastAsia="Times New Roman"/>
        </w:rPr>
      </w:pPr>
      <w:r>
        <w:rPr>
          <w:rFonts w:eastAsia="Times New Roman"/>
          <w:color w:val="000000"/>
          <w:sz w:val="20"/>
          <w:szCs w:val="20"/>
        </w:rPr>
        <w:t>•Digital Ad Solutions provide measurement of the behavior and characteristics of audiences across digital platforms, including computers, tablets, mobile and other connected devices. This solution group also includes custom offerings th</w:t>
      </w:r>
      <w:r>
        <w:rPr>
          <w:rFonts w:eastAsia="Times New Roman"/>
          <w:color w:val="000000"/>
          <w:sz w:val="20"/>
          <w:szCs w:val="20"/>
        </w:rPr>
        <w:t>at provide end-to-end solutions for planning, optimization and evaluation of advertising campaigns and brand protection across digital platforms, including transactional outcome-based measurement driven by our Activation and CCR products.</w:t>
      </w:r>
    </w:p>
    <w:p w:rsidR="00000000" w:rsidRDefault="00943C43">
      <w:pPr>
        <w:ind w:hanging="360"/>
        <w:jc w:val="both"/>
        <w:divId w:val="1937863708"/>
        <w:rPr>
          <w:rFonts w:eastAsia="Times New Roman"/>
        </w:rPr>
      </w:pPr>
      <w:r>
        <w:rPr>
          <w:rFonts w:eastAsia="Times New Roman"/>
          <w:color w:val="000000"/>
          <w:sz w:val="20"/>
          <w:szCs w:val="20"/>
        </w:rPr>
        <w:t>•Cross Platform S</w:t>
      </w:r>
      <w:r>
        <w:rPr>
          <w:rFonts w:eastAsia="Times New Roman"/>
          <w:color w:val="000000"/>
          <w:sz w:val="20"/>
          <w:szCs w:val="20"/>
        </w:rPr>
        <w:t xml:space="preserve">olutions provide measurement of content and advertising audiences across local, national and addressable television, including consumption through connected (Smart) televisions, and are designed to help customers find the most relevant viewing </w:t>
      </w:r>
    </w:p>
    <w:p w:rsidR="00000000" w:rsidRDefault="00943C43">
      <w:pPr>
        <w:jc w:val="center"/>
        <w:divId w:val="1968386566"/>
        <w:rPr>
          <w:rFonts w:eastAsia="Times New Roman"/>
        </w:rPr>
      </w:pPr>
      <w:r>
        <w:rPr>
          <w:rFonts w:eastAsia="Times New Roman"/>
          <w:color w:val="000000"/>
          <w:sz w:val="20"/>
          <w:szCs w:val="20"/>
        </w:rPr>
        <w:t>15</w:t>
      </w:r>
    </w:p>
    <w:p w:rsidR="00000000" w:rsidRDefault="00943C43">
      <w:pPr>
        <w:rPr>
          <w:rFonts w:eastAsia="Times New Roman"/>
        </w:rPr>
      </w:pPr>
      <w:r>
        <w:rPr>
          <w:rFonts w:eastAsia="Times New Roman"/>
        </w:rPr>
        <w:pict>
          <v:rect id="_x0000_i1042" style="width:0;height:1.5pt" o:hralign="center" o:hrstd="t" o:hr="t" fillcolor="#a0a0a0" stroked="f"/>
        </w:pict>
      </w:r>
    </w:p>
    <w:p w:rsidR="00000000" w:rsidRDefault="00943C43">
      <w:pPr>
        <w:divId w:val="1758941751"/>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468209926"/>
        <w:rPr>
          <w:rFonts w:eastAsia="Times New Roman"/>
        </w:rPr>
      </w:pPr>
    </w:p>
    <w:p w:rsidR="00000000" w:rsidRDefault="00943C43">
      <w:pPr>
        <w:jc w:val="both"/>
        <w:divId w:val="2021465331"/>
        <w:rPr>
          <w:rFonts w:eastAsia="Times New Roman"/>
        </w:rPr>
      </w:pPr>
      <w:r>
        <w:rPr>
          <w:rFonts w:eastAsia="Times New Roman"/>
          <w:color w:val="000000"/>
          <w:sz w:val="20"/>
          <w:szCs w:val="20"/>
        </w:rPr>
        <w:t>audience whether that viewing is linear, non-linear, online or on-demand. This solution group also includes custom offerings that provide end-to-end solutions for planning, optimization and evaluation of advertising campaigns across platforms. In addition,</w:t>
      </w:r>
      <w:r>
        <w:rPr>
          <w:rFonts w:eastAsia="Times New Roman"/>
          <w:color w:val="000000"/>
          <w:sz w:val="20"/>
          <w:szCs w:val="20"/>
        </w:rPr>
        <w:t xml:space="preserve"> this solution group includes products that measure movie viewership and box office results by capturing movie ticket sales in real time or near real time and includes box office analytics, trend analysis and insights for movie studios and movie theater op</w:t>
      </w:r>
      <w:r>
        <w:rPr>
          <w:rFonts w:eastAsia="Times New Roman"/>
          <w:color w:val="000000"/>
          <w:sz w:val="20"/>
          <w:szCs w:val="20"/>
        </w:rPr>
        <w:t>erators worldwide.</w:t>
      </w:r>
    </w:p>
    <w:p w:rsidR="00000000" w:rsidRDefault="00943C43">
      <w:pPr>
        <w:jc w:val="both"/>
        <w:divId w:val="703755239"/>
        <w:rPr>
          <w:rFonts w:eastAsia="Times New Roman"/>
        </w:rPr>
      </w:pPr>
      <w:r>
        <w:rPr>
          <w:rFonts w:eastAsia="Times New Roman"/>
          <w:color w:val="000000"/>
          <w:sz w:val="20"/>
          <w:szCs w:val="20"/>
        </w:rPr>
        <w:t>We categorize our revenue along these two solution groups; however, our cost structure is tracked at the corporate level and not by our solution groups. These costs include, but are not limited to, employee costs, purchased data, operati</w:t>
      </w:r>
      <w:r>
        <w:rPr>
          <w:rFonts w:eastAsia="Times New Roman"/>
          <w:color w:val="000000"/>
          <w:sz w:val="20"/>
          <w:szCs w:val="20"/>
        </w:rPr>
        <w:t>onal overhead, data storage and technology that supports multiple solution groups.</w:t>
      </w:r>
    </w:p>
    <w:p w:rsidR="00000000" w:rsidRDefault="00943C43">
      <w:pPr>
        <w:jc w:val="both"/>
        <w:divId w:val="55663642"/>
        <w:rPr>
          <w:rFonts w:eastAsia="Times New Roman"/>
        </w:rPr>
      </w:pPr>
      <w:r>
        <w:rPr>
          <w:rFonts w:eastAsia="Times New Roman"/>
          <w:color w:val="000000"/>
          <w:sz w:val="20"/>
          <w:szCs w:val="20"/>
        </w:rPr>
        <w:t>Revenues for the three months ended March 31, 2022 and 2021 were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7"/>
        <w:gridCol w:w="3009"/>
        <w:gridCol w:w="36"/>
        <w:gridCol w:w="110"/>
        <w:gridCol w:w="574"/>
        <w:gridCol w:w="36"/>
        <w:gridCol w:w="36"/>
        <w:gridCol w:w="36"/>
        <w:gridCol w:w="36"/>
        <w:gridCol w:w="66"/>
        <w:gridCol w:w="555"/>
        <w:gridCol w:w="170"/>
        <w:gridCol w:w="36"/>
        <w:gridCol w:w="36"/>
        <w:gridCol w:w="36"/>
        <w:gridCol w:w="110"/>
        <w:gridCol w:w="562"/>
        <w:gridCol w:w="36"/>
        <w:gridCol w:w="36"/>
        <w:gridCol w:w="36"/>
        <w:gridCol w:w="36"/>
        <w:gridCol w:w="66"/>
        <w:gridCol w:w="555"/>
        <w:gridCol w:w="170"/>
        <w:gridCol w:w="36"/>
        <w:gridCol w:w="36"/>
        <w:gridCol w:w="36"/>
        <w:gridCol w:w="111"/>
        <w:gridCol w:w="693"/>
        <w:gridCol w:w="36"/>
        <w:gridCol w:w="36"/>
        <w:gridCol w:w="36"/>
        <w:gridCol w:w="36"/>
        <w:gridCol w:w="69"/>
        <w:gridCol w:w="588"/>
        <w:gridCol w:w="170"/>
      </w:tblGrid>
      <w:tr w:rsidR="00000000">
        <w:trPr>
          <w:divId w:val="566644683"/>
          <w:jc w:val="center"/>
        </w:trPr>
        <w:tc>
          <w:tcPr>
            <w:tcW w:w="50" w:type="pct"/>
            <w:vAlign w:val="center"/>
            <w:hideMark/>
          </w:tcPr>
          <w:p w:rsidR="00000000" w:rsidRDefault="00943C43">
            <w:pPr>
              <w:jc w:val="both"/>
              <w:rPr>
                <w:rFonts w:eastAsia="Times New Roman"/>
              </w:rPr>
            </w:pPr>
          </w:p>
        </w:tc>
        <w:tc>
          <w:tcPr>
            <w:tcW w:w="1920"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8"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566644683"/>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divId w:val="566644683"/>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Variance</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Variance</w:t>
            </w:r>
          </w:p>
        </w:tc>
      </w:tr>
      <w:tr w:rsidR="00000000">
        <w:trPr>
          <w:divId w:val="56664468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Digital Ad Solutions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53,137 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53,045 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566644683"/>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Cross Platform Solutions</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40,829 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43.5 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37,285 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41.3 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3,544 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56664468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Total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93,966 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90,330 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3,636 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bl>
    <w:p w:rsidR="00000000" w:rsidRDefault="00943C43">
      <w:pPr>
        <w:jc w:val="both"/>
        <w:divId w:val="910313393"/>
        <w:rPr>
          <w:rFonts w:eastAsia="Times New Roman"/>
        </w:rPr>
      </w:pPr>
      <w:r>
        <w:rPr>
          <w:rFonts w:eastAsia="Times New Roman"/>
          <w:color w:val="000000"/>
          <w:sz w:val="20"/>
          <w:szCs w:val="20"/>
        </w:rPr>
        <w:t>Digital Ad Solutions revenue increased primarily due to higher usage of our Activation product, which continued to experience double-digit year-over-year growth as we continued to bring new solutions to market, and higher deliveries of our Lift product and</w:t>
      </w:r>
      <w:r>
        <w:rPr>
          <w:rFonts w:eastAsia="Times New Roman"/>
          <w:color w:val="000000"/>
          <w:sz w:val="20"/>
          <w:szCs w:val="20"/>
        </w:rPr>
        <w:t xml:space="preserve"> custom digital solutions. These increases were offset by lower revenue from delivery of our digital measurement products in Europe due to $2.4 million in license revenue recognized under a multi-year contract in the first quarter of 2021.</w:t>
      </w:r>
    </w:p>
    <w:p w:rsidR="00000000" w:rsidRDefault="00943C43">
      <w:pPr>
        <w:jc w:val="both"/>
        <w:divId w:val="1702048287"/>
        <w:rPr>
          <w:rFonts w:eastAsia="Times New Roman"/>
        </w:rPr>
      </w:pPr>
      <w:r>
        <w:rPr>
          <w:rFonts w:eastAsia="Times New Roman"/>
          <w:color w:val="000000"/>
          <w:sz w:val="20"/>
          <w:szCs w:val="20"/>
        </w:rPr>
        <w:t>Cross Platform S</w:t>
      </w:r>
      <w:r>
        <w:rPr>
          <w:rFonts w:eastAsia="Times New Roman"/>
          <w:color w:val="000000"/>
          <w:sz w:val="20"/>
          <w:szCs w:val="20"/>
        </w:rPr>
        <w:t>olutions revenue increased primarily due to higher TV revenues from new partnerships, higher contract values from renewals and increased agency adoption. In addition, we recognized $2.0 million of revenue related to cost reimbursements of cloud computing a</w:t>
      </w:r>
      <w:r>
        <w:rPr>
          <w:rFonts w:eastAsia="Times New Roman"/>
          <w:color w:val="000000"/>
          <w:sz w:val="20"/>
          <w:szCs w:val="20"/>
        </w:rPr>
        <w:t xml:space="preserve">nd processing costs attributable to certain custom TV data set deliveries. Our movies revenue increased by $1.4 million due to the continued return of consumers to theaters in markets worldwide. We believe revenues from the movies business should continue </w:t>
      </w:r>
      <w:r>
        <w:rPr>
          <w:rFonts w:eastAsia="Times New Roman"/>
          <w:color w:val="000000"/>
          <w:sz w:val="20"/>
          <w:szCs w:val="20"/>
        </w:rPr>
        <w:t>to experience sequential quarterly increases in 2022 as consumers return to theaters.</w:t>
      </w:r>
    </w:p>
    <w:p w:rsidR="00000000" w:rsidRDefault="00943C43">
      <w:pPr>
        <w:jc w:val="both"/>
        <w:divId w:val="1570457577"/>
        <w:rPr>
          <w:rFonts w:eastAsia="Times New Roman"/>
        </w:rPr>
      </w:pPr>
      <w:r>
        <w:rPr>
          <w:rFonts w:eastAsia="Times New Roman"/>
          <w:color w:val="000000"/>
          <w:sz w:val="20"/>
          <w:szCs w:val="20"/>
        </w:rPr>
        <w:t>As discussed above, we changed the way we evaluate and present our revenues beginning in the first quarter of 2022. Prior to this change, through the fourth quarter of 20</w:t>
      </w:r>
      <w:r>
        <w:rPr>
          <w:rFonts w:eastAsia="Times New Roman"/>
          <w:color w:val="000000"/>
          <w:sz w:val="20"/>
          <w:szCs w:val="20"/>
        </w:rPr>
        <w:t>21, our products and services were organized around measurement, planning and optimization in three offerings, as follows:</w:t>
      </w:r>
    </w:p>
    <w:p w:rsidR="00000000" w:rsidRDefault="00943C43">
      <w:pPr>
        <w:ind w:hanging="360"/>
        <w:jc w:val="both"/>
        <w:divId w:val="1534800942"/>
        <w:rPr>
          <w:rFonts w:eastAsia="Times New Roman"/>
        </w:rPr>
      </w:pPr>
      <w:r>
        <w:rPr>
          <w:rFonts w:eastAsia="Times New Roman"/>
          <w:color w:val="000000"/>
          <w:sz w:val="20"/>
          <w:szCs w:val="20"/>
        </w:rPr>
        <w:t xml:space="preserve">•Ratings and Planning provided measurement of the behavior and characteristics of audiences of content and advertising across TV and </w:t>
      </w:r>
      <w:r>
        <w:rPr>
          <w:rFonts w:eastAsia="Times New Roman"/>
          <w:color w:val="000000"/>
          <w:sz w:val="20"/>
          <w:szCs w:val="20"/>
        </w:rPr>
        <w:t>digital platforms. These products and services were designed to help customers find the most relevant viewing audience, whether that viewing was linear, time shifted/recorded, online or on-demand.</w:t>
      </w:r>
    </w:p>
    <w:p w:rsidR="00000000" w:rsidRDefault="00943C43">
      <w:pPr>
        <w:ind w:hanging="360"/>
        <w:jc w:val="both"/>
        <w:divId w:val="1371226378"/>
        <w:rPr>
          <w:rFonts w:eastAsia="Times New Roman"/>
        </w:rPr>
      </w:pPr>
      <w:r>
        <w:rPr>
          <w:rFonts w:eastAsia="Times New Roman"/>
          <w:color w:val="000000"/>
          <w:sz w:val="20"/>
          <w:szCs w:val="20"/>
        </w:rPr>
        <w:t>•Analytics and Optimization included Activation, Lift and s</w:t>
      </w:r>
      <w:r>
        <w:rPr>
          <w:rFonts w:eastAsia="Times New Roman"/>
          <w:color w:val="000000"/>
          <w:sz w:val="20"/>
          <w:szCs w:val="20"/>
        </w:rPr>
        <w:t>urvey-based products that provided end-to-end solutions for planning, optimization and evaluation of advertising campaigns and brand protection.</w:t>
      </w:r>
    </w:p>
    <w:p w:rsidR="00000000" w:rsidRDefault="00943C43">
      <w:pPr>
        <w:ind w:hanging="360"/>
        <w:jc w:val="both"/>
        <w:divId w:val="860356963"/>
        <w:rPr>
          <w:rFonts w:eastAsia="Times New Roman"/>
        </w:rPr>
      </w:pPr>
      <w:r>
        <w:rPr>
          <w:rFonts w:eastAsia="Times New Roman"/>
          <w:color w:val="000000"/>
          <w:sz w:val="20"/>
          <w:szCs w:val="20"/>
        </w:rPr>
        <w:t>•</w:t>
      </w:r>
      <w:r>
        <w:rPr>
          <w:rFonts w:eastAsia="Times New Roman"/>
          <w:color w:val="000000"/>
          <w:sz w:val="20"/>
          <w:szCs w:val="20"/>
        </w:rPr>
        <w:t>Movies Reporting and Analytics measured movie viewership and box office results by capturing movie ticket sales in real time or near real time and included box office analytics, trend analysis and insights for movie studios and movie theater operators worl</w:t>
      </w:r>
      <w:r>
        <w:rPr>
          <w:rFonts w:eastAsia="Times New Roman"/>
          <w:color w:val="000000"/>
          <w:sz w:val="20"/>
          <w:szCs w:val="20"/>
        </w:rPr>
        <w:t>dwide.</w:t>
      </w:r>
    </w:p>
    <w:p w:rsidR="00000000" w:rsidRDefault="00943C43">
      <w:pPr>
        <w:jc w:val="both"/>
        <w:divId w:val="1297032737"/>
        <w:rPr>
          <w:rFonts w:eastAsia="Times New Roman"/>
        </w:rPr>
      </w:pPr>
      <w:r>
        <w:rPr>
          <w:rFonts w:eastAsia="Times New Roman"/>
          <w:color w:val="000000"/>
          <w:sz w:val="20"/>
          <w:szCs w:val="20"/>
        </w:rPr>
        <w:t>Revenues for the three months ended March 31, 2022 and 2021 based on these three offerings of products and services would have been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3007"/>
        <w:gridCol w:w="37"/>
        <w:gridCol w:w="110"/>
        <w:gridCol w:w="574"/>
        <w:gridCol w:w="36"/>
        <w:gridCol w:w="36"/>
        <w:gridCol w:w="36"/>
        <w:gridCol w:w="36"/>
        <w:gridCol w:w="66"/>
        <w:gridCol w:w="555"/>
        <w:gridCol w:w="170"/>
        <w:gridCol w:w="36"/>
        <w:gridCol w:w="36"/>
        <w:gridCol w:w="36"/>
        <w:gridCol w:w="110"/>
        <w:gridCol w:w="562"/>
        <w:gridCol w:w="36"/>
        <w:gridCol w:w="36"/>
        <w:gridCol w:w="36"/>
        <w:gridCol w:w="36"/>
        <w:gridCol w:w="66"/>
        <w:gridCol w:w="555"/>
        <w:gridCol w:w="170"/>
        <w:gridCol w:w="36"/>
        <w:gridCol w:w="36"/>
        <w:gridCol w:w="36"/>
        <w:gridCol w:w="111"/>
        <w:gridCol w:w="693"/>
        <w:gridCol w:w="36"/>
        <w:gridCol w:w="36"/>
        <w:gridCol w:w="36"/>
        <w:gridCol w:w="36"/>
        <w:gridCol w:w="69"/>
        <w:gridCol w:w="588"/>
        <w:gridCol w:w="170"/>
      </w:tblGrid>
      <w:tr w:rsidR="00000000">
        <w:trPr>
          <w:divId w:val="1177188511"/>
          <w:jc w:val="center"/>
        </w:trPr>
        <w:tc>
          <w:tcPr>
            <w:tcW w:w="50" w:type="pct"/>
            <w:vAlign w:val="center"/>
            <w:hideMark/>
          </w:tcPr>
          <w:p w:rsidR="00000000" w:rsidRDefault="00943C43">
            <w:pPr>
              <w:jc w:val="both"/>
              <w:rPr>
                <w:rFonts w:eastAsia="Times New Roman"/>
              </w:rPr>
            </w:pPr>
          </w:p>
        </w:tc>
        <w:tc>
          <w:tcPr>
            <w:tcW w:w="1920"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8"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1177188511"/>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divId w:val="1177188511"/>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Variance</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Variance</w:t>
            </w:r>
          </w:p>
        </w:tc>
      </w:tr>
      <w:tr w:rsidR="00000000">
        <w:trPr>
          <w:divId w:val="1177188511"/>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Ratings and Planning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67,458 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65,806 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1177188511"/>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Analytics and Optimization</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18,334 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19.5 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17,701 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19.6 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633 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3.6 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1177188511"/>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Movies Reporting and Analytics</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8,174 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8.7 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6,823 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7.5 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1,351 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19.8 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1177188511"/>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Total revenues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93,966 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90,330 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3,636 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bl>
    <w:p w:rsidR="00000000" w:rsidRDefault="00943C43">
      <w:pPr>
        <w:jc w:val="both"/>
        <w:divId w:val="537738280"/>
        <w:rPr>
          <w:rFonts w:eastAsia="Times New Roman"/>
        </w:rPr>
      </w:pPr>
      <w:r>
        <w:rPr>
          <w:rFonts w:eastAsia="Times New Roman"/>
          <w:b/>
          <w:bCs/>
          <w:i/>
          <w:iCs/>
          <w:color w:val="000000"/>
          <w:sz w:val="20"/>
          <w:szCs w:val="20"/>
        </w:rPr>
        <w:t>Cost of Revenues</w:t>
      </w:r>
    </w:p>
    <w:p w:rsidR="00000000" w:rsidRDefault="00943C43">
      <w:pPr>
        <w:jc w:val="both"/>
        <w:divId w:val="1501508436"/>
        <w:rPr>
          <w:rFonts w:eastAsia="Times New Roman"/>
        </w:rPr>
      </w:pPr>
      <w:r>
        <w:rPr>
          <w:rFonts w:eastAsia="Times New Roman"/>
          <w:color w:val="000000"/>
          <w:sz w:val="20"/>
          <w:szCs w:val="20"/>
        </w:rPr>
        <w:t>Cost of revenues consists primarily of expenses related to producing our products, operating our network infrastructure, the recruitment, maintenance and support of our consumer panels and amortization of capitalized fulfillment costs. These expenses inclu</w:t>
      </w:r>
      <w:r>
        <w:rPr>
          <w:rFonts w:eastAsia="Times New Roman"/>
          <w:color w:val="000000"/>
          <w:sz w:val="20"/>
          <w:szCs w:val="20"/>
        </w:rPr>
        <w:t>de employee costs for salaries, benefits, stock-based compensation and other related personnel costs of network operations, survey operations, custom analytics and technical support, all of which are expensed as they are incurred. Cost of revenues also inc</w:t>
      </w:r>
      <w:r>
        <w:rPr>
          <w:rFonts w:eastAsia="Times New Roman"/>
          <w:color w:val="000000"/>
          <w:sz w:val="20"/>
          <w:szCs w:val="20"/>
        </w:rPr>
        <w:t>ludes costs to obtain multichannel video programming distributor ("MVPD") data sets and panel, census based and other data sets used in our products as well as operational costs associated with our data centers, including depreciation expense associated wi</w:t>
      </w:r>
      <w:r>
        <w:rPr>
          <w:rFonts w:eastAsia="Times New Roman"/>
          <w:color w:val="000000"/>
          <w:sz w:val="20"/>
          <w:szCs w:val="20"/>
        </w:rPr>
        <w:t>th computer equipment and internally developed software that supports our panels and systems. Additionally, cost of revenues includes allocated overhead, which is comprised of lease expense and other facilities-related costs, and depreciation expense gener</w:t>
      </w:r>
      <w:r>
        <w:rPr>
          <w:rFonts w:eastAsia="Times New Roman"/>
          <w:color w:val="000000"/>
          <w:sz w:val="20"/>
          <w:szCs w:val="20"/>
        </w:rPr>
        <w:t>ated by general purpose equipment and software.</w:t>
      </w:r>
    </w:p>
    <w:p w:rsidR="00000000" w:rsidRDefault="00943C43">
      <w:pPr>
        <w:jc w:val="center"/>
        <w:divId w:val="1146313866"/>
        <w:rPr>
          <w:rFonts w:eastAsia="Times New Roman"/>
        </w:rPr>
      </w:pPr>
      <w:r>
        <w:rPr>
          <w:rFonts w:eastAsia="Times New Roman"/>
          <w:color w:val="000000"/>
          <w:sz w:val="20"/>
          <w:szCs w:val="20"/>
        </w:rPr>
        <w:t>16</w:t>
      </w:r>
    </w:p>
    <w:p w:rsidR="00000000" w:rsidRDefault="00943C43">
      <w:pPr>
        <w:rPr>
          <w:rFonts w:eastAsia="Times New Roman"/>
        </w:rPr>
      </w:pPr>
      <w:r>
        <w:rPr>
          <w:rFonts w:eastAsia="Times New Roman"/>
        </w:rPr>
        <w:pict>
          <v:rect id="_x0000_i1043" style="width:0;height:1.5pt" o:hralign="center" o:hrstd="t" o:hr="t" fillcolor="#a0a0a0" stroked="f"/>
        </w:pict>
      </w:r>
    </w:p>
    <w:p w:rsidR="00000000" w:rsidRDefault="00943C43">
      <w:pPr>
        <w:divId w:val="258104012"/>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1605383462"/>
        <w:rPr>
          <w:rFonts w:eastAsia="Times New Roman"/>
        </w:rPr>
      </w:pPr>
    </w:p>
    <w:p w:rsidR="00000000" w:rsidRDefault="00943C43">
      <w:pPr>
        <w:jc w:val="both"/>
        <w:divId w:val="391272716"/>
        <w:rPr>
          <w:rFonts w:eastAsia="Times New Roman"/>
        </w:rPr>
      </w:pPr>
      <w:r>
        <w:rPr>
          <w:rFonts w:eastAsia="Times New Roman"/>
          <w:color w:val="000000"/>
          <w:sz w:val="20"/>
          <w:szCs w:val="20"/>
        </w:rPr>
        <w:t xml:space="preserve">Cost of revenues for the three months ended March 31, 2022 and 2021 were as follows: </w:t>
      </w:r>
    </w:p>
    <w:tbl>
      <w:tblPr>
        <w:tblW w:w="4996" w:type="pct"/>
        <w:tblCellMar>
          <w:top w:w="15" w:type="dxa"/>
          <w:left w:w="15" w:type="dxa"/>
          <w:bottom w:w="15" w:type="dxa"/>
          <w:right w:w="15" w:type="dxa"/>
        </w:tblCellMar>
        <w:tblLook w:val="04A0" w:firstRow="1" w:lastRow="0" w:firstColumn="1" w:lastColumn="0" w:noHBand="0" w:noVBand="1"/>
      </w:tblPr>
      <w:tblGrid>
        <w:gridCol w:w="39"/>
        <w:gridCol w:w="3050"/>
        <w:gridCol w:w="38"/>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trPr>
          <w:divId w:val="753891880"/>
        </w:trPr>
        <w:tc>
          <w:tcPr>
            <w:tcW w:w="50" w:type="pct"/>
            <w:vAlign w:val="center"/>
            <w:hideMark/>
          </w:tcPr>
          <w:p w:rsidR="00000000" w:rsidRDefault="00943C43">
            <w:pPr>
              <w:jc w:val="both"/>
              <w:rPr>
                <w:rFonts w:eastAsia="Times New Roman"/>
              </w:rPr>
            </w:pPr>
          </w:p>
        </w:tc>
        <w:tc>
          <w:tcPr>
            <w:tcW w:w="1920"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8"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753891880"/>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753891880"/>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9"/>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divId w:val="753891880"/>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r>
              <w:rPr>
                <w:rFonts w:eastAsia="Times New Roman"/>
                <w:b/>
                <w:bCs/>
                <w:color w:val="000000"/>
                <w:sz w:val="10"/>
                <w:szCs w:val="1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Change</w:t>
            </w:r>
          </w:p>
        </w:tc>
      </w:tr>
      <w:tr w:rsidR="00000000">
        <w:trPr>
          <w:divId w:val="753891880"/>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Data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18,047 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18,303 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753891880"/>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Employee costs</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10,476 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11.1 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10,643 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11.8 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(167)</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753891880"/>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Systems and bandwidth costs</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9,667 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10.3 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6,835 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2,832 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41.4 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753891880"/>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5,333 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5.7 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4,917 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416 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753891880"/>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Panel costs</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3,737 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3,913 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(176)</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(4.5)</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753891880"/>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Sample and survey costs</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1,745 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1,823 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(78)</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(4.3)</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753891880"/>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Professional fees</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1,489 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1,283 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206 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16.1 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753891880"/>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1,262 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1,511 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(249)</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(16.5)</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753891880"/>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Royalties and resellers</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921 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425 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0.5 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496 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116.7 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753891880"/>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241 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3,049 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(2,808)</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(92.1)</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753891880"/>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Total cost of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52,918 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52,702 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43C43">
            <w:pPr>
              <w:spacing w:after="100"/>
              <w:jc w:val="right"/>
              <w:rPr>
                <w:rFonts w:eastAsia="Times New Roman"/>
              </w:rPr>
            </w:pPr>
            <w:r>
              <w:rPr>
                <w:rFonts w:eastAsia="Times New Roman"/>
                <w:color w:val="000000"/>
                <w:sz w:val="18"/>
                <w:szCs w:val="18"/>
              </w:rPr>
              <w:t>0.4 </w:t>
            </w:r>
          </w:p>
        </w:tc>
        <w:tc>
          <w:tcPr>
            <w:tcW w:w="0" w:type="auto"/>
            <w:shd w:val="clear" w:color="auto" w:fill="CCEEFF"/>
            <w:tcMar>
              <w:top w:w="30" w:type="dxa"/>
              <w:left w:w="0" w:type="dxa"/>
              <w:bottom w:w="30" w:type="dxa"/>
              <w:right w:w="20" w:type="dxa"/>
            </w:tcMar>
            <w:hideMark/>
          </w:tcPr>
          <w:p w:rsidR="00000000" w:rsidRDefault="00943C43">
            <w:pPr>
              <w:spacing w:after="100"/>
              <w:jc w:val="right"/>
              <w:rPr>
                <w:rFonts w:eastAsia="Times New Roman"/>
              </w:rPr>
            </w:pPr>
            <w:r>
              <w:rPr>
                <w:rFonts w:eastAsia="Times New Roman"/>
                <w:color w:val="000000"/>
                <w:sz w:val="18"/>
                <w:szCs w:val="18"/>
              </w:rPr>
              <w:t>%</w:t>
            </w:r>
          </w:p>
        </w:tc>
      </w:tr>
    </w:tbl>
    <w:p w:rsidR="00000000" w:rsidRDefault="00943C43">
      <w:pPr>
        <w:jc w:val="both"/>
        <w:divId w:val="1971395684"/>
        <w:rPr>
          <w:rFonts w:eastAsia="Times New Roman"/>
        </w:rPr>
      </w:pPr>
      <w:r>
        <w:rPr>
          <w:rFonts w:eastAsia="Times New Roman"/>
          <w:color w:val="000000"/>
          <w:sz w:val="20"/>
          <w:szCs w:val="20"/>
        </w:rPr>
        <w:t xml:space="preserve">Systems and bandwidth costs increased primarily due to cloud computing and processing costs attributable to certain custom TV data set deliveries in the first quarter of 2022, including $2.0 million that was recognized as revenue as described above. Other </w:t>
      </w:r>
      <w:r>
        <w:rPr>
          <w:rFonts w:eastAsia="Times New Roman"/>
          <w:color w:val="000000"/>
          <w:sz w:val="20"/>
          <w:szCs w:val="20"/>
        </w:rPr>
        <w:t>expenses decreased primarily due to the recognition of $2.4 million in license costs associated with the delivery of our digital measurement products in Europe in the first quarter of 2021 in connection with the multi-year contract described above.</w:t>
      </w:r>
    </w:p>
    <w:p w:rsidR="00000000" w:rsidRDefault="00943C43">
      <w:pPr>
        <w:jc w:val="both"/>
        <w:divId w:val="730808136"/>
        <w:rPr>
          <w:rFonts w:eastAsia="Times New Roman"/>
        </w:rPr>
      </w:pPr>
      <w:r>
        <w:rPr>
          <w:rFonts w:eastAsia="Times New Roman"/>
          <w:b/>
          <w:bCs/>
          <w:i/>
          <w:iCs/>
          <w:color w:val="000000"/>
          <w:sz w:val="20"/>
          <w:szCs w:val="20"/>
        </w:rPr>
        <w:t>Selling</w:t>
      </w:r>
      <w:r>
        <w:rPr>
          <w:rFonts w:eastAsia="Times New Roman"/>
          <w:b/>
          <w:bCs/>
          <w:i/>
          <w:iCs/>
          <w:color w:val="000000"/>
          <w:sz w:val="20"/>
          <w:szCs w:val="20"/>
        </w:rPr>
        <w:t xml:space="preserve"> and Marketing</w:t>
      </w:r>
    </w:p>
    <w:p w:rsidR="00000000" w:rsidRDefault="00943C43">
      <w:pPr>
        <w:jc w:val="both"/>
        <w:divId w:val="1491215163"/>
        <w:rPr>
          <w:rFonts w:eastAsia="Times New Roman"/>
        </w:rPr>
      </w:pPr>
      <w:r>
        <w:rPr>
          <w:rFonts w:eastAsia="Times New Roman"/>
          <w:color w:val="000000"/>
          <w:sz w:val="20"/>
          <w:szCs w:val="20"/>
        </w:rPr>
        <w:t>Selling and marketing expenses consist primarily of employee costs for salaries, benefits, commissions, stock-based compensation and other related costs for personnel associated with sales and marketing activities. It also includes costs rel</w:t>
      </w:r>
      <w:r>
        <w:rPr>
          <w:rFonts w:eastAsia="Times New Roman"/>
          <w:color w:val="000000"/>
          <w:sz w:val="20"/>
          <w:szCs w:val="20"/>
        </w:rPr>
        <w:t>ated to online and offline advertising, industry conferences, promotional materials, public relations, other sales and marketing programs and allocated overhead, which is comprised of lease expense and other facilities-related costs, and depreciation expen</w:t>
      </w:r>
      <w:r>
        <w:rPr>
          <w:rFonts w:eastAsia="Times New Roman"/>
          <w:color w:val="000000"/>
          <w:sz w:val="20"/>
          <w:szCs w:val="20"/>
        </w:rPr>
        <w:t>se generated by general purpose equipment and software.</w:t>
      </w:r>
    </w:p>
    <w:p w:rsidR="00000000" w:rsidRDefault="00943C43">
      <w:pPr>
        <w:jc w:val="both"/>
        <w:divId w:val="429401350"/>
        <w:rPr>
          <w:rFonts w:eastAsia="Times New Roman"/>
        </w:rPr>
      </w:pPr>
      <w:r>
        <w:rPr>
          <w:rFonts w:eastAsia="Times New Roman"/>
          <w:color w:val="000000"/>
          <w:sz w:val="20"/>
          <w:szCs w:val="20"/>
        </w:rPr>
        <w:t>Selling and marketing expenses for the three months ended March 31, 2022 and 2021 were as follows:</w:t>
      </w:r>
    </w:p>
    <w:tbl>
      <w:tblPr>
        <w:tblW w:w="4996" w:type="pct"/>
        <w:tblCellMar>
          <w:top w:w="15" w:type="dxa"/>
          <w:left w:w="15" w:type="dxa"/>
          <w:bottom w:w="15" w:type="dxa"/>
          <w:right w:w="15" w:type="dxa"/>
        </w:tblCellMar>
        <w:tblLook w:val="04A0" w:firstRow="1" w:lastRow="0" w:firstColumn="1" w:lastColumn="0" w:noHBand="0" w:noVBand="1"/>
      </w:tblPr>
      <w:tblGrid>
        <w:gridCol w:w="38"/>
        <w:gridCol w:w="3052"/>
        <w:gridCol w:w="37"/>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trPr>
          <w:divId w:val="1458451797"/>
        </w:trPr>
        <w:tc>
          <w:tcPr>
            <w:tcW w:w="50" w:type="pct"/>
            <w:vAlign w:val="center"/>
            <w:hideMark/>
          </w:tcPr>
          <w:p w:rsidR="00000000" w:rsidRDefault="00943C43">
            <w:pPr>
              <w:jc w:val="both"/>
              <w:rPr>
                <w:rFonts w:eastAsia="Times New Roman"/>
              </w:rPr>
            </w:pPr>
          </w:p>
        </w:tc>
        <w:tc>
          <w:tcPr>
            <w:tcW w:w="1920"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8"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1458451797"/>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58451797"/>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divId w:val="1458451797"/>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xml:space="preserve">% of Revenue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xml:space="preserve">% of Revenue </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Change</w:t>
            </w:r>
          </w:p>
        </w:tc>
      </w:tr>
      <w:tr w:rsidR="00000000">
        <w:trPr>
          <w:divId w:val="1458451797"/>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14,210 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15,284 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1458451797"/>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946 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1,041 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(95)</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(9.1)</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1458451797"/>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847 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662 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185 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27.9 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1458451797"/>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508 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473 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7.4 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1458451797"/>
        </w:trPr>
        <w:tc>
          <w:tcPr>
            <w:tcW w:w="0" w:type="auto"/>
            <w:gridSpan w:val="3"/>
            <w:vAlign w:val="center"/>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58451797"/>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58451797"/>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655 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367 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0.4 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288 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78.5 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1458451797"/>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Total selling and marketing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17,166 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17,827 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(661)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43C43">
            <w:pPr>
              <w:spacing w:after="100"/>
              <w:jc w:val="right"/>
              <w:rPr>
                <w:rFonts w:eastAsia="Times New Roman"/>
              </w:rPr>
            </w:pPr>
            <w:r>
              <w:rPr>
                <w:rFonts w:eastAsia="Times New Roman"/>
                <w:color w:val="000000"/>
                <w:sz w:val="18"/>
                <w:szCs w:val="18"/>
              </w:rPr>
              <w:t>(3.7)</w:t>
            </w:r>
          </w:p>
        </w:tc>
        <w:tc>
          <w:tcPr>
            <w:tcW w:w="0" w:type="auto"/>
            <w:shd w:val="clear" w:color="auto" w:fill="FFFFFF"/>
            <w:tcMar>
              <w:top w:w="30" w:type="dxa"/>
              <w:left w:w="0" w:type="dxa"/>
              <w:bottom w:w="30" w:type="dxa"/>
              <w:right w:w="20" w:type="dxa"/>
            </w:tcMar>
            <w:hideMark/>
          </w:tcPr>
          <w:p w:rsidR="00000000" w:rsidRDefault="00943C43">
            <w:pPr>
              <w:spacing w:after="100"/>
              <w:jc w:val="right"/>
              <w:rPr>
                <w:rFonts w:eastAsia="Times New Roman"/>
              </w:rPr>
            </w:pPr>
            <w:r>
              <w:rPr>
                <w:rFonts w:eastAsia="Times New Roman"/>
                <w:color w:val="000000"/>
                <w:sz w:val="18"/>
                <w:szCs w:val="18"/>
              </w:rPr>
              <w:t>%</w:t>
            </w:r>
          </w:p>
        </w:tc>
      </w:tr>
    </w:tbl>
    <w:p w:rsidR="00000000" w:rsidRDefault="00943C43">
      <w:pPr>
        <w:jc w:val="both"/>
        <w:divId w:val="257714356"/>
        <w:rPr>
          <w:rFonts w:eastAsia="Times New Roman"/>
        </w:rPr>
      </w:pPr>
      <w:r>
        <w:rPr>
          <w:rFonts w:eastAsia="Times New Roman"/>
          <w:color w:val="000000"/>
          <w:sz w:val="20"/>
          <w:szCs w:val="20"/>
        </w:rPr>
        <w:t>Employee costs decreased primarily due to</w:t>
      </w:r>
      <w:r>
        <w:rPr>
          <w:rFonts w:eastAsia="Times New Roman"/>
          <w:color w:val="000000"/>
          <w:sz w:val="20"/>
          <w:szCs w:val="20"/>
        </w:rPr>
        <w:t xml:space="preserve"> lower stock-based compensation expense.</w:t>
      </w:r>
    </w:p>
    <w:p w:rsidR="00000000" w:rsidRDefault="00943C43">
      <w:pPr>
        <w:jc w:val="both"/>
        <w:divId w:val="1487279763"/>
        <w:rPr>
          <w:rFonts w:eastAsia="Times New Roman"/>
        </w:rPr>
      </w:pPr>
      <w:r>
        <w:rPr>
          <w:rFonts w:eastAsia="Times New Roman"/>
          <w:b/>
          <w:bCs/>
          <w:i/>
          <w:iCs/>
          <w:color w:val="000000"/>
          <w:sz w:val="20"/>
          <w:szCs w:val="20"/>
        </w:rPr>
        <w:t>Research and Development</w:t>
      </w:r>
    </w:p>
    <w:p w:rsidR="00000000" w:rsidRDefault="00943C43">
      <w:pPr>
        <w:jc w:val="both"/>
        <w:divId w:val="605431353"/>
        <w:rPr>
          <w:rFonts w:eastAsia="Times New Roman"/>
        </w:rPr>
      </w:pPr>
      <w:r>
        <w:rPr>
          <w:rFonts w:eastAsia="Times New Roman"/>
          <w:color w:val="000000"/>
          <w:sz w:val="20"/>
          <w:szCs w:val="20"/>
        </w:rPr>
        <w:t>Research and development expenses include product development costs, consisting primarily of employee costs for salaries, benefits, stock-based compensation and other related costs for perso</w:t>
      </w:r>
      <w:r>
        <w:rPr>
          <w:rFonts w:eastAsia="Times New Roman"/>
          <w:color w:val="000000"/>
          <w:sz w:val="20"/>
          <w:szCs w:val="20"/>
        </w:rPr>
        <w:t>nnel associated with research and development activities, third-party expenses to develop new products and third-party data costs and allocated overhead, which is comprised of lease expense and other facilities-related costs, and depreciation expense relat</w:t>
      </w:r>
      <w:r>
        <w:rPr>
          <w:rFonts w:eastAsia="Times New Roman"/>
          <w:color w:val="000000"/>
          <w:sz w:val="20"/>
          <w:szCs w:val="20"/>
        </w:rPr>
        <w:t>ed to general purpose equipment and software.</w:t>
      </w:r>
    </w:p>
    <w:p w:rsidR="00000000" w:rsidRDefault="00943C43">
      <w:pPr>
        <w:jc w:val="both"/>
        <w:divId w:val="1536312960"/>
        <w:rPr>
          <w:rFonts w:eastAsia="Times New Roman"/>
        </w:rPr>
      </w:pPr>
      <w:r>
        <w:rPr>
          <w:rFonts w:eastAsia="Times New Roman"/>
          <w:color w:val="000000"/>
          <w:sz w:val="20"/>
          <w:szCs w:val="20"/>
        </w:rPr>
        <w:t>Research and development expenses for the three months ended March 31, 2022 and 2021 were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3050"/>
        <w:gridCol w:w="38"/>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trPr>
          <w:divId w:val="1424450948"/>
          <w:jc w:val="center"/>
        </w:trPr>
        <w:tc>
          <w:tcPr>
            <w:tcW w:w="50" w:type="pct"/>
            <w:vAlign w:val="center"/>
            <w:hideMark/>
          </w:tcPr>
          <w:p w:rsidR="00000000" w:rsidRDefault="00943C43">
            <w:pPr>
              <w:jc w:val="both"/>
              <w:rPr>
                <w:rFonts w:eastAsia="Times New Roman"/>
              </w:rPr>
            </w:pPr>
          </w:p>
        </w:tc>
        <w:tc>
          <w:tcPr>
            <w:tcW w:w="1920"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8"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1424450948"/>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424450948"/>
          <w:jc w:val="center"/>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divId w:val="1424450948"/>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Change</w:t>
            </w:r>
          </w:p>
        </w:tc>
      </w:tr>
      <w:tr w:rsidR="00000000">
        <w:trPr>
          <w:divId w:val="1424450948"/>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7,455 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1424450948"/>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991 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1,133 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(142)</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(12.5)</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1424450948"/>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714 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859 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(145)</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(16.9)</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1424450948"/>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248 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401 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(153)</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(38.2)</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1424450948"/>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124 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0.1 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165 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(41)</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(24.8)</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1424450948"/>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Total research and development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9,532 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10,353 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(821)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43C43">
            <w:pPr>
              <w:spacing w:after="100"/>
              <w:jc w:val="right"/>
              <w:rPr>
                <w:rFonts w:eastAsia="Times New Roman"/>
              </w:rPr>
            </w:pPr>
            <w:r>
              <w:rPr>
                <w:rFonts w:eastAsia="Times New Roman"/>
                <w:color w:val="000000"/>
                <w:sz w:val="18"/>
                <w:szCs w:val="18"/>
              </w:rPr>
              <w:t>(7.9)</w:t>
            </w:r>
          </w:p>
        </w:tc>
        <w:tc>
          <w:tcPr>
            <w:tcW w:w="0" w:type="auto"/>
            <w:shd w:val="clear" w:color="auto" w:fill="FFFFFF"/>
            <w:tcMar>
              <w:top w:w="30" w:type="dxa"/>
              <w:left w:w="0" w:type="dxa"/>
              <w:bottom w:w="30" w:type="dxa"/>
              <w:right w:w="20" w:type="dxa"/>
            </w:tcMar>
            <w:hideMark/>
          </w:tcPr>
          <w:p w:rsidR="00000000" w:rsidRDefault="00943C43">
            <w:pPr>
              <w:spacing w:after="100"/>
              <w:jc w:val="right"/>
              <w:rPr>
                <w:rFonts w:eastAsia="Times New Roman"/>
              </w:rPr>
            </w:pPr>
            <w:r>
              <w:rPr>
                <w:rFonts w:eastAsia="Times New Roman"/>
                <w:color w:val="000000"/>
                <w:sz w:val="18"/>
                <w:szCs w:val="18"/>
              </w:rPr>
              <w:t>%</w:t>
            </w:r>
          </w:p>
        </w:tc>
      </w:tr>
    </w:tbl>
    <w:p w:rsidR="00000000" w:rsidRDefault="00943C43">
      <w:pPr>
        <w:jc w:val="center"/>
        <w:divId w:val="482159977"/>
        <w:rPr>
          <w:rFonts w:eastAsia="Times New Roman"/>
        </w:rPr>
      </w:pPr>
      <w:r>
        <w:rPr>
          <w:rFonts w:eastAsia="Times New Roman"/>
          <w:color w:val="000000"/>
          <w:sz w:val="20"/>
          <w:szCs w:val="20"/>
        </w:rPr>
        <w:t>17</w:t>
      </w:r>
    </w:p>
    <w:p w:rsidR="00000000" w:rsidRDefault="00943C43">
      <w:pPr>
        <w:rPr>
          <w:rFonts w:eastAsia="Times New Roman"/>
        </w:rPr>
      </w:pPr>
      <w:r>
        <w:rPr>
          <w:rFonts w:eastAsia="Times New Roman"/>
        </w:rPr>
        <w:pict>
          <v:rect id="_x0000_i1044" style="width:0;height:1.5pt" o:hralign="center" o:hrstd="t" o:hr="t" fillcolor="#a0a0a0" stroked="f"/>
        </w:pict>
      </w:r>
    </w:p>
    <w:p w:rsidR="00000000" w:rsidRDefault="00943C43">
      <w:pPr>
        <w:divId w:val="700479322"/>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1608270331"/>
        <w:rPr>
          <w:rFonts w:eastAsia="Times New Roman"/>
        </w:rPr>
      </w:pPr>
    </w:p>
    <w:p w:rsidR="00000000" w:rsidRDefault="00943C43">
      <w:pPr>
        <w:jc w:val="both"/>
        <w:divId w:val="1408654606"/>
        <w:rPr>
          <w:rFonts w:eastAsia="Times New Roman"/>
        </w:rPr>
      </w:pPr>
      <w:r>
        <w:rPr>
          <w:rFonts w:eastAsia="Times New Roman"/>
          <w:b/>
          <w:bCs/>
          <w:i/>
          <w:iCs/>
          <w:color w:val="000000"/>
          <w:sz w:val="20"/>
          <w:szCs w:val="20"/>
        </w:rPr>
        <w:t>General and Administrative</w:t>
      </w:r>
    </w:p>
    <w:p w:rsidR="00000000" w:rsidRDefault="00943C43">
      <w:pPr>
        <w:jc w:val="both"/>
        <w:divId w:val="41563653"/>
        <w:rPr>
          <w:rFonts w:eastAsia="Times New Roman"/>
        </w:rPr>
      </w:pPr>
      <w:r>
        <w:rPr>
          <w:rFonts w:eastAsia="Times New Roman"/>
          <w:color w:val="000000"/>
          <w:sz w:val="20"/>
          <w:szCs w:val="20"/>
        </w:rPr>
        <w:t>General and administrative expenses consist primarily of employee costs for salaries, benefits, stock-based compens</w:t>
      </w:r>
      <w:r>
        <w:rPr>
          <w:rFonts w:eastAsia="Times New Roman"/>
          <w:color w:val="000000"/>
          <w:sz w:val="20"/>
          <w:szCs w:val="20"/>
        </w:rPr>
        <w:t>ation and other related costs, and related expenses for executive management, finance, human capital, legal and other administrative functions, as well as professional fees, overhead, including allocated overhead, which is comprised of lease expense and ot</w:t>
      </w:r>
      <w:r>
        <w:rPr>
          <w:rFonts w:eastAsia="Times New Roman"/>
          <w:color w:val="000000"/>
          <w:sz w:val="20"/>
          <w:szCs w:val="20"/>
        </w:rPr>
        <w:t>her facilities-related costs, depreciation expense related to general purpose equipment and software, amortization of cloud-computing implementation costs, changes in the fair value of our contingent consideration liability, Board of Directors compensation</w:t>
      </w:r>
      <w:r>
        <w:rPr>
          <w:rFonts w:eastAsia="Times New Roman"/>
          <w:color w:val="000000"/>
          <w:sz w:val="20"/>
          <w:szCs w:val="20"/>
        </w:rPr>
        <w:t xml:space="preserve"> and expenses incurred for other general corporate purposes.</w:t>
      </w:r>
    </w:p>
    <w:p w:rsidR="00000000" w:rsidRDefault="00943C43">
      <w:pPr>
        <w:jc w:val="both"/>
        <w:divId w:val="1669553064"/>
        <w:rPr>
          <w:rFonts w:eastAsia="Times New Roman"/>
        </w:rPr>
      </w:pPr>
      <w:r>
        <w:rPr>
          <w:rFonts w:eastAsia="Times New Roman"/>
          <w:color w:val="000000"/>
          <w:sz w:val="20"/>
          <w:szCs w:val="20"/>
        </w:rPr>
        <w:t>General and administrative expenses for the three months ended March 31, 2022 and 2021 were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3050"/>
        <w:gridCol w:w="38"/>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trPr>
          <w:divId w:val="687830757"/>
          <w:jc w:val="center"/>
        </w:trPr>
        <w:tc>
          <w:tcPr>
            <w:tcW w:w="50" w:type="pct"/>
            <w:vAlign w:val="center"/>
            <w:hideMark/>
          </w:tcPr>
          <w:p w:rsidR="00000000" w:rsidRDefault="00943C43">
            <w:pPr>
              <w:jc w:val="both"/>
              <w:rPr>
                <w:rFonts w:eastAsia="Times New Roman"/>
              </w:rPr>
            </w:pPr>
          </w:p>
        </w:tc>
        <w:tc>
          <w:tcPr>
            <w:tcW w:w="1920"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28"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687830757"/>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687830757"/>
          <w:jc w:val="center"/>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divId w:val="687830757"/>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 Change</w:t>
            </w:r>
          </w:p>
        </w:tc>
      </w:tr>
      <w:tr w:rsidR="00000000">
        <w:trPr>
          <w:divId w:val="687830757"/>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8,477 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8,298 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687830757"/>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4,236 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2,989 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1,247 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41.7 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687830757"/>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840 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589 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251 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42.6 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687830757"/>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435 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474 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(39)</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(8.2)</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687830757"/>
          <w:jc w:val="center"/>
        </w:trPr>
        <w:tc>
          <w:tcPr>
            <w:tcW w:w="0" w:type="auto"/>
            <w:gridSpan w:val="3"/>
            <w:vAlign w:val="center"/>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687830757"/>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 xml:space="preserve">Other </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4,129 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4.4 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2,118 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2,011 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94.9 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r>
      <w:tr w:rsidR="00000000">
        <w:trPr>
          <w:divId w:val="687830757"/>
          <w:jc w:val="center"/>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Total general and administrative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18,117 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14,468 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3,649 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43C43">
            <w:pPr>
              <w:spacing w:after="100"/>
              <w:jc w:val="right"/>
              <w:rPr>
                <w:rFonts w:eastAsia="Times New Roman"/>
              </w:rPr>
            </w:pPr>
            <w:r>
              <w:rPr>
                <w:rFonts w:eastAsia="Times New Roman"/>
                <w:color w:val="000000"/>
                <w:sz w:val="18"/>
                <w:szCs w:val="18"/>
              </w:rPr>
              <w:t>25.2 </w:t>
            </w:r>
          </w:p>
        </w:tc>
        <w:tc>
          <w:tcPr>
            <w:tcW w:w="0" w:type="auto"/>
            <w:shd w:val="clear" w:color="auto" w:fill="FFFFFF"/>
            <w:tcMar>
              <w:top w:w="30" w:type="dxa"/>
              <w:left w:w="0" w:type="dxa"/>
              <w:bottom w:w="30" w:type="dxa"/>
              <w:right w:w="20" w:type="dxa"/>
            </w:tcMar>
            <w:hideMark/>
          </w:tcPr>
          <w:p w:rsidR="00000000" w:rsidRDefault="00943C43">
            <w:pPr>
              <w:spacing w:after="100"/>
              <w:jc w:val="right"/>
              <w:rPr>
                <w:rFonts w:eastAsia="Times New Roman"/>
              </w:rPr>
            </w:pPr>
            <w:r>
              <w:rPr>
                <w:rFonts w:eastAsia="Times New Roman"/>
                <w:color w:val="000000"/>
                <w:sz w:val="18"/>
                <w:szCs w:val="18"/>
              </w:rPr>
              <w:t>%</w:t>
            </w:r>
          </w:p>
        </w:tc>
      </w:tr>
    </w:tbl>
    <w:p w:rsidR="00000000" w:rsidRDefault="00943C43">
      <w:pPr>
        <w:jc w:val="both"/>
        <w:divId w:val="1412774995"/>
        <w:rPr>
          <w:rFonts w:eastAsia="Times New Roman"/>
        </w:rPr>
      </w:pPr>
      <w:r>
        <w:rPr>
          <w:rFonts w:eastAsia="Times New Roman"/>
          <w:color w:val="000000"/>
          <w:sz w:val="20"/>
          <w:szCs w:val="20"/>
        </w:rPr>
        <w:t>Professiona</w:t>
      </w:r>
      <w:r>
        <w:rPr>
          <w:rFonts w:eastAsia="Times New Roman"/>
          <w:color w:val="000000"/>
          <w:sz w:val="20"/>
          <w:szCs w:val="20"/>
        </w:rPr>
        <w:t>l fees increased primarily due to a reclassification of insurance costs from other expenses to better reflect the nature of services provided. Other expense increased primarily due to a $2.3 million loss resulting from the change in fair value of the conti</w:t>
      </w:r>
      <w:r>
        <w:rPr>
          <w:rFonts w:eastAsia="Times New Roman"/>
          <w:color w:val="000000"/>
          <w:sz w:val="20"/>
          <w:szCs w:val="20"/>
        </w:rPr>
        <w:t xml:space="preserve">ngent consideration recognized as part of the business combination described in </w:t>
      </w:r>
      <w:hyperlink w:anchor="i81c699a6f33e49f8a081f48620e58c22_37" w:history="1">
        <w:r>
          <w:rPr>
            <w:rStyle w:val="a3"/>
            <w:rFonts w:eastAsia="Times New Roman"/>
            <w:sz w:val="20"/>
            <w:szCs w:val="20"/>
          </w:rPr>
          <w:t>Fo</w:t>
        </w:r>
      </w:hyperlink>
      <w:hyperlink w:anchor="i81c699a6f33e49f8a081f48620e58c22_37" w:history="1">
        <w:r>
          <w:rPr>
            <w:rStyle w:val="a3"/>
            <w:rFonts w:eastAsia="Times New Roman"/>
            <w:sz w:val="20"/>
            <w:szCs w:val="20"/>
          </w:rPr>
          <w:t>otnote 2</w:t>
        </w:r>
      </w:hyperlink>
      <w:r>
        <w:rPr>
          <w:rFonts w:eastAsia="Times New Roman"/>
          <w:color w:val="000000"/>
          <w:sz w:val="20"/>
          <w:szCs w:val="20"/>
        </w:rPr>
        <w:t xml:space="preserve">, </w:t>
      </w:r>
      <w:r>
        <w:rPr>
          <w:rFonts w:eastAsia="Times New Roman"/>
          <w:i/>
          <w:iCs/>
          <w:color w:val="000000"/>
          <w:sz w:val="20"/>
          <w:szCs w:val="20"/>
        </w:rPr>
        <w:t>Summary of Significant Accounting Policies</w:t>
      </w:r>
      <w:r>
        <w:rPr>
          <w:rFonts w:eastAsia="Times New Roman"/>
          <w:color w:val="000000"/>
          <w:sz w:val="20"/>
          <w:szCs w:val="20"/>
        </w:rPr>
        <w:t xml:space="preserve">. This increase was partially offset by the reclassification of insurance costs to professional fees. </w:t>
      </w:r>
    </w:p>
    <w:p w:rsidR="00000000" w:rsidRDefault="00943C43">
      <w:pPr>
        <w:jc w:val="both"/>
        <w:divId w:val="1136918798"/>
        <w:rPr>
          <w:rFonts w:eastAsia="Times New Roman"/>
        </w:rPr>
      </w:pPr>
      <w:r>
        <w:rPr>
          <w:rFonts w:eastAsia="Times New Roman"/>
          <w:b/>
          <w:bCs/>
          <w:i/>
          <w:iCs/>
          <w:color w:val="000000"/>
          <w:sz w:val="20"/>
          <w:szCs w:val="20"/>
        </w:rPr>
        <w:t>Other Income (Expense), Net</w:t>
      </w:r>
    </w:p>
    <w:p w:rsidR="00000000" w:rsidRDefault="00943C43">
      <w:pPr>
        <w:jc w:val="both"/>
        <w:divId w:val="55789511"/>
        <w:rPr>
          <w:rFonts w:eastAsia="Times New Roman"/>
        </w:rPr>
      </w:pPr>
      <w:r>
        <w:rPr>
          <w:rFonts w:eastAsia="Times New Roman"/>
          <w:color w:val="000000"/>
          <w:sz w:val="20"/>
          <w:szCs w:val="20"/>
        </w:rPr>
        <w:t>Other income (expense), net represents income and expenses incurred that are genera</w:t>
      </w:r>
      <w:r>
        <w:rPr>
          <w:rFonts w:eastAsia="Times New Roman"/>
          <w:color w:val="000000"/>
          <w:sz w:val="20"/>
          <w:szCs w:val="20"/>
        </w:rPr>
        <w:t>lly not recurring in nature or are not part of our regular operations. The following is a summary of other income (expense), net for the three months ended March 31, 2022 and 2021:</w:t>
      </w:r>
    </w:p>
    <w:tbl>
      <w:tblPr>
        <w:tblW w:w="4996" w:type="pct"/>
        <w:tblCellMar>
          <w:top w:w="15" w:type="dxa"/>
          <w:left w:w="15" w:type="dxa"/>
          <w:bottom w:w="15" w:type="dxa"/>
          <w:right w:w="15" w:type="dxa"/>
        </w:tblCellMar>
        <w:tblLook w:val="04A0" w:firstRow="1" w:lastRow="0" w:firstColumn="1" w:lastColumn="0" w:noHBand="0" w:noVBand="1"/>
      </w:tblPr>
      <w:tblGrid>
        <w:gridCol w:w="38"/>
        <w:gridCol w:w="5790"/>
        <w:gridCol w:w="37"/>
        <w:gridCol w:w="110"/>
        <w:gridCol w:w="855"/>
        <w:gridCol w:w="36"/>
        <w:gridCol w:w="36"/>
        <w:gridCol w:w="36"/>
        <w:gridCol w:w="36"/>
        <w:gridCol w:w="110"/>
        <w:gridCol w:w="855"/>
        <w:gridCol w:w="36"/>
        <w:gridCol w:w="36"/>
        <w:gridCol w:w="36"/>
        <w:gridCol w:w="36"/>
        <w:gridCol w:w="36"/>
        <w:gridCol w:w="36"/>
        <w:gridCol w:w="36"/>
        <w:gridCol w:w="36"/>
        <w:gridCol w:w="36"/>
        <w:gridCol w:w="36"/>
      </w:tblGrid>
      <w:tr w:rsidR="00000000">
        <w:trPr>
          <w:divId w:val="1900169882"/>
        </w:trPr>
        <w:tc>
          <w:tcPr>
            <w:tcW w:w="50" w:type="pct"/>
            <w:vAlign w:val="center"/>
            <w:hideMark/>
          </w:tcPr>
          <w:p w:rsidR="00000000" w:rsidRDefault="00943C43">
            <w:pPr>
              <w:jc w:val="both"/>
              <w:rPr>
                <w:rFonts w:eastAsia="Times New Roman"/>
              </w:rPr>
            </w:pPr>
          </w:p>
        </w:tc>
        <w:tc>
          <w:tcPr>
            <w:tcW w:w="3670"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900169882"/>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943C43">
            <w:pPr>
              <w:spacing w:after="100"/>
              <w:jc w:val="center"/>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900169882"/>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2021</w:t>
            </w:r>
          </w:p>
        </w:tc>
        <w:tc>
          <w:tcPr>
            <w:tcW w:w="0" w:type="auto"/>
            <w:vAlign w:val="center"/>
            <w:hideMark/>
          </w:tcPr>
          <w:p w:rsidR="00000000" w:rsidRDefault="00943C43">
            <w:pPr>
              <w:spacing w:after="100"/>
              <w:jc w:val="center"/>
              <w:rPr>
                <w:rFonts w:eastAsia="Times New Roman"/>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900169882"/>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Change in fair value of warrants liability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2,435 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(10,001)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900169882"/>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Change in fair value of financing derivatives</w:t>
            </w: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1,800 </w:t>
            </w:r>
          </w:p>
        </w:tc>
        <w:tc>
          <w:tcPr>
            <w:tcW w:w="0" w:type="auto"/>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900169882"/>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(73)</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900169882"/>
        </w:trPr>
        <w:tc>
          <w:tcPr>
            <w:tcW w:w="0" w:type="auto"/>
            <w:gridSpan w:val="3"/>
            <w:shd w:val="clear" w:color="auto" w:fill="FFFFFF"/>
            <w:tcMar>
              <w:top w:w="30" w:type="dxa"/>
              <w:left w:w="20" w:type="dxa"/>
              <w:bottom w:w="30" w:type="dxa"/>
              <w:right w:w="20" w:type="dxa"/>
            </w:tcMar>
            <w:vAlign w:val="bottom"/>
            <w:hideMark/>
          </w:tcPr>
          <w:p w:rsidR="00000000" w:rsidRDefault="00943C43">
            <w:pPr>
              <w:spacing w:after="100"/>
              <w:divId w:val="1213465438"/>
              <w:rPr>
                <w:rFonts w:eastAsia="Times New Roman"/>
              </w:rPr>
            </w:pPr>
            <w:r>
              <w:rPr>
                <w:rFonts w:eastAsia="Times New Roman"/>
                <w:color w:val="000000"/>
                <w:sz w:val="18"/>
                <w:szCs w:val="18"/>
              </w:rPr>
              <w:t>Total other income (expense),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2,433 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(8,274)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vAlign w:val="center"/>
            <w:hideMark/>
          </w:tcPr>
          <w:p w:rsidR="00000000" w:rsidRDefault="00943C43">
            <w:pPr>
              <w:spacing w:after="100"/>
              <w:jc w:val="right"/>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bl>
    <w:p w:rsidR="00000000" w:rsidRDefault="00943C43">
      <w:pPr>
        <w:jc w:val="both"/>
        <w:divId w:val="336084324"/>
        <w:rPr>
          <w:rFonts w:eastAsia="Times New Roman"/>
        </w:rPr>
      </w:pPr>
      <w:r>
        <w:rPr>
          <w:rFonts w:eastAsia="Times New Roman"/>
          <w:color w:val="000000"/>
          <w:sz w:val="20"/>
          <w:szCs w:val="20"/>
        </w:rPr>
        <w:t xml:space="preserve">The change in other income (expense), net for the three months ended March 31, 2022 as compared to 2021 was largely driven by changes in the fair value of our warrants liability. The gain on the warrants liability for the three months ended March 31, 2022 </w:t>
      </w:r>
      <w:r>
        <w:rPr>
          <w:rFonts w:eastAsia="Times New Roman"/>
          <w:color w:val="000000"/>
          <w:sz w:val="20"/>
          <w:szCs w:val="20"/>
        </w:rPr>
        <w:t xml:space="preserve">was primarily due to a decrease in the trading price of our Common Stock during the quarter. The loss on the warrants liability for the three months ended March 31, 2021 was due primarily to the exercise price adjustment described in </w:t>
      </w:r>
      <w:hyperlink w:anchor="i81c699a6f33e49f8a081f48620e58c22_64" w:history="1">
        <w:r>
          <w:rPr>
            <w:rStyle w:val="a3"/>
            <w:rFonts w:eastAsia="Times New Roman"/>
            <w:sz w:val="20"/>
            <w:szCs w:val="20"/>
          </w:rPr>
          <w:t xml:space="preserve">Footnote </w:t>
        </w:r>
      </w:hyperlink>
      <w:hyperlink w:anchor="i81c699a6f33e49f8a081f48620e58c22_64" w:history="1">
        <w:r>
          <w:rPr>
            <w:rStyle w:val="a3"/>
            <w:rFonts w:eastAsia="Times New Roman"/>
            <w:sz w:val="20"/>
            <w:szCs w:val="20"/>
          </w:rPr>
          <w:t>4</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and an increase in the trading price of our Common Stock during the quarter.</w:t>
      </w:r>
    </w:p>
    <w:p w:rsidR="00000000" w:rsidRDefault="00943C43">
      <w:pPr>
        <w:jc w:val="both"/>
        <w:divId w:val="1118915816"/>
        <w:rPr>
          <w:rFonts w:eastAsia="Times New Roman"/>
        </w:rPr>
      </w:pPr>
      <w:r>
        <w:rPr>
          <w:rFonts w:eastAsia="Times New Roman"/>
          <w:b/>
          <w:bCs/>
          <w:i/>
          <w:iCs/>
          <w:color w:val="000000"/>
          <w:sz w:val="20"/>
          <w:szCs w:val="20"/>
        </w:rPr>
        <w:t>Interest Expense, Net</w:t>
      </w:r>
    </w:p>
    <w:p w:rsidR="00000000" w:rsidRDefault="00943C43">
      <w:pPr>
        <w:jc w:val="both"/>
        <w:divId w:val="1968780974"/>
        <w:rPr>
          <w:rFonts w:eastAsia="Times New Roman"/>
        </w:rPr>
      </w:pPr>
      <w:r>
        <w:rPr>
          <w:rFonts w:eastAsia="Times New Roman"/>
          <w:color w:val="000000"/>
          <w:sz w:val="20"/>
          <w:szCs w:val="20"/>
        </w:rPr>
        <w:t>Interest expense, net consists of interest income and interest expense. Interest income primarily consists of interest earned from our cash and cash equivalent balances. Interest expense relates to interest on our senior secured conve</w:t>
      </w:r>
      <w:r>
        <w:rPr>
          <w:rFonts w:eastAsia="Times New Roman"/>
          <w:color w:val="000000"/>
          <w:sz w:val="20"/>
          <w:szCs w:val="20"/>
        </w:rPr>
        <w:t>rtible notes (the "Notes"), foreign secured promissory note (the "Secured Term Note"), our senior secured revolving credit agreement (the "Revolving Credit Agreement"), sale-leaseback agreement, and our finance leases.</w:t>
      </w:r>
    </w:p>
    <w:p w:rsidR="00000000" w:rsidRDefault="00943C43">
      <w:pPr>
        <w:jc w:val="both"/>
        <w:divId w:val="1128165390"/>
        <w:rPr>
          <w:rFonts w:eastAsia="Times New Roman"/>
        </w:rPr>
      </w:pPr>
      <w:r>
        <w:rPr>
          <w:rFonts w:eastAsia="Times New Roman"/>
          <w:color w:val="000000"/>
          <w:sz w:val="20"/>
          <w:szCs w:val="20"/>
        </w:rPr>
        <w:t>During the three months ended March 3</w:t>
      </w:r>
      <w:r>
        <w:rPr>
          <w:rFonts w:eastAsia="Times New Roman"/>
          <w:color w:val="000000"/>
          <w:sz w:val="20"/>
          <w:szCs w:val="20"/>
        </w:rPr>
        <w:t xml:space="preserve">1, 2022 and 2021, we incurred interest expense, net of $0.2 million and $7.0 million, respectively. The decrease in interest expense for the three months ended March 31, 2022 as compared to 2021 was primarily due to the extinguishment of the Notes and the </w:t>
      </w:r>
      <w:r>
        <w:rPr>
          <w:rFonts w:eastAsia="Times New Roman"/>
          <w:color w:val="000000"/>
          <w:sz w:val="20"/>
          <w:szCs w:val="20"/>
        </w:rPr>
        <w:t xml:space="preserve">Secured Term Note in March 2021, as described in </w:t>
      </w:r>
      <w:hyperlink w:anchor="i81c699a6f33e49f8a081f48620e58c22_55"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 xml:space="preserve">Debt. </w:t>
      </w:r>
    </w:p>
    <w:p w:rsidR="00000000" w:rsidRDefault="00943C43">
      <w:pPr>
        <w:jc w:val="both"/>
        <w:divId w:val="1757095897"/>
        <w:rPr>
          <w:rFonts w:eastAsia="Times New Roman"/>
        </w:rPr>
      </w:pPr>
      <w:r>
        <w:rPr>
          <w:rFonts w:eastAsia="Times New Roman"/>
          <w:b/>
          <w:bCs/>
          <w:i/>
          <w:iCs/>
          <w:color w:val="000000"/>
          <w:sz w:val="20"/>
          <w:szCs w:val="20"/>
        </w:rPr>
        <w:t>Gain From Foreign Currency Transactions</w:t>
      </w:r>
    </w:p>
    <w:p w:rsidR="00000000" w:rsidRDefault="00943C43">
      <w:pPr>
        <w:jc w:val="both"/>
        <w:divId w:val="1426420743"/>
        <w:rPr>
          <w:rFonts w:eastAsia="Times New Roman"/>
        </w:rPr>
      </w:pPr>
      <w:r>
        <w:rPr>
          <w:rFonts w:eastAsia="Times New Roman"/>
          <w:color w:val="000000"/>
          <w:sz w:val="20"/>
          <w:szCs w:val="20"/>
        </w:rPr>
        <w:t>Our foreign currency transactions are recorded as a result of fluctuations in the exchang</w:t>
      </w:r>
      <w:r>
        <w:rPr>
          <w:rFonts w:eastAsia="Times New Roman"/>
          <w:color w:val="000000"/>
          <w:sz w:val="20"/>
          <w:szCs w:val="20"/>
        </w:rPr>
        <w:t>e rate between the transactional currency and the functional currency of foreign subsidiary transactions. Our international currency exposures that relate to the translation to U.S. Dollars are in a net liability position and our international currency exp</w:t>
      </w:r>
      <w:r>
        <w:rPr>
          <w:rFonts w:eastAsia="Times New Roman"/>
          <w:color w:val="000000"/>
          <w:sz w:val="20"/>
          <w:szCs w:val="20"/>
        </w:rPr>
        <w:t xml:space="preserve">osures that relate to the translation from U.S. Dollars are in a net asset position. For the three months ended March 31, 2022 and 2021, the gain from foreign currency transactions was $0.4 million and $1.1 million, respectively. The gain during the three </w:t>
      </w:r>
      <w:r>
        <w:rPr>
          <w:rFonts w:eastAsia="Times New Roman"/>
          <w:color w:val="000000"/>
          <w:sz w:val="20"/>
          <w:szCs w:val="20"/>
        </w:rPr>
        <w:t>months ended March 31, 2022 was primarily driven by fluctuations between the Chilean Peso, Euro and U.S. Dollar exchange rates. The gain during the three months ended March 31, 2021 was primarily driven by fluctuations in the U.S. Dollar against the Euro e</w:t>
      </w:r>
      <w:r>
        <w:rPr>
          <w:rFonts w:eastAsia="Times New Roman"/>
          <w:color w:val="000000"/>
          <w:sz w:val="20"/>
          <w:szCs w:val="20"/>
        </w:rPr>
        <w:t>xchange rate.</w:t>
      </w:r>
    </w:p>
    <w:p w:rsidR="00000000" w:rsidRDefault="00943C43">
      <w:pPr>
        <w:jc w:val="center"/>
        <w:divId w:val="1592086526"/>
        <w:rPr>
          <w:rFonts w:eastAsia="Times New Roman"/>
        </w:rPr>
      </w:pPr>
      <w:r>
        <w:rPr>
          <w:rFonts w:eastAsia="Times New Roman"/>
          <w:color w:val="000000"/>
          <w:sz w:val="20"/>
          <w:szCs w:val="20"/>
        </w:rPr>
        <w:t>18</w:t>
      </w:r>
    </w:p>
    <w:p w:rsidR="00000000" w:rsidRDefault="00943C43">
      <w:pPr>
        <w:rPr>
          <w:rFonts w:eastAsia="Times New Roman"/>
        </w:rPr>
      </w:pPr>
      <w:r>
        <w:rPr>
          <w:rFonts w:eastAsia="Times New Roman"/>
        </w:rPr>
        <w:pict>
          <v:rect id="_x0000_i1045" style="width:0;height:1.5pt" o:hralign="center" o:hrstd="t" o:hr="t" fillcolor="#a0a0a0" stroked="f"/>
        </w:pict>
      </w:r>
    </w:p>
    <w:p w:rsidR="00000000" w:rsidRDefault="00943C43">
      <w:pPr>
        <w:divId w:val="1274244009"/>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1784811602"/>
        <w:rPr>
          <w:rFonts w:eastAsia="Times New Roman"/>
        </w:rPr>
      </w:pPr>
    </w:p>
    <w:p w:rsidR="00000000" w:rsidRDefault="00943C43">
      <w:pPr>
        <w:jc w:val="both"/>
        <w:divId w:val="578059888"/>
        <w:rPr>
          <w:rFonts w:eastAsia="Times New Roman"/>
        </w:rPr>
      </w:pPr>
      <w:r>
        <w:rPr>
          <w:rFonts w:eastAsia="Times New Roman"/>
          <w:b/>
          <w:bCs/>
          <w:i/>
          <w:iCs/>
          <w:color w:val="000000"/>
          <w:sz w:val="20"/>
          <w:szCs w:val="20"/>
        </w:rPr>
        <w:t>Loss on Extinguishment of Debt</w:t>
      </w:r>
    </w:p>
    <w:p w:rsidR="00000000" w:rsidRDefault="00943C43">
      <w:pPr>
        <w:jc w:val="both"/>
        <w:divId w:val="1171334472"/>
        <w:rPr>
          <w:rFonts w:eastAsia="Times New Roman"/>
        </w:rPr>
      </w:pPr>
      <w:r>
        <w:rPr>
          <w:rFonts w:eastAsia="Times New Roman"/>
          <w:color w:val="000000"/>
          <w:sz w:val="20"/>
          <w:szCs w:val="20"/>
        </w:rPr>
        <w:t>Loss on extinguishment of debt represents the difference between the carrying value of our debt instruments and</w:t>
      </w:r>
      <w:r>
        <w:rPr>
          <w:rFonts w:eastAsia="Times New Roman"/>
          <w:color w:val="000000"/>
          <w:sz w:val="20"/>
          <w:szCs w:val="20"/>
        </w:rPr>
        <w:t xml:space="preserve"> any consideration paid to our creditors in the form of cash or shares of our Common Stock on the extinguishment date.</w:t>
      </w:r>
    </w:p>
    <w:p w:rsidR="00000000" w:rsidRDefault="00943C43">
      <w:pPr>
        <w:jc w:val="both"/>
        <w:divId w:val="1295142349"/>
        <w:rPr>
          <w:rFonts w:eastAsia="Times New Roman"/>
        </w:rPr>
      </w:pPr>
      <w:r>
        <w:rPr>
          <w:rFonts w:eastAsia="Times New Roman"/>
          <w:color w:val="000000"/>
          <w:sz w:val="20"/>
          <w:szCs w:val="20"/>
        </w:rPr>
        <w:t>In March 2021, we recorded a $9.6 million loss on debt extinguishment related to the payoff of the Notes and the Secured Term Note. The p</w:t>
      </w:r>
      <w:r>
        <w:rPr>
          <w:rFonts w:eastAsia="Times New Roman"/>
          <w:color w:val="000000"/>
          <w:sz w:val="20"/>
          <w:szCs w:val="20"/>
        </w:rPr>
        <w:t>rimary drivers of the extinguishment loss were the write-off of unamortized deferred financing costs and issuance discounts, the issuance of additional shares of Common Stock in connection with the extinguishment, and the derecognition of the interest rate</w:t>
      </w:r>
      <w:r>
        <w:rPr>
          <w:rFonts w:eastAsia="Times New Roman"/>
          <w:color w:val="000000"/>
          <w:sz w:val="20"/>
          <w:szCs w:val="20"/>
        </w:rPr>
        <w:t xml:space="preserve"> reset derivative liability on the Notes. These components are described in </w:t>
      </w:r>
      <w:hyperlink w:anchor="i81c699a6f33e49f8a081f48620e58c22_55"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rsidR="00000000" w:rsidRDefault="00943C43">
      <w:pPr>
        <w:jc w:val="both"/>
        <w:divId w:val="1237663414"/>
        <w:rPr>
          <w:rFonts w:eastAsia="Times New Roman"/>
        </w:rPr>
      </w:pPr>
      <w:r>
        <w:rPr>
          <w:rFonts w:eastAsia="Times New Roman"/>
          <w:b/>
          <w:bCs/>
          <w:i/>
          <w:iCs/>
          <w:color w:val="000000"/>
          <w:sz w:val="20"/>
          <w:szCs w:val="20"/>
        </w:rPr>
        <w:t>Income Tax Provision</w:t>
      </w:r>
    </w:p>
    <w:p w:rsidR="00000000" w:rsidRDefault="00943C43">
      <w:pPr>
        <w:jc w:val="both"/>
        <w:divId w:val="1850217652"/>
        <w:rPr>
          <w:rFonts w:eastAsia="Times New Roman"/>
        </w:rPr>
      </w:pPr>
      <w:r>
        <w:rPr>
          <w:rFonts w:eastAsia="Times New Roman"/>
          <w:color w:val="000000"/>
          <w:sz w:val="20"/>
          <w:szCs w:val="20"/>
        </w:rPr>
        <w:t xml:space="preserve">A valuation allowance has been established against our net U.S. federal and state </w:t>
      </w:r>
      <w:r>
        <w:rPr>
          <w:rFonts w:eastAsia="Times New Roman"/>
          <w:color w:val="000000"/>
          <w:sz w:val="20"/>
          <w:szCs w:val="20"/>
        </w:rPr>
        <w:t>deferred tax assets and certain foreign deferred tax assets, including net operating loss carryforwards. As a result, our income tax position is primarily related to foreign tax activity and U.S. deferred taxes for tax deductible goodwill and other indefin</w:t>
      </w:r>
      <w:r>
        <w:rPr>
          <w:rFonts w:eastAsia="Times New Roman"/>
          <w:color w:val="000000"/>
          <w:sz w:val="20"/>
          <w:szCs w:val="20"/>
        </w:rPr>
        <w:t>ite-lived liabilities.</w:t>
      </w:r>
    </w:p>
    <w:p w:rsidR="00000000" w:rsidRDefault="00943C43">
      <w:pPr>
        <w:jc w:val="both"/>
        <w:divId w:val="1235122134"/>
        <w:rPr>
          <w:rFonts w:eastAsia="Times New Roman"/>
        </w:rPr>
      </w:pPr>
      <w:r>
        <w:rPr>
          <w:rFonts w:eastAsia="Times New Roman"/>
          <w:color w:val="000000"/>
          <w:sz w:val="20"/>
          <w:szCs w:val="20"/>
        </w:rPr>
        <w:t>During the three months ended March 31, 2022 and 2021, we recorded income tax provisions of $1.4 million and $1.0 million, respectively resulting in effective tax rates of 17.5% and 2.9%, respectively. These effective tax rates diffe</w:t>
      </w:r>
      <w:r>
        <w:rPr>
          <w:rFonts w:eastAsia="Times New Roman"/>
          <w:color w:val="000000"/>
          <w:sz w:val="20"/>
          <w:szCs w:val="20"/>
        </w:rPr>
        <w:t>r from the U.S. federal statutory rate primarily due to the effects of certain permanent items, foreign tax rate differences, and increases in the valuation allowance against our domestic deferred tax assets.</w:t>
      </w:r>
    </w:p>
    <w:p w:rsidR="00000000" w:rsidRDefault="00943C43">
      <w:pPr>
        <w:jc w:val="both"/>
        <w:divId w:val="1810826605"/>
        <w:rPr>
          <w:rFonts w:eastAsia="Times New Roman"/>
        </w:rPr>
      </w:pPr>
      <w:r>
        <w:rPr>
          <w:rFonts w:eastAsia="Times New Roman"/>
          <w:b/>
          <w:bCs/>
          <w:color w:val="000000"/>
          <w:sz w:val="20"/>
          <w:szCs w:val="20"/>
        </w:rPr>
        <w:t>Liquidity and Capital Resources</w:t>
      </w:r>
    </w:p>
    <w:p w:rsidR="00000000" w:rsidRDefault="00943C43">
      <w:pPr>
        <w:jc w:val="both"/>
        <w:divId w:val="730620300"/>
        <w:rPr>
          <w:rFonts w:eastAsia="Times New Roman"/>
        </w:rPr>
      </w:pPr>
      <w:r>
        <w:rPr>
          <w:rFonts w:eastAsia="Times New Roman"/>
          <w:color w:val="000000"/>
          <w:sz w:val="20"/>
          <w:szCs w:val="20"/>
        </w:rPr>
        <w:t>The following t</w:t>
      </w:r>
      <w:r>
        <w:rPr>
          <w:rFonts w:eastAsia="Times New Roman"/>
          <w:color w:val="000000"/>
          <w:sz w:val="20"/>
          <w:szCs w:val="20"/>
        </w:rPr>
        <w:t>able summarizes our cash flows for each of the periods identified:</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5799"/>
        <w:gridCol w:w="37"/>
        <w:gridCol w:w="36"/>
        <w:gridCol w:w="36"/>
        <w:gridCol w:w="36"/>
        <w:gridCol w:w="110"/>
        <w:gridCol w:w="850"/>
        <w:gridCol w:w="36"/>
        <w:gridCol w:w="36"/>
        <w:gridCol w:w="36"/>
        <w:gridCol w:w="36"/>
        <w:gridCol w:w="110"/>
        <w:gridCol w:w="851"/>
        <w:gridCol w:w="36"/>
        <w:gridCol w:w="36"/>
        <w:gridCol w:w="36"/>
        <w:gridCol w:w="36"/>
        <w:gridCol w:w="36"/>
        <w:gridCol w:w="36"/>
        <w:gridCol w:w="36"/>
      </w:tblGrid>
      <w:tr w:rsidR="00000000">
        <w:trPr>
          <w:divId w:val="1252854113"/>
          <w:jc w:val="center"/>
        </w:trPr>
        <w:tc>
          <w:tcPr>
            <w:tcW w:w="50" w:type="pct"/>
            <w:vAlign w:val="center"/>
            <w:hideMark/>
          </w:tcPr>
          <w:p w:rsidR="00000000" w:rsidRDefault="00943C43">
            <w:pPr>
              <w:jc w:val="both"/>
              <w:rPr>
                <w:rFonts w:eastAsia="Times New Roman"/>
              </w:rPr>
            </w:pPr>
          </w:p>
        </w:tc>
        <w:tc>
          <w:tcPr>
            <w:tcW w:w="364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1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56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252854113"/>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c>
          <w:tcPr>
            <w:tcW w:w="0" w:type="auto"/>
            <w:vAlign w:val="center"/>
            <w:hideMark/>
          </w:tcPr>
          <w:p w:rsidR="00000000" w:rsidRDefault="00943C43">
            <w:pPr>
              <w:spacing w:after="100"/>
              <w:rPr>
                <w:rFonts w:eastAsia="Times New Roman"/>
                <w:sz w:val="20"/>
                <w:szCs w:val="20"/>
              </w:rPr>
            </w:pPr>
          </w:p>
        </w:tc>
      </w:tr>
      <w:tr w:rsidR="00000000">
        <w:trPr>
          <w:divId w:val="1252854113"/>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C4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C43">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rsidR="00000000" w:rsidRDefault="00943C43">
            <w:pPr>
              <w:spacing w:after="100"/>
              <w:jc w:val="center"/>
              <w:rPr>
                <w:rFonts w:eastAsia="Times New Roman"/>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252854113"/>
          <w:jc w:val="center"/>
        </w:trPr>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25285411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12,408 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C4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17,888 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252854113"/>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Net cash used in investing activities</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(3,799)</w:t>
            </w:r>
          </w:p>
        </w:tc>
        <w:tc>
          <w:tcPr>
            <w:tcW w:w="0" w:type="auto"/>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(3,692)</w:t>
            </w:r>
          </w:p>
        </w:tc>
        <w:tc>
          <w:tcPr>
            <w:tcW w:w="0" w:type="auto"/>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25285411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Net cash used in financing activities</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(748)</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(30,477)</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252854113"/>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Effect of exchange rate changes on cash, cash equivalents and restricted cash</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(86)</w:t>
            </w:r>
          </w:p>
        </w:tc>
        <w:tc>
          <w:tcPr>
            <w:tcW w:w="0" w:type="auto"/>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(588)</w:t>
            </w:r>
          </w:p>
        </w:tc>
        <w:tc>
          <w:tcPr>
            <w:tcW w:w="0" w:type="auto"/>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r w:rsidR="00000000">
        <w:trPr>
          <w:divId w:val="1252854113"/>
          <w:jc w:val="center"/>
        </w:trPr>
        <w:tc>
          <w:tcPr>
            <w:tcW w:w="0" w:type="auto"/>
            <w:gridSpan w:val="3"/>
            <w:shd w:val="clear" w:color="auto" w:fill="CCEEFF"/>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8"/>
                <w:szCs w:val="18"/>
              </w:rPr>
              <w:t>Net increase (decrease) in 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7,775 </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C4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C43">
            <w:pPr>
              <w:spacing w:after="100"/>
              <w:jc w:val="right"/>
              <w:rPr>
                <w:rFonts w:eastAsia="Times New Roman"/>
              </w:rPr>
            </w:pPr>
            <w:r>
              <w:rPr>
                <w:rFonts w:eastAsia="Times New Roman"/>
                <w:color w:val="000000"/>
                <w:sz w:val="18"/>
                <w:szCs w:val="18"/>
              </w:rPr>
              <w:t>(16,869)</w:t>
            </w:r>
          </w:p>
        </w:tc>
        <w:tc>
          <w:tcPr>
            <w:tcW w:w="0" w:type="auto"/>
            <w:shd w:val="clear" w:color="auto" w:fill="CCEEFF"/>
            <w:tcMar>
              <w:top w:w="30" w:type="dxa"/>
              <w:left w:w="0" w:type="dxa"/>
              <w:bottom w:w="30" w:type="dxa"/>
              <w:right w:w="20" w:type="dxa"/>
            </w:tcMar>
            <w:vAlign w:val="bottom"/>
            <w:hideMark/>
          </w:tcPr>
          <w:p w:rsidR="00000000" w:rsidRDefault="00943C43">
            <w:pPr>
              <w:spacing w:after="100"/>
              <w:jc w:val="right"/>
              <w:rPr>
                <w:rFonts w:eastAsia="Times New Roman"/>
              </w:rPr>
            </w:pPr>
          </w:p>
        </w:tc>
        <w:tc>
          <w:tcPr>
            <w:tcW w:w="0" w:type="auto"/>
            <w:gridSpan w:val="3"/>
            <w:vAlign w:val="center"/>
            <w:hideMark/>
          </w:tcPr>
          <w:p w:rsidR="00000000" w:rsidRDefault="00943C43">
            <w:pPr>
              <w:spacing w:after="100"/>
              <w:jc w:val="right"/>
              <w:rPr>
                <w:rFonts w:eastAsia="Times New Roman"/>
                <w:sz w:val="20"/>
                <w:szCs w:val="20"/>
              </w:rPr>
            </w:pPr>
          </w:p>
        </w:tc>
        <w:tc>
          <w:tcPr>
            <w:tcW w:w="0" w:type="auto"/>
            <w:gridSpan w:val="3"/>
            <w:vAlign w:val="center"/>
            <w:hideMark/>
          </w:tcPr>
          <w:p w:rsidR="00000000" w:rsidRDefault="00943C43">
            <w:pPr>
              <w:spacing w:after="100"/>
              <w:rPr>
                <w:rFonts w:eastAsia="Times New Roman"/>
                <w:sz w:val="20"/>
                <w:szCs w:val="20"/>
              </w:rPr>
            </w:pPr>
          </w:p>
        </w:tc>
      </w:tr>
    </w:tbl>
    <w:p w:rsidR="00000000" w:rsidRDefault="00943C43">
      <w:pPr>
        <w:jc w:val="both"/>
        <w:divId w:val="1400443138"/>
        <w:rPr>
          <w:rFonts w:eastAsia="Times New Roman"/>
        </w:rPr>
      </w:pPr>
      <w:r>
        <w:rPr>
          <w:rFonts w:eastAsia="Times New Roman"/>
          <w:color w:val="000000"/>
          <w:sz w:val="20"/>
          <w:szCs w:val="20"/>
          <w:u w:val="single"/>
        </w:rPr>
        <w:t>Overview</w:t>
      </w:r>
    </w:p>
    <w:p w:rsidR="00000000" w:rsidRDefault="00943C43">
      <w:pPr>
        <w:jc w:val="both"/>
        <w:divId w:val="201943509"/>
        <w:rPr>
          <w:rFonts w:eastAsia="Times New Roman"/>
        </w:rPr>
      </w:pPr>
      <w:r>
        <w:rPr>
          <w:rFonts w:eastAsia="Times New Roman"/>
          <w:color w:val="000000"/>
          <w:sz w:val="20"/>
          <w:szCs w:val="20"/>
        </w:rPr>
        <w:t>Our principal uses of cash consist of cash paid for data, payroll and other operating expenses, including expenses incurred in prior periods; payments related to investments in equipment, primarily to support our consumer panels and technical infr</w:t>
      </w:r>
      <w:r>
        <w:rPr>
          <w:rFonts w:eastAsia="Times New Roman"/>
          <w:color w:val="000000"/>
          <w:sz w:val="20"/>
          <w:szCs w:val="20"/>
        </w:rPr>
        <w:t>astructure required to deliver our products and services and support our customers; service of our debt and lease facilities; and dividend payment obligations with respect to our Series B Convertible Preferred Stock ("Preferred Stock").</w:t>
      </w:r>
    </w:p>
    <w:p w:rsidR="00000000" w:rsidRDefault="00943C43">
      <w:pPr>
        <w:jc w:val="both"/>
        <w:divId w:val="1045567343"/>
        <w:rPr>
          <w:rFonts w:eastAsia="Times New Roman"/>
        </w:rPr>
      </w:pPr>
      <w:r>
        <w:rPr>
          <w:rFonts w:eastAsia="Times New Roman"/>
          <w:color w:val="000000"/>
          <w:sz w:val="20"/>
          <w:szCs w:val="20"/>
        </w:rPr>
        <w:t>As of March 31, 202</w:t>
      </w:r>
      <w:r>
        <w:rPr>
          <w:rFonts w:eastAsia="Times New Roman"/>
          <w:color w:val="000000"/>
          <w:sz w:val="20"/>
          <w:szCs w:val="20"/>
        </w:rPr>
        <w:t>2, our principal sources of liquidity consisted of cash, cash equivalents and restricted cash totaling $30.1 million (including $0.4 million in restricted cash), cash flows from our operations, and $20.7 million available to us under our Revolving Credit A</w:t>
      </w:r>
      <w:r>
        <w:rPr>
          <w:rFonts w:eastAsia="Times New Roman"/>
          <w:color w:val="000000"/>
          <w:sz w:val="20"/>
          <w:szCs w:val="20"/>
        </w:rPr>
        <w:t>greement, as described below.</w:t>
      </w:r>
    </w:p>
    <w:p w:rsidR="00000000" w:rsidRDefault="00943C43">
      <w:pPr>
        <w:jc w:val="both"/>
        <w:divId w:val="211505211"/>
        <w:rPr>
          <w:rFonts w:eastAsia="Times New Roman"/>
        </w:rPr>
      </w:pPr>
      <w:r>
        <w:rPr>
          <w:rFonts w:eastAsia="Times New Roman"/>
          <w:color w:val="000000"/>
          <w:sz w:val="20"/>
          <w:szCs w:val="20"/>
        </w:rPr>
        <w:t>On March 10, 2021, we entered into separate Securities Purchase Agreements with each of Charter Communications Holding Company, LLC ("Charter"), Qurate Retail, Inc. ("Qurate") and Pine Investor, LLC ("Pine") (the "Transactions</w:t>
      </w:r>
      <w:r>
        <w:rPr>
          <w:rFonts w:eastAsia="Times New Roman"/>
          <w:color w:val="000000"/>
          <w:sz w:val="20"/>
          <w:szCs w:val="20"/>
        </w:rPr>
        <w:t>"). At the closing of the Transactions, we issued 82,527,609 shares of Preferred Stock in exchange for gross cash proceeds of $204.0 million.</w:t>
      </w:r>
    </w:p>
    <w:p w:rsidR="00000000" w:rsidRDefault="00943C43">
      <w:pPr>
        <w:jc w:val="both"/>
        <w:divId w:val="297688638"/>
        <w:rPr>
          <w:rFonts w:eastAsia="Times New Roman"/>
        </w:rPr>
      </w:pPr>
      <w:r>
        <w:rPr>
          <w:rFonts w:eastAsia="Times New Roman"/>
          <w:color w:val="000000"/>
          <w:sz w:val="20"/>
          <w:szCs w:val="20"/>
        </w:rPr>
        <w:t>The proceeds from the Transactions were used to repay the Notes issued to Starboard. For additional information on</w:t>
      </w:r>
      <w:r>
        <w:rPr>
          <w:rFonts w:eastAsia="Times New Roman"/>
          <w:color w:val="000000"/>
          <w:sz w:val="20"/>
          <w:szCs w:val="20"/>
        </w:rPr>
        <w:t xml:space="preserve"> the Transactions and the extinguishment of the Notes, refer to </w:t>
      </w:r>
      <w:hyperlink w:anchor="i81c699a6f33e49f8a081f48620e58c22_64" w:history="1">
        <w:r>
          <w:rPr>
            <w:rStyle w:val="a3"/>
            <w:rFonts w:eastAsia="Times New Roman"/>
            <w:sz w:val="20"/>
            <w:szCs w:val="20"/>
          </w:rPr>
          <w:t>Footnote 4</w:t>
        </w:r>
      </w:hyperlink>
      <w:r>
        <w:rPr>
          <w:rFonts w:eastAsia="Times New Roman"/>
          <w:color w:val="000000"/>
          <w:sz w:val="20"/>
          <w:szCs w:val="20"/>
        </w:rPr>
        <w:t>,</w:t>
      </w:r>
      <w:r>
        <w:rPr>
          <w:rFonts w:eastAsia="Times New Roman"/>
          <w:i/>
          <w:iCs/>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xml:space="preserve"> and </w:t>
      </w:r>
      <w:hyperlink w:anchor="i81c699a6f33e49f8a081f48620e58c22_55"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rsidR="00000000" w:rsidRDefault="00943C43">
      <w:pPr>
        <w:jc w:val="both"/>
        <w:divId w:val="234631033"/>
        <w:rPr>
          <w:rFonts w:eastAsia="Times New Roman"/>
        </w:rPr>
      </w:pPr>
      <w:r>
        <w:rPr>
          <w:rFonts w:eastAsia="Times New Roman"/>
          <w:color w:val="000000"/>
          <w:sz w:val="20"/>
          <w:szCs w:val="20"/>
        </w:rPr>
        <w:t>As of March </w:t>
      </w:r>
      <w:r>
        <w:rPr>
          <w:rFonts w:eastAsia="Times New Roman"/>
          <w:color w:val="000000"/>
          <w:sz w:val="20"/>
          <w:szCs w:val="20"/>
        </w:rPr>
        <w:t>31, 2022, accrued dividends for the Preferred Stock totaled $11.7 million. These dividends are scheduled to be paid in cash on June 30, 2022.</w:t>
      </w:r>
    </w:p>
    <w:p w:rsidR="00000000" w:rsidRDefault="00943C43">
      <w:pPr>
        <w:jc w:val="both"/>
        <w:divId w:val="1245459203"/>
        <w:rPr>
          <w:rFonts w:eastAsia="Times New Roman"/>
        </w:rPr>
      </w:pPr>
      <w:r>
        <w:rPr>
          <w:rFonts w:eastAsia="Times New Roman"/>
          <w:color w:val="000000"/>
          <w:sz w:val="20"/>
          <w:szCs w:val="20"/>
        </w:rPr>
        <w:t>On May 5, 2021, we entered into the Revolving Credit Agreement, which was subsequently amended in February 2022. T</w:t>
      </w:r>
      <w:r>
        <w:rPr>
          <w:rFonts w:eastAsia="Times New Roman"/>
          <w:color w:val="000000"/>
          <w:sz w:val="20"/>
          <w:szCs w:val="20"/>
        </w:rPr>
        <w:t>he Revolving Credit Agreement provides a borrowing capacity equal to $40.0 million. During 2021, we borrowed $16.0 million under the Revolving Credit Agreement. In addition to these borrowings, we have issued and outstanding letters of credit totaling $3.3</w:t>
      </w:r>
      <w:r>
        <w:rPr>
          <w:rFonts w:eastAsia="Times New Roman"/>
          <w:color w:val="000000"/>
          <w:sz w:val="20"/>
          <w:szCs w:val="20"/>
        </w:rPr>
        <w:t xml:space="preserve"> million under the Revolving Credit Agreement, leaving a remaining borrowing capacity of $20.7 million as of March 31, 2022.</w:t>
      </w:r>
    </w:p>
    <w:p w:rsidR="00000000" w:rsidRDefault="00943C43">
      <w:pPr>
        <w:jc w:val="both"/>
        <w:divId w:val="423574400"/>
        <w:rPr>
          <w:rFonts w:eastAsia="Times New Roman"/>
        </w:rPr>
      </w:pPr>
      <w:r>
        <w:rPr>
          <w:rFonts w:eastAsia="Times New Roman"/>
          <w:color w:val="000000"/>
          <w:sz w:val="20"/>
          <w:szCs w:val="20"/>
          <w:u w:val="single"/>
        </w:rPr>
        <w:t>Pandemic Impact</w:t>
      </w:r>
    </w:p>
    <w:p w:rsidR="00000000" w:rsidRDefault="00943C43">
      <w:pPr>
        <w:jc w:val="both"/>
        <w:divId w:val="1043137658"/>
        <w:rPr>
          <w:rFonts w:eastAsia="Times New Roman"/>
        </w:rPr>
      </w:pPr>
      <w:r>
        <w:rPr>
          <w:rFonts w:eastAsia="Times New Roman"/>
          <w:color w:val="000000"/>
          <w:sz w:val="20"/>
          <w:szCs w:val="20"/>
        </w:rPr>
        <w:t xml:space="preserve">The COVID-19 pandemic and related government mandates and restrictions have had a significant impact on the media, </w:t>
      </w:r>
      <w:r>
        <w:rPr>
          <w:rFonts w:eastAsia="Times New Roman"/>
          <w:color w:val="000000"/>
          <w:sz w:val="20"/>
          <w:szCs w:val="20"/>
        </w:rPr>
        <w:t>advertising and entertainment industries in which we operate. To date, the COVID-19 pandemic has had some impact on our business, including with respect to the execution of new and renewal contracts, the impact of closed movie theaters on our customers, cu</w:t>
      </w:r>
      <w:r>
        <w:rPr>
          <w:rFonts w:eastAsia="Times New Roman"/>
          <w:color w:val="000000"/>
          <w:sz w:val="20"/>
          <w:szCs w:val="20"/>
        </w:rPr>
        <w:t>stomer payment delays and requests to modify contractual payment terms. These conditions have negatively impacted our revenue and cash flows, particularly in our movies business, and could continue to have an impact in future periods.</w:t>
      </w:r>
    </w:p>
    <w:p w:rsidR="00000000" w:rsidRDefault="00943C43">
      <w:pPr>
        <w:jc w:val="center"/>
        <w:divId w:val="1473138979"/>
        <w:rPr>
          <w:rFonts w:eastAsia="Times New Roman"/>
        </w:rPr>
      </w:pPr>
      <w:r>
        <w:rPr>
          <w:rFonts w:eastAsia="Times New Roman"/>
          <w:color w:val="000000"/>
          <w:sz w:val="20"/>
          <w:szCs w:val="20"/>
        </w:rPr>
        <w:t>19</w:t>
      </w:r>
    </w:p>
    <w:p w:rsidR="00000000" w:rsidRDefault="00943C43">
      <w:pPr>
        <w:rPr>
          <w:rFonts w:eastAsia="Times New Roman"/>
        </w:rPr>
      </w:pPr>
      <w:r>
        <w:rPr>
          <w:rFonts w:eastAsia="Times New Roman"/>
        </w:rPr>
        <w:pict>
          <v:rect id="_x0000_i1046" style="width:0;height:1.5pt" o:hralign="center" o:hrstd="t" o:hr="t" fillcolor="#a0a0a0" stroked="f"/>
        </w:pict>
      </w:r>
    </w:p>
    <w:p w:rsidR="00000000" w:rsidRDefault="00943C43">
      <w:pPr>
        <w:divId w:val="1294167527"/>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1615744031"/>
        <w:rPr>
          <w:rFonts w:eastAsia="Times New Roman"/>
        </w:rPr>
      </w:pPr>
    </w:p>
    <w:p w:rsidR="00000000" w:rsidRDefault="00943C43">
      <w:pPr>
        <w:jc w:val="both"/>
        <w:divId w:val="1701588874"/>
        <w:rPr>
          <w:rFonts w:eastAsia="Times New Roman"/>
        </w:rPr>
      </w:pPr>
      <w:r>
        <w:rPr>
          <w:rFonts w:eastAsia="Times New Roman"/>
          <w:color w:val="000000"/>
          <w:sz w:val="20"/>
          <w:szCs w:val="20"/>
        </w:rPr>
        <w:t>It is possible that long-term changes in consumer behavior will impact our customers' operations, and thus their demand for our services and ability to pay, eve</w:t>
      </w:r>
      <w:r>
        <w:rPr>
          <w:rFonts w:eastAsia="Times New Roman"/>
          <w:color w:val="000000"/>
          <w:sz w:val="20"/>
          <w:szCs w:val="20"/>
        </w:rPr>
        <w:t xml:space="preserve">n after the spread of COVID-19 has been contained and businesses are permitted to resume normal operations. While we have taken actions to mitigate the impact of the COVID-19 pandemic, control costs and improve our working capital balance, these steps may </w:t>
      </w:r>
      <w:r>
        <w:rPr>
          <w:rFonts w:eastAsia="Times New Roman"/>
          <w:color w:val="000000"/>
          <w:sz w:val="20"/>
          <w:szCs w:val="20"/>
        </w:rPr>
        <w:t>not be successful or adequate if customer demand or cash collection efforts are further impacted by the COVID-19 pandemic or other factors.</w:t>
      </w:r>
    </w:p>
    <w:p w:rsidR="00000000" w:rsidRDefault="00943C43">
      <w:pPr>
        <w:jc w:val="both"/>
        <w:divId w:val="1460220917"/>
        <w:rPr>
          <w:rFonts w:eastAsia="Times New Roman"/>
        </w:rPr>
      </w:pPr>
      <w:r>
        <w:rPr>
          <w:rFonts w:eastAsia="Times New Roman"/>
          <w:color w:val="000000"/>
          <w:sz w:val="20"/>
          <w:szCs w:val="20"/>
          <w:u w:val="single"/>
        </w:rPr>
        <w:t>Preferred Stock</w:t>
      </w:r>
    </w:p>
    <w:p w:rsidR="00000000" w:rsidRDefault="00943C43">
      <w:pPr>
        <w:jc w:val="both"/>
        <w:divId w:val="1623615099"/>
        <w:rPr>
          <w:rFonts w:eastAsia="Times New Roman"/>
        </w:rPr>
      </w:pPr>
      <w:r>
        <w:rPr>
          <w:rFonts w:eastAsia="Times New Roman"/>
          <w:color w:val="000000"/>
          <w:sz w:val="20"/>
          <w:szCs w:val="20"/>
        </w:rPr>
        <w:t xml:space="preserve">On March 10, 2021, in connection with the Securities Purchase Agreements described above, we issued </w:t>
      </w:r>
      <w:r>
        <w:rPr>
          <w:rFonts w:eastAsia="Times New Roman"/>
          <w:color w:val="000000"/>
          <w:sz w:val="20"/>
          <w:szCs w:val="20"/>
        </w:rPr>
        <w:t>82,527,609 shares of Preferred Stock in exchange for gross cash proceeds of $204.0 million. Net proceeds from the Transactions totaled $187.9 million</w:t>
      </w:r>
      <w:r>
        <w:rPr>
          <w:rFonts w:eastAsia="Times New Roman"/>
          <w:i/>
          <w:iCs/>
          <w:color w:val="000000"/>
          <w:sz w:val="20"/>
          <w:szCs w:val="20"/>
        </w:rPr>
        <w:t xml:space="preserve"> </w:t>
      </w:r>
      <w:r>
        <w:rPr>
          <w:rFonts w:eastAsia="Times New Roman"/>
          <w:color w:val="000000"/>
          <w:sz w:val="20"/>
          <w:szCs w:val="20"/>
        </w:rPr>
        <w:t>after deducting issuance costs. Shares of Preferred Stock are convertible into Common Stock as described i</w:t>
      </w:r>
      <w:r>
        <w:rPr>
          <w:rFonts w:eastAsia="Times New Roman"/>
          <w:color w:val="000000"/>
          <w:sz w:val="20"/>
          <w:szCs w:val="20"/>
        </w:rPr>
        <w:t xml:space="preserve">n </w:t>
      </w:r>
      <w:hyperlink w:anchor="i81c699a6f33e49f8a081f48620e58c22_64"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As of March 31, 2022, each share of Preferred Stock was convertible into 1.057292 shares of Common Stock, with such co</w:t>
      </w:r>
      <w:r>
        <w:rPr>
          <w:rFonts w:eastAsia="Times New Roman"/>
          <w:color w:val="000000"/>
          <w:sz w:val="20"/>
          <w:szCs w:val="20"/>
        </w:rPr>
        <w:t xml:space="preserve">nversion rate scheduled to return to 1.00 upon payment of accrued dividends on June 30, 2022. </w:t>
      </w:r>
    </w:p>
    <w:p w:rsidR="00000000" w:rsidRDefault="00943C43">
      <w:pPr>
        <w:jc w:val="both"/>
        <w:divId w:val="600376785"/>
        <w:rPr>
          <w:rFonts w:eastAsia="Times New Roman"/>
        </w:rPr>
      </w:pPr>
      <w:r>
        <w:rPr>
          <w:rFonts w:eastAsia="Times New Roman"/>
          <w:color w:val="000000"/>
          <w:sz w:val="20"/>
          <w:szCs w:val="20"/>
        </w:rPr>
        <w:t>The holders of Preferred Stock are entitled to participate in all dividends declared on the Common Stock on an as-converted basis and are also entitled to a cumu</w:t>
      </w:r>
      <w:r>
        <w:rPr>
          <w:rFonts w:eastAsia="Times New Roman"/>
          <w:color w:val="000000"/>
          <w:sz w:val="20"/>
          <w:szCs w:val="20"/>
        </w:rPr>
        <w:t>lative dividend at the rate of 7.5% per annum, payable annually in arrears and subject to increase under certain specified circumstances. In addition, such holders are entitled to request, and we must take all actions reasonably necessary to pay, a one-tim</w:t>
      </w:r>
      <w:r>
        <w:rPr>
          <w:rFonts w:eastAsia="Times New Roman"/>
          <w:color w:val="000000"/>
          <w:sz w:val="20"/>
          <w:szCs w:val="20"/>
        </w:rPr>
        <w:t xml:space="preserve">e special dividend on the Preferred Stock equal to the highest dividend that our Board determines can be paid at the applicable time (or a lesser amount agreed by the holders), subject to additional conditions and limitations described in </w:t>
      </w:r>
      <w:hyperlink w:anchor="i81c699a6f33e49f8a081f48620e58c22_64"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xml:space="preserve">. We may be obligated to obtain debt financing in order to effectuate the special dividend, which could significantly impact our financial </w:t>
      </w:r>
      <w:r>
        <w:rPr>
          <w:rFonts w:eastAsia="Times New Roman"/>
          <w:color w:val="000000"/>
          <w:sz w:val="20"/>
          <w:szCs w:val="20"/>
        </w:rPr>
        <w:t>position and liquidity depending on the timing and scope of the dividend payment and related financing. Moreover, this obligation could lead us to refinance or terminate the Revolving Credit Agreement prior to its maturity, due to its restrictions on our a</w:t>
      </w:r>
      <w:r>
        <w:rPr>
          <w:rFonts w:eastAsia="Times New Roman"/>
          <w:color w:val="000000"/>
          <w:sz w:val="20"/>
          <w:szCs w:val="20"/>
        </w:rPr>
        <w:t>bility to incur additional debt.</w:t>
      </w:r>
    </w:p>
    <w:p w:rsidR="00000000" w:rsidRDefault="00943C43">
      <w:pPr>
        <w:jc w:val="both"/>
        <w:divId w:val="948973921"/>
        <w:rPr>
          <w:rFonts w:eastAsia="Times New Roman"/>
        </w:rPr>
      </w:pPr>
      <w:r>
        <w:rPr>
          <w:rFonts w:eastAsia="Times New Roman"/>
          <w:color w:val="000000"/>
          <w:sz w:val="20"/>
          <w:szCs w:val="20"/>
          <w:u w:val="single"/>
        </w:rPr>
        <w:t>Revolving Credit Agreement</w:t>
      </w:r>
    </w:p>
    <w:p w:rsidR="00000000" w:rsidRDefault="00943C43">
      <w:pPr>
        <w:jc w:val="both"/>
        <w:divId w:val="1628467005"/>
        <w:rPr>
          <w:rFonts w:eastAsia="Times New Roman"/>
        </w:rPr>
      </w:pPr>
      <w:r>
        <w:rPr>
          <w:rFonts w:eastAsia="Times New Roman"/>
          <w:color w:val="000000"/>
          <w:sz w:val="20"/>
          <w:szCs w:val="20"/>
        </w:rPr>
        <w:t>On May 5, 2021, we entered into the Revolving Credit Agreement. The Revolving Credit Agreement had an original borrowing capacity equal to $25.0 million and bore interest on borrowings at a Eurodo</w:t>
      </w:r>
      <w:r>
        <w:rPr>
          <w:rFonts w:eastAsia="Times New Roman"/>
          <w:color w:val="000000"/>
          <w:sz w:val="20"/>
          <w:szCs w:val="20"/>
        </w:rPr>
        <w:t>llar Rate (as defined in the Revolving Credit Agreement) that was based on LIBOR. We may also request the issuance of letters of credit under the Revolving Credit Agreement in an aggregate amount up to $5.0 million, which reduces the amount of available bo</w:t>
      </w:r>
      <w:r>
        <w:rPr>
          <w:rFonts w:eastAsia="Times New Roman"/>
          <w:color w:val="000000"/>
          <w:sz w:val="20"/>
          <w:szCs w:val="20"/>
        </w:rPr>
        <w:t>rrowings by the amount of such issued and outstanding letters of credit. The facility has a maturity of three years from the closing date of the agreement.</w:t>
      </w:r>
    </w:p>
    <w:p w:rsidR="00000000" w:rsidRDefault="00943C43">
      <w:pPr>
        <w:jc w:val="both"/>
        <w:divId w:val="660081746"/>
        <w:rPr>
          <w:rFonts w:eastAsia="Times New Roman"/>
        </w:rPr>
      </w:pPr>
      <w:r>
        <w:rPr>
          <w:rFonts w:eastAsia="Times New Roman"/>
          <w:color w:val="000000"/>
          <w:sz w:val="20"/>
          <w:szCs w:val="20"/>
        </w:rPr>
        <w:t>On February 25, 2022, we entered into an amendment (the "Amendment") to the Revolving Credit Agreeme</w:t>
      </w:r>
      <w:r>
        <w:rPr>
          <w:rFonts w:eastAsia="Times New Roman"/>
          <w:color w:val="000000"/>
          <w:sz w:val="20"/>
          <w:szCs w:val="20"/>
        </w:rPr>
        <w:t>nt to expand our aggregate borrowing capacity from $25.0 million to $40.0 million. The Amendment also replaced the Eurodollar Rate with a SOFR-based interest rate and modified the Applicable Rate definition in the Revolving Credit Agreement to increase the</w:t>
      </w:r>
      <w:r>
        <w:rPr>
          <w:rFonts w:eastAsia="Times New Roman"/>
          <w:color w:val="000000"/>
          <w:sz w:val="20"/>
          <w:szCs w:val="20"/>
        </w:rPr>
        <w:t xml:space="preserve"> Applicable Rate payable on SOFR-based loans to 2.50% until the date a compliance certificate is received for the quarter ending March 31, 2023, with such Applicable Rate thereafter reducing to 2.25%</w:t>
      </w:r>
      <w:r>
        <w:rPr>
          <w:rFonts w:ascii="Arial" w:eastAsia="Times New Roman" w:hAnsi="Arial" w:cs="Arial"/>
          <w:color w:val="2A303E"/>
          <w:sz w:val="20"/>
          <w:szCs w:val="20"/>
        </w:rPr>
        <w:t>.</w:t>
      </w:r>
    </w:p>
    <w:p w:rsidR="00000000" w:rsidRDefault="00943C43">
      <w:pPr>
        <w:jc w:val="both"/>
        <w:divId w:val="508982748"/>
        <w:rPr>
          <w:rFonts w:eastAsia="Times New Roman"/>
        </w:rPr>
      </w:pPr>
      <w:r>
        <w:rPr>
          <w:rFonts w:eastAsia="Times New Roman"/>
          <w:color w:val="000000"/>
          <w:sz w:val="20"/>
          <w:szCs w:val="20"/>
        </w:rPr>
        <w:t>The amount we are able to borrow under the Revolving Credit Agreement is subject to compliance with financial covenants, satisfaction of various conditions precedent to borrowing and other provisions of the Revolving Credit Agreement. Notably, the Revolvin</w:t>
      </w:r>
      <w:r>
        <w:rPr>
          <w:rFonts w:eastAsia="Times New Roman"/>
          <w:color w:val="000000"/>
          <w:sz w:val="20"/>
          <w:szCs w:val="20"/>
        </w:rPr>
        <w:t>g Credit Agreement contains financial covenants that require us to maintain minimum Consolidated EBITDA for periods through December 31, 2022, a minimum Consolidated Asset Coverage Ratio for periods ending March 31, 2022 through December 31, 2022, and a mi</w:t>
      </w:r>
      <w:r>
        <w:rPr>
          <w:rFonts w:eastAsia="Times New Roman"/>
          <w:color w:val="000000"/>
          <w:sz w:val="20"/>
          <w:szCs w:val="20"/>
        </w:rPr>
        <w:t>nimum Consolidated Fixed Charge Coverage Ratio for periods after December 31, 2022 (each term as defined in the Revolving Credit Agreement). As of March 31, 2022, we were in compliance with our covenants under the Revolving Credit Agreement, and based on o</w:t>
      </w:r>
      <w:r>
        <w:rPr>
          <w:rFonts w:eastAsia="Times New Roman"/>
          <w:color w:val="000000"/>
          <w:sz w:val="20"/>
          <w:szCs w:val="20"/>
        </w:rPr>
        <w:t>ur current plans, we do not anticipate a breach of these covenants that would result in an event of default under the Revolving Credit Agreement.</w:t>
      </w:r>
    </w:p>
    <w:p w:rsidR="00000000" w:rsidRDefault="00943C43">
      <w:pPr>
        <w:jc w:val="both"/>
        <w:divId w:val="440757966"/>
        <w:rPr>
          <w:rFonts w:eastAsia="Times New Roman"/>
        </w:rPr>
      </w:pPr>
      <w:r>
        <w:rPr>
          <w:rFonts w:eastAsia="Times New Roman"/>
          <w:color w:val="000000"/>
          <w:sz w:val="20"/>
          <w:szCs w:val="20"/>
        </w:rPr>
        <w:t>As of March 31, 2022, we had outstanding borrowings of $16.0 million and outstanding letters of credit totalin</w:t>
      </w:r>
      <w:r>
        <w:rPr>
          <w:rFonts w:eastAsia="Times New Roman"/>
          <w:color w:val="000000"/>
          <w:sz w:val="20"/>
          <w:szCs w:val="20"/>
        </w:rPr>
        <w:t>g $3.3 million under the Revolving Credit Agreement, leaving a remaining borrowing capacity of $20.7 million. The borrowed funds were used to reduce our accounts payable balances, primarily related to expenses incurred in prior periods, and support our wor</w:t>
      </w:r>
      <w:r>
        <w:rPr>
          <w:rFonts w:eastAsia="Times New Roman"/>
          <w:color w:val="000000"/>
          <w:sz w:val="20"/>
          <w:szCs w:val="20"/>
        </w:rPr>
        <w:t>king capital position. While we continue to take steps to reduce our outstanding trade payables and improve our working capital position, our liquidity could be negatively affected if we are unable to generate sufficient cash from operations to meet our fi</w:t>
      </w:r>
      <w:r>
        <w:rPr>
          <w:rFonts w:eastAsia="Times New Roman"/>
          <w:color w:val="000000"/>
          <w:sz w:val="20"/>
          <w:szCs w:val="20"/>
        </w:rPr>
        <w:t>nancial obligations as they come due.</w:t>
      </w:r>
    </w:p>
    <w:p w:rsidR="00000000" w:rsidRDefault="00943C43">
      <w:pPr>
        <w:jc w:val="both"/>
        <w:divId w:val="2007438327"/>
        <w:rPr>
          <w:rFonts w:eastAsia="Times New Roman"/>
        </w:rPr>
      </w:pPr>
      <w:r>
        <w:rPr>
          <w:rFonts w:eastAsia="Times New Roman"/>
          <w:color w:val="000000"/>
          <w:sz w:val="20"/>
          <w:szCs w:val="20"/>
        </w:rPr>
        <w:t xml:space="preserve">For additional information on the Revolving Credit Agreement, refer to </w:t>
      </w:r>
      <w:hyperlink w:anchor="i81c699a6f33e49f8a081f48620e58c22_55"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rsidR="00000000" w:rsidRDefault="00943C43">
      <w:pPr>
        <w:jc w:val="both"/>
        <w:divId w:val="80377648"/>
        <w:rPr>
          <w:rFonts w:eastAsia="Times New Roman"/>
        </w:rPr>
      </w:pPr>
      <w:r>
        <w:rPr>
          <w:rFonts w:eastAsia="Times New Roman"/>
          <w:color w:val="000000"/>
          <w:sz w:val="20"/>
          <w:szCs w:val="20"/>
          <w:u w:val="single"/>
        </w:rPr>
        <w:t>Sale of Common Stock and Warrants</w:t>
      </w:r>
    </w:p>
    <w:p w:rsidR="00000000" w:rsidRDefault="00943C43">
      <w:pPr>
        <w:jc w:val="both"/>
        <w:divId w:val="94790890"/>
        <w:rPr>
          <w:rFonts w:eastAsia="Times New Roman"/>
        </w:rPr>
      </w:pPr>
      <w:r>
        <w:rPr>
          <w:rFonts w:eastAsia="Times New Roman"/>
          <w:color w:val="000000"/>
          <w:sz w:val="20"/>
          <w:szCs w:val="20"/>
        </w:rPr>
        <w:t xml:space="preserve">On June 23, 2019, we entered into a </w:t>
      </w:r>
      <w:r>
        <w:rPr>
          <w:rFonts w:eastAsia="Times New Roman"/>
          <w:color w:val="000000"/>
          <w:sz w:val="20"/>
          <w:szCs w:val="20"/>
        </w:rPr>
        <w:t>Securities Purchase Agreement with CVI pursuant to which we sold to CVI for aggregate gross proceeds of $20.0 million (i) 2,728,513 shares of Common Stock and (ii) Series A Warrants, Series B-1 Warrants, Series B-2 Warrants and Series C Warrants to initial</w:t>
      </w:r>
      <w:r>
        <w:rPr>
          <w:rFonts w:eastAsia="Times New Roman"/>
          <w:color w:val="000000"/>
          <w:sz w:val="20"/>
          <w:szCs w:val="20"/>
        </w:rPr>
        <w:t>ly purchase up to 11,654,033 shares of Common Stock (the "Private Placement"). On October 14, 2019, we issued 2,728,513 shares of Common Stock to CVI upon exercise by CVI of the Series C Warrants. As a result of this exercise, the number of shares issuable</w:t>
      </w:r>
      <w:r>
        <w:rPr>
          <w:rFonts w:eastAsia="Times New Roman"/>
          <w:color w:val="000000"/>
          <w:sz w:val="20"/>
          <w:szCs w:val="20"/>
        </w:rPr>
        <w:t xml:space="preserve"> under our Series A Warrants was increased by 2,728,513. On January 29, 2020, the Series B-1 Warrants expired unexercised. On August 3, 2020, the Series B-2 Warrants expired unexercised.</w:t>
      </w:r>
    </w:p>
    <w:p w:rsidR="00000000" w:rsidRDefault="00943C43">
      <w:pPr>
        <w:jc w:val="both"/>
        <w:divId w:val="452751362"/>
        <w:rPr>
          <w:rFonts w:eastAsia="Times New Roman"/>
        </w:rPr>
      </w:pPr>
      <w:r>
        <w:rPr>
          <w:rFonts w:eastAsia="Times New Roman"/>
          <w:color w:val="000000"/>
          <w:sz w:val="20"/>
          <w:szCs w:val="20"/>
        </w:rPr>
        <w:t>For additional information on the Private Placement and the adjustmen</w:t>
      </w:r>
      <w:r>
        <w:rPr>
          <w:rFonts w:eastAsia="Times New Roman"/>
          <w:color w:val="000000"/>
          <w:sz w:val="20"/>
          <w:szCs w:val="20"/>
        </w:rPr>
        <w:t xml:space="preserve">t to the exercise price of our Series A Warrants in connection with the Transactions (which adjustment could reduce the cash proceeds we receive upon exercise of the Series A Warrants), refer to </w:t>
      </w:r>
      <w:hyperlink w:anchor="i81c699a6f33e49f8a081f48620e58c22_64" w:history="1">
        <w:r>
          <w:rPr>
            <w:rStyle w:val="a3"/>
            <w:rFonts w:eastAsia="Times New Roman"/>
            <w:sz w:val="20"/>
            <w:szCs w:val="20"/>
          </w:rPr>
          <w:t>Fo</w:t>
        </w:r>
        <w:r>
          <w:rPr>
            <w:rStyle w:val="a3"/>
            <w:rFonts w:eastAsia="Times New Roman"/>
            <w:sz w:val="20"/>
            <w:szCs w:val="20"/>
          </w:rPr>
          <w:t>otnote 4</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w:t>
      </w:r>
    </w:p>
    <w:p w:rsidR="00000000" w:rsidRDefault="00943C43">
      <w:pPr>
        <w:jc w:val="center"/>
        <w:divId w:val="584847093"/>
        <w:rPr>
          <w:rFonts w:eastAsia="Times New Roman"/>
        </w:rPr>
      </w:pPr>
      <w:r>
        <w:rPr>
          <w:rFonts w:eastAsia="Times New Roman"/>
          <w:color w:val="000000"/>
          <w:sz w:val="20"/>
          <w:szCs w:val="20"/>
        </w:rPr>
        <w:t>20</w:t>
      </w:r>
    </w:p>
    <w:p w:rsidR="00000000" w:rsidRDefault="00943C43">
      <w:pPr>
        <w:rPr>
          <w:rFonts w:eastAsia="Times New Roman"/>
        </w:rPr>
      </w:pPr>
      <w:r>
        <w:rPr>
          <w:rFonts w:eastAsia="Times New Roman"/>
        </w:rPr>
        <w:pict>
          <v:rect id="_x0000_i1047" style="width:0;height:1.5pt" o:hralign="center" o:hrstd="t" o:hr="t" fillcolor="#a0a0a0" stroked="f"/>
        </w:pict>
      </w:r>
    </w:p>
    <w:p w:rsidR="00000000" w:rsidRDefault="00943C43">
      <w:pPr>
        <w:divId w:val="1623227837"/>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1640302430"/>
        <w:rPr>
          <w:rFonts w:eastAsia="Times New Roman"/>
        </w:rPr>
      </w:pPr>
    </w:p>
    <w:p w:rsidR="00000000" w:rsidRDefault="00943C43">
      <w:pPr>
        <w:jc w:val="both"/>
        <w:divId w:val="731541849"/>
        <w:rPr>
          <w:rFonts w:eastAsia="Times New Roman"/>
        </w:rPr>
      </w:pPr>
      <w:r>
        <w:rPr>
          <w:rFonts w:eastAsia="Times New Roman"/>
          <w:b/>
          <w:bCs/>
          <w:i/>
          <w:iCs/>
          <w:color w:val="000000"/>
          <w:sz w:val="20"/>
          <w:szCs w:val="20"/>
        </w:rPr>
        <w:t>Operating Activities</w:t>
      </w:r>
    </w:p>
    <w:p w:rsidR="00000000" w:rsidRDefault="00943C43">
      <w:pPr>
        <w:jc w:val="both"/>
        <w:divId w:val="231234695"/>
        <w:rPr>
          <w:rFonts w:eastAsia="Times New Roman"/>
        </w:rPr>
      </w:pPr>
      <w:r>
        <w:rPr>
          <w:rFonts w:eastAsia="Times New Roman"/>
          <w:color w:val="000000"/>
          <w:sz w:val="20"/>
          <w:szCs w:val="20"/>
        </w:rPr>
        <w:t>Our primary source of cash provided by oper</w:t>
      </w:r>
      <w:r>
        <w:rPr>
          <w:rFonts w:eastAsia="Times New Roman"/>
          <w:color w:val="000000"/>
          <w:sz w:val="20"/>
          <w:szCs w:val="20"/>
        </w:rPr>
        <w:t>ating activities is revenues generated from sales of our products and services. Our primary uses of cash from operating activities include personnel costs and costs related to data and infrastructure used to develop and maintain our products and services.</w:t>
      </w:r>
    </w:p>
    <w:p w:rsidR="00000000" w:rsidRDefault="00943C43">
      <w:pPr>
        <w:jc w:val="both"/>
        <w:divId w:val="1367872789"/>
        <w:rPr>
          <w:rFonts w:eastAsia="Times New Roman"/>
        </w:rPr>
      </w:pPr>
      <w:r>
        <w:rPr>
          <w:rFonts w:eastAsia="Times New Roman"/>
          <w:color w:val="000000"/>
          <w:sz w:val="20"/>
          <w:szCs w:val="20"/>
        </w:rPr>
        <w:t>Cash provided by operating activities is calculated by adjusting our net loss for changes in working capital, as well as by excluding non-cash items such as: depreciation, non-cash operating lease expense, amortization expense of finance leases and intangi</w:t>
      </w:r>
      <w:r>
        <w:rPr>
          <w:rFonts w:eastAsia="Times New Roman"/>
          <w:color w:val="000000"/>
          <w:sz w:val="20"/>
          <w:szCs w:val="20"/>
        </w:rPr>
        <w:t>ble assets, impairment of right-of-use assets, stock-based compensation, deferred tax provision, change in the fair value of contingent consideration, financing derivatives and warrants liability, loss on extinguishment of debt, non-cash interest expense o</w:t>
      </w:r>
      <w:r>
        <w:rPr>
          <w:rFonts w:eastAsia="Times New Roman"/>
          <w:color w:val="000000"/>
          <w:sz w:val="20"/>
          <w:szCs w:val="20"/>
        </w:rPr>
        <w:t>n the Notes, accretion of debt discount, and amortization of deferred financing costs.</w:t>
      </w:r>
    </w:p>
    <w:p w:rsidR="00000000" w:rsidRDefault="00943C43">
      <w:pPr>
        <w:jc w:val="both"/>
        <w:divId w:val="1408116882"/>
        <w:rPr>
          <w:rFonts w:eastAsia="Times New Roman"/>
        </w:rPr>
      </w:pPr>
      <w:r>
        <w:rPr>
          <w:rFonts w:eastAsia="Times New Roman"/>
          <w:color w:val="000000"/>
          <w:sz w:val="20"/>
          <w:szCs w:val="20"/>
        </w:rPr>
        <w:t xml:space="preserve">Net cash provided by operating activities for the three months ended March 31, 2022 was $12.4 million, compared to $17.9 million for the three months ended March 31, 2021. The decrease in cash provided by operating activities was primarily attributable to </w:t>
      </w:r>
      <w:r>
        <w:rPr>
          <w:rFonts w:eastAsia="Times New Roman"/>
          <w:color w:val="000000"/>
          <w:sz w:val="20"/>
          <w:szCs w:val="20"/>
        </w:rPr>
        <w:t>a net decrease in cash generated from operating assets and liabilities of $5.1 million for the three months ended March 31, 2022 as compared to $11.9 million for the three months ended March 31, 2021. The lower amount of cash generated from operating asset</w:t>
      </w:r>
      <w:r>
        <w:rPr>
          <w:rFonts w:eastAsia="Times New Roman"/>
          <w:color w:val="000000"/>
          <w:sz w:val="20"/>
          <w:szCs w:val="20"/>
        </w:rPr>
        <w:t>s and liabilities in 2022 is primarily reflective of larger amounts paid to reduce our outstanding accounts payable and accrued expense balances during 2022 as compared to 2021.</w:t>
      </w:r>
    </w:p>
    <w:p w:rsidR="00000000" w:rsidRDefault="00943C43">
      <w:pPr>
        <w:jc w:val="both"/>
        <w:divId w:val="254754053"/>
        <w:rPr>
          <w:rFonts w:eastAsia="Times New Roman"/>
        </w:rPr>
      </w:pPr>
      <w:r>
        <w:rPr>
          <w:rFonts w:eastAsia="Times New Roman"/>
          <w:b/>
          <w:bCs/>
          <w:i/>
          <w:iCs/>
          <w:color w:val="000000"/>
          <w:sz w:val="20"/>
          <w:szCs w:val="20"/>
        </w:rPr>
        <w:t>Investing Activities</w:t>
      </w:r>
    </w:p>
    <w:p w:rsidR="00000000" w:rsidRDefault="00943C43">
      <w:pPr>
        <w:jc w:val="both"/>
        <w:divId w:val="2081173152"/>
        <w:rPr>
          <w:rFonts w:eastAsia="Times New Roman"/>
        </w:rPr>
      </w:pPr>
      <w:r>
        <w:rPr>
          <w:rFonts w:eastAsia="Times New Roman"/>
          <w:color w:val="000000"/>
          <w:sz w:val="20"/>
          <w:szCs w:val="20"/>
        </w:rPr>
        <w:t>Cash used in investing activities primarily consists of p</w:t>
      </w:r>
      <w:r>
        <w:rPr>
          <w:rFonts w:eastAsia="Times New Roman"/>
          <w:color w:val="000000"/>
          <w:sz w:val="20"/>
          <w:szCs w:val="20"/>
        </w:rPr>
        <w:t>ayments related to capitalized internal-use software costs, purchases of computer and network equipment to support our technical infrastructure, and furniture and equipment. The extent of these investments will be affected by our ability to expand relation</w:t>
      </w:r>
      <w:r>
        <w:rPr>
          <w:rFonts w:eastAsia="Times New Roman"/>
          <w:color w:val="000000"/>
          <w:sz w:val="20"/>
          <w:szCs w:val="20"/>
        </w:rPr>
        <w:t>ships with existing customers, grow our customer base and introduce new digital formats, as well as constraints on cash expenditures due to our financial position and the current economic environment.</w:t>
      </w:r>
    </w:p>
    <w:p w:rsidR="00000000" w:rsidRDefault="00943C43">
      <w:pPr>
        <w:jc w:val="both"/>
        <w:divId w:val="1110857962"/>
        <w:rPr>
          <w:rFonts w:eastAsia="Times New Roman"/>
        </w:rPr>
      </w:pPr>
      <w:r>
        <w:rPr>
          <w:rFonts w:eastAsia="Times New Roman"/>
          <w:color w:val="000000"/>
          <w:sz w:val="20"/>
          <w:szCs w:val="20"/>
        </w:rPr>
        <w:t>Net cash used in investing activities for the three mon</w:t>
      </w:r>
      <w:r>
        <w:rPr>
          <w:rFonts w:eastAsia="Times New Roman"/>
          <w:color w:val="000000"/>
          <w:sz w:val="20"/>
          <w:szCs w:val="20"/>
        </w:rPr>
        <w:t>ths ended March 31, 2022 was $3.8 million compared to $3.7 million for the three months ended March 31, 2021.</w:t>
      </w:r>
    </w:p>
    <w:p w:rsidR="00000000" w:rsidRDefault="00943C43">
      <w:pPr>
        <w:jc w:val="both"/>
        <w:divId w:val="464347419"/>
        <w:rPr>
          <w:rFonts w:eastAsia="Times New Roman"/>
        </w:rPr>
      </w:pPr>
      <w:r>
        <w:rPr>
          <w:rFonts w:eastAsia="Times New Roman"/>
          <w:b/>
          <w:bCs/>
          <w:i/>
          <w:iCs/>
          <w:color w:val="000000"/>
          <w:sz w:val="20"/>
          <w:szCs w:val="20"/>
        </w:rPr>
        <w:t>Financing Activities</w:t>
      </w:r>
    </w:p>
    <w:p w:rsidR="00000000" w:rsidRDefault="00943C43">
      <w:pPr>
        <w:jc w:val="both"/>
        <w:divId w:val="1604263432"/>
        <w:rPr>
          <w:rFonts w:eastAsia="Times New Roman"/>
        </w:rPr>
      </w:pPr>
      <w:r>
        <w:rPr>
          <w:rFonts w:eastAsia="Times New Roman"/>
          <w:color w:val="000000"/>
          <w:sz w:val="20"/>
          <w:szCs w:val="20"/>
        </w:rPr>
        <w:t xml:space="preserve">Net cash used in financing activities during the three months ended March 31, 2022 was $0.7 million compared to $30.5 million during the three months ended March 31, 2021. The significant decrease in cash used for financing activities was due to repayment </w:t>
      </w:r>
      <w:r>
        <w:rPr>
          <w:rFonts w:eastAsia="Times New Roman"/>
          <w:color w:val="000000"/>
          <w:sz w:val="20"/>
          <w:szCs w:val="20"/>
        </w:rPr>
        <w:t xml:space="preserve">of our Notes and the Secured Term Note, which outflows were partially offset by cash proceeds received from the issuance of the Preferred Stock (net of related transaction costs), during 2021. </w:t>
      </w:r>
    </w:p>
    <w:p w:rsidR="00000000" w:rsidRDefault="00943C43">
      <w:pPr>
        <w:jc w:val="both"/>
        <w:divId w:val="761220605"/>
        <w:rPr>
          <w:rFonts w:eastAsia="Times New Roman"/>
        </w:rPr>
      </w:pPr>
      <w:r>
        <w:rPr>
          <w:rFonts w:eastAsia="Times New Roman"/>
          <w:b/>
          <w:bCs/>
          <w:i/>
          <w:iCs/>
          <w:color w:val="000000"/>
          <w:sz w:val="20"/>
          <w:szCs w:val="20"/>
        </w:rPr>
        <w:t>Contractual Payment Obligations</w:t>
      </w:r>
    </w:p>
    <w:p w:rsidR="00000000" w:rsidRDefault="00943C43">
      <w:pPr>
        <w:jc w:val="both"/>
        <w:divId w:val="330718891"/>
        <w:rPr>
          <w:rFonts w:eastAsia="Times New Roman"/>
        </w:rPr>
      </w:pPr>
      <w:r>
        <w:rPr>
          <w:rFonts w:eastAsia="Times New Roman"/>
          <w:color w:val="000000"/>
          <w:sz w:val="20"/>
          <w:szCs w:val="20"/>
        </w:rPr>
        <w:t>We have certain long-term cont</w:t>
      </w:r>
      <w:r>
        <w:rPr>
          <w:rFonts w:eastAsia="Times New Roman"/>
          <w:color w:val="000000"/>
          <w:sz w:val="20"/>
          <w:szCs w:val="20"/>
        </w:rPr>
        <w:t xml:space="preserve">ractual arrangements that have fixed and determinable payment obligations including unconditional purchase obligations with MVPDs, operating and financing leases, and data storage and bandwidth arrangements. </w:t>
      </w:r>
    </w:p>
    <w:p w:rsidR="00000000" w:rsidRDefault="00943C43">
      <w:pPr>
        <w:jc w:val="both"/>
        <w:divId w:val="1796674820"/>
        <w:rPr>
          <w:rFonts w:eastAsia="Times New Roman"/>
        </w:rPr>
      </w:pPr>
      <w:r>
        <w:rPr>
          <w:rFonts w:eastAsia="Times New Roman"/>
          <w:color w:val="000000"/>
          <w:sz w:val="20"/>
          <w:szCs w:val="20"/>
        </w:rPr>
        <w:t>We have data licensing agreements with a number</w:t>
      </w:r>
      <w:r>
        <w:rPr>
          <w:rFonts w:eastAsia="Times New Roman"/>
          <w:color w:val="000000"/>
          <w:sz w:val="20"/>
          <w:szCs w:val="20"/>
        </w:rPr>
        <w:t xml:space="preserve"> of MVPDs for set-top box data. These agreements have remaining terms from one to nine years. As of March 31, 2022, the total fixed payment obligation related to these agreements is $318.5 million. In addition, we expect to make variable payments related t</w:t>
      </w:r>
      <w:r>
        <w:rPr>
          <w:rFonts w:eastAsia="Times New Roman"/>
          <w:color w:val="000000"/>
          <w:sz w:val="20"/>
          <w:szCs w:val="20"/>
        </w:rPr>
        <w:t>o one of these agreements totaling an estimated $19.5 million over the next two years.</w:t>
      </w:r>
    </w:p>
    <w:p w:rsidR="00000000" w:rsidRDefault="00943C43">
      <w:pPr>
        <w:jc w:val="both"/>
        <w:divId w:val="941377108"/>
        <w:rPr>
          <w:rFonts w:eastAsia="Times New Roman"/>
        </w:rPr>
      </w:pPr>
      <w:r>
        <w:rPr>
          <w:rFonts w:eastAsia="Times New Roman"/>
          <w:color w:val="000000"/>
          <w:sz w:val="20"/>
          <w:szCs w:val="20"/>
        </w:rPr>
        <w:t>We have both operating and financing leases related to corporate office space and equipment. Our leases have remaining terms from one to six years. As of March 31, 2022,</w:t>
      </w:r>
      <w:r>
        <w:rPr>
          <w:rFonts w:eastAsia="Times New Roman"/>
          <w:color w:val="000000"/>
          <w:sz w:val="20"/>
          <w:szCs w:val="20"/>
        </w:rPr>
        <w:t xml:space="preserve"> the total fixed payment obligation related to these agreements is $58.6 million.</w:t>
      </w:r>
    </w:p>
    <w:p w:rsidR="00000000" w:rsidRDefault="00943C43">
      <w:pPr>
        <w:jc w:val="both"/>
        <w:divId w:val="361127752"/>
        <w:rPr>
          <w:rFonts w:eastAsia="Times New Roman"/>
        </w:rPr>
      </w:pPr>
      <w:r>
        <w:rPr>
          <w:rFonts w:eastAsia="Times New Roman"/>
          <w:color w:val="000000"/>
          <w:sz w:val="20"/>
          <w:szCs w:val="20"/>
        </w:rPr>
        <w:t xml:space="preserve">We have an agreement for cloud-based data storage and bandwidth to help process and store our data. The remaining term for this agreement is two years. As of March 31, 2022, </w:t>
      </w:r>
      <w:r>
        <w:rPr>
          <w:rFonts w:eastAsia="Times New Roman"/>
          <w:color w:val="000000"/>
          <w:sz w:val="20"/>
          <w:szCs w:val="20"/>
        </w:rPr>
        <w:t xml:space="preserve">the total fixed payment obligation related to this agreement is $17.2 million. </w:t>
      </w:r>
    </w:p>
    <w:p w:rsidR="00000000" w:rsidRDefault="00943C43">
      <w:pPr>
        <w:jc w:val="both"/>
        <w:divId w:val="78411541"/>
        <w:rPr>
          <w:rFonts w:eastAsia="Times New Roman"/>
        </w:rPr>
      </w:pPr>
      <w:r>
        <w:rPr>
          <w:rFonts w:eastAsia="Times New Roman"/>
          <w:b/>
          <w:bCs/>
          <w:i/>
          <w:iCs/>
          <w:color w:val="000000"/>
          <w:sz w:val="20"/>
          <w:szCs w:val="20"/>
        </w:rPr>
        <w:t>Future Capital Requirements</w:t>
      </w:r>
    </w:p>
    <w:p w:rsidR="00000000" w:rsidRDefault="00943C43">
      <w:pPr>
        <w:jc w:val="both"/>
        <w:divId w:val="426660953"/>
        <w:rPr>
          <w:rFonts w:eastAsia="Times New Roman"/>
        </w:rPr>
      </w:pPr>
      <w:r>
        <w:rPr>
          <w:rFonts w:eastAsia="Times New Roman"/>
          <w:color w:val="000000"/>
          <w:sz w:val="20"/>
          <w:szCs w:val="20"/>
        </w:rPr>
        <w:t xml:space="preserve">Our ability to generate cash is subject to our performance, general economic conditions, industry trends and other factors, including the timing of </w:t>
      </w:r>
      <w:r>
        <w:rPr>
          <w:rFonts w:eastAsia="Times New Roman"/>
          <w:color w:val="000000"/>
          <w:sz w:val="20"/>
          <w:szCs w:val="20"/>
        </w:rPr>
        <w:t xml:space="preserve">cash collections from our customers, data costs and other trade payables, service of our debt and lease facilities and dividend payment obligations, and expenses from ongoing compliance efforts and legal matters. To the extent that our existing cash, cash </w:t>
      </w:r>
      <w:r>
        <w:rPr>
          <w:rFonts w:eastAsia="Times New Roman"/>
          <w:color w:val="000000"/>
          <w:sz w:val="20"/>
          <w:szCs w:val="20"/>
        </w:rPr>
        <w:t xml:space="preserve">equivalents and operating cash flow, together with savings from repayment of the Notes and Secured Term Note, cost-reduction initiatives undertaken by our management and borrowing capacity under our Revolving Credit Agreement, are insufficient to fund our </w:t>
      </w:r>
      <w:r>
        <w:rPr>
          <w:rFonts w:eastAsia="Times New Roman"/>
          <w:color w:val="000000"/>
          <w:sz w:val="20"/>
          <w:szCs w:val="20"/>
        </w:rPr>
        <w:t>future activities and requirements, we may need to raise additional funds through public or private equity or debt financing. We may also be required to raise additional funds in order to pay a special dividend to holders of our Preferred Stock, as describ</w:t>
      </w:r>
      <w:r>
        <w:rPr>
          <w:rFonts w:eastAsia="Times New Roman"/>
          <w:color w:val="000000"/>
          <w:sz w:val="20"/>
          <w:szCs w:val="20"/>
        </w:rPr>
        <w:t xml:space="preserve">ed above. Our history of net losses, as well as disruption and volatility in global capital and credit markets, could impact our ability to access capital resources on terms acceptable to us or allowable under applicable financing arrangements, or at all. </w:t>
      </w:r>
      <w:r>
        <w:rPr>
          <w:rFonts w:eastAsia="Times New Roman"/>
          <w:color w:val="000000"/>
          <w:sz w:val="20"/>
          <w:szCs w:val="20"/>
        </w:rPr>
        <w:t>If we issue additional equity securities in order to raise additional funds, pay dividends or for other purposes, further dilution to existing stockholders may occur.</w:t>
      </w:r>
    </w:p>
    <w:p w:rsidR="00000000" w:rsidRDefault="00943C43">
      <w:pPr>
        <w:jc w:val="both"/>
        <w:divId w:val="58750865"/>
        <w:rPr>
          <w:rFonts w:eastAsia="Times New Roman"/>
        </w:rPr>
      </w:pPr>
      <w:r>
        <w:rPr>
          <w:rFonts w:eastAsia="Times New Roman"/>
          <w:b/>
          <w:bCs/>
          <w:color w:val="000000"/>
          <w:sz w:val="20"/>
          <w:szCs w:val="20"/>
        </w:rPr>
        <w:t>Critical Accounting Estimates</w:t>
      </w:r>
    </w:p>
    <w:p w:rsidR="00000000" w:rsidRDefault="00943C43">
      <w:pPr>
        <w:jc w:val="both"/>
        <w:divId w:val="734473276"/>
        <w:rPr>
          <w:rFonts w:eastAsia="Times New Roman"/>
        </w:rPr>
      </w:pPr>
      <w:r>
        <w:rPr>
          <w:rFonts w:eastAsia="Times New Roman"/>
          <w:color w:val="000000"/>
          <w:sz w:val="20"/>
          <w:szCs w:val="20"/>
        </w:rPr>
        <w:t xml:space="preserve">Our discussion and analysis of our financial condition and </w:t>
      </w:r>
      <w:r>
        <w:rPr>
          <w:rFonts w:eastAsia="Times New Roman"/>
          <w:color w:val="000000"/>
          <w:sz w:val="20"/>
          <w:szCs w:val="20"/>
        </w:rPr>
        <w:t xml:space="preserve">results of operations are based on our Condensed Consolidated Financial Statements, which have been prepared in accordance with GAAP. The preparation of these financial statements requires us to make estimates, assumptions </w:t>
      </w:r>
    </w:p>
    <w:p w:rsidR="00000000" w:rsidRDefault="00943C43">
      <w:pPr>
        <w:jc w:val="center"/>
        <w:divId w:val="533884186"/>
        <w:rPr>
          <w:rFonts w:eastAsia="Times New Roman"/>
        </w:rPr>
      </w:pPr>
      <w:r>
        <w:rPr>
          <w:rFonts w:eastAsia="Times New Roman"/>
          <w:color w:val="000000"/>
          <w:sz w:val="20"/>
          <w:szCs w:val="20"/>
        </w:rPr>
        <w:t>21</w:t>
      </w:r>
    </w:p>
    <w:p w:rsidR="00000000" w:rsidRDefault="00943C43">
      <w:pPr>
        <w:rPr>
          <w:rFonts w:eastAsia="Times New Roman"/>
        </w:rPr>
      </w:pPr>
      <w:r>
        <w:rPr>
          <w:rFonts w:eastAsia="Times New Roman"/>
        </w:rPr>
        <w:pict>
          <v:rect id="_x0000_i1048" style="width:0;height:1.5pt" o:hralign="center" o:hrstd="t" o:hr="t" fillcolor="#a0a0a0" stroked="f"/>
        </w:pict>
      </w:r>
    </w:p>
    <w:p w:rsidR="00000000" w:rsidRDefault="00943C43">
      <w:pPr>
        <w:divId w:val="1731222758"/>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74716997"/>
        <w:rPr>
          <w:rFonts w:eastAsia="Times New Roman"/>
        </w:rPr>
      </w:pPr>
    </w:p>
    <w:p w:rsidR="00000000" w:rsidRDefault="00943C43">
      <w:pPr>
        <w:jc w:val="both"/>
        <w:divId w:val="785201278"/>
        <w:rPr>
          <w:rFonts w:eastAsia="Times New Roman"/>
        </w:rPr>
      </w:pPr>
      <w:r>
        <w:rPr>
          <w:rFonts w:eastAsia="Times New Roman"/>
          <w:color w:val="000000"/>
          <w:sz w:val="20"/>
          <w:szCs w:val="20"/>
        </w:rPr>
        <w:t>and judgments that affect the amounts reported in our Condensed Consolidated Financial Statements and the accompanying Notes to Condensed Consolidated Financial Statement</w:t>
      </w:r>
      <w:r>
        <w:rPr>
          <w:rFonts w:eastAsia="Times New Roman"/>
          <w:color w:val="000000"/>
          <w:sz w:val="20"/>
          <w:szCs w:val="20"/>
        </w:rPr>
        <w:t>s. We base our estimates on historical experience and on various other assumptions that we believe to be reasonable under the circumstances.</w:t>
      </w:r>
    </w:p>
    <w:p w:rsidR="00000000" w:rsidRDefault="00943C43">
      <w:pPr>
        <w:jc w:val="both"/>
        <w:divId w:val="1310020115"/>
        <w:rPr>
          <w:rFonts w:eastAsia="Times New Roman"/>
        </w:rPr>
      </w:pPr>
      <w:r>
        <w:rPr>
          <w:rFonts w:eastAsia="Times New Roman"/>
          <w:color w:val="000000"/>
          <w:sz w:val="20"/>
          <w:szCs w:val="20"/>
        </w:rPr>
        <w:t xml:space="preserve">Refer to the critical accounting estimates disclosed in </w:t>
      </w:r>
      <w:hyperlink r:id="rId7" w:anchor="i2bb226c9c8094f2686c2a2ad33a7e33b_49" w:history="1">
        <w:r>
          <w:rPr>
            <w:rStyle w:val="a3"/>
            <w:rFonts w:eastAsia="Times New Roman"/>
            <w:sz w:val="20"/>
            <w:szCs w:val="20"/>
          </w:rPr>
          <w:t>Item 7</w:t>
        </w:r>
      </w:hyperlink>
      <w:r>
        <w:rPr>
          <w:rFonts w:eastAsia="Times New Roman"/>
          <w:color w:val="000000"/>
          <w:sz w:val="20"/>
          <w:szCs w:val="20"/>
        </w:rPr>
        <w:t>, "Management's Discussion and Analysis of Financial Condition and Results of Operations," in our 2021 10-K for detailed information about the estimates and a</w:t>
      </w:r>
      <w:r>
        <w:rPr>
          <w:rFonts w:eastAsia="Times New Roman"/>
          <w:color w:val="000000"/>
          <w:sz w:val="20"/>
          <w:szCs w:val="20"/>
        </w:rPr>
        <w:t>ssumptions that we consider to be the most critical to an understanding of our financial condition and results of operations. These estimates and assumptions involve significant judgments and uncertainties, and actual results in these areas could differ fr</w:t>
      </w:r>
      <w:r>
        <w:rPr>
          <w:rFonts w:eastAsia="Times New Roman"/>
          <w:color w:val="000000"/>
          <w:sz w:val="20"/>
          <w:szCs w:val="20"/>
        </w:rPr>
        <w:t>om our estimates.</w:t>
      </w:r>
    </w:p>
    <w:p w:rsidR="00000000" w:rsidRDefault="00943C43">
      <w:pPr>
        <w:jc w:val="center"/>
        <w:divId w:val="1447045698"/>
        <w:rPr>
          <w:rFonts w:eastAsia="Times New Roman"/>
        </w:rPr>
      </w:pPr>
      <w:r>
        <w:rPr>
          <w:rFonts w:eastAsia="Times New Roman"/>
          <w:color w:val="000000"/>
          <w:sz w:val="20"/>
          <w:szCs w:val="20"/>
        </w:rPr>
        <w:t>22</w:t>
      </w:r>
    </w:p>
    <w:p w:rsidR="00000000" w:rsidRDefault="00943C43">
      <w:pPr>
        <w:rPr>
          <w:rFonts w:eastAsia="Times New Roman"/>
        </w:rPr>
      </w:pPr>
      <w:r>
        <w:rPr>
          <w:rFonts w:eastAsia="Times New Roman"/>
        </w:rPr>
        <w:pict>
          <v:rect id="_x0000_i1049" style="width:0;height:1.5pt" o:hralign="center" o:hrstd="t" o:hr="t" fillcolor="#a0a0a0" stroked="f"/>
        </w:pict>
      </w:r>
    </w:p>
    <w:p w:rsidR="00000000" w:rsidRDefault="00943C43">
      <w:pPr>
        <w:divId w:val="2005669046"/>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416756759"/>
        <w:rPr>
          <w:rFonts w:eastAsia="Times New Roman"/>
        </w:rPr>
      </w:pPr>
    </w:p>
    <w:tbl>
      <w:tblPr>
        <w:tblW w:w="4391" w:type="pct"/>
        <w:tblCellMar>
          <w:top w:w="15" w:type="dxa"/>
          <w:left w:w="15" w:type="dxa"/>
          <w:bottom w:w="15" w:type="dxa"/>
          <w:right w:w="15" w:type="dxa"/>
        </w:tblCellMar>
        <w:tblLook w:val="04A0" w:firstRow="1" w:lastRow="0" w:firstColumn="1" w:lastColumn="0" w:noHBand="0" w:noVBand="1"/>
      </w:tblPr>
      <w:tblGrid>
        <w:gridCol w:w="79"/>
        <w:gridCol w:w="688"/>
        <w:gridCol w:w="36"/>
        <w:gridCol w:w="37"/>
        <w:gridCol w:w="6418"/>
        <w:gridCol w:w="36"/>
      </w:tblGrid>
      <w:tr w:rsidR="00000000">
        <w:trPr>
          <w:divId w:val="877856340"/>
        </w:trPr>
        <w:tc>
          <w:tcPr>
            <w:tcW w:w="50" w:type="pct"/>
            <w:vAlign w:val="center"/>
            <w:hideMark/>
          </w:tcPr>
          <w:p w:rsidR="00000000" w:rsidRDefault="00943C43">
            <w:pPr>
              <w:jc w:val="both"/>
              <w:rPr>
                <w:rFonts w:eastAsia="Times New Roman"/>
              </w:rPr>
            </w:pPr>
          </w:p>
        </w:tc>
        <w:tc>
          <w:tcPr>
            <w:tcW w:w="43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45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877856340"/>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b/>
                <w:bCs/>
                <w:color w:val="000000"/>
                <w:sz w:val="20"/>
                <w:szCs w:val="20"/>
              </w:rPr>
              <w:t xml:space="preserve">ITEM 3. </w:t>
            </w:r>
          </w:p>
        </w:tc>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b/>
                <w:bCs/>
                <w:i/>
                <w:iCs/>
                <w:color w:val="000000"/>
                <w:sz w:val="20"/>
                <w:szCs w:val="20"/>
              </w:rPr>
              <w:t>QUANTITATIVE AND QUALITATIVE DISCLOSURES ABOUT MARKET RISK</w:t>
            </w:r>
          </w:p>
        </w:tc>
      </w:tr>
    </w:tbl>
    <w:p w:rsidR="00000000" w:rsidRDefault="00943C43">
      <w:pPr>
        <w:jc w:val="both"/>
        <w:divId w:val="1425953695"/>
        <w:rPr>
          <w:rFonts w:eastAsia="Times New Roman"/>
        </w:rPr>
      </w:pPr>
      <w:r>
        <w:rPr>
          <w:rFonts w:eastAsia="Times New Roman"/>
          <w:color w:val="000000"/>
          <w:sz w:val="20"/>
          <w:szCs w:val="20"/>
        </w:rPr>
        <w:t>Market risk represents the risk of loss that may impact our financial position due to adverse changes in financial market prices and rates. We have outstanding warrants that are subject to market risk. We also have interest rate risk for amounts outstandin</w:t>
      </w:r>
      <w:r>
        <w:rPr>
          <w:rFonts w:eastAsia="Times New Roman"/>
          <w:color w:val="000000"/>
          <w:sz w:val="20"/>
          <w:szCs w:val="20"/>
        </w:rPr>
        <w:t>g under our Revolving Credit Agreement, and we have foreign currency exchange rate risk from our global operations.</w:t>
      </w:r>
    </w:p>
    <w:p w:rsidR="00000000" w:rsidRDefault="00943C43">
      <w:pPr>
        <w:jc w:val="both"/>
        <w:divId w:val="767583107"/>
        <w:rPr>
          <w:rFonts w:eastAsia="Times New Roman"/>
        </w:rPr>
      </w:pPr>
      <w:r>
        <w:rPr>
          <w:rFonts w:eastAsia="Times New Roman"/>
          <w:b/>
          <w:bCs/>
          <w:color w:val="000000"/>
          <w:sz w:val="20"/>
          <w:szCs w:val="20"/>
        </w:rPr>
        <w:t>Warrants liability financial instrument risk</w:t>
      </w:r>
    </w:p>
    <w:p w:rsidR="00000000" w:rsidRDefault="00943C43">
      <w:pPr>
        <w:jc w:val="both"/>
        <w:divId w:val="841893518"/>
        <w:rPr>
          <w:rFonts w:eastAsia="Times New Roman"/>
        </w:rPr>
      </w:pPr>
      <w:r>
        <w:rPr>
          <w:rFonts w:eastAsia="Times New Roman"/>
          <w:color w:val="000000"/>
          <w:sz w:val="20"/>
          <w:szCs w:val="20"/>
        </w:rPr>
        <w:t>As a result of having $8.1 million in liability related to outstanding warrants as of March 31, 2022, which warrants are exercisable for shares of Common Stock under certain conditions, we are subject to market risk. The value of the warrants is impacted b</w:t>
      </w:r>
      <w:r>
        <w:rPr>
          <w:rFonts w:eastAsia="Times New Roman"/>
          <w:color w:val="000000"/>
          <w:sz w:val="20"/>
          <w:szCs w:val="20"/>
        </w:rPr>
        <w:t>y changes in the market price of our Common Stock.</w:t>
      </w:r>
    </w:p>
    <w:p w:rsidR="00000000" w:rsidRDefault="00943C43">
      <w:pPr>
        <w:jc w:val="both"/>
        <w:divId w:val="1169248461"/>
        <w:rPr>
          <w:rFonts w:eastAsia="Times New Roman"/>
        </w:rPr>
      </w:pPr>
      <w:r>
        <w:rPr>
          <w:rFonts w:eastAsia="Times New Roman"/>
          <w:color w:val="000000"/>
          <w:sz w:val="20"/>
          <w:szCs w:val="20"/>
        </w:rPr>
        <w:t xml:space="preserve">As of March 31, 2022, a 10% increase in the market price of our Common Stock would result in a $1.3 million increase in the fair value of the Series A Warrants, while a 10% decrease in the market price of </w:t>
      </w:r>
      <w:r>
        <w:rPr>
          <w:rFonts w:eastAsia="Times New Roman"/>
          <w:color w:val="000000"/>
          <w:sz w:val="20"/>
          <w:szCs w:val="20"/>
        </w:rPr>
        <w:t>our Common Stock would result in a $1.2 million decrease in the fair value of the Series A Warrants.</w:t>
      </w:r>
    </w:p>
    <w:p w:rsidR="00000000" w:rsidRDefault="00943C43">
      <w:pPr>
        <w:jc w:val="both"/>
        <w:divId w:val="1738431370"/>
        <w:rPr>
          <w:rFonts w:eastAsia="Times New Roman"/>
        </w:rPr>
      </w:pPr>
      <w:r>
        <w:rPr>
          <w:rFonts w:eastAsia="Times New Roman"/>
          <w:color w:val="000000"/>
          <w:sz w:val="20"/>
          <w:szCs w:val="20"/>
        </w:rPr>
        <w:t xml:space="preserve">For further information on our outstanding warrants, refer to </w:t>
      </w:r>
      <w:hyperlink w:anchor="i81c699a6f33e49f8a081f48620e58c22_64"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Convertible Redeemable</w:t>
      </w:r>
      <w:r>
        <w:rPr>
          <w:rFonts w:eastAsia="Times New Roman"/>
          <w:i/>
          <w:iCs/>
          <w:color w:val="000000"/>
          <w:sz w:val="20"/>
          <w:szCs w:val="20"/>
        </w:rPr>
        <w:t xml:space="preserve"> Preferred Stock and Stockholders' Equity.</w:t>
      </w:r>
    </w:p>
    <w:p w:rsidR="00000000" w:rsidRDefault="00943C43">
      <w:pPr>
        <w:jc w:val="both"/>
        <w:divId w:val="1698895127"/>
        <w:rPr>
          <w:rFonts w:eastAsia="Times New Roman"/>
        </w:rPr>
      </w:pPr>
      <w:r>
        <w:rPr>
          <w:rFonts w:eastAsia="Times New Roman"/>
          <w:b/>
          <w:bCs/>
          <w:color w:val="000000"/>
          <w:sz w:val="20"/>
          <w:szCs w:val="20"/>
        </w:rPr>
        <w:t>Interest rate and foreign currency risks</w:t>
      </w:r>
    </w:p>
    <w:p w:rsidR="00000000" w:rsidRDefault="00943C43">
      <w:pPr>
        <w:jc w:val="both"/>
        <w:divId w:val="318198979"/>
        <w:rPr>
          <w:rFonts w:eastAsia="Times New Roman"/>
        </w:rPr>
      </w:pPr>
      <w:r>
        <w:rPr>
          <w:rFonts w:eastAsia="Times New Roman"/>
          <w:color w:val="000000"/>
          <w:sz w:val="20"/>
          <w:szCs w:val="20"/>
        </w:rPr>
        <w:t xml:space="preserve">For discussion of the market risk associated with our interest rate and foreign currency risks, refer to </w:t>
      </w:r>
      <w:hyperlink r:id="rId8" w:anchor="i2bb226c9c8094f2686c2a2ad33a7e33b_73" w:history="1">
        <w:r>
          <w:rPr>
            <w:rStyle w:val="a3"/>
            <w:rFonts w:eastAsia="Times New Roman"/>
            <w:sz w:val="20"/>
            <w:szCs w:val="20"/>
          </w:rPr>
          <w:t>Item 7A</w:t>
        </w:r>
      </w:hyperlink>
      <w:r>
        <w:rPr>
          <w:rFonts w:eastAsia="Times New Roman"/>
          <w:color w:val="000000"/>
          <w:sz w:val="20"/>
          <w:szCs w:val="20"/>
        </w:rPr>
        <w:t>, "Quantitative and Qualitative Disclosures About Market Risk" within the 2021 10-K.</w:t>
      </w:r>
    </w:p>
    <w:p w:rsidR="00000000" w:rsidRDefault="00943C43">
      <w:pPr>
        <w:jc w:val="center"/>
        <w:divId w:val="1877503444"/>
        <w:rPr>
          <w:rFonts w:eastAsia="Times New Roman"/>
        </w:rPr>
      </w:pPr>
      <w:r>
        <w:rPr>
          <w:rFonts w:eastAsia="Times New Roman"/>
          <w:color w:val="000000"/>
          <w:sz w:val="20"/>
          <w:szCs w:val="20"/>
        </w:rPr>
        <w:t>23</w:t>
      </w:r>
    </w:p>
    <w:p w:rsidR="00000000" w:rsidRDefault="00943C43">
      <w:pPr>
        <w:rPr>
          <w:rFonts w:eastAsia="Times New Roman"/>
        </w:rPr>
      </w:pPr>
      <w:r>
        <w:rPr>
          <w:rFonts w:eastAsia="Times New Roman"/>
        </w:rPr>
        <w:pict>
          <v:rect id="_x0000_i1050" style="width:0;height:1.5pt" o:hralign="center" o:hrstd="t" o:hr="t" fillcolor="#a0a0a0" stroked="f"/>
        </w:pict>
      </w:r>
    </w:p>
    <w:p w:rsidR="00000000" w:rsidRDefault="00943C43">
      <w:pPr>
        <w:divId w:val="1905334128"/>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720904426"/>
        <w:rPr>
          <w:rFonts w:eastAsia="Times New Roman"/>
        </w:rPr>
      </w:pPr>
    </w:p>
    <w:tbl>
      <w:tblPr>
        <w:tblW w:w="4391" w:type="pct"/>
        <w:tblCellMar>
          <w:top w:w="15" w:type="dxa"/>
          <w:left w:w="15" w:type="dxa"/>
          <w:bottom w:w="15" w:type="dxa"/>
          <w:right w:w="15" w:type="dxa"/>
        </w:tblCellMar>
        <w:tblLook w:val="04A0" w:firstRow="1" w:lastRow="0" w:firstColumn="1" w:lastColumn="0" w:noHBand="0" w:noVBand="1"/>
      </w:tblPr>
      <w:tblGrid>
        <w:gridCol w:w="71"/>
        <w:gridCol w:w="696"/>
        <w:gridCol w:w="36"/>
        <w:gridCol w:w="56"/>
        <w:gridCol w:w="6399"/>
        <w:gridCol w:w="36"/>
      </w:tblGrid>
      <w:tr w:rsidR="00000000">
        <w:trPr>
          <w:divId w:val="1486705749"/>
        </w:trPr>
        <w:tc>
          <w:tcPr>
            <w:tcW w:w="50" w:type="pct"/>
            <w:vAlign w:val="center"/>
            <w:hideMark/>
          </w:tcPr>
          <w:p w:rsidR="00000000" w:rsidRDefault="00943C43">
            <w:pPr>
              <w:jc w:val="both"/>
              <w:rPr>
                <w:rFonts w:eastAsia="Times New Roman"/>
              </w:rPr>
            </w:pPr>
          </w:p>
        </w:tc>
        <w:tc>
          <w:tcPr>
            <w:tcW w:w="49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396"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1486705749"/>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b/>
                <w:bCs/>
                <w:color w:val="000000"/>
                <w:sz w:val="20"/>
                <w:szCs w:val="20"/>
              </w:rPr>
              <w:t>ITEM 4.</w:t>
            </w:r>
          </w:p>
        </w:tc>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b/>
                <w:bCs/>
                <w:i/>
                <w:iCs/>
                <w:color w:val="000000"/>
                <w:sz w:val="20"/>
                <w:szCs w:val="20"/>
              </w:rPr>
              <w:t>CONTROLS AND PROCEDURES</w:t>
            </w:r>
          </w:p>
        </w:tc>
      </w:tr>
    </w:tbl>
    <w:p w:rsidR="00000000" w:rsidRDefault="00943C43">
      <w:pPr>
        <w:jc w:val="both"/>
        <w:divId w:val="1828395962"/>
        <w:rPr>
          <w:rFonts w:eastAsia="Times New Roman"/>
        </w:rPr>
      </w:pPr>
      <w:r>
        <w:rPr>
          <w:rFonts w:eastAsia="Times New Roman"/>
          <w:b/>
          <w:bCs/>
          <w:color w:val="000000"/>
          <w:sz w:val="20"/>
          <w:szCs w:val="20"/>
          <w:u w:val="single"/>
        </w:rPr>
        <w:t>Evaluation of Disclosure Controls and Procedures</w:t>
      </w:r>
    </w:p>
    <w:p w:rsidR="00000000" w:rsidRDefault="00943C43">
      <w:pPr>
        <w:jc w:val="both"/>
        <w:divId w:val="1229653545"/>
        <w:rPr>
          <w:rFonts w:eastAsia="Times New Roman"/>
        </w:rPr>
      </w:pPr>
      <w:r>
        <w:rPr>
          <w:rFonts w:eastAsia="Times New Roman"/>
          <w:color w:val="000000"/>
          <w:sz w:val="20"/>
          <w:szCs w:val="20"/>
        </w:rPr>
        <w:t>We carried out an evaluation required by the Securities Exchange Act of 1934 (the "Exchange Act"), under the supervision and with the participation of our principal executive officer and our principal financial officer, of the effectiveness of the design a</w:t>
      </w:r>
      <w:r>
        <w:rPr>
          <w:rFonts w:eastAsia="Times New Roman"/>
          <w:color w:val="000000"/>
          <w:sz w:val="20"/>
          <w:szCs w:val="20"/>
        </w:rPr>
        <w:t>nd operation of our disclosure controls and procedures, as defined in Rules 13a-15(e) and 15d-15(e) of the Exchange Act, as of March 31, 2022. Based on this evaluation, our principal executive officer and principal financial officer concluded that as of Ma</w:t>
      </w:r>
      <w:r>
        <w:rPr>
          <w:rFonts w:eastAsia="Times New Roman"/>
          <w:color w:val="000000"/>
          <w:sz w:val="20"/>
          <w:szCs w:val="20"/>
        </w:rPr>
        <w:t>rch 31, 2022, these disclosure controls and procedures were effective to provide reasonable assurance that information required to be disclosed by us in the reports that we file or submit under the Exchange Act is recorded, processed, summarized, and repor</w:t>
      </w:r>
      <w:r>
        <w:rPr>
          <w:rFonts w:eastAsia="Times New Roman"/>
          <w:color w:val="000000"/>
          <w:sz w:val="20"/>
          <w:szCs w:val="20"/>
        </w:rPr>
        <w:t>ted within the time periods specified in the SEC's rules and forms and to provide reasonable assurance that such information is accumulated and communicated to our management, including our principal executive officer and principal financial officer, as ap</w:t>
      </w:r>
      <w:r>
        <w:rPr>
          <w:rFonts w:eastAsia="Times New Roman"/>
          <w:color w:val="000000"/>
          <w:sz w:val="20"/>
          <w:szCs w:val="20"/>
        </w:rPr>
        <w:t>propriate to allow timely decisions regarding required disclosure.</w:t>
      </w:r>
    </w:p>
    <w:p w:rsidR="00000000" w:rsidRDefault="00943C43">
      <w:pPr>
        <w:jc w:val="both"/>
        <w:divId w:val="1527909023"/>
        <w:rPr>
          <w:rFonts w:eastAsia="Times New Roman"/>
        </w:rPr>
      </w:pPr>
      <w:r>
        <w:rPr>
          <w:rFonts w:eastAsia="Times New Roman"/>
          <w:b/>
          <w:bCs/>
          <w:color w:val="000000"/>
          <w:sz w:val="20"/>
          <w:szCs w:val="20"/>
          <w:u w:val="single"/>
        </w:rPr>
        <w:t>Changes in Internal Control over Financial Reporting</w:t>
      </w:r>
    </w:p>
    <w:p w:rsidR="00000000" w:rsidRDefault="00943C43">
      <w:pPr>
        <w:jc w:val="both"/>
        <w:divId w:val="315034449"/>
        <w:rPr>
          <w:rFonts w:eastAsia="Times New Roman"/>
        </w:rPr>
      </w:pPr>
      <w:r>
        <w:rPr>
          <w:rFonts w:eastAsia="Times New Roman"/>
          <w:color w:val="000000"/>
          <w:sz w:val="20"/>
          <w:szCs w:val="20"/>
        </w:rPr>
        <w:t>Under Exchange Act Rules 13a-15(d) and 15d-15(d), management is required to evaluate, with the participation of our principal executive officer and our principal financial officer, any changes in internal control over financial reporting that occurred duri</w:t>
      </w:r>
      <w:r>
        <w:rPr>
          <w:rFonts w:eastAsia="Times New Roman"/>
          <w:color w:val="000000"/>
          <w:sz w:val="20"/>
          <w:szCs w:val="20"/>
        </w:rPr>
        <w:t>ng each fiscal quarter that materially affected, or are reasonably likely to materially affect, our internal control over financial reporting. There were no changes in our internal control over financial reporting during our most recent fiscal quarter that</w:t>
      </w:r>
      <w:r>
        <w:rPr>
          <w:rFonts w:eastAsia="Times New Roman"/>
          <w:color w:val="000000"/>
          <w:sz w:val="20"/>
          <w:szCs w:val="20"/>
        </w:rPr>
        <w:t xml:space="preserve"> have materially affected, or are reasonably likely to materially affect, our internal control over financial reporting.</w:t>
      </w:r>
    </w:p>
    <w:p w:rsidR="00000000" w:rsidRDefault="00943C43">
      <w:pPr>
        <w:jc w:val="both"/>
        <w:divId w:val="895357535"/>
        <w:rPr>
          <w:rFonts w:eastAsia="Times New Roman"/>
        </w:rPr>
      </w:pPr>
      <w:r>
        <w:rPr>
          <w:rFonts w:eastAsia="Times New Roman"/>
          <w:b/>
          <w:bCs/>
          <w:color w:val="000000"/>
          <w:sz w:val="20"/>
          <w:szCs w:val="20"/>
          <w:u w:val="single"/>
        </w:rPr>
        <w:t>Inherent Limitation on the Effectiveness of Internal Controls</w:t>
      </w:r>
    </w:p>
    <w:p w:rsidR="00000000" w:rsidRDefault="00943C43">
      <w:pPr>
        <w:jc w:val="both"/>
        <w:divId w:val="1206719516"/>
        <w:rPr>
          <w:rFonts w:eastAsia="Times New Roman"/>
        </w:rPr>
      </w:pPr>
      <w:r>
        <w:rPr>
          <w:rFonts w:eastAsia="Times New Roman"/>
          <w:color w:val="000000"/>
          <w:sz w:val="20"/>
          <w:szCs w:val="20"/>
        </w:rPr>
        <w:t>The effectiveness of any system of internal control over financial report</w:t>
      </w:r>
      <w:r>
        <w:rPr>
          <w:rFonts w:eastAsia="Times New Roman"/>
          <w:color w:val="000000"/>
          <w:sz w:val="20"/>
          <w:szCs w:val="20"/>
        </w:rPr>
        <w:t xml:space="preserve">ing is subject to inherent limitations, including the exercise of judgment in designing, implementing, operating, and evaluating the controls and procedures, and the inability to eliminate misconduct completely. Accordingly, any system of internal control </w:t>
      </w:r>
      <w:r>
        <w:rPr>
          <w:rFonts w:eastAsia="Times New Roman"/>
          <w:color w:val="000000"/>
          <w:sz w:val="20"/>
          <w:szCs w:val="20"/>
        </w:rPr>
        <w:t>over financial reporting can only provide reasonable, not absolute, assurance that its objectives will be met. In addition, projections of any evaluation of effectiveness to future periods are subject to the risk that controls may become inadequate because</w:t>
      </w:r>
      <w:r>
        <w:rPr>
          <w:rFonts w:eastAsia="Times New Roman"/>
          <w:color w:val="000000"/>
          <w:sz w:val="20"/>
          <w:szCs w:val="20"/>
        </w:rPr>
        <w:t xml:space="preserve"> of changes in conditions, or that the degree of compliance with the policies or procedures may deteriorate. We intend to continue to monitor and upgrade our internal controls as necessary or appropriate for our business, but we cannot assure that such imp</w:t>
      </w:r>
      <w:r>
        <w:rPr>
          <w:rFonts w:eastAsia="Times New Roman"/>
          <w:color w:val="000000"/>
          <w:sz w:val="20"/>
          <w:szCs w:val="20"/>
        </w:rPr>
        <w:t>rovements will be sufficient to provide us with effective internal control over financial reporting in future periods.</w:t>
      </w:r>
    </w:p>
    <w:p w:rsidR="00000000" w:rsidRDefault="00943C43">
      <w:pPr>
        <w:jc w:val="center"/>
        <w:divId w:val="1910118058"/>
        <w:rPr>
          <w:rFonts w:eastAsia="Times New Roman"/>
        </w:rPr>
      </w:pPr>
      <w:r>
        <w:rPr>
          <w:rFonts w:eastAsia="Times New Roman"/>
          <w:color w:val="000000"/>
          <w:sz w:val="20"/>
          <w:szCs w:val="20"/>
        </w:rPr>
        <w:t>24</w:t>
      </w:r>
    </w:p>
    <w:p w:rsidR="00000000" w:rsidRDefault="00943C43">
      <w:pPr>
        <w:rPr>
          <w:rFonts w:eastAsia="Times New Roman"/>
        </w:rPr>
      </w:pPr>
      <w:r>
        <w:rPr>
          <w:rFonts w:eastAsia="Times New Roman"/>
        </w:rPr>
        <w:pict>
          <v:rect id="_x0000_i1051" style="width:0;height:1.5pt" o:hralign="center" o:hrstd="t" o:hr="t" fillcolor="#a0a0a0" stroked="f"/>
        </w:pict>
      </w:r>
    </w:p>
    <w:p w:rsidR="00000000" w:rsidRDefault="00943C43">
      <w:pPr>
        <w:divId w:val="623776786"/>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28072731"/>
        <w:rPr>
          <w:rFonts w:eastAsia="Times New Roman"/>
        </w:rPr>
      </w:pPr>
    </w:p>
    <w:p w:rsidR="00000000" w:rsidRDefault="00943C43">
      <w:pPr>
        <w:jc w:val="center"/>
        <w:rPr>
          <w:rFonts w:eastAsia="Times New Roman"/>
        </w:rPr>
      </w:pPr>
    </w:p>
    <w:p w:rsidR="00000000" w:rsidRDefault="00943C43">
      <w:pPr>
        <w:jc w:val="center"/>
        <w:rPr>
          <w:rFonts w:eastAsia="Times New Roman"/>
        </w:rPr>
      </w:pPr>
      <w:r>
        <w:rPr>
          <w:rFonts w:eastAsia="Times New Roman"/>
          <w:b/>
          <w:bCs/>
          <w:color w:val="000000"/>
          <w:sz w:val="20"/>
          <w:szCs w:val="20"/>
        </w:rPr>
        <w:t>PART II. OTHER INF</w:t>
      </w:r>
      <w:r>
        <w:rPr>
          <w:rFonts w:eastAsia="Times New Roman"/>
          <w:b/>
          <w:bCs/>
          <w:color w:val="000000"/>
          <w:sz w:val="20"/>
          <w:szCs w:val="20"/>
        </w:rPr>
        <w:t>ORMATION</w:t>
      </w:r>
    </w:p>
    <w:p w:rsidR="00000000" w:rsidRDefault="00943C43">
      <w:pPr>
        <w:jc w:val="both"/>
        <w:rPr>
          <w:rFonts w:eastAsia="Times New Roman"/>
        </w:rPr>
      </w:pPr>
      <w:r>
        <w:rPr>
          <w:rFonts w:eastAsia="Times New Roman"/>
          <w:color w:val="000000"/>
          <w:sz w:val="18"/>
          <w:szCs w:val="18"/>
        </w:rPr>
        <w:t> </w:t>
      </w:r>
    </w:p>
    <w:tbl>
      <w:tblPr>
        <w:tblW w:w="4391" w:type="pct"/>
        <w:tblCellMar>
          <w:top w:w="15" w:type="dxa"/>
          <w:left w:w="15" w:type="dxa"/>
          <w:bottom w:w="15" w:type="dxa"/>
          <w:right w:w="15" w:type="dxa"/>
        </w:tblCellMar>
        <w:tblLook w:val="04A0" w:firstRow="1" w:lastRow="0" w:firstColumn="1" w:lastColumn="0" w:noHBand="0" w:noVBand="1"/>
      </w:tblPr>
      <w:tblGrid>
        <w:gridCol w:w="58"/>
        <w:gridCol w:w="706"/>
        <w:gridCol w:w="36"/>
        <w:gridCol w:w="59"/>
        <w:gridCol w:w="6399"/>
        <w:gridCol w:w="36"/>
      </w:tblGrid>
      <w:tr w:rsidR="00000000">
        <w:tc>
          <w:tcPr>
            <w:tcW w:w="50" w:type="pct"/>
            <w:vAlign w:val="center"/>
            <w:hideMark/>
          </w:tcPr>
          <w:p w:rsidR="00000000" w:rsidRDefault="00943C43">
            <w:pPr>
              <w:jc w:val="both"/>
              <w:rPr>
                <w:rFonts w:eastAsia="Times New Roman"/>
              </w:rPr>
            </w:pPr>
          </w:p>
        </w:tc>
        <w:tc>
          <w:tcPr>
            <w:tcW w:w="49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396"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b/>
                <w:bCs/>
                <w:color w:val="000000"/>
                <w:sz w:val="20"/>
                <w:szCs w:val="20"/>
              </w:rPr>
              <w:t>ITEM 1.</w:t>
            </w:r>
          </w:p>
        </w:tc>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b/>
                <w:bCs/>
                <w:i/>
                <w:iCs/>
                <w:color w:val="000000"/>
                <w:sz w:val="20"/>
                <w:szCs w:val="20"/>
              </w:rPr>
              <w:t>LEGAL PROCEEDINGS</w:t>
            </w:r>
          </w:p>
        </w:tc>
      </w:tr>
    </w:tbl>
    <w:p w:rsidR="00000000" w:rsidRDefault="00943C43">
      <w:pPr>
        <w:jc w:val="both"/>
        <w:divId w:val="1310595480"/>
        <w:rPr>
          <w:rFonts w:eastAsia="Times New Roman"/>
        </w:rPr>
      </w:pPr>
      <w:r>
        <w:rPr>
          <w:rFonts w:eastAsia="Times New Roman"/>
          <w:color w:val="000000"/>
          <w:sz w:val="20"/>
          <w:szCs w:val="20"/>
        </w:rPr>
        <w:t xml:space="preserve">Refer to </w:t>
      </w:r>
      <w:hyperlink w:anchor="i81c699a6f33e49f8a081f48620e58c22_85" w:history="1">
        <w:r>
          <w:rPr>
            <w:rStyle w:val="a3"/>
            <w:rFonts w:eastAsia="Times New Roman"/>
            <w:sz w:val="20"/>
            <w:szCs w:val="20"/>
          </w:rPr>
          <w:t>Footnote 9</w:t>
        </w:r>
      </w:hyperlink>
      <w:r>
        <w:rPr>
          <w:rFonts w:eastAsia="Times New Roman"/>
          <w:color w:val="000000"/>
          <w:sz w:val="20"/>
          <w:szCs w:val="20"/>
        </w:rPr>
        <w:t xml:space="preserve">, </w:t>
      </w:r>
      <w:r>
        <w:rPr>
          <w:rFonts w:eastAsia="Times New Roman"/>
          <w:i/>
          <w:iCs/>
          <w:color w:val="000000"/>
          <w:sz w:val="20"/>
          <w:szCs w:val="20"/>
        </w:rPr>
        <w:t>Commitments and Contingencies</w:t>
      </w:r>
      <w:r>
        <w:rPr>
          <w:rFonts w:eastAsia="Times New Roman"/>
          <w:color w:val="000000"/>
          <w:sz w:val="20"/>
          <w:szCs w:val="20"/>
        </w:rPr>
        <w:t xml:space="preserve"> </w:t>
      </w:r>
      <w:r>
        <w:rPr>
          <w:rFonts w:eastAsia="Times New Roman"/>
          <w:color w:val="000000"/>
          <w:sz w:val="20"/>
          <w:szCs w:val="20"/>
        </w:rPr>
        <w:t xml:space="preserve">of the Notes to Condensed Consolidated Financial Statements included in Part I, </w:t>
      </w:r>
      <w:hyperlink w:anchor="i81c699a6f33e49f8a081f48620e58c22_16" w:history="1">
        <w:r>
          <w:rPr>
            <w:rStyle w:val="a3"/>
            <w:rFonts w:eastAsia="Times New Roman"/>
            <w:sz w:val="20"/>
            <w:szCs w:val="20"/>
          </w:rPr>
          <w:t>Item 1</w:t>
        </w:r>
      </w:hyperlink>
      <w:r>
        <w:rPr>
          <w:rFonts w:eastAsia="Times New Roman"/>
          <w:color w:val="000000"/>
          <w:sz w:val="20"/>
          <w:szCs w:val="20"/>
        </w:rPr>
        <w:t xml:space="preserve"> of this 10-Q, which is incorporated herein by reference.</w:t>
      </w:r>
    </w:p>
    <w:tbl>
      <w:tblPr>
        <w:tblW w:w="4391" w:type="pct"/>
        <w:tblCellMar>
          <w:top w:w="15" w:type="dxa"/>
          <w:left w:w="15" w:type="dxa"/>
          <w:bottom w:w="15" w:type="dxa"/>
          <w:right w:w="15" w:type="dxa"/>
        </w:tblCellMar>
        <w:tblLook w:val="04A0" w:firstRow="1" w:lastRow="0" w:firstColumn="1" w:lastColumn="0" w:noHBand="0" w:noVBand="1"/>
      </w:tblPr>
      <w:tblGrid>
        <w:gridCol w:w="84"/>
        <w:gridCol w:w="826"/>
        <w:gridCol w:w="36"/>
        <w:gridCol w:w="37"/>
        <w:gridCol w:w="6275"/>
        <w:gridCol w:w="36"/>
      </w:tblGrid>
      <w:tr w:rsidR="00000000">
        <w:trPr>
          <w:divId w:val="9912912"/>
        </w:trPr>
        <w:tc>
          <w:tcPr>
            <w:tcW w:w="50" w:type="pct"/>
            <w:vAlign w:val="center"/>
            <w:hideMark/>
          </w:tcPr>
          <w:p w:rsidR="00000000" w:rsidRDefault="00943C43">
            <w:pPr>
              <w:jc w:val="both"/>
              <w:rPr>
                <w:rFonts w:eastAsia="Times New Roman"/>
              </w:rPr>
            </w:pPr>
          </w:p>
        </w:tc>
        <w:tc>
          <w:tcPr>
            <w:tcW w:w="49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396"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9912912"/>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b/>
                <w:bCs/>
                <w:color w:val="000000"/>
                <w:sz w:val="20"/>
                <w:szCs w:val="20"/>
              </w:rPr>
              <w:t>ITEM 1A.</w:t>
            </w:r>
          </w:p>
        </w:tc>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b/>
                <w:bCs/>
                <w:i/>
                <w:iCs/>
                <w:color w:val="000000"/>
                <w:sz w:val="20"/>
                <w:szCs w:val="20"/>
              </w:rPr>
              <w:t>RISK FACTORS</w:t>
            </w:r>
          </w:p>
        </w:tc>
      </w:tr>
    </w:tbl>
    <w:p w:rsidR="00000000" w:rsidRDefault="00943C43">
      <w:pPr>
        <w:jc w:val="both"/>
        <w:divId w:val="194077715"/>
        <w:rPr>
          <w:rFonts w:eastAsia="Times New Roman"/>
        </w:rPr>
      </w:pPr>
      <w:r>
        <w:rPr>
          <w:rFonts w:eastAsia="Times New Roman"/>
          <w:i/>
          <w:iCs/>
          <w:color w:val="000000"/>
          <w:sz w:val="20"/>
          <w:szCs w:val="20"/>
        </w:rPr>
        <w:t xml:space="preserve">An investment in our Common Stock involves a substantial risk of loss. In addition to the information in this report, you should carefully consider the risks discussed in </w:t>
      </w:r>
      <w:hyperlink r:id="rId9" w:anchor="i2bb226c9c8094f2686c2a2ad33a7e33b_22" w:history="1">
        <w:r>
          <w:rPr>
            <w:rStyle w:val="a3"/>
            <w:rFonts w:eastAsia="Times New Roman"/>
            <w:i/>
            <w:iCs/>
            <w:sz w:val="20"/>
            <w:szCs w:val="20"/>
          </w:rPr>
          <w:t>Item 1A</w:t>
        </w:r>
      </w:hyperlink>
      <w:r>
        <w:rPr>
          <w:rFonts w:eastAsia="Times New Roman"/>
          <w:i/>
          <w:iCs/>
          <w:color w:val="000000"/>
          <w:sz w:val="20"/>
          <w:szCs w:val="20"/>
        </w:rPr>
        <w:t>, "Risk Factors" of our 2021 10-K before you decide whether to invest in our stock. The risks identified below and in our 2021 10-K could materially and adversely affect our business,</w:t>
      </w:r>
      <w:r>
        <w:rPr>
          <w:rFonts w:eastAsia="Times New Roman"/>
          <w:i/>
          <w:iCs/>
          <w:color w:val="000000"/>
          <w:sz w:val="20"/>
          <w:szCs w:val="20"/>
        </w:rPr>
        <w:t xml:space="preserve"> financial condition and operating results. In that case, the trading price of our Common Stock could decline, and you could lose part or all of your investment. The risks described below and in our 2021 10-K are not the only risks we face. Additional risk</w:t>
      </w:r>
      <w:r>
        <w:rPr>
          <w:rFonts w:eastAsia="Times New Roman"/>
          <w:i/>
          <w:iCs/>
          <w:color w:val="000000"/>
          <w:sz w:val="20"/>
          <w:szCs w:val="20"/>
        </w:rPr>
        <w:t>s and uncertainties not currently known to us or that we currently deem to be immaterial also may materially and adversely affect our business, financial condition and operating results, and may result in the loss of part or all of your investment.</w:t>
      </w:r>
    </w:p>
    <w:p w:rsidR="00000000" w:rsidRDefault="00943C43">
      <w:pPr>
        <w:jc w:val="both"/>
        <w:divId w:val="1197695119"/>
        <w:rPr>
          <w:rFonts w:eastAsia="Times New Roman"/>
        </w:rPr>
      </w:pPr>
      <w:r>
        <w:rPr>
          <w:rFonts w:eastAsia="Times New Roman"/>
          <w:b/>
          <w:bCs/>
          <w:i/>
          <w:iCs/>
          <w:color w:val="000000"/>
          <w:sz w:val="20"/>
          <w:szCs w:val="20"/>
        </w:rPr>
        <w:t>We face</w:t>
      </w:r>
      <w:r>
        <w:rPr>
          <w:rFonts w:eastAsia="Times New Roman"/>
          <w:b/>
          <w:bCs/>
          <w:i/>
          <w:iCs/>
          <w:color w:val="000000"/>
          <w:sz w:val="20"/>
          <w:szCs w:val="20"/>
        </w:rPr>
        <w:t xml:space="preserve"> risks related to the Russian invasion of Ukraine, including from the resulting geopolitical effects.</w:t>
      </w:r>
    </w:p>
    <w:p w:rsidR="00000000" w:rsidRDefault="00943C43">
      <w:pPr>
        <w:jc w:val="both"/>
        <w:divId w:val="8679717"/>
        <w:rPr>
          <w:rFonts w:eastAsia="Times New Roman"/>
        </w:rPr>
      </w:pPr>
      <w:r>
        <w:rPr>
          <w:rFonts w:eastAsia="Times New Roman"/>
          <w:color w:val="000000"/>
          <w:sz w:val="20"/>
          <w:szCs w:val="20"/>
        </w:rPr>
        <w:t xml:space="preserve">The Russian invasion of Ukraine has resulted in worldwide geopolitical and macroeconomic uncertainty. The United States and others have imposed financial </w:t>
      </w:r>
      <w:r>
        <w:rPr>
          <w:rFonts w:eastAsia="Times New Roman"/>
          <w:color w:val="000000"/>
          <w:sz w:val="20"/>
          <w:szCs w:val="20"/>
        </w:rPr>
        <w:t>and economic sanctions on certain industry sectors and parties in and associated with Russia and Belarus, and additional sanctions continue to be proposed and adopted. Compliance with the evolving sanctions and export controls regime is complex and may lea</w:t>
      </w:r>
      <w:r>
        <w:rPr>
          <w:rFonts w:eastAsia="Times New Roman"/>
          <w:color w:val="000000"/>
          <w:sz w:val="20"/>
          <w:szCs w:val="20"/>
        </w:rPr>
        <w:t>d to increased regulatory scrutiny, particularly with respect to data collection and data transfer in affected regions. The conflict may also heighten risks relating to employee safety, cybersecurity incidents or disruptions to our information systems, ope</w:t>
      </w:r>
      <w:r>
        <w:rPr>
          <w:rFonts w:eastAsia="Times New Roman"/>
          <w:color w:val="000000"/>
          <w:sz w:val="20"/>
          <w:szCs w:val="20"/>
        </w:rPr>
        <w:t>rational costs, reputational damage and potential retaliatory action by the Russian government or other actors. As the situation develops and the regulatory environment continues to evolve, we may adjust our business practices as required or appropriate to</w:t>
      </w:r>
      <w:r>
        <w:rPr>
          <w:rFonts w:eastAsia="Times New Roman"/>
          <w:color w:val="000000"/>
          <w:sz w:val="20"/>
          <w:szCs w:val="20"/>
        </w:rPr>
        <w:t xml:space="preserve"> respond to the changes. While we do not currently expect the conflict to have a direct material impact on our business, it is not possible to predict the broader consequences, which could include additional sanctions, embargoes, regional instability, geop</w:t>
      </w:r>
      <w:r>
        <w:rPr>
          <w:rFonts w:eastAsia="Times New Roman"/>
          <w:color w:val="000000"/>
          <w:sz w:val="20"/>
          <w:szCs w:val="20"/>
        </w:rPr>
        <w:t>olitical shifts and adverse effects on the global economy or on our business and operations, as well as those of our customers, partners and third-party service providers. Further, the effects of the ongoing conflict could serve to heighten many of the kno</w:t>
      </w:r>
      <w:r>
        <w:rPr>
          <w:rFonts w:eastAsia="Times New Roman"/>
          <w:color w:val="000000"/>
          <w:sz w:val="20"/>
          <w:szCs w:val="20"/>
        </w:rPr>
        <w:t xml:space="preserve">wn risks we described in </w:t>
      </w:r>
      <w:hyperlink r:id="rId10" w:anchor="i2bb226c9c8094f2686c2a2ad33a7e33b_22" w:history="1">
        <w:r>
          <w:rPr>
            <w:rStyle w:val="a3"/>
            <w:rFonts w:eastAsia="Times New Roman"/>
            <w:sz w:val="20"/>
            <w:szCs w:val="20"/>
          </w:rPr>
          <w:t>Item 1A</w:t>
        </w:r>
      </w:hyperlink>
      <w:r>
        <w:rPr>
          <w:rFonts w:eastAsia="Times New Roman"/>
          <w:color w:val="000000"/>
          <w:sz w:val="20"/>
          <w:szCs w:val="20"/>
        </w:rPr>
        <w:t>, "Risk Factors" of our 2021 10-K.</w:t>
      </w:r>
    </w:p>
    <w:p w:rsidR="00000000" w:rsidRDefault="00943C43">
      <w:pPr>
        <w:jc w:val="both"/>
        <w:divId w:val="1256355402"/>
        <w:rPr>
          <w:rFonts w:eastAsia="Times New Roman"/>
        </w:rPr>
      </w:pPr>
      <w:r>
        <w:rPr>
          <w:rFonts w:eastAsia="Times New Roman"/>
          <w:b/>
          <w:bCs/>
          <w:i/>
          <w:iCs/>
          <w:color w:val="000000"/>
          <w:sz w:val="20"/>
          <w:szCs w:val="20"/>
        </w:rPr>
        <w:t xml:space="preserve">Our outstanding securities, the stock </w:t>
      </w:r>
      <w:r>
        <w:rPr>
          <w:rFonts w:eastAsia="Times New Roman"/>
          <w:b/>
          <w:bCs/>
          <w:i/>
          <w:iCs/>
          <w:color w:val="000000"/>
          <w:sz w:val="20"/>
          <w:szCs w:val="20"/>
        </w:rPr>
        <w:t>or securities that we may become obligated to issue under existing or future agreements, and certain provisions of those securities, may cause immediate and substantial dilution to our existing stockholders.</w:t>
      </w:r>
    </w:p>
    <w:p w:rsidR="00000000" w:rsidRDefault="00943C43">
      <w:pPr>
        <w:jc w:val="both"/>
        <w:divId w:val="300814482"/>
        <w:rPr>
          <w:rFonts w:eastAsia="Times New Roman"/>
        </w:rPr>
      </w:pPr>
      <w:r>
        <w:rPr>
          <w:rFonts w:eastAsia="Times New Roman"/>
          <w:color w:val="000000"/>
          <w:sz w:val="20"/>
          <w:szCs w:val="20"/>
        </w:rPr>
        <w:t xml:space="preserve">Our existing stockholders have and may continue </w:t>
      </w:r>
      <w:r>
        <w:rPr>
          <w:rFonts w:eastAsia="Times New Roman"/>
          <w:color w:val="000000"/>
          <w:sz w:val="20"/>
          <w:szCs w:val="20"/>
        </w:rPr>
        <w:t>to experience substantial dilution as a result of our obligations to issue shares of Common Stock. As of March 31, 2022, our Preferred Stock was convertible into an aggregate of 87,255,755 shares of Common Stock at the election of the holders. Furthermore,</w:t>
      </w:r>
      <w:r>
        <w:rPr>
          <w:rFonts w:eastAsia="Times New Roman"/>
          <w:color w:val="000000"/>
          <w:sz w:val="20"/>
          <w:szCs w:val="20"/>
        </w:rPr>
        <w:t xml:space="preserve"> we have reserved 5,457,026 shares of Common Stock for issuance pursuant to our Series A Warrants. We have also issued 7,945,519 shares of Common Stock for distribution to the selling stockholders of Shareablee (which we acquired in December 2021), and we </w:t>
      </w:r>
      <w:r>
        <w:rPr>
          <w:rFonts w:eastAsia="Times New Roman"/>
          <w:color w:val="000000"/>
          <w:sz w:val="20"/>
          <w:szCs w:val="20"/>
        </w:rPr>
        <w:t>expect to issue 121,357 shares of Common Stock in connection with a working capital adjustment for Shareablee in 2022. In addition, we may elect to pay any deferred consideration due to the Shareablee sellers in 2022, 2023 and 2024 in shares of Common Stoc</w:t>
      </w:r>
      <w:r>
        <w:rPr>
          <w:rFonts w:eastAsia="Times New Roman"/>
          <w:color w:val="000000"/>
          <w:sz w:val="20"/>
          <w:szCs w:val="20"/>
        </w:rPr>
        <w:t>k.</w:t>
      </w:r>
    </w:p>
    <w:p w:rsidR="00000000" w:rsidRDefault="00943C43">
      <w:pPr>
        <w:jc w:val="both"/>
        <w:divId w:val="1052539545"/>
        <w:rPr>
          <w:rFonts w:eastAsia="Times New Roman"/>
        </w:rPr>
      </w:pPr>
      <w:r>
        <w:rPr>
          <w:rFonts w:eastAsia="Times New Roman"/>
          <w:color w:val="000000"/>
          <w:sz w:val="20"/>
          <w:szCs w:val="20"/>
        </w:rPr>
        <w:t>As of March 31, 2022, 1,683,455 shares of Common Stock were reserved for issuance pursuant to outstanding stock options under our equity incentive plans (including stock option awards we assumed in the Shareablee acquisition), 4,556,589 shares of Common</w:t>
      </w:r>
      <w:r>
        <w:rPr>
          <w:rFonts w:eastAsia="Times New Roman"/>
          <w:color w:val="000000"/>
          <w:sz w:val="20"/>
          <w:szCs w:val="20"/>
        </w:rPr>
        <w:t xml:space="preserve"> Stock were reserved for issuance pursuant to outstanding restricted stock unit awards under our equity incentive plans and arrangements (including assumed Shareablee awards and an employment inducement award we granted in 2021), and an aggregate of 1,761,</w:t>
      </w:r>
      <w:r>
        <w:rPr>
          <w:rFonts w:eastAsia="Times New Roman"/>
          <w:color w:val="000000"/>
          <w:sz w:val="20"/>
          <w:szCs w:val="20"/>
        </w:rPr>
        <w:t xml:space="preserve">614 shares of Common Stock were available for future equity awards under our 2018 Equity and Incentive Compensation Plan ("2018 Plan") and acquired Shareablee plan. Additionally, we have proposed that our stockholders approve an amendment to the 2018 Plan </w:t>
      </w:r>
      <w:r>
        <w:rPr>
          <w:rFonts w:eastAsia="Times New Roman"/>
          <w:color w:val="000000"/>
          <w:sz w:val="20"/>
          <w:szCs w:val="20"/>
        </w:rPr>
        <w:t>to increase the number of shares of Common Stock available for grant under the 2018 Plan by 7,600,000.</w:t>
      </w:r>
    </w:p>
    <w:p w:rsidR="00000000" w:rsidRDefault="00943C43">
      <w:pPr>
        <w:jc w:val="both"/>
        <w:divId w:val="2086800619"/>
        <w:rPr>
          <w:rFonts w:eastAsia="Times New Roman"/>
        </w:rPr>
      </w:pPr>
      <w:r>
        <w:rPr>
          <w:rFonts w:eastAsia="Times New Roman"/>
          <w:color w:val="000000"/>
          <w:sz w:val="20"/>
          <w:szCs w:val="20"/>
        </w:rPr>
        <w:t>The issuance of shares of Common Stock (i) upon the conversion of our Preferred Stock, (ii) upon the exercise of warrants, (iii) as deferred consideratio</w:t>
      </w:r>
      <w:r>
        <w:rPr>
          <w:rFonts w:eastAsia="Times New Roman"/>
          <w:color w:val="000000"/>
          <w:sz w:val="20"/>
          <w:szCs w:val="20"/>
        </w:rPr>
        <w:t>n to the Shareablee sellers, (iv) pursuant to outstanding and future equity awards, or (v) upon the conversion of other existing or future convertible securities, may result in substantial dilution to each of our stockholders by reducing that stockholder's</w:t>
      </w:r>
      <w:r>
        <w:rPr>
          <w:rFonts w:eastAsia="Times New Roman"/>
          <w:color w:val="000000"/>
          <w:sz w:val="20"/>
          <w:szCs w:val="20"/>
        </w:rPr>
        <w:t xml:space="preserve"> percentage ownership of our outstanding Common Stock.</w:t>
      </w:r>
    </w:p>
    <w:tbl>
      <w:tblPr>
        <w:tblW w:w="4873" w:type="pct"/>
        <w:tblCellMar>
          <w:top w:w="15" w:type="dxa"/>
          <w:left w:w="15" w:type="dxa"/>
          <w:bottom w:w="15" w:type="dxa"/>
          <w:right w:w="15" w:type="dxa"/>
        </w:tblCellMar>
        <w:tblLook w:val="04A0" w:firstRow="1" w:lastRow="0" w:firstColumn="1" w:lastColumn="0" w:noHBand="0" w:noVBand="1"/>
      </w:tblPr>
      <w:tblGrid>
        <w:gridCol w:w="79"/>
        <w:gridCol w:w="688"/>
        <w:gridCol w:w="36"/>
        <w:gridCol w:w="64"/>
        <w:gridCol w:w="7192"/>
        <w:gridCol w:w="36"/>
      </w:tblGrid>
      <w:tr w:rsidR="00000000">
        <w:trPr>
          <w:divId w:val="283922294"/>
        </w:trPr>
        <w:tc>
          <w:tcPr>
            <w:tcW w:w="50" w:type="pct"/>
            <w:vAlign w:val="center"/>
            <w:hideMark/>
          </w:tcPr>
          <w:p w:rsidR="00000000" w:rsidRDefault="00943C43">
            <w:pPr>
              <w:jc w:val="both"/>
              <w:rPr>
                <w:rFonts w:eastAsia="Times New Roman"/>
              </w:rPr>
            </w:pPr>
          </w:p>
        </w:tc>
        <w:tc>
          <w:tcPr>
            <w:tcW w:w="43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450"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283922294"/>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b/>
                <w:bCs/>
                <w:color w:val="000000"/>
                <w:sz w:val="20"/>
                <w:szCs w:val="20"/>
              </w:rPr>
              <w:t>ITEM 2.</w:t>
            </w:r>
          </w:p>
        </w:tc>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b/>
                <w:bCs/>
                <w:i/>
                <w:iCs/>
                <w:color w:val="000000"/>
                <w:sz w:val="20"/>
                <w:szCs w:val="20"/>
              </w:rPr>
              <w:t>UNREGISTERED SALES OF EQUITY SECURITIES AND USE OF PROCEEDS</w:t>
            </w:r>
          </w:p>
        </w:tc>
      </w:tr>
    </w:tbl>
    <w:p w:rsidR="00000000" w:rsidRDefault="00943C43">
      <w:pPr>
        <w:jc w:val="both"/>
        <w:divId w:val="138304525"/>
        <w:rPr>
          <w:rFonts w:eastAsia="Times New Roman"/>
        </w:rPr>
      </w:pPr>
      <w:r>
        <w:rPr>
          <w:rFonts w:eastAsia="Times New Roman"/>
          <w:b/>
          <w:bCs/>
          <w:color w:val="000000"/>
          <w:sz w:val="20"/>
          <w:szCs w:val="20"/>
        </w:rPr>
        <w:t>(a)</w:t>
      </w:r>
      <w:r>
        <w:rPr>
          <w:rFonts w:eastAsia="Times New Roman"/>
          <w:color w:val="000000"/>
          <w:sz w:val="20"/>
          <w:szCs w:val="20"/>
        </w:rPr>
        <w:t xml:space="preserve"> </w:t>
      </w:r>
      <w:r>
        <w:rPr>
          <w:rFonts w:eastAsia="Times New Roman"/>
          <w:b/>
          <w:bCs/>
          <w:i/>
          <w:iCs/>
          <w:color w:val="000000"/>
          <w:sz w:val="20"/>
          <w:szCs w:val="20"/>
        </w:rPr>
        <w:t>Unregistered Sales of Equity Securities during the Three Months Ended March 31, 2022</w:t>
      </w:r>
    </w:p>
    <w:p w:rsidR="00000000" w:rsidRDefault="00943C43">
      <w:pPr>
        <w:jc w:val="both"/>
        <w:divId w:val="1995445440"/>
        <w:rPr>
          <w:rFonts w:eastAsia="Times New Roman"/>
        </w:rPr>
      </w:pPr>
      <w:r>
        <w:rPr>
          <w:rFonts w:eastAsia="Times New Roman"/>
          <w:color w:val="000000"/>
          <w:sz w:val="20"/>
          <w:szCs w:val="20"/>
        </w:rPr>
        <w:t>None.</w:t>
      </w:r>
    </w:p>
    <w:p w:rsidR="00000000" w:rsidRDefault="00943C43">
      <w:pPr>
        <w:jc w:val="both"/>
        <w:divId w:val="242759127"/>
        <w:rPr>
          <w:rFonts w:eastAsia="Times New Roman"/>
        </w:rPr>
      </w:pPr>
      <w:r>
        <w:rPr>
          <w:rFonts w:eastAsia="Times New Roman"/>
          <w:b/>
          <w:bCs/>
          <w:color w:val="000000"/>
          <w:sz w:val="20"/>
          <w:szCs w:val="20"/>
        </w:rPr>
        <w:t>(b)</w:t>
      </w:r>
      <w:r>
        <w:rPr>
          <w:rFonts w:eastAsia="Times New Roman"/>
          <w:color w:val="000000"/>
          <w:sz w:val="20"/>
          <w:szCs w:val="20"/>
        </w:rPr>
        <w:t xml:space="preserve"> </w:t>
      </w:r>
      <w:r>
        <w:rPr>
          <w:rFonts w:eastAsia="Times New Roman"/>
          <w:b/>
          <w:bCs/>
          <w:i/>
          <w:iCs/>
          <w:color w:val="000000"/>
          <w:sz w:val="20"/>
          <w:szCs w:val="20"/>
        </w:rPr>
        <w:t>Use of Proceeds from Sale of Registered Equity Securities</w:t>
      </w:r>
    </w:p>
    <w:p w:rsidR="00000000" w:rsidRDefault="00943C43">
      <w:pPr>
        <w:jc w:val="both"/>
        <w:divId w:val="154345698"/>
        <w:rPr>
          <w:rFonts w:eastAsia="Times New Roman"/>
        </w:rPr>
      </w:pPr>
      <w:r>
        <w:rPr>
          <w:rFonts w:eastAsia="Times New Roman"/>
          <w:color w:val="000000"/>
          <w:sz w:val="20"/>
          <w:szCs w:val="20"/>
        </w:rPr>
        <w:t>None.</w:t>
      </w:r>
    </w:p>
    <w:p w:rsidR="00000000" w:rsidRDefault="00943C43">
      <w:pPr>
        <w:jc w:val="center"/>
        <w:divId w:val="104272305"/>
        <w:rPr>
          <w:rFonts w:eastAsia="Times New Roman"/>
        </w:rPr>
      </w:pPr>
      <w:r>
        <w:rPr>
          <w:rFonts w:eastAsia="Times New Roman"/>
          <w:color w:val="000000"/>
          <w:sz w:val="20"/>
          <w:szCs w:val="20"/>
        </w:rPr>
        <w:t>25</w:t>
      </w:r>
    </w:p>
    <w:p w:rsidR="00000000" w:rsidRDefault="00943C43">
      <w:pPr>
        <w:rPr>
          <w:rFonts w:eastAsia="Times New Roman"/>
        </w:rPr>
      </w:pPr>
      <w:r>
        <w:rPr>
          <w:rFonts w:eastAsia="Times New Roman"/>
        </w:rPr>
        <w:pict>
          <v:rect id="_x0000_i1052" style="width:0;height:1.5pt" o:hralign="center" o:hrstd="t" o:hr="t" fillcolor="#a0a0a0" stroked="f"/>
        </w:pict>
      </w:r>
    </w:p>
    <w:p w:rsidR="00000000" w:rsidRDefault="00943C43">
      <w:pPr>
        <w:divId w:val="1503856473"/>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2042121349"/>
        <w:rPr>
          <w:rFonts w:eastAsia="Times New Roman"/>
        </w:rPr>
      </w:pPr>
    </w:p>
    <w:p w:rsidR="00000000" w:rsidRDefault="00943C43">
      <w:pPr>
        <w:jc w:val="both"/>
        <w:divId w:val="623001091"/>
        <w:rPr>
          <w:rFonts w:eastAsia="Times New Roman"/>
        </w:rPr>
      </w:pPr>
      <w:r>
        <w:rPr>
          <w:rFonts w:eastAsia="Times New Roman"/>
          <w:b/>
          <w:bCs/>
          <w:color w:val="000000"/>
          <w:sz w:val="20"/>
          <w:szCs w:val="20"/>
        </w:rPr>
        <w:t>(c)</w:t>
      </w:r>
      <w:r>
        <w:rPr>
          <w:rFonts w:eastAsia="Times New Roman"/>
          <w:color w:val="000000"/>
          <w:sz w:val="20"/>
          <w:szCs w:val="20"/>
        </w:rPr>
        <w:t xml:space="preserve"> </w:t>
      </w:r>
      <w:r>
        <w:rPr>
          <w:rFonts w:eastAsia="Times New Roman"/>
          <w:b/>
          <w:bCs/>
          <w:i/>
          <w:iCs/>
          <w:color w:val="000000"/>
          <w:sz w:val="20"/>
          <w:szCs w:val="20"/>
        </w:rPr>
        <w:t>Purchases of Equity Securities by the Issuer and Affiliated Purchasers</w:t>
      </w:r>
    </w:p>
    <w:p w:rsidR="00000000" w:rsidRDefault="00943C43">
      <w:pPr>
        <w:jc w:val="both"/>
        <w:divId w:val="190149642"/>
        <w:rPr>
          <w:rFonts w:eastAsia="Times New Roman"/>
        </w:rPr>
      </w:pPr>
      <w:r>
        <w:rPr>
          <w:rFonts w:eastAsia="Times New Roman"/>
          <w:color w:val="000000"/>
          <w:sz w:val="20"/>
          <w:szCs w:val="20"/>
        </w:rPr>
        <w:t>None.</w:t>
      </w:r>
    </w:p>
    <w:tbl>
      <w:tblPr>
        <w:tblW w:w="4996" w:type="pct"/>
        <w:jc w:val="center"/>
        <w:tblCellMar>
          <w:top w:w="15" w:type="dxa"/>
          <w:left w:w="15" w:type="dxa"/>
          <w:bottom w:w="15" w:type="dxa"/>
          <w:right w:w="15" w:type="dxa"/>
        </w:tblCellMar>
        <w:tblLook w:val="04A0" w:firstRow="1" w:lastRow="0" w:firstColumn="1" w:lastColumn="0" w:noHBand="0" w:noVBand="1"/>
      </w:tblPr>
      <w:tblGrid>
        <w:gridCol w:w="81"/>
        <w:gridCol w:w="685"/>
        <w:gridCol w:w="36"/>
        <w:gridCol w:w="67"/>
        <w:gridCol w:w="7394"/>
        <w:gridCol w:w="36"/>
      </w:tblGrid>
      <w:tr w:rsidR="00000000">
        <w:trPr>
          <w:divId w:val="1108768027"/>
          <w:jc w:val="center"/>
        </w:trPr>
        <w:tc>
          <w:tcPr>
            <w:tcW w:w="50" w:type="pct"/>
            <w:vAlign w:val="center"/>
            <w:hideMark/>
          </w:tcPr>
          <w:p w:rsidR="00000000" w:rsidRDefault="00943C43">
            <w:pPr>
              <w:jc w:val="both"/>
              <w:rPr>
                <w:rFonts w:eastAsia="Times New Roman"/>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462"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1108768027"/>
          <w:jc w:val="center"/>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b/>
                <w:bCs/>
                <w:color w:val="000000"/>
                <w:sz w:val="20"/>
                <w:szCs w:val="20"/>
              </w:rPr>
              <w:t>ITEM 3.</w:t>
            </w:r>
          </w:p>
        </w:tc>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b/>
                <w:bCs/>
                <w:i/>
                <w:iCs/>
                <w:color w:val="000000"/>
                <w:sz w:val="20"/>
                <w:szCs w:val="20"/>
              </w:rPr>
              <w:t>DEFAULTS UPON SENIOR SECURITIES</w:t>
            </w:r>
          </w:p>
        </w:tc>
      </w:tr>
    </w:tbl>
    <w:p w:rsidR="00000000" w:rsidRDefault="00943C43">
      <w:pPr>
        <w:jc w:val="both"/>
        <w:divId w:val="1134057246"/>
        <w:rPr>
          <w:rFonts w:eastAsia="Times New Roman"/>
        </w:rPr>
      </w:pPr>
      <w:r>
        <w:rPr>
          <w:rFonts w:eastAsia="Times New Roman"/>
          <w:color w:val="000000"/>
          <w:sz w:val="20"/>
          <w:szCs w:val="20"/>
        </w:rPr>
        <w:t>Not applicable.</w:t>
      </w:r>
    </w:p>
    <w:tbl>
      <w:tblPr>
        <w:tblW w:w="4873" w:type="pct"/>
        <w:tblCellMar>
          <w:top w:w="15" w:type="dxa"/>
          <w:left w:w="15" w:type="dxa"/>
          <w:bottom w:w="15" w:type="dxa"/>
          <w:right w:w="15" w:type="dxa"/>
        </w:tblCellMar>
        <w:tblLook w:val="04A0" w:firstRow="1" w:lastRow="0" w:firstColumn="1" w:lastColumn="0" w:noHBand="0" w:noVBand="1"/>
      </w:tblPr>
      <w:tblGrid>
        <w:gridCol w:w="67"/>
        <w:gridCol w:w="697"/>
        <w:gridCol w:w="36"/>
        <w:gridCol w:w="67"/>
        <w:gridCol w:w="7192"/>
        <w:gridCol w:w="36"/>
      </w:tblGrid>
      <w:tr w:rsidR="00000000">
        <w:trPr>
          <w:divId w:val="505445317"/>
        </w:trPr>
        <w:tc>
          <w:tcPr>
            <w:tcW w:w="50" w:type="pct"/>
            <w:vAlign w:val="center"/>
            <w:hideMark/>
          </w:tcPr>
          <w:p w:rsidR="00000000" w:rsidRDefault="00943C43">
            <w:pPr>
              <w:jc w:val="both"/>
              <w:rPr>
                <w:rFonts w:eastAsia="Times New Roman"/>
              </w:rPr>
            </w:pPr>
          </w:p>
        </w:tc>
        <w:tc>
          <w:tcPr>
            <w:tcW w:w="43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450"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505445317"/>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b/>
                <w:bCs/>
                <w:color w:val="000000"/>
                <w:sz w:val="20"/>
                <w:szCs w:val="20"/>
              </w:rPr>
              <w:t>ITEM 4.</w:t>
            </w:r>
          </w:p>
        </w:tc>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b/>
                <w:bCs/>
                <w:i/>
                <w:iCs/>
                <w:color w:val="000000"/>
                <w:sz w:val="20"/>
                <w:szCs w:val="20"/>
              </w:rPr>
              <w:t>MINE SAFETY DISCLOSURES</w:t>
            </w:r>
          </w:p>
        </w:tc>
      </w:tr>
    </w:tbl>
    <w:p w:rsidR="00000000" w:rsidRDefault="00943C43">
      <w:pPr>
        <w:jc w:val="both"/>
        <w:divId w:val="1721123926"/>
        <w:rPr>
          <w:rFonts w:eastAsia="Times New Roman"/>
        </w:rPr>
      </w:pPr>
      <w:r>
        <w:rPr>
          <w:rFonts w:eastAsia="Times New Roman"/>
          <w:color w:val="000000"/>
          <w:sz w:val="20"/>
          <w:szCs w:val="20"/>
        </w:rPr>
        <w:t>Not applicable.</w:t>
      </w:r>
    </w:p>
    <w:tbl>
      <w:tblPr>
        <w:tblW w:w="4873" w:type="pct"/>
        <w:tblCellMar>
          <w:top w:w="15" w:type="dxa"/>
          <w:left w:w="15" w:type="dxa"/>
          <w:bottom w:w="15" w:type="dxa"/>
          <w:right w:w="15" w:type="dxa"/>
        </w:tblCellMar>
        <w:tblLook w:val="04A0" w:firstRow="1" w:lastRow="0" w:firstColumn="1" w:lastColumn="0" w:noHBand="0" w:noVBand="1"/>
      </w:tblPr>
      <w:tblGrid>
        <w:gridCol w:w="67"/>
        <w:gridCol w:w="697"/>
        <w:gridCol w:w="36"/>
        <w:gridCol w:w="67"/>
        <w:gridCol w:w="7192"/>
        <w:gridCol w:w="36"/>
      </w:tblGrid>
      <w:tr w:rsidR="00000000">
        <w:trPr>
          <w:divId w:val="168908484"/>
        </w:trPr>
        <w:tc>
          <w:tcPr>
            <w:tcW w:w="50" w:type="pct"/>
            <w:vAlign w:val="center"/>
            <w:hideMark/>
          </w:tcPr>
          <w:p w:rsidR="00000000" w:rsidRDefault="00943C43">
            <w:pPr>
              <w:jc w:val="both"/>
              <w:rPr>
                <w:rFonts w:eastAsia="Times New Roman"/>
              </w:rPr>
            </w:pPr>
          </w:p>
        </w:tc>
        <w:tc>
          <w:tcPr>
            <w:tcW w:w="439"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450"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168908484"/>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b/>
                <w:bCs/>
                <w:color w:val="000000"/>
                <w:sz w:val="20"/>
                <w:szCs w:val="20"/>
              </w:rPr>
              <w:t>ITEM 5.</w:t>
            </w:r>
          </w:p>
        </w:tc>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b/>
                <w:bCs/>
                <w:i/>
                <w:iCs/>
                <w:color w:val="000000"/>
                <w:sz w:val="20"/>
                <w:szCs w:val="20"/>
              </w:rPr>
              <w:t>OTHER INFORMATION</w:t>
            </w:r>
          </w:p>
        </w:tc>
      </w:tr>
    </w:tbl>
    <w:p w:rsidR="00000000" w:rsidRDefault="00943C43">
      <w:pPr>
        <w:jc w:val="both"/>
        <w:divId w:val="1169178405"/>
        <w:rPr>
          <w:rFonts w:eastAsia="Times New Roman"/>
        </w:rPr>
      </w:pPr>
      <w:r>
        <w:rPr>
          <w:rFonts w:eastAsia="Times New Roman"/>
          <w:color w:val="000000"/>
          <w:sz w:val="20"/>
          <w:szCs w:val="20"/>
        </w:rPr>
        <w:t>Not applicable.</w:t>
      </w:r>
    </w:p>
    <w:p w:rsidR="00000000" w:rsidRDefault="00943C43">
      <w:pPr>
        <w:jc w:val="center"/>
        <w:divId w:val="393088478"/>
        <w:rPr>
          <w:rFonts w:eastAsia="Times New Roman"/>
        </w:rPr>
      </w:pPr>
      <w:r>
        <w:rPr>
          <w:rFonts w:eastAsia="Times New Roman"/>
          <w:color w:val="000000"/>
          <w:sz w:val="20"/>
          <w:szCs w:val="20"/>
        </w:rPr>
        <w:t>26</w:t>
      </w:r>
    </w:p>
    <w:p w:rsidR="00000000" w:rsidRDefault="00943C43">
      <w:pPr>
        <w:rPr>
          <w:rFonts w:eastAsia="Times New Roman"/>
        </w:rPr>
      </w:pPr>
      <w:r>
        <w:rPr>
          <w:rFonts w:eastAsia="Times New Roman"/>
        </w:rPr>
        <w:pict>
          <v:rect id="_x0000_i1053" style="width:0;height:1.5pt" o:hralign="center" o:hrstd="t" o:hr="t" fillcolor="#a0a0a0" stroked="f"/>
        </w:pict>
      </w:r>
    </w:p>
    <w:p w:rsidR="00000000" w:rsidRDefault="00943C43">
      <w:pPr>
        <w:divId w:val="930547241"/>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1768185270"/>
        <w:rPr>
          <w:rFonts w:eastAsia="Times New Roman"/>
        </w:rPr>
      </w:pPr>
    </w:p>
    <w:tbl>
      <w:tblPr>
        <w:tblW w:w="4996" w:type="pct"/>
        <w:jc w:val="center"/>
        <w:tblCellMar>
          <w:top w:w="15" w:type="dxa"/>
          <w:left w:w="15" w:type="dxa"/>
          <w:bottom w:w="15" w:type="dxa"/>
          <w:right w:w="15" w:type="dxa"/>
        </w:tblCellMar>
        <w:tblLook w:val="04A0" w:firstRow="1" w:lastRow="0" w:firstColumn="1" w:lastColumn="0" w:noHBand="0" w:noVBand="1"/>
      </w:tblPr>
      <w:tblGrid>
        <w:gridCol w:w="81"/>
        <w:gridCol w:w="685"/>
        <w:gridCol w:w="36"/>
        <w:gridCol w:w="67"/>
        <w:gridCol w:w="7394"/>
        <w:gridCol w:w="36"/>
      </w:tblGrid>
      <w:tr w:rsidR="00000000">
        <w:trPr>
          <w:jc w:val="center"/>
        </w:trPr>
        <w:tc>
          <w:tcPr>
            <w:tcW w:w="50" w:type="pct"/>
            <w:vAlign w:val="center"/>
            <w:hideMark/>
          </w:tcPr>
          <w:p w:rsidR="00000000" w:rsidRDefault="00943C43">
            <w:pPr>
              <w:jc w:val="both"/>
              <w:rPr>
                <w:rFonts w:eastAsia="Times New Roman"/>
              </w:rPr>
            </w:pPr>
          </w:p>
        </w:tc>
        <w:tc>
          <w:tcPr>
            <w:tcW w:w="427"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462"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b/>
                <w:bCs/>
                <w:color w:val="000000"/>
                <w:sz w:val="20"/>
                <w:szCs w:val="20"/>
              </w:rPr>
              <w:t>ITEM 6.</w:t>
            </w:r>
          </w:p>
        </w:tc>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b/>
                <w:bCs/>
                <w:i/>
                <w:iCs/>
                <w:color w:val="000000"/>
                <w:sz w:val="20"/>
                <w:szCs w:val="20"/>
              </w:rPr>
              <w:t>EXHIBITS</w:t>
            </w:r>
          </w:p>
        </w:tc>
      </w:tr>
    </w:tbl>
    <w:p w:rsidR="00000000" w:rsidRDefault="00943C43">
      <w:pPr>
        <w:jc w:val="center"/>
        <w:rPr>
          <w:rFonts w:eastAsia="Times New Roman"/>
          <w:vanish/>
        </w:rPr>
      </w:pPr>
    </w:p>
    <w:tbl>
      <w:tblPr>
        <w:tblW w:w="4996" w:type="pct"/>
        <w:jc w:val="center"/>
        <w:tblCellMar>
          <w:top w:w="15" w:type="dxa"/>
          <w:left w:w="15" w:type="dxa"/>
          <w:bottom w:w="15" w:type="dxa"/>
          <w:right w:w="15" w:type="dxa"/>
        </w:tblCellMar>
        <w:tblLook w:val="04A0" w:firstRow="1" w:lastRow="0" w:firstColumn="1" w:lastColumn="0" w:noHBand="0" w:noVBand="1"/>
      </w:tblPr>
      <w:tblGrid>
        <w:gridCol w:w="103"/>
        <w:gridCol w:w="667"/>
        <w:gridCol w:w="36"/>
        <w:gridCol w:w="36"/>
        <w:gridCol w:w="66"/>
        <w:gridCol w:w="36"/>
        <w:gridCol w:w="39"/>
        <w:gridCol w:w="7279"/>
        <w:gridCol w:w="37"/>
      </w:tblGrid>
      <w:tr w:rsidR="00000000">
        <w:trPr>
          <w:jc w:val="center"/>
        </w:trPr>
        <w:tc>
          <w:tcPr>
            <w:tcW w:w="50" w:type="pct"/>
            <w:vAlign w:val="center"/>
            <w:hideMark/>
          </w:tcPr>
          <w:p w:rsidR="00000000" w:rsidRDefault="00943C43">
            <w:pPr>
              <w:jc w:val="center"/>
              <w:rPr>
                <w:rFonts w:eastAsia="Times New Roman"/>
              </w:rPr>
            </w:pPr>
          </w:p>
        </w:tc>
        <w:tc>
          <w:tcPr>
            <w:tcW w:w="32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92"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4462"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b/>
                <w:bCs/>
                <w:color w:val="000000"/>
                <w:sz w:val="16"/>
                <w:szCs w:val="16"/>
              </w:rPr>
              <w:t>Exhibit</w:t>
            </w:r>
            <w:r>
              <w:rPr>
                <w:rFonts w:eastAsia="Times New Roman"/>
                <w:b/>
                <w:bCs/>
                <w:color w:val="000000"/>
                <w:sz w:val="16"/>
                <w:szCs w:val="16"/>
              </w:rPr>
              <w:br/>
              <w:t>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30" w:type="dxa"/>
              <w:left w:w="20" w:type="dxa"/>
              <w:bottom w:w="30" w:type="dxa"/>
              <w:right w:w="20" w:type="dxa"/>
            </w:tcMar>
            <w:hideMark/>
          </w:tcPr>
          <w:p w:rsidR="00000000" w:rsidRDefault="00943C43">
            <w:pPr>
              <w:spacing w:after="100"/>
              <w:jc w:val="both"/>
              <w:rPr>
                <w:rFonts w:eastAsia="Times New Roman"/>
              </w:rPr>
            </w:pPr>
            <w:hyperlink r:id="rId11" w:history="1">
              <w:r>
                <w:rPr>
                  <w:rStyle w:val="a3"/>
                  <w:rFonts w:eastAsia="Times New Roman"/>
                  <w:sz w:val="20"/>
                  <w:szCs w:val="20"/>
                </w:rPr>
                <w:t>Amended and Restated Certificate of Incorporation of the Registrant (incorporated by reference to Exhibit 3.3 to the Registrant's Registration Statement on</w:t>
              </w:r>
              <w:r>
                <w:rPr>
                  <w:rStyle w:val="a3"/>
                  <w:rFonts w:eastAsia="Times New Roman"/>
                  <w:sz w:val="20"/>
                  <w:szCs w:val="20"/>
                </w:rPr>
                <w:t xml:space="preserve"> Form S-1, as amended, filed June 12, 2007) (File No. 333-141740)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30" w:type="dxa"/>
              <w:left w:w="20" w:type="dxa"/>
              <w:bottom w:w="30" w:type="dxa"/>
              <w:right w:w="20" w:type="dxa"/>
            </w:tcMar>
            <w:hideMark/>
          </w:tcPr>
          <w:p w:rsidR="00000000" w:rsidRDefault="00943C43">
            <w:pPr>
              <w:spacing w:after="100"/>
              <w:jc w:val="both"/>
              <w:rPr>
                <w:rFonts w:eastAsia="Times New Roman"/>
              </w:rPr>
            </w:pPr>
            <w:hyperlink r:id="rId12" w:history="1">
              <w:r>
                <w:rPr>
                  <w:rStyle w:val="a3"/>
                  <w:rFonts w:eastAsia="Times New Roman"/>
                  <w:sz w:val="20"/>
                  <w:szCs w:val="20"/>
                </w:rPr>
                <w:t>Certificate of Amendment of Amended and Restated Certificate of Incorporation of comScore, Inc. (incorporated by reference to Exhibit 4.2 to th</w:t>
              </w:r>
              <w:r>
                <w:rPr>
                  <w:rStyle w:val="a3"/>
                  <w:rFonts w:eastAsia="Times New Roman"/>
                  <w:sz w:val="20"/>
                  <w:szCs w:val="20"/>
                </w:rPr>
                <w:t>e Registrant's Registration Statement on Form S-8, filed June 4, 2018) (File No. 333-225400)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color w:val="000000"/>
                <w:sz w:val="20"/>
                <w:szCs w:val="20"/>
              </w:rPr>
              <w:t>3.3</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30" w:type="dxa"/>
              <w:left w:w="20" w:type="dxa"/>
              <w:bottom w:w="30" w:type="dxa"/>
              <w:right w:w="20" w:type="dxa"/>
            </w:tcMar>
            <w:hideMark/>
          </w:tcPr>
          <w:p w:rsidR="00000000" w:rsidRDefault="00943C43">
            <w:pPr>
              <w:spacing w:after="100"/>
              <w:jc w:val="both"/>
              <w:rPr>
                <w:rFonts w:eastAsia="Times New Roman"/>
              </w:rPr>
            </w:pPr>
            <w:hyperlink r:id="rId13" w:history="1">
              <w:r>
                <w:rPr>
                  <w:rStyle w:val="a3"/>
                  <w:rFonts w:eastAsia="Times New Roman"/>
                  <w:sz w:val="20"/>
                  <w:szCs w:val="20"/>
                </w:rPr>
                <w:t xml:space="preserve">Certificate of Designation of Series A Junior Participating Preferred Stock of comScore, Inc., as filed with the Secretary of State of the State of Delaware </w:t>
              </w:r>
              <w:r>
                <w:rPr>
                  <w:rStyle w:val="a3"/>
                  <w:rFonts w:eastAsia="Times New Roman"/>
                  <w:sz w:val="20"/>
                  <w:szCs w:val="20"/>
                </w:rPr>
                <w:t>on February 9, 2017 (incorporated by reference to Exhibit 3.1 to the Registrant's Current Report on Form 8-K, filed February 9, 2017)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color w:val="000000"/>
                <w:sz w:val="20"/>
                <w:szCs w:val="20"/>
              </w:rPr>
              <w:t>3.4</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30" w:type="dxa"/>
              <w:left w:w="20" w:type="dxa"/>
              <w:bottom w:w="30" w:type="dxa"/>
              <w:right w:w="20" w:type="dxa"/>
            </w:tcMar>
            <w:hideMark/>
          </w:tcPr>
          <w:p w:rsidR="00000000" w:rsidRDefault="00943C43">
            <w:pPr>
              <w:spacing w:after="100"/>
              <w:jc w:val="both"/>
              <w:rPr>
                <w:rFonts w:eastAsia="Times New Roman"/>
              </w:rPr>
            </w:pPr>
            <w:hyperlink r:id="rId14" w:history="1">
              <w:r>
                <w:rPr>
                  <w:rStyle w:val="a3"/>
                  <w:rFonts w:eastAsia="Times New Roman"/>
                  <w:sz w:val="20"/>
                  <w:szCs w:val="20"/>
                </w:rPr>
                <w:t>Certificate of Elimination of Designation of Series A Junior Participating Preferred Stock of comScore, Inc., as filed with the Secretary of State of the Sta</w:t>
              </w:r>
              <w:r>
                <w:rPr>
                  <w:rStyle w:val="a3"/>
                  <w:rFonts w:eastAsia="Times New Roman"/>
                  <w:sz w:val="20"/>
                  <w:szCs w:val="20"/>
                </w:rPr>
                <w:t>te of Delaware on September 29, 2017 (incorporated by reference to Exhibit 3.1 to the Registrant's Current Report on Form 8-K, filed October 4, 2017)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color w:val="000000"/>
                <w:sz w:val="20"/>
                <w:szCs w:val="20"/>
              </w:rPr>
              <w:t>3.5</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30" w:type="dxa"/>
              <w:left w:w="20" w:type="dxa"/>
              <w:bottom w:w="30" w:type="dxa"/>
              <w:right w:w="20" w:type="dxa"/>
            </w:tcMar>
            <w:hideMark/>
          </w:tcPr>
          <w:p w:rsidR="00000000" w:rsidRDefault="00943C43">
            <w:pPr>
              <w:spacing w:after="100"/>
              <w:jc w:val="both"/>
              <w:rPr>
                <w:rFonts w:eastAsia="Times New Roman"/>
              </w:rPr>
            </w:pPr>
            <w:hyperlink r:id="rId15" w:history="1">
              <w:r>
                <w:rPr>
                  <w:rStyle w:val="a3"/>
                  <w:rFonts w:eastAsia="Times New Roman"/>
                  <w:sz w:val="20"/>
                  <w:szCs w:val="20"/>
                </w:rPr>
                <w:t xml:space="preserve">Certificate of Amendment to Amended and Restated Certificate of Incorporation of comScore, Inc., dated March 10, 2021 (incorporated by reference to Exhibit 3.1 to the Registrant's Current Report on Form 8-K, filed March </w:t>
              </w:r>
              <w:r>
                <w:rPr>
                  <w:rStyle w:val="a3"/>
                  <w:rFonts w:eastAsia="Times New Roman"/>
                  <w:sz w:val="20"/>
                  <w:szCs w:val="20"/>
                </w:rPr>
                <w:t>15,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color w:val="000000"/>
                <w:sz w:val="20"/>
                <w:szCs w:val="20"/>
              </w:rPr>
              <w:t>3.6</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30" w:type="dxa"/>
              <w:left w:w="20" w:type="dxa"/>
              <w:bottom w:w="30" w:type="dxa"/>
              <w:right w:w="20" w:type="dxa"/>
            </w:tcMar>
            <w:hideMark/>
          </w:tcPr>
          <w:p w:rsidR="00000000" w:rsidRDefault="00943C43">
            <w:pPr>
              <w:spacing w:after="100"/>
              <w:jc w:val="both"/>
              <w:rPr>
                <w:rFonts w:eastAsia="Times New Roman"/>
              </w:rPr>
            </w:pPr>
            <w:hyperlink r:id="rId16" w:history="1">
              <w:r>
                <w:rPr>
                  <w:rStyle w:val="a3"/>
                  <w:rFonts w:eastAsia="Times New Roman"/>
                  <w:sz w:val="20"/>
                  <w:szCs w:val="20"/>
                </w:rPr>
                <w:t>Certificate of Designations of Series B Convertible Preferred Stock, par value $0.001, of comScore, Inc. (incorporated by reference to Exhibit 3.2 to the Registrant's Current Report on Form 8-K, filed March 15,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color w:val="000000"/>
                <w:sz w:val="20"/>
                <w:szCs w:val="20"/>
              </w:rPr>
              <w:t>3.7</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30" w:type="dxa"/>
              <w:left w:w="20" w:type="dxa"/>
              <w:bottom w:w="30" w:type="dxa"/>
              <w:right w:w="20" w:type="dxa"/>
            </w:tcMar>
            <w:hideMark/>
          </w:tcPr>
          <w:p w:rsidR="00000000" w:rsidRDefault="00943C43">
            <w:pPr>
              <w:spacing w:after="100"/>
              <w:jc w:val="both"/>
              <w:rPr>
                <w:rFonts w:eastAsia="Times New Roman"/>
              </w:rPr>
            </w:pPr>
            <w:hyperlink r:id="rId17" w:history="1">
              <w:r>
                <w:rPr>
                  <w:rStyle w:val="a3"/>
                  <w:rFonts w:eastAsia="Times New Roman"/>
                  <w:sz w:val="20"/>
                  <w:szCs w:val="20"/>
                </w:rPr>
                <w:t>Amended and Restated Bylaws of comScore, Inc. (incorporated by reference to Exhibit 3.2 to the Registrant's Quarterly Report on Form 1</w:t>
              </w:r>
              <w:r>
                <w:rPr>
                  <w:rStyle w:val="a3"/>
                  <w:rFonts w:eastAsia="Times New Roman"/>
                  <w:sz w:val="20"/>
                  <w:szCs w:val="20"/>
                </w:rPr>
                <w:t>0-Q for the period ended June 30, 2018, filed August 10, 2018)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30" w:type="dxa"/>
              <w:left w:w="20" w:type="dxa"/>
              <w:bottom w:w="30" w:type="dxa"/>
              <w:right w:w="20" w:type="dxa"/>
            </w:tcMar>
            <w:hideMark/>
          </w:tcPr>
          <w:p w:rsidR="00000000" w:rsidRDefault="00943C43">
            <w:pPr>
              <w:spacing w:after="100"/>
              <w:jc w:val="both"/>
              <w:rPr>
                <w:rFonts w:eastAsia="Times New Roman"/>
              </w:rPr>
            </w:pPr>
            <w:hyperlink r:id="rId18" w:history="1">
              <w:r>
                <w:rPr>
                  <w:rStyle w:val="a3"/>
                  <w:rFonts w:eastAsia="Times New Roman"/>
                  <w:sz w:val="20"/>
                  <w:szCs w:val="20"/>
                </w:rPr>
                <w:t>First Amendment to Data License Agreement, dated as of March 30, 2022, by and between comScore, Inc. and Charter Communications Operating, LLC</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30" w:type="dxa"/>
              <w:left w:w="20" w:type="dxa"/>
              <w:bottom w:w="30" w:type="dxa"/>
              <w:right w:w="20" w:type="dxa"/>
            </w:tcMar>
            <w:hideMark/>
          </w:tcPr>
          <w:p w:rsidR="00000000" w:rsidRDefault="00943C43">
            <w:pPr>
              <w:spacing w:after="100"/>
              <w:jc w:val="both"/>
              <w:rPr>
                <w:rFonts w:eastAsia="Times New Roman"/>
              </w:rPr>
            </w:pPr>
            <w:hyperlink r:id="rId19" w:history="1">
              <w:r>
                <w:rPr>
                  <w:rStyle w:val="a3"/>
                  <w:rFonts w:eastAsia="Times New Roman"/>
                  <w:sz w:val="20"/>
                  <w:szCs w:val="20"/>
                </w:rPr>
                <w:t>First Amendment, dated as of February 25, 2022, to the Credit Agreement among comScore, Inc. (as Borrower), certain subsidiaries of the Borrow</w:t>
              </w:r>
              <w:r>
                <w:rPr>
                  <w:rStyle w:val="a3"/>
                  <w:rFonts w:eastAsia="Times New Roman"/>
                  <w:sz w:val="20"/>
                  <w:szCs w:val="20"/>
                </w:rPr>
                <w:t>er (as Guarantors), Bank of America, N.A. (as Administrative Agent), and the lenders party thereto (incorporated by reference to Exhibit 10.1 to the Registrant's Current Report on Form 8-K, filed February 28, 2022)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30" w:type="dxa"/>
              <w:left w:w="20" w:type="dxa"/>
              <w:bottom w:w="30" w:type="dxa"/>
              <w:right w:w="20" w:type="dxa"/>
            </w:tcMar>
            <w:hideMark/>
          </w:tcPr>
          <w:p w:rsidR="00000000" w:rsidRDefault="00943C43">
            <w:pPr>
              <w:spacing w:after="100"/>
              <w:jc w:val="both"/>
              <w:rPr>
                <w:rFonts w:eastAsia="Times New Roman"/>
              </w:rPr>
            </w:pPr>
            <w:hyperlink r:id="rId20" w:history="1">
              <w:r>
                <w:rPr>
                  <w:rStyle w:val="a3"/>
                  <w:rFonts w:eastAsia="Times New Roman"/>
                  <w:sz w:val="20"/>
                  <w:szCs w:val="20"/>
                </w:rPr>
                <w:t>Transition and Separation Agreement, dated as of February 28, 2022, between comScore, Inc. and William Livek (incorporated by reference to Exhibit 10.2 to the Registrant's Current Report on Form 8-K, filed February 28, 2022)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30" w:type="dxa"/>
              <w:left w:w="20" w:type="dxa"/>
              <w:bottom w:w="30" w:type="dxa"/>
              <w:right w:w="20" w:type="dxa"/>
            </w:tcMar>
            <w:hideMark/>
          </w:tcPr>
          <w:p w:rsidR="00000000" w:rsidRDefault="00943C43">
            <w:pPr>
              <w:spacing w:after="100"/>
              <w:jc w:val="both"/>
              <w:rPr>
                <w:rFonts w:eastAsia="Times New Roman"/>
              </w:rPr>
            </w:pPr>
            <w:hyperlink r:id="rId21" w:history="1">
              <w:r>
                <w:rPr>
                  <w:rStyle w:val="a3"/>
                  <w:rFonts w:eastAsia="Times New Roman"/>
                  <w:sz w:val="20"/>
                  <w:szCs w:val="20"/>
                </w:rPr>
                <w:t xml:space="preserve">Certification of Principal Executive Officer pursuant to Rule 13a-14(a) and Rule 15d-14(a) of the Securities Exchange Act of 1934, as adopted pursuant to Section 302 of the Sarbanes-Oxley Act of </w:t>
              </w:r>
              <w:r>
                <w:rPr>
                  <w:rStyle w:val="a3"/>
                  <w:rFonts w:eastAsia="Times New Roman"/>
                  <w:sz w:val="20"/>
                  <w:szCs w:val="20"/>
                </w:rPr>
                <w:t>2002</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30" w:type="dxa"/>
              <w:left w:w="20" w:type="dxa"/>
              <w:bottom w:w="30" w:type="dxa"/>
              <w:right w:w="20" w:type="dxa"/>
            </w:tcMar>
            <w:hideMark/>
          </w:tcPr>
          <w:p w:rsidR="00000000" w:rsidRDefault="00943C43">
            <w:pPr>
              <w:spacing w:after="100"/>
              <w:jc w:val="both"/>
              <w:rPr>
                <w:rFonts w:eastAsia="Times New Roman"/>
              </w:rPr>
            </w:pPr>
            <w:hyperlink r:id="rId22" w:history="1">
              <w:r>
                <w:rPr>
                  <w:rStyle w:val="a3"/>
                  <w:rFonts w:eastAsia="Times New Roman"/>
                  <w:sz w:val="20"/>
                  <w:szCs w:val="20"/>
                </w:rPr>
                <w:t>Certification of Principal Financial Officer pursuant to Rule 13a-14(a) and Rule </w:t>
              </w:r>
              <w:r>
                <w:rPr>
                  <w:rStyle w:val="a3"/>
                  <w:rFonts w:eastAsia="Times New Roman"/>
                  <w:sz w:val="20"/>
                  <w:szCs w:val="20"/>
                </w:rPr>
                <w:t>15d-14(a) of the Securities Exchange Act of 1934, as adopted pursuant to Section 302 of the Sarbanes-Oxley Act of 2002</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30" w:type="dxa"/>
              <w:left w:w="20" w:type="dxa"/>
              <w:bottom w:w="30" w:type="dxa"/>
              <w:right w:w="20" w:type="dxa"/>
            </w:tcMar>
            <w:hideMark/>
          </w:tcPr>
          <w:p w:rsidR="00000000" w:rsidRDefault="00943C43">
            <w:pPr>
              <w:spacing w:after="100"/>
              <w:jc w:val="both"/>
              <w:rPr>
                <w:rFonts w:eastAsia="Times New Roman"/>
              </w:rPr>
            </w:pPr>
            <w:hyperlink r:id="rId23" w:history="1">
              <w:r>
                <w:rPr>
                  <w:rStyle w:val="a3"/>
                  <w:rFonts w:eastAsia="Times New Roman"/>
                  <w:sz w:val="20"/>
                  <w:szCs w:val="20"/>
                </w:rPr>
                <w:t>Certification of Principal Executive Officer pursuant to 18 U.S.C. Section 1350, as adopted pursuant to Section 906 of the Sarbanes-Oxley Act of 2002</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30" w:type="dxa"/>
              <w:left w:w="20" w:type="dxa"/>
              <w:bottom w:w="30" w:type="dxa"/>
              <w:right w:w="20" w:type="dxa"/>
            </w:tcMar>
            <w:hideMark/>
          </w:tcPr>
          <w:p w:rsidR="00000000" w:rsidRDefault="00943C43">
            <w:pPr>
              <w:spacing w:after="100"/>
              <w:jc w:val="both"/>
              <w:rPr>
                <w:rFonts w:eastAsia="Times New Roman"/>
              </w:rPr>
            </w:pPr>
            <w:hyperlink r:id="rId24" w:history="1">
              <w:r>
                <w:rPr>
                  <w:rStyle w:val="a3"/>
                  <w:rFonts w:eastAsia="Times New Roman"/>
                  <w:sz w:val="20"/>
                  <w:szCs w:val="20"/>
                </w:rPr>
                <w:t>Certification of Principal Financial Officer pursuant to 18 U.S.C. Section 1350, as adopted pursuant to Section 906 of the Sarbanes-Oxley Act of 2002</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30" w:type="dxa"/>
              <w:left w:w="20" w:type="dxa"/>
              <w:bottom w:w="30" w:type="dxa"/>
              <w:right w:w="20" w:type="dxa"/>
            </w:tcMar>
            <w:hideMark/>
          </w:tcPr>
          <w:p w:rsidR="00000000" w:rsidRDefault="00943C43">
            <w:pPr>
              <w:spacing w:after="100"/>
              <w:jc w:val="both"/>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30" w:type="dxa"/>
              <w:left w:w="20" w:type="dxa"/>
              <w:bottom w:w="30" w:type="dxa"/>
              <w:right w:w="20" w:type="dxa"/>
            </w:tcMar>
            <w:hideMark/>
          </w:tcPr>
          <w:p w:rsidR="00000000" w:rsidRDefault="00943C43">
            <w:pPr>
              <w:spacing w:after="100"/>
              <w:jc w:val="both"/>
              <w:rPr>
                <w:rFonts w:eastAsia="Times New Roman"/>
              </w:rPr>
            </w:pPr>
            <w:r>
              <w:rPr>
                <w:rFonts w:eastAsia="Times New Roman"/>
                <w:color w:val="000000"/>
                <w:sz w:val="20"/>
                <w:szCs w:val="20"/>
              </w:rPr>
              <w:t>Inline XBRL Taxonomy Extension Schema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30" w:type="dxa"/>
              <w:left w:w="20" w:type="dxa"/>
              <w:bottom w:w="30" w:type="dxa"/>
              <w:right w:w="20" w:type="dxa"/>
            </w:tcMar>
            <w:hideMark/>
          </w:tcPr>
          <w:p w:rsidR="00000000" w:rsidRDefault="00943C43">
            <w:pPr>
              <w:spacing w:after="100"/>
              <w:jc w:val="both"/>
              <w:rPr>
                <w:rFonts w:eastAsia="Times New Roman"/>
              </w:rPr>
            </w:pPr>
            <w:r>
              <w:rPr>
                <w:rFonts w:eastAsia="Times New Roman"/>
                <w:color w:val="000000"/>
                <w:sz w:val="20"/>
                <w:szCs w:val="20"/>
              </w:rPr>
              <w:t>Inline XBRL Taxonomy Extension Calculation Linkbase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30" w:type="dxa"/>
              <w:left w:w="20" w:type="dxa"/>
              <w:bottom w:w="30" w:type="dxa"/>
              <w:right w:w="20" w:type="dxa"/>
            </w:tcMar>
            <w:hideMark/>
          </w:tcPr>
          <w:p w:rsidR="00000000" w:rsidRDefault="00943C43">
            <w:pPr>
              <w:spacing w:after="100"/>
              <w:jc w:val="both"/>
              <w:rPr>
                <w:rFonts w:eastAsia="Times New Roman"/>
              </w:rPr>
            </w:pPr>
            <w:r>
              <w:rPr>
                <w:rFonts w:eastAsia="Times New Roman"/>
                <w:color w:val="000000"/>
                <w:sz w:val="20"/>
                <w:szCs w:val="20"/>
              </w:rPr>
              <w:t>Inline XBRL Taxonomy Extension Definition Linkbase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30" w:type="dxa"/>
              <w:left w:w="20" w:type="dxa"/>
              <w:bottom w:w="30" w:type="dxa"/>
              <w:right w:w="20" w:type="dxa"/>
            </w:tcMar>
            <w:hideMark/>
          </w:tcPr>
          <w:p w:rsidR="00000000" w:rsidRDefault="00943C43">
            <w:pPr>
              <w:spacing w:after="100"/>
              <w:jc w:val="both"/>
              <w:rPr>
                <w:rFonts w:eastAsia="Times New Roman"/>
              </w:rPr>
            </w:pPr>
            <w:r>
              <w:rPr>
                <w:rFonts w:eastAsia="Times New Roman"/>
                <w:color w:val="000000"/>
                <w:sz w:val="20"/>
                <w:szCs w:val="20"/>
              </w:rPr>
              <w:t>Inline XBRL Taxonomy Extension Label Linkbase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30" w:type="dxa"/>
              <w:left w:w="20" w:type="dxa"/>
              <w:bottom w:w="30" w:type="dxa"/>
              <w:right w:w="20" w:type="dxa"/>
            </w:tcMar>
            <w:hideMark/>
          </w:tcPr>
          <w:p w:rsidR="00000000" w:rsidRDefault="00943C43">
            <w:pPr>
              <w:spacing w:after="100"/>
              <w:jc w:val="both"/>
              <w:rPr>
                <w:rFonts w:eastAsia="Times New Roman"/>
              </w:rPr>
            </w:pPr>
            <w:r>
              <w:rPr>
                <w:rFonts w:eastAsia="Times New Roman"/>
                <w:color w:val="000000"/>
                <w:sz w:val="20"/>
                <w:szCs w:val="20"/>
              </w:rPr>
              <w:t>Inline XBRL Taxonomy Extension Presentation Linkbase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3C43">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30" w:type="dxa"/>
              <w:left w:w="20" w:type="dxa"/>
              <w:bottom w:w="30" w:type="dxa"/>
              <w:right w:w="20" w:type="dxa"/>
            </w:tcMar>
            <w:hideMark/>
          </w:tcPr>
          <w:p w:rsidR="00000000" w:rsidRDefault="00943C43">
            <w:pPr>
              <w:spacing w:after="100"/>
              <w:jc w:val="both"/>
              <w:rPr>
                <w:rFonts w:eastAsia="Times New Roman"/>
              </w:rPr>
            </w:pPr>
            <w:r>
              <w:rPr>
                <w:rFonts w:eastAsia="Times New Roman"/>
                <w:color w:val="000000"/>
                <w:sz w:val="20"/>
                <w:szCs w:val="20"/>
              </w:rPr>
              <w:t>Cover Page Interactive Data File - the cover page iXBRL tags are embedded within the Inline XBRL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43C43">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r>
    </w:tbl>
    <w:p w:rsidR="00000000" w:rsidRDefault="00943C43">
      <w:pPr>
        <w:jc w:val="both"/>
        <w:divId w:val="1572498772"/>
        <w:rPr>
          <w:rFonts w:eastAsia="Times New Roman"/>
        </w:rPr>
      </w:pPr>
      <w:r>
        <w:rPr>
          <w:rFonts w:eastAsia="Times New Roman"/>
          <w:color w:val="000000"/>
          <w:sz w:val="20"/>
          <w:szCs w:val="20"/>
        </w:rPr>
        <w:t>+ Filed or furnished herewith</w:t>
      </w:r>
    </w:p>
    <w:p w:rsidR="00000000" w:rsidRDefault="00943C43">
      <w:pPr>
        <w:jc w:val="both"/>
        <w:divId w:val="1519350345"/>
        <w:rPr>
          <w:rFonts w:eastAsia="Times New Roman"/>
        </w:rPr>
      </w:pPr>
      <w:r>
        <w:rPr>
          <w:rFonts w:eastAsia="Times New Roman"/>
          <w:color w:val="000000"/>
          <w:sz w:val="20"/>
          <w:szCs w:val="20"/>
        </w:rPr>
        <w:t xml:space="preserve">^ </w:t>
      </w:r>
      <w:r>
        <w:rPr>
          <w:rFonts w:eastAsia="Times New Roman"/>
          <w:color w:val="000000"/>
          <w:sz w:val="20"/>
          <w:szCs w:val="20"/>
        </w:rPr>
        <w:t>Specific terms in this exhibit (indicated therein by asterisks) have been omitted because such terms are both not material and of the type that the Registrant treats as private and confidential.</w:t>
      </w:r>
    </w:p>
    <w:p w:rsidR="00000000" w:rsidRDefault="00943C43">
      <w:pPr>
        <w:jc w:val="both"/>
        <w:divId w:val="163740141"/>
        <w:rPr>
          <w:rFonts w:eastAsia="Times New Roman"/>
        </w:rPr>
      </w:pPr>
      <w:r>
        <w:rPr>
          <w:rFonts w:eastAsia="Times New Roman"/>
          <w:color w:val="000000"/>
          <w:sz w:val="20"/>
          <w:szCs w:val="20"/>
        </w:rPr>
        <w:t xml:space="preserve">* Management contract or compensatory plan or arrangement </w:t>
      </w:r>
    </w:p>
    <w:p w:rsidR="00000000" w:rsidRDefault="00943C43">
      <w:pPr>
        <w:jc w:val="center"/>
        <w:divId w:val="635183597"/>
        <w:rPr>
          <w:rFonts w:eastAsia="Times New Roman"/>
        </w:rPr>
      </w:pPr>
      <w:r>
        <w:rPr>
          <w:rFonts w:eastAsia="Times New Roman"/>
          <w:color w:val="000000"/>
          <w:sz w:val="20"/>
          <w:szCs w:val="20"/>
        </w:rPr>
        <w:t>27</w:t>
      </w:r>
    </w:p>
    <w:p w:rsidR="00000000" w:rsidRDefault="00943C43">
      <w:pPr>
        <w:rPr>
          <w:rFonts w:eastAsia="Times New Roman"/>
        </w:rPr>
      </w:pPr>
      <w:r>
        <w:rPr>
          <w:rFonts w:eastAsia="Times New Roman"/>
        </w:rPr>
        <w:pict>
          <v:rect id="_x0000_i1054" style="width:0;height:1.5pt" o:hralign="center" o:hrstd="t" o:hr="t" fillcolor="#a0a0a0" stroked="f"/>
        </w:pict>
      </w:r>
    </w:p>
    <w:p w:rsidR="00000000" w:rsidRDefault="00943C43">
      <w:pPr>
        <w:divId w:val="1800685201"/>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1280797071"/>
        <w:rPr>
          <w:rFonts w:eastAsia="Times New Roman"/>
        </w:rPr>
      </w:pPr>
    </w:p>
    <w:p w:rsidR="00000000" w:rsidRDefault="00943C43">
      <w:pPr>
        <w:jc w:val="center"/>
        <w:rPr>
          <w:rFonts w:eastAsia="Times New Roman"/>
        </w:rPr>
      </w:pPr>
      <w:r>
        <w:rPr>
          <w:rFonts w:eastAsia="Times New Roman"/>
          <w:b/>
          <w:bCs/>
          <w:color w:val="000000"/>
          <w:sz w:val="20"/>
          <w:szCs w:val="20"/>
        </w:rPr>
        <w:t>SIGNATURE</w:t>
      </w:r>
    </w:p>
    <w:p w:rsidR="00000000" w:rsidRDefault="00943C43">
      <w:pPr>
        <w:jc w:val="both"/>
        <w:divId w:val="1063215922"/>
        <w:rPr>
          <w:rFonts w:eastAsia="Times New Roman"/>
        </w:rPr>
      </w:pPr>
      <w:r>
        <w:rPr>
          <w:rFonts w:eastAsia="Times New Roman"/>
          <w:color w:val="000000"/>
          <w:sz w:val="20"/>
          <w:szCs w:val="20"/>
        </w:rPr>
        <w:t>Pursuant to the requirements of the Securities Exchange Act of 1934, t</w:t>
      </w:r>
      <w:r>
        <w:rPr>
          <w:rFonts w:eastAsia="Times New Roman"/>
          <w:color w:val="000000"/>
          <w:sz w:val="20"/>
          <w:szCs w:val="20"/>
        </w:rPr>
        <w:t>he registrant has duly caused this report to be signed on its behalf by the undersigned thereunto duly authorized.</w:t>
      </w:r>
    </w:p>
    <w:p w:rsidR="00000000" w:rsidRDefault="00943C43">
      <w:pPr>
        <w:jc w:val="both"/>
        <w:rPr>
          <w:rFonts w:eastAsia="Times New Roman"/>
        </w:rPr>
      </w:pPr>
      <w:r>
        <w:rPr>
          <w:rFonts w:eastAsia="Times New Roman"/>
          <w:color w:val="000000"/>
          <w:sz w:val="18"/>
          <w:szCs w:val="18"/>
        </w:rPr>
        <w:t> </w:t>
      </w:r>
    </w:p>
    <w:tbl>
      <w:tblPr>
        <w:tblW w:w="4616" w:type="pct"/>
        <w:tblCellMar>
          <w:top w:w="15" w:type="dxa"/>
          <w:left w:w="15" w:type="dxa"/>
          <w:bottom w:w="15" w:type="dxa"/>
          <w:right w:w="15" w:type="dxa"/>
        </w:tblCellMar>
        <w:tblLook w:val="04A0" w:firstRow="1" w:lastRow="0" w:firstColumn="1" w:lastColumn="0" w:noHBand="0" w:noVBand="1"/>
      </w:tblPr>
      <w:tblGrid>
        <w:gridCol w:w="58"/>
        <w:gridCol w:w="3742"/>
        <w:gridCol w:w="36"/>
        <w:gridCol w:w="77"/>
        <w:gridCol w:w="245"/>
        <w:gridCol w:w="37"/>
        <w:gridCol w:w="59"/>
        <w:gridCol w:w="1062"/>
        <w:gridCol w:w="37"/>
        <w:gridCol w:w="59"/>
        <w:gridCol w:w="1062"/>
        <w:gridCol w:w="37"/>
        <w:gridCol w:w="59"/>
        <w:gridCol w:w="1062"/>
        <w:gridCol w:w="36"/>
      </w:tblGrid>
      <w:tr w:rsidR="00000000">
        <w:trPr>
          <w:divId w:val="1235971484"/>
        </w:trPr>
        <w:tc>
          <w:tcPr>
            <w:tcW w:w="50" w:type="pct"/>
            <w:vAlign w:val="center"/>
            <w:hideMark/>
          </w:tcPr>
          <w:p w:rsidR="00000000" w:rsidRDefault="00943C43">
            <w:pPr>
              <w:jc w:val="both"/>
              <w:rPr>
                <w:rFonts w:eastAsia="Times New Roman"/>
              </w:rPr>
            </w:pPr>
          </w:p>
        </w:tc>
        <w:tc>
          <w:tcPr>
            <w:tcW w:w="2451"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160"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70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70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c>
          <w:tcPr>
            <w:tcW w:w="50" w:type="pct"/>
            <w:vAlign w:val="center"/>
            <w:hideMark/>
          </w:tcPr>
          <w:p w:rsidR="00000000" w:rsidRDefault="00943C43">
            <w:pPr>
              <w:spacing w:after="100"/>
              <w:rPr>
                <w:rFonts w:eastAsia="Times New Roman"/>
                <w:sz w:val="20"/>
                <w:szCs w:val="20"/>
              </w:rPr>
            </w:pPr>
          </w:p>
        </w:tc>
        <w:tc>
          <w:tcPr>
            <w:tcW w:w="704" w:type="pct"/>
            <w:vAlign w:val="center"/>
            <w:hideMark/>
          </w:tcPr>
          <w:p w:rsidR="00000000" w:rsidRDefault="00943C43">
            <w:pPr>
              <w:spacing w:after="100"/>
              <w:rPr>
                <w:rFonts w:eastAsia="Times New Roman"/>
                <w:sz w:val="20"/>
                <w:szCs w:val="20"/>
              </w:rPr>
            </w:pPr>
          </w:p>
        </w:tc>
        <w:tc>
          <w:tcPr>
            <w:tcW w:w="5" w:type="pct"/>
            <w:vAlign w:val="center"/>
            <w:hideMark/>
          </w:tcPr>
          <w:p w:rsidR="00000000" w:rsidRDefault="00943C43">
            <w:pPr>
              <w:spacing w:after="100"/>
              <w:rPr>
                <w:rFonts w:eastAsia="Times New Roman"/>
                <w:sz w:val="20"/>
                <w:szCs w:val="20"/>
              </w:rPr>
            </w:pPr>
          </w:p>
        </w:tc>
      </w:tr>
      <w:tr w:rsidR="00000000">
        <w:trPr>
          <w:divId w:val="1235971484"/>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943C43">
            <w:pPr>
              <w:spacing w:after="100"/>
              <w:divId w:val="615407504"/>
              <w:rPr>
                <w:rFonts w:eastAsia="Times New Roman"/>
              </w:rPr>
            </w:pPr>
            <w:r>
              <w:rPr>
                <w:rFonts w:eastAsia="Times New Roman"/>
                <w:color w:val="000000"/>
                <w:sz w:val="16"/>
                <w:szCs w:val="16"/>
              </w:rPr>
              <w:t>COM</w:t>
            </w:r>
            <w:r>
              <w:rPr>
                <w:rFonts w:eastAsia="Times New Roman"/>
                <w:color w:val="000000"/>
                <w:sz w:val="20"/>
                <w:szCs w:val="20"/>
              </w:rPr>
              <w:t>S</w:t>
            </w:r>
            <w:r>
              <w:rPr>
                <w:rFonts w:eastAsia="Times New Roman"/>
                <w:color w:val="000000"/>
                <w:sz w:val="16"/>
                <w:szCs w:val="16"/>
              </w:rPr>
              <w:t>CORE</w:t>
            </w:r>
            <w:r>
              <w:rPr>
                <w:rFonts w:eastAsia="Times New Roman"/>
                <w:color w:val="000000"/>
                <w:sz w:val="20"/>
                <w:szCs w:val="20"/>
              </w:rPr>
              <w:t>, I</w:t>
            </w:r>
            <w:r>
              <w:rPr>
                <w:rFonts w:eastAsia="Times New Roman"/>
                <w:color w:val="000000"/>
                <w:sz w:val="16"/>
                <w:szCs w:val="16"/>
              </w:rPr>
              <w:t>NC</w:t>
            </w:r>
            <w:r>
              <w:rPr>
                <w:rFonts w:eastAsia="Times New Roman"/>
                <w:color w:val="000000"/>
                <w:sz w:val="20"/>
                <w:szCs w:val="20"/>
              </w:rPr>
              <w:t>.</w:t>
            </w:r>
          </w:p>
        </w:tc>
      </w:tr>
      <w:tr w:rsidR="00000000">
        <w:trPr>
          <w:divId w:val="1235971484"/>
          <w:trHeight w:val="300"/>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rsidR="00000000" w:rsidRDefault="00943C43">
            <w:pPr>
              <w:spacing w:after="100"/>
              <w:rPr>
                <w:rFonts w:eastAsia="Times New Roman"/>
                <w:sz w:val="20"/>
                <w:szCs w:val="20"/>
              </w:rPr>
            </w:pPr>
          </w:p>
        </w:tc>
      </w:tr>
      <w:tr w:rsidR="00000000">
        <w:trPr>
          <w:divId w:val="1235971484"/>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20"/>
                <w:szCs w:val="20"/>
              </w:rPr>
              <w:t>By:</w:t>
            </w:r>
          </w:p>
        </w:tc>
        <w:tc>
          <w:tcPr>
            <w:tcW w:w="0" w:type="auto"/>
            <w:gridSpan w:val="9"/>
            <w:tcBorders>
              <w:bottom w:val="single" w:sz="8" w:space="0" w:color="000000"/>
            </w:tcBorders>
            <w:tcMar>
              <w:top w:w="30" w:type="dxa"/>
              <w:left w:w="20" w:type="dxa"/>
              <w:bottom w:w="30" w:type="dxa"/>
              <w:right w:w="20" w:type="dxa"/>
            </w:tcMar>
            <w:hideMark/>
          </w:tcPr>
          <w:p w:rsidR="00000000" w:rsidRDefault="00943C43">
            <w:pPr>
              <w:spacing w:after="100"/>
              <w:rPr>
                <w:rFonts w:eastAsia="Times New Roman"/>
              </w:rPr>
            </w:pPr>
            <w:r>
              <w:rPr>
                <w:rFonts w:eastAsia="Times New Roman"/>
                <w:color w:val="000000"/>
                <w:sz w:val="20"/>
                <w:szCs w:val="20"/>
              </w:rPr>
              <w:t>/s/ Jonathan Carpenter</w:t>
            </w:r>
          </w:p>
        </w:tc>
      </w:tr>
      <w:tr w:rsidR="00000000">
        <w:trPr>
          <w:divId w:val="1235971484"/>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20"/>
                <w:szCs w:val="20"/>
              </w:rPr>
              <w:t>Jonathan Carpenter</w:t>
            </w:r>
          </w:p>
        </w:tc>
      </w:tr>
      <w:tr w:rsidR="00000000">
        <w:trPr>
          <w:divId w:val="1235971484"/>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3C43">
            <w:pPr>
              <w:spacing w:after="100"/>
              <w:rPr>
                <w:rFonts w:eastAsia="Times New Roman"/>
              </w:rPr>
            </w:pPr>
            <w:r>
              <w:rPr>
                <w:rFonts w:eastAsia="Times New Roman"/>
                <w:color w:val="000000"/>
                <w:sz w:val="20"/>
                <w:szCs w:val="20"/>
              </w:rPr>
              <w:t>Chief Financial Officer and Treasurer</w:t>
            </w:r>
          </w:p>
        </w:tc>
      </w:tr>
      <w:tr w:rsidR="00000000">
        <w:trPr>
          <w:divId w:val="1235971484"/>
        </w:trPr>
        <w:tc>
          <w:tcPr>
            <w:tcW w:w="0" w:type="auto"/>
            <w:gridSpan w:val="3"/>
            <w:tcMar>
              <w:top w:w="0" w:type="dxa"/>
              <w:left w:w="20" w:type="dxa"/>
              <w:bottom w:w="0" w:type="dxa"/>
              <w:right w:w="20" w:type="dxa"/>
            </w:tcMar>
            <w:vAlign w:val="center"/>
            <w:hideMark/>
          </w:tcPr>
          <w:p w:rsidR="00000000" w:rsidRDefault="00943C4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C43">
            <w:pPr>
              <w:spacing w:after="100"/>
              <w:rPr>
                <w:rFonts w:eastAsia="Times New Roman"/>
                <w:sz w:val="20"/>
                <w:szCs w:val="20"/>
              </w:rPr>
            </w:pPr>
          </w:p>
        </w:tc>
        <w:tc>
          <w:tcPr>
            <w:tcW w:w="0" w:type="auto"/>
            <w:gridSpan w:val="9"/>
            <w:tcMar>
              <w:top w:w="30" w:type="dxa"/>
              <w:left w:w="20" w:type="dxa"/>
              <w:bottom w:w="30" w:type="dxa"/>
              <w:right w:w="20" w:type="dxa"/>
            </w:tcMar>
            <w:hideMark/>
          </w:tcPr>
          <w:p w:rsidR="00000000" w:rsidRDefault="00943C43">
            <w:pPr>
              <w:spacing w:after="100"/>
              <w:rPr>
                <w:rFonts w:eastAsia="Times New Roman"/>
              </w:rPr>
            </w:pPr>
            <w:r>
              <w:rPr>
                <w:rFonts w:eastAsia="Times New Roman"/>
                <w:color w:val="000000"/>
                <w:sz w:val="20"/>
                <w:szCs w:val="20"/>
              </w:rPr>
              <w:t>(Principal Financial Officer and Duly Authorized Officer)</w:t>
            </w:r>
          </w:p>
        </w:tc>
      </w:tr>
    </w:tbl>
    <w:p w:rsidR="00000000" w:rsidRDefault="00943C43">
      <w:pPr>
        <w:jc w:val="both"/>
        <w:rPr>
          <w:rFonts w:eastAsia="Times New Roman"/>
        </w:rPr>
      </w:pPr>
      <w:r>
        <w:rPr>
          <w:rFonts w:eastAsia="Times New Roman"/>
          <w:color w:val="000000"/>
          <w:sz w:val="20"/>
          <w:szCs w:val="20"/>
        </w:rPr>
        <w:t>May 10, 2022</w:t>
      </w:r>
    </w:p>
    <w:p w:rsidR="00000000" w:rsidRDefault="00943C43">
      <w:pPr>
        <w:jc w:val="center"/>
        <w:divId w:val="790977506"/>
        <w:rPr>
          <w:rFonts w:eastAsia="Times New Roman"/>
        </w:rPr>
      </w:pPr>
      <w:r>
        <w:rPr>
          <w:rFonts w:eastAsia="Times New Roman"/>
          <w:color w:val="000000"/>
          <w:sz w:val="20"/>
          <w:szCs w:val="20"/>
        </w:rPr>
        <w:t>28</w:t>
      </w:r>
    </w:p>
    <w:p w:rsidR="00000000" w:rsidRDefault="00943C43">
      <w:pPr>
        <w:rPr>
          <w:rFonts w:eastAsia="Times New Roman"/>
        </w:rPr>
      </w:pPr>
      <w:r>
        <w:rPr>
          <w:rFonts w:eastAsia="Times New Roman"/>
        </w:rPr>
        <w:pict>
          <v:rect id="_x0000_i1055" style="width:0;height:1.5pt" o:hralign="center" o:hrstd="t" o:hr="t" fillcolor="#a0a0a0" stroked="f"/>
        </w:pict>
      </w:r>
    </w:p>
    <w:p w:rsidR="00000000" w:rsidRDefault="00943C43">
      <w:pPr>
        <w:divId w:val="1794251882"/>
        <w:rPr>
          <w:rFonts w:eastAsia="Times New Roman"/>
        </w:rPr>
      </w:pPr>
      <w:hyperlink w:anchor="i81c699a6f33e49f8a081f48620e58c22_7" w:history="1">
        <w:r>
          <w:rPr>
            <w:rStyle w:val="a3"/>
            <w:rFonts w:eastAsia="Times New Roman"/>
            <w:sz w:val="20"/>
            <w:szCs w:val="20"/>
          </w:rPr>
          <w:t>Table of Contents</w:t>
        </w:r>
      </w:hyperlink>
    </w:p>
    <w:p w:rsidR="00000000" w:rsidRDefault="00943C43">
      <w:pPr>
        <w:jc w:val="both"/>
        <w:divId w:val="320080144"/>
        <w:rPr>
          <w:rFonts w:eastAsia="Times New Roman"/>
        </w:rPr>
      </w:pPr>
    </w:p>
    <w:p w:rsidR="00000000" w:rsidRDefault="00943C43">
      <w:pPr>
        <w:jc w:val="center"/>
        <w:divId w:val="765033408"/>
        <w:rPr>
          <w:rFonts w:eastAsia="Times New Roman"/>
        </w:rPr>
      </w:pPr>
    </w:p>
    <w:p w:rsidR="00000000" w:rsidRDefault="00943C43">
      <w:pPr>
        <w:spacing w:before="2500"/>
        <w:jc w:val="center"/>
        <w:divId w:val="310601644"/>
        <w:rPr>
          <w:rFonts w:eastAsia="Times New Roman"/>
        </w:rPr>
      </w:pPr>
      <w:r>
        <w:rPr>
          <w:rFonts w:eastAsia="Times New Roman"/>
          <w:noProof/>
        </w:rPr>
        <w:drawing>
          <wp:inline distT="0" distB="0" distL="0" distR="0">
            <wp:extent cx="304800" cy="304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43C43" w:rsidRDefault="00943C43">
      <w:pPr>
        <w:jc w:val="both"/>
        <w:divId w:val="1790005991"/>
        <w:rPr>
          <w:rFonts w:eastAsia="Times New Roman"/>
        </w:rPr>
      </w:pPr>
    </w:p>
    <w:sectPr w:rsidR="00943C4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43C43"/>
    <w:rsid w:val="00943C43"/>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www.xbrl.org/2003/iso4217"/>
  <w:attachedSchema w:val="http://www.xbrl.org/2003/linkbase"/>
  <w:attachedSchema w:val="http://www.w3.org/1999/xlink"/>
  <w:attachedSchema w:val="http://fasb.org/srt/2021-01-31"/>
  <w:attachedSchema w:val="http://xbrl.sec.gov/country/2021"/>
  <w:attachedSchema w:val="http://www.xbrl.org/2003/instance"/>
  <w:attachedSchema w:val="http://fasb.org/us-gaap/2021-01-31"/>
  <w:attachedSchema w:val="http://www.xbrl.org/inlineXBRL/transformation/2020-02-12"/>
  <w:attachedSchema w:val="http://www.xbrl.org/2009/utr"/>
  <w:attachedSchema w:val="http://www.sec.gov/inlineXBRL/transformation/2015-08-31"/>
  <w:attachedSchema w:val="http://www.xbrl.org/2013/inlineXBRL"/>
  <w:attachedSchema w:val="http://www.comscore.com/20220331"/>
  <w:attachedSchema w:val="http://xbrl.sec.gov/dei/2021q4"/>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9717">
      <w:marLeft w:val="0"/>
      <w:marRight w:val="0"/>
      <w:marTop w:val="100"/>
      <w:marBottom w:val="0"/>
      <w:divBdr>
        <w:top w:val="none" w:sz="0" w:space="0" w:color="auto"/>
        <w:left w:val="none" w:sz="0" w:space="0" w:color="auto"/>
        <w:bottom w:val="none" w:sz="0" w:space="0" w:color="auto"/>
        <w:right w:val="none" w:sz="0" w:space="0" w:color="auto"/>
      </w:divBdr>
    </w:div>
    <w:div w:id="9912912">
      <w:marLeft w:val="0"/>
      <w:marRight w:val="0"/>
      <w:marTop w:val="280"/>
      <w:marBottom w:val="0"/>
      <w:divBdr>
        <w:top w:val="none" w:sz="0" w:space="0" w:color="auto"/>
        <w:left w:val="none" w:sz="0" w:space="0" w:color="auto"/>
        <w:bottom w:val="none" w:sz="0" w:space="0" w:color="auto"/>
        <w:right w:val="none" w:sz="0" w:space="0" w:color="auto"/>
      </w:divBdr>
    </w:div>
    <w:div w:id="24719281">
      <w:marLeft w:val="0"/>
      <w:marRight w:val="0"/>
      <w:marTop w:val="0"/>
      <w:marBottom w:val="0"/>
      <w:divBdr>
        <w:top w:val="none" w:sz="0" w:space="0" w:color="auto"/>
        <w:left w:val="none" w:sz="0" w:space="0" w:color="auto"/>
        <w:bottom w:val="none" w:sz="0" w:space="0" w:color="auto"/>
        <w:right w:val="none" w:sz="0" w:space="0" w:color="auto"/>
      </w:divBdr>
      <w:divsChild>
        <w:div w:id="1910118058">
          <w:marLeft w:val="0"/>
          <w:marRight w:val="0"/>
          <w:marTop w:val="0"/>
          <w:marBottom w:val="0"/>
          <w:divBdr>
            <w:top w:val="none" w:sz="0" w:space="0" w:color="auto"/>
            <w:left w:val="none" w:sz="0" w:space="0" w:color="auto"/>
            <w:bottom w:val="none" w:sz="0" w:space="0" w:color="auto"/>
            <w:right w:val="none" w:sz="0" w:space="0" w:color="auto"/>
          </w:divBdr>
        </w:div>
      </w:divsChild>
    </w:div>
    <w:div w:id="28072731">
      <w:marLeft w:val="0"/>
      <w:marRight w:val="0"/>
      <w:marTop w:val="0"/>
      <w:marBottom w:val="0"/>
      <w:divBdr>
        <w:top w:val="none" w:sz="0" w:space="0" w:color="auto"/>
        <w:left w:val="none" w:sz="0" w:space="0" w:color="auto"/>
        <w:bottom w:val="none" w:sz="0" w:space="0" w:color="auto"/>
        <w:right w:val="none" w:sz="0" w:space="0" w:color="auto"/>
      </w:divBdr>
      <w:divsChild>
        <w:div w:id="623776786">
          <w:marLeft w:val="0"/>
          <w:marRight w:val="0"/>
          <w:marTop w:val="0"/>
          <w:marBottom w:val="0"/>
          <w:divBdr>
            <w:top w:val="none" w:sz="0" w:space="0" w:color="auto"/>
            <w:left w:val="none" w:sz="0" w:space="0" w:color="auto"/>
            <w:bottom w:val="none" w:sz="0" w:space="0" w:color="auto"/>
            <w:right w:val="none" w:sz="0" w:space="0" w:color="auto"/>
          </w:divBdr>
        </w:div>
      </w:divsChild>
    </w:div>
    <w:div w:id="34283397">
      <w:marLeft w:val="0"/>
      <w:marRight w:val="0"/>
      <w:marTop w:val="100"/>
      <w:marBottom w:val="0"/>
      <w:divBdr>
        <w:top w:val="none" w:sz="0" w:space="0" w:color="auto"/>
        <w:left w:val="none" w:sz="0" w:space="0" w:color="auto"/>
        <w:bottom w:val="none" w:sz="0" w:space="0" w:color="auto"/>
        <w:right w:val="none" w:sz="0" w:space="0" w:color="auto"/>
      </w:divBdr>
    </w:div>
    <w:div w:id="41563653">
      <w:marLeft w:val="0"/>
      <w:marRight w:val="0"/>
      <w:marTop w:val="100"/>
      <w:marBottom w:val="0"/>
      <w:divBdr>
        <w:top w:val="none" w:sz="0" w:space="0" w:color="auto"/>
        <w:left w:val="none" w:sz="0" w:space="0" w:color="auto"/>
        <w:bottom w:val="none" w:sz="0" w:space="0" w:color="auto"/>
        <w:right w:val="none" w:sz="0" w:space="0" w:color="auto"/>
      </w:divBdr>
    </w:div>
    <w:div w:id="48572635">
      <w:marLeft w:val="0"/>
      <w:marRight w:val="0"/>
      <w:marTop w:val="100"/>
      <w:marBottom w:val="0"/>
      <w:divBdr>
        <w:top w:val="none" w:sz="0" w:space="0" w:color="auto"/>
        <w:left w:val="none" w:sz="0" w:space="0" w:color="auto"/>
        <w:bottom w:val="none" w:sz="0" w:space="0" w:color="auto"/>
        <w:right w:val="none" w:sz="0" w:space="0" w:color="auto"/>
      </w:divBdr>
    </w:div>
    <w:div w:id="50468227">
      <w:marLeft w:val="0"/>
      <w:marRight w:val="0"/>
      <w:marTop w:val="100"/>
      <w:marBottom w:val="0"/>
      <w:divBdr>
        <w:top w:val="none" w:sz="0" w:space="0" w:color="auto"/>
        <w:left w:val="none" w:sz="0" w:space="0" w:color="auto"/>
        <w:bottom w:val="none" w:sz="0" w:space="0" w:color="auto"/>
        <w:right w:val="none" w:sz="0" w:space="0" w:color="auto"/>
      </w:divBdr>
    </w:div>
    <w:div w:id="55663642">
      <w:marLeft w:val="0"/>
      <w:marRight w:val="0"/>
      <w:marTop w:val="100"/>
      <w:marBottom w:val="0"/>
      <w:divBdr>
        <w:top w:val="none" w:sz="0" w:space="0" w:color="auto"/>
        <w:left w:val="none" w:sz="0" w:space="0" w:color="auto"/>
        <w:bottom w:val="none" w:sz="0" w:space="0" w:color="auto"/>
        <w:right w:val="none" w:sz="0" w:space="0" w:color="auto"/>
      </w:divBdr>
    </w:div>
    <w:div w:id="55789511">
      <w:marLeft w:val="0"/>
      <w:marRight w:val="0"/>
      <w:marTop w:val="100"/>
      <w:marBottom w:val="0"/>
      <w:divBdr>
        <w:top w:val="none" w:sz="0" w:space="0" w:color="auto"/>
        <w:left w:val="none" w:sz="0" w:space="0" w:color="auto"/>
        <w:bottom w:val="none" w:sz="0" w:space="0" w:color="auto"/>
        <w:right w:val="none" w:sz="0" w:space="0" w:color="auto"/>
      </w:divBdr>
    </w:div>
    <w:div w:id="56709930">
      <w:marLeft w:val="0"/>
      <w:marRight w:val="0"/>
      <w:marTop w:val="240"/>
      <w:marBottom w:val="0"/>
      <w:divBdr>
        <w:top w:val="none" w:sz="0" w:space="0" w:color="auto"/>
        <w:left w:val="none" w:sz="0" w:space="0" w:color="auto"/>
        <w:bottom w:val="none" w:sz="0" w:space="0" w:color="auto"/>
        <w:right w:val="none" w:sz="0" w:space="0" w:color="auto"/>
      </w:divBdr>
    </w:div>
    <w:div w:id="58750865">
      <w:marLeft w:val="0"/>
      <w:marRight w:val="0"/>
      <w:marTop w:val="240"/>
      <w:marBottom w:val="0"/>
      <w:divBdr>
        <w:top w:val="none" w:sz="0" w:space="0" w:color="auto"/>
        <w:left w:val="none" w:sz="0" w:space="0" w:color="auto"/>
        <w:bottom w:val="none" w:sz="0" w:space="0" w:color="auto"/>
        <w:right w:val="none" w:sz="0" w:space="0" w:color="auto"/>
      </w:divBdr>
    </w:div>
    <w:div w:id="70320229">
      <w:marLeft w:val="0"/>
      <w:marRight w:val="0"/>
      <w:marTop w:val="120"/>
      <w:marBottom w:val="0"/>
      <w:divBdr>
        <w:top w:val="none" w:sz="0" w:space="0" w:color="auto"/>
        <w:left w:val="none" w:sz="0" w:space="0" w:color="auto"/>
        <w:bottom w:val="none" w:sz="0" w:space="0" w:color="auto"/>
        <w:right w:val="none" w:sz="0" w:space="0" w:color="auto"/>
      </w:divBdr>
    </w:div>
    <w:div w:id="74212470">
      <w:marLeft w:val="0"/>
      <w:marRight w:val="0"/>
      <w:marTop w:val="0"/>
      <w:marBottom w:val="0"/>
      <w:divBdr>
        <w:top w:val="none" w:sz="0" w:space="0" w:color="auto"/>
        <w:left w:val="none" w:sz="0" w:space="0" w:color="auto"/>
        <w:bottom w:val="none" w:sz="0" w:space="0" w:color="auto"/>
        <w:right w:val="none" w:sz="0" w:space="0" w:color="auto"/>
      </w:divBdr>
      <w:divsChild>
        <w:div w:id="1076780669">
          <w:marLeft w:val="0"/>
          <w:marRight w:val="0"/>
          <w:marTop w:val="0"/>
          <w:marBottom w:val="0"/>
          <w:divBdr>
            <w:top w:val="none" w:sz="0" w:space="0" w:color="auto"/>
            <w:left w:val="none" w:sz="0" w:space="0" w:color="auto"/>
            <w:bottom w:val="none" w:sz="0" w:space="0" w:color="auto"/>
            <w:right w:val="none" w:sz="0" w:space="0" w:color="auto"/>
          </w:divBdr>
        </w:div>
      </w:divsChild>
    </w:div>
    <w:div w:id="74716997">
      <w:marLeft w:val="0"/>
      <w:marRight w:val="0"/>
      <w:marTop w:val="0"/>
      <w:marBottom w:val="0"/>
      <w:divBdr>
        <w:top w:val="none" w:sz="0" w:space="0" w:color="auto"/>
        <w:left w:val="none" w:sz="0" w:space="0" w:color="auto"/>
        <w:bottom w:val="none" w:sz="0" w:space="0" w:color="auto"/>
        <w:right w:val="none" w:sz="0" w:space="0" w:color="auto"/>
      </w:divBdr>
      <w:divsChild>
        <w:div w:id="1731222758">
          <w:marLeft w:val="0"/>
          <w:marRight w:val="0"/>
          <w:marTop w:val="0"/>
          <w:marBottom w:val="0"/>
          <w:divBdr>
            <w:top w:val="none" w:sz="0" w:space="0" w:color="auto"/>
            <w:left w:val="none" w:sz="0" w:space="0" w:color="auto"/>
            <w:bottom w:val="none" w:sz="0" w:space="0" w:color="auto"/>
            <w:right w:val="none" w:sz="0" w:space="0" w:color="auto"/>
          </w:divBdr>
        </w:div>
      </w:divsChild>
    </w:div>
    <w:div w:id="78411541">
      <w:marLeft w:val="0"/>
      <w:marRight w:val="0"/>
      <w:marTop w:val="240"/>
      <w:marBottom w:val="0"/>
      <w:divBdr>
        <w:top w:val="none" w:sz="0" w:space="0" w:color="auto"/>
        <w:left w:val="none" w:sz="0" w:space="0" w:color="auto"/>
        <w:bottom w:val="none" w:sz="0" w:space="0" w:color="auto"/>
        <w:right w:val="none" w:sz="0" w:space="0" w:color="auto"/>
      </w:divBdr>
    </w:div>
    <w:div w:id="80377648">
      <w:marLeft w:val="0"/>
      <w:marRight w:val="0"/>
      <w:marTop w:val="240"/>
      <w:marBottom w:val="0"/>
      <w:divBdr>
        <w:top w:val="none" w:sz="0" w:space="0" w:color="auto"/>
        <w:left w:val="none" w:sz="0" w:space="0" w:color="auto"/>
        <w:bottom w:val="none" w:sz="0" w:space="0" w:color="auto"/>
        <w:right w:val="none" w:sz="0" w:space="0" w:color="auto"/>
      </w:divBdr>
    </w:div>
    <w:div w:id="82801286">
      <w:marLeft w:val="0"/>
      <w:marRight w:val="0"/>
      <w:marTop w:val="120"/>
      <w:marBottom w:val="0"/>
      <w:divBdr>
        <w:top w:val="none" w:sz="0" w:space="0" w:color="auto"/>
        <w:left w:val="none" w:sz="0" w:space="0" w:color="auto"/>
        <w:bottom w:val="none" w:sz="0" w:space="0" w:color="auto"/>
        <w:right w:val="none" w:sz="0" w:space="0" w:color="auto"/>
      </w:divBdr>
    </w:div>
    <w:div w:id="92169308">
      <w:marLeft w:val="0"/>
      <w:marRight w:val="0"/>
      <w:marTop w:val="100"/>
      <w:marBottom w:val="0"/>
      <w:divBdr>
        <w:top w:val="none" w:sz="0" w:space="0" w:color="auto"/>
        <w:left w:val="none" w:sz="0" w:space="0" w:color="auto"/>
        <w:bottom w:val="none" w:sz="0" w:space="0" w:color="auto"/>
        <w:right w:val="none" w:sz="0" w:space="0" w:color="auto"/>
      </w:divBdr>
    </w:div>
    <w:div w:id="94790890">
      <w:marLeft w:val="0"/>
      <w:marRight w:val="0"/>
      <w:marTop w:val="100"/>
      <w:marBottom w:val="0"/>
      <w:divBdr>
        <w:top w:val="none" w:sz="0" w:space="0" w:color="auto"/>
        <w:left w:val="none" w:sz="0" w:space="0" w:color="auto"/>
        <w:bottom w:val="none" w:sz="0" w:space="0" w:color="auto"/>
        <w:right w:val="none" w:sz="0" w:space="0" w:color="auto"/>
      </w:divBdr>
    </w:div>
    <w:div w:id="97990621">
      <w:marLeft w:val="0"/>
      <w:marRight w:val="0"/>
      <w:marTop w:val="0"/>
      <w:marBottom w:val="0"/>
      <w:divBdr>
        <w:top w:val="none" w:sz="0" w:space="0" w:color="auto"/>
        <w:left w:val="none" w:sz="0" w:space="0" w:color="auto"/>
        <w:bottom w:val="none" w:sz="0" w:space="0" w:color="auto"/>
        <w:right w:val="none" w:sz="0" w:space="0" w:color="auto"/>
      </w:divBdr>
      <w:divsChild>
        <w:div w:id="393088478">
          <w:marLeft w:val="0"/>
          <w:marRight w:val="0"/>
          <w:marTop w:val="0"/>
          <w:marBottom w:val="0"/>
          <w:divBdr>
            <w:top w:val="none" w:sz="0" w:space="0" w:color="auto"/>
            <w:left w:val="none" w:sz="0" w:space="0" w:color="auto"/>
            <w:bottom w:val="none" w:sz="0" w:space="0" w:color="auto"/>
            <w:right w:val="none" w:sz="0" w:space="0" w:color="auto"/>
          </w:divBdr>
        </w:div>
      </w:divsChild>
    </w:div>
    <w:div w:id="98262654">
      <w:marLeft w:val="0"/>
      <w:marRight w:val="0"/>
      <w:marTop w:val="100"/>
      <w:marBottom w:val="0"/>
      <w:divBdr>
        <w:top w:val="none" w:sz="0" w:space="0" w:color="auto"/>
        <w:left w:val="none" w:sz="0" w:space="0" w:color="auto"/>
        <w:bottom w:val="none" w:sz="0" w:space="0" w:color="auto"/>
        <w:right w:val="none" w:sz="0" w:space="0" w:color="auto"/>
      </w:divBdr>
    </w:div>
    <w:div w:id="99952437">
      <w:marLeft w:val="0"/>
      <w:marRight w:val="0"/>
      <w:marTop w:val="240"/>
      <w:marBottom w:val="0"/>
      <w:divBdr>
        <w:top w:val="none" w:sz="0" w:space="0" w:color="auto"/>
        <w:left w:val="none" w:sz="0" w:space="0" w:color="auto"/>
        <w:bottom w:val="none" w:sz="0" w:space="0" w:color="auto"/>
        <w:right w:val="none" w:sz="0" w:space="0" w:color="auto"/>
      </w:divBdr>
    </w:div>
    <w:div w:id="113059459">
      <w:marLeft w:val="0"/>
      <w:marRight w:val="0"/>
      <w:marTop w:val="240"/>
      <w:marBottom w:val="0"/>
      <w:divBdr>
        <w:top w:val="none" w:sz="0" w:space="0" w:color="auto"/>
        <w:left w:val="none" w:sz="0" w:space="0" w:color="auto"/>
        <w:bottom w:val="none" w:sz="0" w:space="0" w:color="auto"/>
        <w:right w:val="none" w:sz="0" w:space="0" w:color="auto"/>
      </w:divBdr>
    </w:div>
    <w:div w:id="134838979">
      <w:marLeft w:val="0"/>
      <w:marRight w:val="0"/>
      <w:marTop w:val="100"/>
      <w:marBottom w:val="0"/>
      <w:divBdr>
        <w:top w:val="none" w:sz="0" w:space="0" w:color="auto"/>
        <w:left w:val="none" w:sz="0" w:space="0" w:color="auto"/>
        <w:bottom w:val="none" w:sz="0" w:space="0" w:color="auto"/>
        <w:right w:val="none" w:sz="0" w:space="0" w:color="auto"/>
      </w:divBdr>
    </w:div>
    <w:div w:id="138304525">
      <w:marLeft w:val="0"/>
      <w:marRight w:val="0"/>
      <w:marTop w:val="280"/>
      <w:marBottom w:val="0"/>
      <w:divBdr>
        <w:top w:val="none" w:sz="0" w:space="0" w:color="auto"/>
        <w:left w:val="none" w:sz="0" w:space="0" w:color="auto"/>
        <w:bottom w:val="none" w:sz="0" w:space="0" w:color="auto"/>
        <w:right w:val="none" w:sz="0" w:space="0" w:color="auto"/>
      </w:divBdr>
    </w:div>
    <w:div w:id="141897023">
      <w:marLeft w:val="0"/>
      <w:marRight w:val="0"/>
      <w:marTop w:val="100"/>
      <w:marBottom w:val="0"/>
      <w:divBdr>
        <w:top w:val="none" w:sz="0" w:space="0" w:color="auto"/>
        <w:left w:val="none" w:sz="0" w:space="0" w:color="auto"/>
        <w:bottom w:val="none" w:sz="0" w:space="0" w:color="auto"/>
        <w:right w:val="none" w:sz="0" w:space="0" w:color="auto"/>
      </w:divBdr>
      <w:divsChild>
        <w:div w:id="163129583">
          <w:marLeft w:val="0"/>
          <w:marRight w:val="0"/>
          <w:marTop w:val="0"/>
          <w:marBottom w:val="0"/>
          <w:divBdr>
            <w:top w:val="none" w:sz="0" w:space="0" w:color="auto"/>
            <w:left w:val="none" w:sz="0" w:space="0" w:color="auto"/>
            <w:bottom w:val="none" w:sz="0" w:space="0" w:color="auto"/>
            <w:right w:val="none" w:sz="0" w:space="0" w:color="auto"/>
          </w:divBdr>
        </w:div>
        <w:div w:id="1633056228">
          <w:marLeft w:val="0"/>
          <w:marRight w:val="0"/>
          <w:marTop w:val="0"/>
          <w:marBottom w:val="0"/>
          <w:divBdr>
            <w:top w:val="none" w:sz="0" w:space="0" w:color="auto"/>
            <w:left w:val="none" w:sz="0" w:space="0" w:color="auto"/>
            <w:bottom w:val="none" w:sz="0" w:space="0" w:color="auto"/>
            <w:right w:val="none" w:sz="0" w:space="0" w:color="auto"/>
          </w:divBdr>
        </w:div>
        <w:div w:id="1623684431">
          <w:marLeft w:val="0"/>
          <w:marRight w:val="0"/>
          <w:marTop w:val="0"/>
          <w:marBottom w:val="0"/>
          <w:divBdr>
            <w:top w:val="none" w:sz="0" w:space="0" w:color="auto"/>
            <w:left w:val="none" w:sz="0" w:space="0" w:color="auto"/>
            <w:bottom w:val="none" w:sz="0" w:space="0" w:color="auto"/>
            <w:right w:val="none" w:sz="0" w:space="0" w:color="auto"/>
          </w:divBdr>
        </w:div>
        <w:div w:id="2144496323">
          <w:marLeft w:val="0"/>
          <w:marRight w:val="0"/>
          <w:marTop w:val="0"/>
          <w:marBottom w:val="0"/>
          <w:divBdr>
            <w:top w:val="none" w:sz="0" w:space="0" w:color="auto"/>
            <w:left w:val="none" w:sz="0" w:space="0" w:color="auto"/>
            <w:bottom w:val="none" w:sz="0" w:space="0" w:color="auto"/>
            <w:right w:val="none" w:sz="0" w:space="0" w:color="auto"/>
          </w:divBdr>
        </w:div>
        <w:div w:id="1891183741">
          <w:marLeft w:val="0"/>
          <w:marRight w:val="0"/>
          <w:marTop w:val="0"/>
          <w:marBottom w:val="0"/>
          <w:divBdr>
            <w:top w:val="none" w:sz="0" w:space="0" w:color="auto"/>
            <w:left w:val="none" w:sz="0" w:space="0" w:color="auto"/>
            <w:bottom w:val="none" w:sz="0" w:space="0" w:color="auto"/>
            <w:right w:val="none" w:sz="0" w:space="0" w:color="auto"/>
          </w:divBdr>
        </w:div>
        <w:div w:id="1345477540">
          <w:marLeft w:val="0"/>
          <w:marRight w:val="0"/>
          <w:marTop w:val="0"/>
          <w:marBottom w:val="0"/>
          <w:divBdr>
            <w:top w:val="none" w:sz="0" w:space="0" w:color="auto"/>
            <w:left w:val="none" w:sz="0" w:space="0" w:color="auto"/>
            <w:bottom w:val="none" w:sz="0" w:space="0" w:color="auto"/>
            <w:right w:val="none" w:sz="0" w:space="0" w:color="auto"/>
          </w:divBdr>
        </w:div>
        <w:div w:id="983390833">
          <w:marLeft w:val="0"/>
          <w:marRight w:val="0"/>
          <w:marTop w:val="0"/>
          <w:marBottom w:val="0"/>
          <w:divBdr>
            <w:top w:val="none" w:sz="0" w:space="0" w:color="auto"/>
            <w:left w:val="none" w:sz="0" w:space="0" w:color="auto"/>
            <w:bottom w:val="none" w:sz="0" w:space="0" w:color="auto"/>
            <w:right w:val="none" w:sz="0" w:space="0" w:color="auto"/>
          </w:divBdr>
        </w:div>
        <w:div w:id="1398045412">
          <w:marLeft w:val="0"/>
          <w:marRight w:val="0"/>
          <w:marTop w:val="0"/>
          <w:marBottom w:val="0"/>
          <w:divBdr>
            <w:top w:val="none" w:sz="0" w:space="0" w:color="auto"/>
            <w:left w:val="none" w:sz="0" w:space="0" w:color="auto"/>
            <w:bottom w:val="none" w:sz="0" w:space="0" w:color="auto"/>
            <w:right w:val="none" w:sz="0" w:space="0" w:color="auto"/>
          </w:divBdr>
        </w:div>
        <w:div w:id="593973442">
          <w:marLeft w:val="0"/>
          <w:marRight w:val="0"/>
          <w:marTop w:val="0"/>
          <w:marBottom w:val="0"/>
          <w:divBdr>
            <w:top w:val="none" w:sz="0" w:space="0" w:color="auto"/>
            <w:left w:val="none" w:sz="0" w:space="0" w:color="auto"/>
            <w:bottom w:val="none" w:sz="0" w:space="0" w:color="auto"/>
            <w:right w:val="none" w:sz="0" w:space="0" w:color="auto"/>
          </w:divBdr>
        </w:div>
      </w:divsChild>
    </w:div>
    <w:div w:id="146677077">
      <w:marLeft w:val="0"/>
      <w:marRight w:val="0"/>
      <w:marTop w:val="40"/>
      <w:marBottom w:val="0"/>
      <w:divBdr>
        <w:top w:val="none" w:sz="0" w:space="0" w:color="auto"/>
        <w:left w:val="none" w:sz="0" w:space="0" w:color="auto"/>
        <w:bottom w:val="none" w:sz="0" w:space="0" w:color="auto"/>
        <w:right w:val="none" w:sz="0" w:space="0" w:color="auto"/>
      </w:divBdr>
    </w:div>
    <w:div w:id="154345698">
      <w:marLeft w:val="0"/>
      <w:marRight w:val="0"/>
      <w:marTop w:val="100"/>
      <w:marBottom w:val="0"/>
      <w:divBdr>
        <w:top w:val="none" w:sz="0" w:space="0" w:color="auto"/>
        <w:left w:val="none" w:sz="0" w:space="0" w:color="auto"/>
        <w:bottom w:val="none" w:sz="0" w:space="0" w:color="auto"/>
        <w:right w:val="none" w:sz="0" w:space="0" w:color="auto"/>
      </w:divBdr>
    </w:div>
    <w:div w:id="157618274">
      <w:marLeft w:val="0"/>
      <w:marRight w:val="0"/>
      <w:marTop w:val="100"/>
      <w:marBottom w:val="0"/>
      <w:divBdr>
        <w:top w:val="none" w:sz="0" w:space="0" w:color="auto"/>
        <w:left w:val="none" w:sz="0" w:space="0" w:color="auto"/>
        <w:bottom w:val="none" w:sz="0" w:space="0" w:color="auto"/>
        <w:right w:val="none" w:sz="0" w:space="0" w:color="auto"/>
      </w:divBdr>
    </w:div>
    <w:div w:id="163740141">
      <w:marLeft w:val="0"/>
      <w:marRight w:val="0"/>
      <w:marTop w:val="100"/>
      <w:marBottom w:val="0"/>
      <w:divBdr>
        <w:top w:val="none" w:sz="0" w:space="0" w:color="auto"/>
        <w:left w:val="none" w:sz="0" w:space="0" w:color="auto"/>
        <w:bottom w:val="none" w:sz="0" w:space="0" w:color="auto"/>
        <w:right w:val="none" w:sz="0" w:space="0" w:color="auto"/>
      </w:divBdr>
    </w:div>
    <w:div w:id="164982842">
      <w:marLeft w:val="0"/>
      <w:marRight w:val="0"/>
      <w:marTop w:val="240"/>
      <w:marBottom w:val="0"/>
      <w:divBdr>
        <w:top w:val="none" w:sz="0" w:space="0" w:color="auto"/>
        <w:left w:val="none" w:sz="0" w:space="0" w:color="auto"/>
        <w:bottom w:val="none" w:sz="0" w:space="0" w:color="auto"/>
        <w:right w:val="none" w:sz="0" w:space="0" w:color="auto"/>
      </w:divBdr>
    </w:div>
    <w:div w:id="168908484">
      <w:marLeft w:val="0"/>
      <w:marRight w:val="0"/>
      <w:marTop w:val="280"/>
      <w:marBottom w:val="0"/>
      <w:divBdr>
        <w:top w:val="none" w:sz="0" w:space="0" w:color="auto"/>
        <w:left w:val="none" w:sz="0" w:space="0" w:color="auto"/>
        <w:bottom w:val="none" w:sz="0" w:space="0" w:color="auto"/>
        <w:right w:val="none" w:sz="0" w:space="0" w:color="auto"/>
      </w:divBdr>
    </w:div>
    <w:div w:id="169877493">
      <w:marLeft w:val="0"/>
      <w:marRight w:val="0"/>
      <w:marTop w:val="100"/>
      <w:marBottom w:val="0"/>
      <w:divBdr>
        <w:top w:val="none" w:sz="0" w:space="0" w:color="auto"/>
        <w:left w:val="none" w:sz="0" w:space="0" w:color="auto"/>
        <w:bottom w:val="none" w:sz="0" w:space="0" w:color="auto"/>
        <w:right w:val="none" w:sz="0" w:space="0" w:color="auto"/>
      </w:divBdr>
    </w:div>
    <w:div w:id="170263905">
      <w:marLeft w:val="0"/>
      <w:marRight w:val="0"/>
      <w:marTop w:val="100"/>
      <w:marBottom w:val="0"/>
      <w:divBdr>
        <w:top w:val="none" w:sz="0" w:space="0" w:color="auto"/>
        <w:left w:val="none" w:sz="0" w:space="0" w:color="auto"/>
        <w:bottom w:val="none" w:sz="0" w:space="0" w:color="auto"/>
        <w:right w:val="none" w:sz="0" w:space="0" w:color="auto"/>
      </w:divBdr>
      <w:divsChild>
        <w:div w:id="370494989">
          <w:marLeft w:val="0"/>
          <w:marRight w:val="0"/>
          <w:marTop w:val="0"/>
          <w:marBottom w:val="0"/>
          <w:divBdr>
            <w:top w:val="none" w:sz="0" w:space="0" w:color="auto"/>
            <w:left w:val="none" w:sz="0" w:space="0" w:color="auto"/>
            <w:bottom w:val="none" w:sz="0" w:space="0" w:color="auto"/>
            <w:right w:val="none" w:sz="0" w:space="0" w:color="auto"/>
          </w:divBdr>
        </w:div>
      </w:divsChild>
    </w:div>
    <w:div w:id="190149642">
      <w:marLeft w:val="0"/>
      <w:marRight w:val="0"/>
      <w:marTop w:val="100"/>
      <w:marBottom w:val="0"/>
      <w:divBdr>
        <w:top w:val="none" w:sz="0" w:space="0" w:color="auto"/>
        <w:left w:val="none" w:sz="0" w:space="0" w:color="auto"/>
        <w:bottom w:val="none" w:sz="0" w:space="0" w:color="auto"/>
        <w:right w:val="none" w:sz="0" w:space="0" w:color="auto"/>
      </w:divBdr>
    </w:div>
    <w:div w:id="194077715">
      <w:marLeft w:val="0"/>
      <w:marRight w:val="0"/>
      <w:marTop w:val="100"/>
      <w:marBottom w:val="0"/>
      <w:divBdr>
        <w:top w:val="none" w:sz="0" w:space="0" w:color="auto"/>
        <w:left w:val="none" w:sz="0" w:space="0" w:color="auto"/>
        <w:bottom w:val="none" w:sz="0" w:space="0" w:color="auto"/>
        <w:right w:val="none" w:sz="0" w:space="0" w:color="auto"/>
      </w:divBdr>
    </w:div>
    <w:div w:id="195394697">
      <w:marLeft w:val="0"/>
      <w:marRight w:val="0"/>
      <w:marTop w:val="120"/>
      <w:marBottom w:val="0"/>
      <w:divBdr>
        <w:top w:val="none" w:sz="0" w:space="0" w:color="auto"/>
        <w:left w:val="none" w:sz="0" w:space="0" w:color="auto"/>
        <w:bottom w:val="none" w:sz="0" w:space="0" w:color="auto"/>
        <w:right w:val="none" w:sz="0" w:space="0" w:color="auto"/>
      </w:divBdr>
    </w:div>
    <w:div w:id="201943509">
      <w:marLeft w:val="0"/>
      <w:marRight w:val="0"/>
      <w:marTop w:val="100"/>
      <w:marBottom w:val="0"/>
      <w:divBdr>
        <w:top w:val="none" w:sz="0" w:space="0" w:color="auto"/>
        <w:left w:val="none" w:sz="0" w:space="0" w:color="auto"/>
        <w:bottom w:val="none" w:sz="0" w:space="0" w:color="auto"/>
        <w:right w:val="none" w:sz="0" w:space="0" w:color="auto"/>
      </w:divBdr>
    </w:div>
    <w:div w:id="202209421">
      <w:marLeft w:val="0"/>
      <w:marRight w:val="0"/>
      <w:marTop w:val="100"/>
      <w:marBottom w:val="0"/>
      <w:divBdr>
        <w:top w:val="none" w:sz="0" w:space="0" w:color="auto"/>
        <w:left w:val="none" w:sz="0" w:space="0" w:color="auto"/>
        <w:bottom w:val="none" w:sz="0" w:space="0" w:color="auto"/>
        <w:right w:val="none" w:sz="0" w:space="0" w:color="auto"/>
      </w:divBdr>
    </w:div>
    <w:div w:id="211505211">
      <w:marLeft w:val="0"/>
      <w:marRight w:val="0"/>
      <w:marTop w:val="100"/>
      <w:marBottom w:val="0"/>
      <w:divBdr>
        <w:top w:val="none" w:sz="0" w:space="0" w:color="auto"/>
        <w:left w:val="none" w:sz="0" w:space="0" w:color="auto"/>
        <w:bottom w:val="none" w:sz="0" w:space="0" w:color="auto"/>
        <w:right w:val="none" w:sz="0" w:space="0" w:color="auto"/>
      </w:divBdr>
    </w:div>
    <w:div w:id="231234695">
      <w:marLeft w:val="0"/>
      <w:marRight w:val="0"/>
      <w:marTop w:val="100"/>
      <w:marBottom w:val="0"/>
      <w:divBdr>
        <w:top w:val="none" w:sz="0" w:space="0" w:color="auto"/>
        <w:left w:val="none" w:sz="0" w:space="0" w:color="auto"/>
        <w:bottom w:val="none" w:sz="0" w:space="0" w:color="auto"/>
        <w:right w:val="none" w:sz="0" w:space="0" w:color="auto"/>
      </w:divBdr>
    </w:div>
    <w:div w:id="234631033">
      <w:marLeft w:val="0"/>
      <w:marRight w:val="0"/>
      <w:marTop w:val="100"/>
      <w:marBottom w:val="0"/>
      <w:divBdr>
        <w:top w:val="none" w:sz="0" w:space="0" w:color="auto"/>
        <w:left w:val="none" w:sz="0" w:space="0" w:color="auto"/>
        <w:bottom w:val="none" w:sz="0" w:space="0" w:color="auto"/>
        <w:right w:val="none" w:sz="0" w:space="0" w:color="auto"/>
      </w:divBdr>
    </w:div>
    <w:div w:id="242759127">
      <w:marLeft w:val="0"/>
      <w:marRight w:val="0"/>
      <w:marTop w:val="280"/>
      <w:marBottom w:val="0"/>
      <w:divBdr>
        <w:top w:val="none" w:sz="0" w:space="0" w:color="auto"/>
        <w:left w:val="none" w:sz="0" w:space="0" w:color="auto"/>
        <w:bottom w:val="none" w:sz="0" w:space="0" w:color="auto"/>
        <w:right w:val="none" w:sz="0" w:space="0" w:color="auto"/>
      </w:divBdr>
    </w:div>
    <w:div w:id="244538498">
      <w:marLeft w:val="0"/>
      <w:marRight w:val="0"/>
      <w:marTop w:val="240"/>
      <w:marBottom w:val="0"/>
      <w:divBdr>
        <w:top w:val="none" w:sz="0" w:space="0" w:color="auto"/>
        <w:left w:val="none" w:sz="0" w:space="0" w:color="auto"/>
        <w:bottom w:val="none" w:sz="0" w:space="0" w:color="auto"/>
        <w:right w:val="none" w:sz="0" w:space="0" w:color="auto"/>
      </w:divBdr>
    </w:div>
    <w:div w:id="246696766">
      <w:marLeft w:val="0"/>
      <w:marRight w:val="0"/>
      <w:marTop w:val="100"/>
      <w:marBottom w:val="0"/>
      <w:divBdr>
        <w:top w:val="none" w:sz="0" w:space="0" w:color="auto"/>
        <w:left w:val="none" w:sz="0" w:space="0" w:color="auto"/>
        <w:bottom w:val="none" w:sz="0" w:space="0" w:color="auto"/>
        <w:right w:val="none" w:sz="0" w:space="0" w:color="auto"/>
      </w:divBdr>
    </w:div>
    <w:div w:id="254754053">
      <w:marLeft w:val="0"/>
      <w:marRight w:val="0"/>
      <w:marTop w:val="240"/>
      <w:marBottom w:val="0"/>
      <w:divBdr>
        <w:top w:val="none" w:sz="0" w:space="0" w:color="auto"/>
        <w:left w:val="none" w:sz="0" w:space="0" w:color="auto"/>
        <w:bottom w:val="none" w:sz="0" w:space="0" w:color="auto"/>
        <w:right w:val="none" w:sz="0" w:space="0" w:color="auto"/>
      </w:divBdr>
    </w:div>
    <w:div w:id="257714356">
      <w:marLeft w:val="0"/>
      <w:marRight w:val="0"/>
      <w:marTop w:val="100"/>
      <w:marBottom w:val="0"/>
      <w:divBdr>
        <w:top w:val="none" w:sz="0" w:space="0" w:color="auto"/>
        <w:left w:val="none" w:sz="0" w:space="0" w:color="auto"/>
        <w:bottom w:val="none" w:sz="0" w:space="0" w:color="auto"/>
        <w:right w:val="none" w:sz="0" w:space="0" w:color="auto"/>
      </w:divBdr>
    </w:div>
    <w:div w:id="283922294">
      <w:marLeft w:val="0"/>
      <w:marRight w:val="0"/>
      <w:marTop w:val="280"/>
      <w:marBottom w:val="0"/>
      <w:divBdr>
        <w:top w:val="none" w:sz="0" w:space="0" w:color="auto"/>
        <w:left w:val="none" w:sz="0" w:space="0" w:color="auto"/>
        <w:bottom w:val="none" w:sz="0" w:space="0" w:color="auto"/>
        <w:right w:val="none" w:sz="0" w:space="0" w:color="auto"/>
      </w:divBdr>
    </w:div>
    <w:div w:id="295373736">
      <w:marLeft w:val="0"/>
      <w:marRight w:val="0"/>
      <w:marTop w:val="100"/>
      <w:marBottom w:val="0"/>
      <w:divBdr>
        <w:top w:val="none" w:sz="0" w:space="0" w:color="auto"/>
        <w:left w:val="none" w:sz="0" w:space="0" w:color="auto"/>
        <w:bottom w:val="none" w:sz="0" w:space="0" w:color="auto"/>
        <w:right w:val="none" w:sz="0" w:space="0" w:color="auto"/>
      </w:divBdr>
    </w:div>
    <w:div w:id="297614797">
      <w:marLeft w:val="0"/>
      <w:marRight w:val="0"/>
      <w:marTop w:val="100"/>
      <w:marBottom w:val="0"/>
      <w:divBdr>
        <w:top w:val="none" w:sz="0" w:space="0" w:color="auto"/>
        <w:left w:val="none" w:sz="0" w:space="0" w:color="auto"/>
        <w:bottom w:val="none" w:sz="0" w:space="0" w:color="auto"/>
        <w:right w:val="none" w:sz="0" w:space="0" w:color="auto"/>
      </w:divBdr>
    </w:div>
    <w:div w:id="297688638">
      <w:marLeft w:val="0"/>
      <w:marRight w:val="0"/>
      <w:marTop w:val="100"/>
      <w:marBottom w:val="0"/>
      <w:divBdr>
        <w:top w:val="none" w:sz="0" w:space="0" w:color="auto"/>
        <w:left w:val="none" w:sz="0" w:space="0" w:color="auto"/>
        <w:bottom w:val="none" w:sz="0" w:space="0" w:color="auto"/>
        <w:right w:val="none" w:sz="0" w:space="0" w:color="auto"/>
      </w:divBdr>
    </w:div>
    <w:div w:id="300814482">
      <w:marLeft w:val="0"/>
      <w:marRight w:val="0"/>
      <w:marTop w:val="100"/>
      <w:marBottom w:val="0"/>
      <w:divBdr>
        <w:top w:val="none" w:sz="0" w:space="0" w:color="auto"/>
        <w:left w:val="none" w:sz="0" w:space="0" w:color="auto"/>
        <w:bottom w:val="none" w:sz="0" w:space="0" w:color="auto"/>
        <w:right w:val="none" w:sz="0" w:space="0" w:color="auto"/>
      </w:divBdr>
    </w:div>
    <w:div w:id="301009880">
      <w:marLeft w:val="0"/>
      <w:marRight w:val="0"/>
      <w:marTop w:val="100"/>
      <w:marBottom w:val="0"/>
      <w:divBdr>
        <w:top w:val="none" w:sz="0" w:space="0" w:color="auto"/>
        <w:left w:val="none" w:sz="0" w:space="0" w:color="auto"/>
        <w:bottom w:val="none" w:sz="0" w:space="0" w:color="auto"/>
        <w:right w:val="none" w:sz="0" w:space="0" w:color="auto"/>
      </w:divBdr>
    </w:div>
    <w:div w:id="303588142">
      <w:marLeft w:val="0"/>
      <w:marRight w:val="0"/>
      <w:marTop w:val="0"/>
      <w:marBottom w:val="0"/>
      <w:divBdr>
        <w:top w:val="none" w:sz="0" w:space="0" w:color="auto"/>
        <w:left w:val="none" w:sz="0" w:space="0" w:color="auto"/>
        <w:bottom w:val="none" w:sz="0" w:space="0" w:color="auto"/>
        <w:right w:val="none" w:sz="0" w:space="0" w:color="auto"/>
      </w:divBdr>
      <w:divsChild>
        <w:div w:id="1627925331">
          <w:marLeft w:val="0"/>
          <w:marRight w:val="0"/>
          <w:marTop w:val="0"/>
          <w:marBottom w:val="0"/>
          <w:divBdr>
            <w:top w:val="none" w:sz="0" w:space="0" w:color="auto"/>
            <w:left w:val="none" w:sz="0" w:space="0" w:color="auto"/>
            <w:bottom w:val="none" w:sz="0" w:space="0" w:color="auto"/>
            <w:right w:val="none" w:sz="0" w:space="0" w:color="auto"/>
          </w:divBdr>
        </w:div>
      </w:divsChild>
    </w:div>
    <w:div w:id="310601644">
      <w:marLeft w:val="0"/>
      <w:marRight w:val="0"/>
      <w:marTop w:val="2500"/>
      <w:marBottom w:val="0"/>
      <w:divBdr>
        <w:top w:val="none" w:sz="0" w:space="0" w:color="auto"/>
        <w:left w:val="none" w:sz="0" w:space="0" w:color="auto"/>
        <w:bottom w:val="none" w:sz="0" w:space="0" w:color="auto"/>
        <w:right w:val="none" w:sz="0" w:space="0" w:color="auto"/>
      </w:divBdr>
    </w:div>
    <w:div w:id="315034449">
      <w:marLeft w:val="0"/>
      <w:marRight w:val="0"/>
      <w:marTop w:val="100"/>
      <w:marBottom w:val="0"/>
      <w:divBdr>
        <w:top w:val="none" w:sz="0" w:space="0" w:color="auto"/>
        <w:left w:val="none" w:sz="0" w:space="0" w:color="auto"/>
        <w:bottom w:val="none" w:sz="0" w:space="0" w:color="auto"/>
        <w:right w:val="none" w:sz="0" w:space="0" w:color="auto"/>
      </w:divBdr>
    </w:div>
    <w:div w:id="315572129">
      <w:marLeft w:val="0"/>
      <w:marRight w:val="0"/>
      <w:marTop w:val="100"/>
      <w:marBottom w:val="0"/>
      <w:divBdr>
        <w:top w:val="none" w:sz="0" w:space="0" w:color="auto"/>
        <w:left w:val="none" w:sz="0" w:space="0" w:color="auto"/>
        <w:bottom w:val="none" w:sz="0" w:space="0" w:color="auto"/>
        <w:right w:val="none" w:sz="0" w:space="0" w:color="auto"/>
      </w:divBdr>
    </w:div>
    <w:div w:id="316619393">
      <w:marLeft w:val="0"/>
      <w:marRight w:val="0"/>
      <w:marTop w:val="0"/>
      <w:marBottom w:val="0"/>
      <w:divBdr>
        <w:top w:val="none" w:sz="0" w:space="0" w:color="auto"/>
        <w:left w:val="none" w:sz="0" w:space="0" w:color="auto"/>
        <w:bottom w:val="none" w:sz="0" w:space="0" w:color="auto"/>
        <w:right w:val="none" w:sz="0" w:space="0" w:color="auto"/>
      </w:divBdr>
      <w:divsChild>
        <w:div w:id="1790005991">
          <w:marLeft w:val="0"/>
          <w:marRight w:val="0"/>
          <w:marTop w:val="0"/>
          <w:marBottom w:val="0"/>
          <w:divBdr>
            <w:top w:val="none" w:sz="0" w:space="0" w:color="auto"/>
            <w:left w:val="none" w:sz="0" w:space="0" w:color="auto"/>
            <w:bottom w:val="none" w:sz="0" w:space="0" w:color="auto"/>
            <w:right w:val="none" w:sz="0" w:space="0" w:color="auto"/>
          </w:divBdr>
        </w:div>
      </w:divsChild>
    </w:div>
    <w:div w:id="318198979">
      <w:marLeft w:val="0"/>
      <w:marRight w:val="0"/>
      <w:marTop w:val="100"/>
      <w:marBottom w:val="0"/>
      <w:divBdr>
        <w:top w:val="none" w:sz="0" w:space="0" w:color="auto"/>
        <w:left w:val="none" w:sz="0" w:space="0" w:color="auto"/>
        <w:bottom w:val="none" w:sz="0" w:space="0" w:color="auto"/>
        <w:right w:val="none" w:sz="0" w:space="0" w:color="auto"/>
      </w:divBdr>
    </w:div>
    <w:div w:id="319893929">
      <w:marLeft w:val="0"/>
      <w:marRight w:val="0"/>
      <w:marTop w:val="100"/>
      <w:marBottom w:val="0"/>
      <w:divBdr>
        <w:top w:val="none" w:sz="0" w:space="0" w:color="auto"/>
        <w:left w:val="none" w:sz="0" w:space="0" w:color="auto"/>
        <w:bottom w:val="none" w:sz="0" w:space="0" w:color="auto"/>
        <w:right w:val="none" w:sz="0" w:space="0" w:color="auto"/>
      </w:divBdr>
    </w:div>
    <w:div w:id="320080144">
      <w:marLeft w:val="0"/>
      <w:marRight w:val="0"/>
      <w:marTop w:val="0"/>
      <w:marBottom w:val="0"/>
      <w:divBdr>
        <w:top w:val="none" w:sz="0" w:space="0" w:color="auto"/>
        <w:left w:val="none" w:sz="0" w:space="0" w:color="auto"/>
        <w:bottom w:val="none" w:sz="0" w:space="0" w:color="auto"/>
        <w:right w:val="none" w:sz="0" w:space="0" w:color="auto"/>
      </w:divBdr>
      <w:divsChild>
        <w:div w:id="1794251882">
          <w:marLeft w:val="0"/>
          <w:marRight w:val="0"/>
          <w:marTop w:val="0"/>
          <w:marBottom w:val="0"/>
          <w:divBdr>
            <w:top w:val="none" w:sz="0" w:space="0" w:color="auto"/>
            <w:left w:val="none" w:sz="0" w:space="0" w:color="auto"/>
            <w:bottom w:val="none" w:sz="0" w:space="0" w:color="auto"/>
            <w:right w:val="none" w:sz="0" w:space="0" w:color="auto"/>
          </w:divBdr>
        </w:div>
      </w:divsChild>
    </w:div>
    <w:div w:id="330718891">
      <w:marLeft w:val="0"/>
      <w:marRight w:val="0"/>
      <w:marTop w:val="100"/>
      <w:marBottom w:val="0"/>
      <w:divBdr>
        <w:top w:val="none" w:sz="0" w:space="0" w:color="auto"/>
        <w:left w:val="none" w:sz="0" w:space="0" w:color="auto"/>
        <w:bottom w:val="none" w:sz="0" w:space="0" w:color="auto"/>
        <w:right w:val="none" w:sz="0" w:space="0" w:color="auto"/>
      </w:divBdr>
    </w:div>
    <w:div w:id="335153385">
      <w:marLeft w:val="0"/>
      <w:marRight w:val="0"/>
      <w:marTop w:val="0"/>
      <w:marBottom w:val="0"/>
      <w:divBdr>
        <w:top w:val="none" w:sz="0" w:space="0" w:color="auto"/>
        <w:left w:val="none" w:sz="0" w:space="0" w:color="auto"/>
        <w:bottom w:val="none" w:sz="0" w:space="0" w:color="auto"/>
        <w:right w:val="none" w:sz="0" w:space="0" w:color="auto"/>
      </w:divBdr>
      <w:divsChild>
        <w:div w:id="790977506">
          <w:marLeft w:val="0"/>
          <w:marRight w:val="0"/>
          <w:marTop w:val="0"/>
          <w:marBottom w:val="0"/>
          <w:divBdr>
            <w:top w:val="none" w:sz="0" w:space="0" w:color="auto"/>
            <w:left w:val="none" w:sz="0" w:space="0" w:color="auto"/>
            <w:bottom w:val="none" w:sz="0" w:space="0" w:color="auto"/>
            <w:right w:val="none" w:sz="0" w:space="0" w:color="auto"/>
          </w:divBdr>
        </w:div>
      </w:divsChild>
    </w:div>
    <w:div w:id="336084324">
      <w:marLeft w:val="0"/>
      <w:marRight w:val="0"/>
      <w:marTop w:val="100"/>
      <w:marBottom w:val="0"/>
      <w:divBdr>
        <w:top w:val="none" w:sz="0" w:space="0" w:color="auto"/>
        <w:left w:val="none" w:sz="0" w:space="0" w:color="auto"/>
        <w:bottom w:val="none" w:sz="0" w:space="0" w:color="auto"/>
        <w:right w:val="none" w:sz="0" w:space="0" w:color="auto"/>
      </w:divBdr>
    </w:div>
    <w:div w:id="340861306">
      <w:marLeft w:val="0"/>
      <w:marRight w:val="0"/>
      <w:marTop w:val="100"/>
      <w:marBottom w:val="0"/>
      <w:divBdr>
        <w:top w:val="none" w:sz="0" w:space="0" w:color="auto"/>
        <w:left w:val="none" w:sz="0" w:space="0" w:color="auto"/>
        <w:bottom w:val="none" w:sz="0" w:space="0" w:color="auto"/>
        <w:right w:val="none" w:sz="0" w:space="0" w:color="auto"/>
      </w:divBdr>
    </w:div>
    <w:div w:id="361127752">
      <w:marLeft w:val="0"/>
      <w:marRight w:val="0"/>
      <w:marTop w:val="100"/>
      <w:marBottom w:val="0"/>
      <w:divBdr>
        <w:top w:val="none" w:sz="0" w:space="0" w:color="auto"/>
        <w:left w:val="none" w:sz="0" w:space="0" w:color="auto"/>
        <w:bottom w:val="none" w:sz="0" w:space="0" w:color="auto"/>
        <w:right w:val="none" w:sz="0" w:space="0" w:color="auto"/>
      </w:divBdr>
    </w:div>
    <w:div w:id="388920098">
      <w:marLeft w:val="0"/>
      <w:marRight w:val="0"/>
      <w:marTop w:val="100"/>
      <w:marBottom w:val="0"/>
      <w:divBdr>
        <w:top w:val="none" w:sz="0" w:space="0" w:color="auto"/>
        <w:left w:val="none" w:sz="0" w:space="0" w:color="auto"/>
        <w:bottom w:val="none" w:sz="0" w:space="0" w:color="auto"/>
        <w:right w:val="none" w:sz="0" w:space="0" w:color="auto"/>
      </w:divBdr>
    </w:div>
    <w:div w:id="391272716">
      <w:marLeft w:val="0"/>
      <w:marRight w:val="0"/>
      <w:marTop w:val="100"/>
      <w:marBottom w:val="0"/>
      <w:divBdr>
        <w:top w:val="none" w:sz="0" w:space="0" w:color="auto"/>
        <w:left w:val="none" w:sz="0" w:space="0" w:color="auto"/>
        <w:bottom w:val="none" w:sz="0" w:space="0" w:color="auto"/>
        <w:right w:val="none" w:sz="0" w:space="0" w:color="auto"/>
      </w:divBdr>
    </w:div>
    <w:div w:id="416756759">
      <w:marLeft w:val="0"/>
      <w:marRight w:val="0"/>
      <w:marTop w:val="0"/>
      <w:marBottom w:val="0"/>
      <w:divBdr>
        <w:top w:val="none" w:sz="0" w:space="0" w:color="auto"/>
        <w:left w:val="none" w:sz="0" w:space="0" w:color="auto"/>
        <w:bottom w:val="none" w:sz="0" w:space="0" w:color="auto"/>
        <w:right w:val="none" w:sz="0" w:space="0" w:color="auto"/>
      </w:divBdr>
      <w:divsChild>
        <w:div w:id="2005669046">
          <w:marLeft w:val="0"/>
          <w:marRight w:val="0"/>
          <w:marTop w:val="0"/>
          <w:marBottom w:val="0"/>
          <w:divBdr>
            <w:top w:val="none" w:sz="0" w:space="0" w:color="auto"/>
            <w:left w:val="none" w:sz="0" w:space="0" w:color="auto"/>
            <w:bottom w:val="none" w:sz="0" w:space="0" w:color="auto"/>
            <w:right w:val="none" w:sz="0" w:space="0" w:color="auto"/>
          </w:divBdr>
        </w:div>
      </w:divsChild>
    </w:div>
    <w:div w:id="423574400">
      <w:marLeft w:val="0"/>
      <w:marRight w:val="0"/>
      <w:marTop w:val="240"/>
      <w:marBottom w:val="0"/>
      <w:divBdr>
        <w:top w:val="none" w:sz="0" w:space="0" w:color="auto"/>
        <w:left w:val="none" w:sz="0" w:space="0" w:color="auto"/>
        <w:bottom w:val="none" w:sz="0" w:space="0" w:color="auto"/>
        <w:right w:val="none" w:sz="0" w:space="0" w:color="auto"/>
      </w:divBdr>
    </w:div>
    <w:div w:id="424813472">
      <w:marLeft w:val="0"/>
      <w:marRight w:val="0"/>
      <w:marTop w:val="100"/>
      <w:marBottom w:val="0"/>
      <w:divBdr>
        <w:top w:val="none" w:sz="0" w:space="0" w:color="auto"/>
        <w:left w:val="none" w:sz="0" w:space="0" w:color="auto"/>
        <w:bottom w:val="none" w:sz="0" w:space="0" w:color="auto"/>
        <w:right w:val="none" w:sz="0" w:space="0" w:color="auto"/>
      </w:divBdr>
      <w:divsChild>
        <w:div w:id="1683820580">
          <w:marLeft w:val="0"/>
          <w:marRight w:val="0"/>
          <w:marTop w:val="0"/>
          <w:marBottom w:val="0"/>
          <w:divBdr>
            <w:top w:val="none" w:sz="0" w:space="0" w:color="auto"/>
            <w:left w:val="none" w:sz="0" w:space="0" w:color="auto"/>
            <w:bottom w:val="none" w:sz="0" w:space="0" w:color="auto"/>
            <w:right w:val="none" w:sz="0" w:space="0" w:color="auto"/>
          </w:divBdr>
        </w:div>
        <w:div w:id="1188105127">
          <w:marLeft w:val="0"/>
          <w:marRight w:val="0"/>
          <w:marTop w:val="0"/>
          <w:marBottom w:val="0"/>
          <w:divBdr>
            <w:top w:val="none" w:sz="0" w:space="0" w:color="auto"/>
            <w:left w:val="none" w:sz="0" w:space="0" w:color="auto"/>
            <w:bottom w:val="none" w:sz="0" w:space="0" w:color="auto"/>
            <w:right w:val="none" w:sz="0" w:space="0" w:color="auto"/>
          </w:divBdr>
        </w:div>
      </w:divsChild>
    </w:div>
    <w:div w:id="426660953">
      <w:marLeft w:val="0"/>
      <w:marRight w:val="0"/>
      <w:marTop w:val="100"/>
      <w:marBottom w:val="0"/>
      <w:divBdr>
        <w:top w:val="none" w:sz="0" w:space="0" w:color="auto"/>
        <w:left w:val="none" w:sz="0" w:space="0" w:color="auto"/>
        <w:bottom w:val="none" w:sz="0" w:space="0" w:color="auto"/>
        <w:right w:val="none" w:sz="0" w:space="0" w:color="auto"/>
      </w:divBdr>
    </w:div>
    <w:div w:id="429401350">
      <w:marLeft w:val="0"/>
      <w:marRight w:val="0"/>
      <w:marTop w:val="100"/>
      <w:marBottom w:val="0"/>
      <w:divBdr>
        <w:top w:val="none" w:sz="0" w:space="0" w:color="auto"/>
        <w:left w:val="none" w:sz="0" w:space="0" w:color="auto"/>
        <w:bottom w:val="none" w:sz="0" w:space="0" w:color="auto"/>
        <w:right w:val="none" w:sz="0" w:space="0" w:color="auto"/>
      </w:divBdr>
    </w:div>
    <w:div w:id="440757966">
      <w:marLeft w:val="0"/>
      <w:marRight w:val="0"/>
      <w:marTop w:val="100"/>
      <w:marBottom w:val="0"/>
      <w:divBdr>
        <w:top w:val="none" w:sz="0" w:space="0" w:color="auto"/>
        <w:left w:val="none" w:sz="0" w:space="0" w:color="auto"/>
        <w:bottom w:val="none" w:sz="0" w:space="0" w:color="auto"/>
        <w:right w:val="none" w:sz="0" w:space="0" w:color="auto"/>
      </w:divBdr>
    </w:div>
    <w:div w:id="440808300">
      <w:marLeft w:val="0"/>
      <w:marRight w:val="0"/>
      <w:marTop w:val="100"/>
      <w:marBottom w:val="0"/>
      <w:divBdr>
        <w:top w:val="none" w:sz="0" w:space="0" w:color="auto"/>
        <w:left w:val="none" w:sz="0" w:space="0" w:color="auto"/>
        <w:bottom w:val="none" w:sz="0" w:space="0" w:color="auto"/>
        <w:right w:val="none" w:sz="0" w:space="0" w:color="auto"/>
      </w:divBdr>
      <w:divsChild>
        <w:div w:id="1204370922">
          <w:marLeft w:val="0"/>
          <w:marRight w:val="0"/>
          <w:marTop w:val="0"/>
          <w:marBottom w:val="0"/>
          <w:divBdr>
            <w:top w:val="none" w:sz="0" w:space="0" w:color="auto"/>
            <w:left w:val="none" w:sz="0" w:space="0" w:color="auto"/>
            <w:bottom w:val="none" w:sz="0" w:space="0" w:color="auto"/>
            <w:right w:val="none" w:sz="0" w:space="0" w:color="auto"/>
          </w:divBdr>
        </w:div>
        <w:div w:id="1641230198">
          <w:marLeft w:val="0"/>
          <w:marRight w:val="0"/>
          <w:marTop w:val="0"/>
          <w:marBottom w:val="0"/>
          <w:divBdr>
            <w:top w:val="none" w:sz="0" w:space="0" w:color="auto"/>
            <w:left w:val="none" w:sz="0" w:space="0" w:color="auto"/>
            <w:bottom w:val="none" w:sz="0" w:space="0" w:color="auto"/>
            <w:right w:val="none" w:sz="0" w:space="0" w:color="auto"/>
          </w:divBdr>
        </w:div>
        <w:div w:id="1402215859">
          <w:marLeft w:val="0"/>
          <w:marRight w:val="0"/>
          <w:marTop w:val="0"/>
          <w:marBottom w:val="0"/>
          <w:divBdr>
            <w:top w:val="none" w:sz="0" w:space="0" w:color="auto"/>
            <w:left w:val="none" w:sz="0" w:space="0" w:color="auto"/>
            <w:bottom w:val="none" w:sz="0" w:space="0" w:color="auto"/>
            <w:right w:val="none" w:sz="0" w:space="0" w:color="auto"/>
          </w:divBdr>
        </w:div>
        <w:div w:id="1613786808">
          <w:marLeft w:val="0"/>
          <w:marRight w:val="0"/>
          <w:marTop w:val="0"/>
          <w:marBottom w:val="0"/>
          <w:divBdr>
            <w:top w:val="none" w:sz="0" w:space="0" w:color="auto"/>
            <w:left w:val="none" w:sz="0" w:space="0" w:color="auto"/>
            <w:bottom w:val="none" w:sz="0" w:space="0" w:color="auto"/>
            <w:right w:val="none" w:sz="0" w:space="0" w:color="auto"/>
          </w:divBdr>
        </w:div>
      </w:divsChild>
    </w:div>
    <w:div w:id="444035490">
      <w:marLeft w:val="0"/>
      <w:marRight w:val="0"/>
      <w:marTop w:val="100"/>
      <w:marBottom w:val="0"/>
      <w:divBdr>
        <w:top w:val="none" w:sz="0" w:space="0" w:color="auto"/>
        <w:left w:val="none" w:sz="0" w:space="0" w:color="auto"/>
        <w:bottom w:val="none" w:sz="0" w:space="0" w:color="auto"/>
        <w:right w:val="none" w:sz="0" w:space="0" w:color="auto"/>
      </w:divBdr>
    </w:div>
    <w:div w:id="444925028">
      <w:marLeft w:val="0"/>
      <w:marRight w:val="0"/>
      <w:marTop w:val="240"/>
      <w:marBottom w:val="0"/>
      <w:divBdr>
        <w:top w:val="none" w:sz="0" w:space="0" w:color="auto"/>
        <w:left w:val="none" w:sz="0" w:space="0" w:color="auto"/>
        <w:bottom w:val="none" w:sz="0" w:space="0" w:color="auto"/>
        <w:right w:val="none" w:sz="0" w:space="0" w:color="auto"/>
      </w:divBdr>
    </w:div>
    <w:div w:id="448089059">
      <w:marLeft w:val="0"/>
      <w:marRight w:val="0"/>
      <w:marTop w:val="100"/>
      <w:marBottom w:val="0"/>
      <w:divBdr>
        <w:top w:val="none" w:sz="0" w:space="0" w:color="auto"/>
        <w:left w:val="none" w:sz="0" w:space="0" w:color="auto"/>
        <w:bottom w:val="none" w:sz="0" w:space="0" w:color="auto"/>
        <w:right w:val="none" w:sz="0" w:space="0" w:color="auto"/>
      </w:divBdr>
    </w:div>
    <w:div w:id="452751362">
      <w:marLeft w:val="0"/>
      <w:marRight w:val="0"/>
      <w:marTop w:val="100"/>
      <w:marBottom w:val="0"/>
      <w:divBdr>
        <w:top w:val="none" w:sz="0" w:space="0" w:color="auto"/>
        <w:left w:val="none" w:sz="0" w:space="0" w:color="auto"/>
        <w:bottom w:val="none" w:sz="0" w:space="0" w:color="auto"/>
        <w:right w:val="none" w:sz="0" w:space="0" w:color="auto"/>
      </w:divBdr>
    </w:div>
    <w:div w:id="458301665">
      <w:marLeft w:val="0"/>
      <w:marRight w:val="0"/>
      <w:marTop w:val="80"/>
      <w:marBottom w:val="0"/>
      <w:divBdr>
        <w:top w:val="none" w:sz="0" w:space="0" w:color="auto"/>
        <w:left w:val="none" w:sz="0" w:space="0" w:color="auto"/>
        <w:bottom w:val="none" w:sz="0" w:space="0" w:color="auto"/>
        <w:right w:val="none" w:sz="0" w:space="0" w:color="auto"/>
      </w:divBdr>
    </w:div>
    <w:div w:id="462162481">
      <w:marLeft w:val="0"/>
      <w:marRight w:val="0"/>
      <w:marTop w:val="100"/>
      <w:marBottom w:val="0"/>
      <w:divBdr>
        <w:top w:val="none" w:sz="0" w:space="0" w:color="auto"/>
        <w:left w:val="none" w:sz="0" w:space="0" w:color="auto"/>
        <w:bottom w:val="none" w:sz="0" w:space="0" w:color="auto"/>
        <w:right w:val="none" w:sz="0" w:space="0" w:color="auto"/>
      </w:divBdr>
      <w:divsChild>
        <w:div w:id="1899393316">
          <w:marLeft w:val="0"/>
          <w:marRight w:val="0"/>
          <w:marTop w:val="0"/>
          <w:marBottom w:val="0"/>
          <w:divBdr>
            <w:top w:val="none" w:sz="0" w:space="0" w:color="auto"/>
            <w:left w:val="none" w:sz="0" w:space="0" w:color="auto"/>
            <w:bottom w:val="none" w:sz="0" w:space="0" w:color="auto"/>
            <w:right w:val="none" w:sz="0" w:space="0" w:color="auto"/>
          </w:divBdr>
        </w:div>
        <w:div w:id="609315092">
          <w:marLeft w:val="0"/>
          <w:marRight w:val="0"/>
          <w:marTop w:val="0"/>
          <w:marBottom w:val="0"/>
          <w:divBdr>
            <w:top w:val="none" w:sz="0" w:space="0" w:color="auto"/>
            <w:left w:val="none" w:sz="0" w:space="0" w:color="auto"/>
            <w:bottom w:val="none" w:sz="0" w:space="0" w:color="auto"/>
            <w:right w:val="none" w:sz="0" w:space="0" w:color="auto"/>
          </w:divBdr>
        </w:div>
        <w:div w:id="1279798813">
          <w:marLeft w:val="0"/>
          <w:marRight w:val="0"/>
          <w:marTop w:val="0"/>
          <w:marBottom w:val="0"/>
          <w:divBdr>
            <w:top w:val="none" w:sz="0" w:space="0" w:color="auto"/>
            <w:left w:val="none" w:sz="0" w:space="0" w:color="auto"/>
            <w:bottom w:val="none" w:sz="0" w:space="0" w:color="auto"/>
            <w:right w:val="none" w:sz="0" w:space="0" w:color="auto"/>
          </w:divBdr>
        </w:div>
      </w:divsChild>
    </w:div>
    <w:div w:id="462426716">
      <w:marLeft w:val="0"/>
      <w:marRight w:val="0"/>
      <w:marTop w:val="100"/>
      <w:marBottom w:val="0"/>
      <w:divBdr>
        <w:top w:val="none" w:sz="0" w:space="0" w:color="auto"/>
        <w:left w:val="none" w:sz="0" w:space="0" w:color="auto"/>
        <w:bottom w:val="none" w:sz="0" w:space="0" w:color="auto"/>
        <w:right w:val="none" w:sz="0" w:space="0" w:color="auto"/>
      </w:divBdr>
    </w:div>
    <w:div w:id="462502540">
      <w:marLeft w:val="0"/>
      <w:marRight w:val="0"/>
      <w:marTop w:val="0"/>
      <w:marBottom w:val="0"/>
      <w:divBdr>
        <w:top w:val="none" w:sz="0" w:space="0" w:color="auto"/>
        <w:left w:val="none" w:sz="0" w:space="0" w:color="auto"/>
        <w:bottom w:val="none" w:sz="0" w:space="0" w:color="auto"/>
        <w:right w:val="none" w:sz="0" w:space="0" w:color="auto"/>
      </w:divBdr>
      <w:divsChild>
        <w:div w:id="582642833">
          <w:marLeft w:val="0"/>
          <w:marRight w:val="0"/>
          <w:marTop w:val="0"/>
          <w:marBottom w:val="0"/>
          <w:divBdr>
            <w:top w:val="none" w:sz="0" w:space="0" w:color="auto"/>
            <w:left w:val="none" w:sz="0" w:space="0" w:color="auto"/>
            <w:bottom w:val="none" w:sz="0" w:space="0" w:color="auto"/>
            <w:right w:val="none" w:sz="0" w:space="0" w:color="auto"/>
          </w:divBdr>
        </w:div>
      </w:divsChild>
    </w:div>
    <w:div w:id="464347419">
      <w:marLeft w:val="0"/>
      <w:marRight w:val="0"/>
      <w:marTop w:val="240"/>
      <w:marBottom w:val="0"/>
      <w:divBdr>
        <w:top w:val="none" w:sz="0" w:space="0" w:color="auto"/>
        <w:left w:val="none" w:sz="0" w:space="0" w:color="auto"/>
        <w:bottom w:val="none" w:sz="0" w:space="0" w:color="auto"/>
        <w:right w:val="none" w:sz="0" w:space="0" w:color="auto"/>
      </w:divBdr>
    </w:div>
    <w:div w:id="468209926">
      <w:marLeft w:val="0"/>
      <w:marRight w:val="0"/>
      <w:marTop w:val="0"/>
      <w:marBottom w:val="0"/>
      <w:divBdr>
        <w:top w:val="none" w:sz="0" w:space="0" w:color="auto"/>
        <w:left w:val="none" w:sz="0" w:space="0" w:color="auto"/>
        <w:bottom w:val="none" w:sz="0" w:space="0" w:color="auto"/>
        <w:right w:val="none" w:sz="0" w:space="0" w:color="auto"/>
      </w:divBdr>
      <w:divsChild>
        <w:div w:id="1758941751">
          <w:marLeft w:val="0"/>
          <w:marRight w:val="0"/>
          <w:marTop w:val="0"/>
          <w:marBottom w:val="0"/>
          <w:divBdr>
            <w:top w:val="none" w:sz="0" w:space="0" w:color="auto"/>
            <w:left w:val="none" w:sz="0" w:space="0" w:color="auto"/>
            <w:bottom w:val="none" w:sz="0" w:space="0" w:color="auto"/>
            <w:right w:val="none" w:sz="0" w:space="0" w:color="auto"/>
          </w:divBdr>
        </w:div>
      </w:divsChild>
    </w:div>
    <w:div w:id="482697148">
      <w:marLeft w:val="0"/>
      <w:marRight w:val="0"/>
      <w:marTop w:val="0"/>
      <w:marBottom w:val="0"/>
      <w:divBdr>
        <w:top w:val="none" w:sz="0" w:space="0" w:color="auto"/>
        <w:left w:val="none" w:sz="0" w:space="0" w:color="auto"/>
        <w:bottom w:val="none" w:sz="0" w:space="0" w:color="auto"/>
        <w:right w:val="none" w:sz="0" w:space="0" w:color="auto"/>
      </w:divBdr>
      <w:divsChild>
        <w:div w:id="1131093762">
          <w:marLeft w:val="0"/>
          <w:marRight w:val="0"/>
          <w:marTop w:val="0"/>
          <w:marBottom w:val="0"/>
          <w:divBdr>
            <w:top w:val="none" w:sz="0" w:space="0" w:color="auto"/>
            <w:left w:val="none" w:sz="0" w:space="0" w:color="auto"/>
            <w:bottom w:val="none" w:sz="0" w:space="0" w:color="auto"/>
            <w:right w:val="none" w:sz="0" w:space="0" w:color="auto"/>
          </w:divBdr>
        </w:div>
      </w:divsChild>
    </w:div>
    <w:div w:id="485514223">
      <w:marLeft w:val="0"/>
      <w:marRight w:val="0"/>
      <w:marTop w:val="100"/>
      <w:marBottom w:val="0"/>
      <w:divBdr>
        <w:top w:val="none" w:sz="0" w:space="0" w:color="auto"/>
        <w:left w:val="none" w:sz="0" w:space="0" w:color="auto"/>
        <w:bottom w:val="none" w:sz="0" w:space="0" w:color="auto"/>
        <w:right w:val="none" w:sz="0" w:space="0" w:color="auto"/>
      </w:divBdr>
    </w:div>
    <w:div w:id="486560167">
      <w:marLeft w:val="0"/>
      <w:marRight w:val="0"/>
      <w:marTop w:val="240"/>
      <w:marBottom w:val="0"/>
      <w:divBdr>
        <w:top w:val="none" w:sz="0" w:space="0" w:color="auto"/>
        <w:left w:val="none" w:sz="0" w:space="0" w:color="auto"/>
        <w:bottom w:val="none" w:sz="0" w:space="0" w:color="auto"/>
        <w:right w:val="none" w:sz="0" w:space="0" w:color="auto"/>
      </w:divBdr>
    </w:div>
    <w:div w:id="488793454">
      <w:marLeft w:val="0"/>
      <w:marRight w:val="0"/>
      <w:marTop w:val="0"/>
      <w:marBottom w:val="0"/>
      <w:divBdr>
        <w:top w:val="none" w:sz="0" w:space="0" w:color="auto"/>
        <w:left w:val="none" w:sz="0" w:space="0" w:color="auto"/>
        <w:bottom w:val="none" w:sz="0" w:space="0" w:color="auto"/>
        <w:right w:val="none" w:sz="0" w:space="0" w:color="auto"/>
      </w:divBdr>
      <w:divsChild>
        <w:div w:id="1713650783">
          <w:marLeft w:val="0"/>
          <w:marRight w:val="0"/>
          <w:marTop w:val="0"/>
          <w:marBottom w:val="0"/>
          <w:divBdr>
            <w:top w:val="none" w:sz="0" w:space="0" w:color="auto"/>
            <w:left w:val="none" w:sz="0" w:space="0" w:color="auto"/>
            <w:bottom w:val="none" w:sz="0" w:space="0" w:color="auto"/>
            <w:right w:val="none" w:sz="0" w:space="0" w:color="auto"/>
          </w:divBdr>
        </w:div>
      </w:divsChild>
    </w:div>
    <w:div w:id="489105635">
      <w:marLeft w:val="0"/>
      <w:marRight w:val="0"/>
      <w:marTop w:val="100"/>
      <w:marBottom w:val="0"/>
      <w:divBdr>
        <w:top w:val="none" w:sz="0" w:space="0" w:color="auto"/>
        <w:left w:val="none" w:sz="0" w:space="0" w:color="auto"/>
        <w:bottom w:val="none" w:sz="0" w:space="0" w:color="auto"/>
        <w:right w:val="none" w:sz="0" w:space="0" w:color="auto"/>
      </w:divBdr>
    </w:div>
    <w:div w:id="490172445">
      <w:marLeft w:val="0"/>
      <w:marRight w:val="0"/>
      <w:marTop w:val="100"/>
      <w:marBottom w:val="0"/>
      <w:divBdr>
        <w:top w:val="none" w:sz="0" w:space="0" w:color="auto"/>
        <w:left w:val="none" w:sz="0" w:space="0" w:color="auto"/>
        <w:bottom w:val="none" w:sz="0" w:space="0" w:color="auto"/>
        <w:right w:val="none" w:sz="0" w:space="0" w:color="auto"/>
      </w:divBdr>
    </w:div>
    <w:div w:id="504785014">
      <w:marLeft w:val="0"/>
      <w:marRight w:val="0"/>
      <w:marTop w:val="100"/>
      <w:marBottom w:val="0"/>
      <w:divBdr>
        <w:top w:val="none" w:sz="0" w:space="0" w:color="auto"/>
        <w:left w:val="none" w:sz="0" w:space="0" w:color="auto"/>
        <w:bottom w:val="none" w:sz="0" w:space="0" w:color="auto"/>
        <w:right w:val="none" w:sz="0" w:space="0" w:color="auto"/>
      </w:divBdr>
    </w:div>
    <w:div w:id="505170835">
      <w:marLeft w:val="0"/>
      <w:marRight w:val="0"/>
      <w:marTop w:val="240"/>
      <w:marBottom w:val="0"/>
      <w:divBdr>
        <w:top w:val="none" w:sz="0" w:space="0" w:color="auto"/>
        <w:left w:val="none" w:sz="0" w:space="0" w:color="auto"/>
        <w:bottom w:val="none" w:sz="0" w:space="0" w:color="auto"/>
        <w:right w:val="none" w:sz="0" w:space="0" w:color="auto"/>
      </w:divBdr>
    </w:div>
    <w:div w:id="505445317">
      <w:marLeft w:val="0"/>
      <w:marRight w:val="0"/>
      <w:marTop w:val="280"/>
      <w:marBottom w:val="0"/>
      <w:divBdr>
        <w:top w:val="none" w:sz="0" w:space="0" w:color="auto"/>
        <w:left w:val="none" w:sz="0" w:space="0" w:color="auto"/>
        <w:bottom w:val="none" w:sz="0" w:space="0" w:color="auto"/>
        <w:right w:val="none" w:sz="0" w:space="0" w:color="auto"/>
      </w:divBdr>
    </w:div>
    <w:div w:id="508982748">
      <w:marLeft w:val="0"/>
      <w:marRight w:val="0"/>
      <w:marTop w:val="100"/>
      <w:marBottom w:val="0"/>
      <w:divBdr>
        <w:top w:val="none" w:sz="0" w:space="0" w:color="auto"/>
        <w:left w:val="none" w:sz="0" w:space="0" w:color="auto"/>
        <w:bottom w:val="none" w:sz="0" w:space="0" w:color="auto"/>
        <w:right w:val="none" w:sz="0" w:space="0" w:color="auto"/>
      </w:divBdr>
    </w:div>
    <w:div w:id="514733065">
      <w:marLeft w:val="0"/>
      <w:marRight w:val="0"/>
      <w:marTop w:val="240"/>
      <w:marBottom w:val="0"/>
      <w:divBdr>
        <w:top w:val="none" w:sz="0" w:space="0" w:color="auto"/>
        <w:left w:val="none" w:sz="0" w:space="0" w:color="auto"/>
        <w:bottom w:val="none" w:sz="0" w:space="0" w:color="auto"/>
        <w:right w:val="none" w:sz="0" w:space="0" w:color="auto"/>
      </w:divBdr>
    </w:div>
    <w:div w:id="537738280">
      <w:marLeft w:val="0"/>
      <w:marRight w:val="0"/>
      <w:marTop w:val="240"/>
      <w:marBottom w:val="0"/>
      <w:divBdr>
        <w:top w:val="none" w:sz="0" w:space="0" w:color="auto"/>
        <w:left w:val="none" w:sz="0" w:space="0" w:color="auto"/>
        <w:bottom w:val="none" w:sz="0" w:space="0" w:color="auto"/>
        <w:right w:val="none" w:sz="0" w:space="0" w:color="auto"/>
      </w:divBdr>
    </w:div>
    <w:div w:id="541332976">
      <w:marLeft w:val="0"/>
      <w:marRight w:val="0"/>
      <w:marTop w:val="100"/>
      <w:marBottom w:val="0"/>
      <w:divBdr>
        <w:top w:val="none" w:sz="0" w:space="0" w:color="auto"/>
        <w:left w:val="none" w:sz="0" w:space="0" w:color="auto"/>
        <w:bottom w:val="none" w:sz="0" w:space="0" w:color="auto"/>
        <w:right w:val="none" w:sz="0" w:space="0" w:color="auto"/>
      </w:divBdr>
    </w:div>
    <w:div w:id="548300063">
      <w:marLeft w:val="0"/>
      <w:marRight w:val="0"/>
      <w:marTop w:val="0"/>
      <w:marBottom w:val="0"/>
      <w:divBdr>
        <w:top w:val="none" w:sz="0" w:space="0" w:color="auto"/>
        <w:left w:val="none" w:sz="0" w:space="0" w:color="auto"/>
        <w:bottom w:val="none" w:sz="0" w:space="0" w:color="auto"/>
        <w:right w:val="none" w:sz="0" w:space="0" w:color="auto"/>
      </w:divBdr>
      <w:divsChild>
        <w:div w:id="794787226">
          <w:marLeft w:val="0"/>
          <w:marRight w:val="0"/>
          <w:marTop w:val="0"/>
          <w:marBottom w:val="0"/>
          <w:divBdr>
            <w:top w:val="none" w:sz="0" w:space="0" w:color="auto"/>
            <w:left w:val="none" w:sz="0" w:space="0" w:color="auto"/>
            <w:bottom w:val="none" w:sz="0" w:space="0" w:color="auto"/>
            <w:right w:val="none" w:sz="0" w:space="0" w:color="auto"/>
          </w:divBdr>
        </w:div>
      </w:divsChild>
    </w:div>
    <w:div w:id="566644683">
      <w:marLeft w:val="0"/>
      <w:marRight w:val="0"/>
      <w:marTop w:val="100"/>
      <w:marBottom w:val="0"/>
      <w:divBdr>
        <w:top w:val="none" w:sz="0" w:space="0" w:color="auto"/>
        <w:left w:val="none" w:sz="0" w:space="0" w:color="auto"/>
        <w:bottom w:val="none" w:sz="0" w:space="0" w:color="auto"/>
        <w:right w:val="none" w:sz="0" w:space="0" w:color="auto"/>
      </w:divBdr>
    </w:div>
    <w:div w:id="578053649">
      <w:marLeft w:val="0"/>
      <w:marRight w:val="0"/>
      <w:marTop w:val="100"/>
      <w:marBottom w:val="0"/>
      <w:divBdr>
        <w:top w:val="none" w:sz="0" w:space="0" w:color="auto"/>
        <w:left w:val="none" w:sz="0" w:space="0" w:color="auto"/>
        <w:bottom w:val="none" w:sz="0" w:space="0" w:color="auto"/>
        <w:right w:val="none" w:sz="0" w:space="0" w:color="auto"/>
      </w:divBdr>
    </w:div>
    <w:div w:id="578059888">
      <w:marLeft w:val="0"/>
      <w:marRight w:val="0"/>
      <w:marTop w:val="240"/>
      <w:marBottom w:val="0"/>
      <w:divBdr>
        <w:top w:val="none" w:sz="0" w:space="0" w:color="auto"/>
        <w:left w:val="none" w:sz="0" w:space="0" w:color="auto"/>
        <w:bottom w:val="none" w:sz="0" w:space="0" w:color="auto"/>
        <w:right w:val="none" w:sz="0" w:space="0" w:color="auto"/>
      </w:divBdr>
    </w:div>
    <w:div w:id="581522664">
      <w:marLeft w:val="0"/>
      <w:marRight w:val="0"/>
      <w:marTop w:val="100"/>
      <w:marBottom w:val="0"/>
      <w:divBdr>
        <w:top w:val="none" w:sz="0" w:space="0" w:color="auto"/>
        <w:left w:val="none" w:sz="0" w:space="0" w:color="auto"/>
        <w:bottom w:val="none" w:sz="0" w:space="0" w:color="auto"/>
        <w:right w:val="none" w:sz="0" w:space="0" w:color="auto"/>
      </w:divBdr>
    </w:div>
    <w:div w:id="583998620">
      <w:marLeft w:val="0"/>
      <w:marRight w:val="0"/>
      <w:marTop w:val="0"/>
      <w:marBottom w:val="0"/>
      <w:divBdr>
        <w:top w:val="none" w:sz="0" w:space="0" w:color="auto"/>
        <w:left w:val="none" w:sz="0" w:space="0" w:color="auto"/>
        <w:bottom w:val="none" w:sz="0" w:space="0" w:color="auto"/>
        <w:right w:val="none" w:sz="0" w:space="0" w:color="auto"/>
      </w:divBdr>
      <w:divsChild>
        <w:div w:id="482159977">
          <w:marLeft w:val="0"/>
          <w:marRight w:val="0"/>
          <w:marTop w:val="0"/>
          <w:marBottom w:val="0"/>
          <w:divBdr>
            <w:top w:val="none" w:sz="0" w:space="0" w:color="auto"/>
            <w:left w:val="none" w:sz="0" w:space="0" w:color="auto"/>
            <w:bottom w:val="none" w:sz="0" w:space="0" w:color="auto"/>
            <w:right w:val="none" w:sz="0" w:space="0" w:color="auto"/>
          </w:divBdr>
        </w:div>
      </w:divsChild>
    </w:div>
    <w:div w:id="585306342">
      <w:marLeft w:val="0"/>
      <w:marRight w:val="0"/>
      <w:marTop w:val="100"/>
      <w:marBottom w:val="0"/>
      <w:divBdr>
        <w:top w:val="none" w:sz="0" w:space="0" w:color="auto"/>
        <w:left w:val="none" w:sz="0" w:space="0" w:color="auto"/>
        <w:bottom w:val="none" w:sz="0" w:space="0" w:color="auto"/>
        <w:right w:val="none" w:sz="0" w:space="0" w:color="auto"/>
      </w:divBdr>
    </w:div>
    <w:div w:id="595137519">
      <w:marLeft w:val="0"/>
      <w:marRight w:val="0"/>
      <w:marTop w:val="240"/>
      <w:marBottom w:val="0"/>
      <w:divBdr>
        <w:top w:val="none" w:sz="0" w:space="0" w:color="auto"/>
        <w:left w:val="none" w:sz="0" w:space="0" w:color="auto"/>
        <w:bottom w:val="none" w:sz="0" w:space="0" w:color="auto"/>
        <w:right w:val="none" w:sz="0" w:space="0" w:color="auto"/>
      </w:divBdr>
    </w:div>
    <w:div w:id="595988054">
      <w:marLeft w:val="0"/>
      <w:marRight w:val="0"/>
      <w:marTop w:val="240"/>
      <w:marBottom w:val="0"/>
      <w:divBdr>
        <w:top w:val="none" w:sz="0" w:space="0" w:color="auto"/>
        <w:left w:val="none" w:sz="0" w:space="0" w:color="auto"/>
        <w:bottom w:val="none" w:sz="0" w:space="0" w:color="auto"/>
        <w:right w:val="none" w:sz="0" w:space="0" w:color="auto"/>
      </w:divBdr>
    </w:div>
    <w:div w:id="597911096">
      <w:marLeft w:val="0"/>
      <w:marRight w:val="0"/>
      <w:marTop w:val="120"/>
      <w:marBottom w:val="0"/>
      <w:divBdr>
        <w:top w:val="none" w:sz="0" w:space="0" w:color="auto"/>
        <w:left w:val="none" w:sz="0" w:space="0" w:color="auto"/>
        <w:bottom w:val="none" w:sz="0" w:space="0" w:color="auto"/>
        <w:right w:val="none" w:sz="0" w:space="0" w:color="auto"/>
      </w:divBdr>
    </w:div>
    <w:div w:id="600376785">
      <w:marLeft w:val="0"/>
      <w:marRight w:val="0"/>
      <w:marTop w:val="100"/>
      <w:marBottom w:val="0"/>
      <w:divBdr>
        <w:top w:val="none" w:sz="0" w:space="0" w:color="auto"/>
        <w:left w:val="none" w:sz="0" w:space="0" w:color="auto"/>
        <w:bottom w:val="none" w:sz="0" w:space="0" w:color="auto"/>
        <w:right w:val="none" w:sz="0" w:space="0" w:color="auto"/>
      </w:divBdr>
    </w:div>
    <w:div w:id="602105130">
      <w:marLeft w:val="0"/>
      <w:marRight w:val="0"/>
      <w:marTop w:val="100"/>
      <w:marBottom w:val="0"/>
      <w:divBdr>
        <w:top w:val="none" w:sz="0" w:space="0" w:color="auto"/>
        <w:left w:val="none" w:sz="0" w:space="0" w:color="auto"/>
        <w:bottom w:val="none" w:sz="0" w:space="0" w:color="auto"/>
        <w:right w:val="none" w:sz="0" w:space="0" w:color="auto"/>
      </w:divBdr>
    </w:div>
    <w:div w:id="605431353">
      <w:marLeft w:val="0"/>
      <w:marRight w:val="0"/>
      <w:marTop w:val="100"/>
      <w:marBottom w:val="0"/>
      <w:divBdr>
        <w:top w:val="none" w:sz="0" w:space="0" w:color="auto"/>
        <w:left w:val="none" w:sz="0" w:space="0" w:color="auto"/>
        <w:bottom w:val="none" w:sz="0" w:space="0" w:color="auto"/>
        <w:right w:val="none" w:sz="0" w:space="0" w:color="auto"/>
      </w:divBdr>
    </w:div>
    <w:div w:id="613830533">
      <w:marLeft w:val="0"/>
      <w:marRight w:val="0"/>
      <w:marTop w:val="100"/>
      <w:marBottom w:val="0"/>
      <w:divBdr>
        <w:top w:val="none" w:sz="0" w:space="0" w:color="auto"/>
        <w:left w:val="none" w:sz="0" w:space="0" w:color="auto"/>
        <w:bottom w:val="none" w:sz="0" w:space="0" w:color="auto"/>
        <w:right w:val="none" w:sz="0" w:space="0" w:color="auto"/>
      </w:divBdr>
    </w:div>
    <w:div w:id="614599805">
      <w:marLeft w:val="0"/>
      <w:marRight w:val="0"/>
      <w:marTop w:val="0"/>
      <w:marBottom w:val="0"/>
      <w:divBdr>
        <w:top w:val="none" w:sz="0" w:space="0" w:color="auto"/>
        <w:left w:val="none" w:sz="0" w:space="0" w:color="auto"/>
        <w:bottom w:val="none" w:sz="0" w:space="0" w:color="auto"/>
        <w:right w:val="none" w:sz="0" w:space="0" w:color="auto"/>
      </w:divBdr>
      <w:divsChild>
        <w:div w:id="1415128051">
          <w:marLeft w:val="0"/>
          <w:marRight w:val="0"/>
          <w:marTop w:val="0"/>
          <w:marBottom w:val="0"/>
          <w:divBdr>
            <w:top w:val="none" w:sz="0" w:space="0" w:color="auto"/>
            <w:left w:val="none" w:sz="0" w:space="0" w:color="auto"/>
            <w:bottom w:val="none" w:sz="0" w:space="0" w:color="auto"/>
            <w:right w:val="none" w:sz="0" w:space="0" w:color="auto"/>
          </w:divBdr>
        </w:div>
      </w:divsChild>
    </w:div>
    <w:div w:id="616565087">
      <w:marLeft w:val="0"/>
      <w:marRight w:val="0"/>
      <w:marTop w:val="100"/>
      <w:marBottom w:val="0"/>
      <w:divBdr>
        <w:top w:val="none" w:sz="0" w:space="0" w:color="auto"/>
        <w:left w:val="none" w:sz="0" w:space="0" w:color="auto"/>
        <w:bottom w:val="none" w:sz="0" w:space="0" w:color="auto"/>
        <w:right w:val="none" w:sz="0" w:space="0" w:color="auto"/>
      </w:divBdr>
    </w:div>
    <w:div w:id="618995313">
      <w:marLeft w:val="0"/>
      <w:marRight w:val="0"/>
      <w:marTop w:val="0"/>
      <w:marBottom w:val="0"/>
      <w:divBdr>
        <w:top w:val="none" w:sz="0" w:space="0" w:color="auto"/>
        <w:left w:val="none" w:sz="0" w:space="0" w:color="auto"/>
        <w:bottom w:val="none" w:sz="0" w:space="0" w:color="auto"/>
        <w:right w:val="none" w:sz="0" w:space="0" w:color="auto"/>
      </w:divBdr>
      <w:divsChild>
        <w:div w:id="635183597">
          <w:marLeft w:val="0"/>
          <w:marRight w:val="0"/>
          <w:marTop w:val="0"/>
          <w:marBottom w:val="0"/>
          <w:divBdr>
            <w:top w:val="none" w:sz="0" w:space="0" w:color="auto"/>
            <w:left w:val="none" w:sz="0" w:space="0" w:color="auto"/>
            <w:bottom w:val="none" w:sz="0" w:space="0" w:color="auto"/>
            <w:right w:val="none" w:sz="0" w:space="0" w:color="auto"/>
          </w:divBdr>
        </w:div>
      </w:divsChild>
    </w:div>
    <w:div w:id="623001091">
      <w:marLeft w:val="0"/>
      <w:marRight w:val="0"/>
      <w:marTop w:val="280"/>
      <w:marBottom w:val="0"/>
      <w:divBdr>
        <w:top w:val="none" w:sz="0" w:space="0" w:color="auto"/>
        <w:left w:val="none" w:sz="0" w:space="0" w:color="auto"/>
        <w:bottom w:val="none" w:sz="0" w:space="0" w:color="auto"/>
        <w:right w:val="none" w:sz="0" w:space="0" w:color="auto"/>
      </w:divBdr>
    </w:div>
    <w:div w:id="623073492">
      <w:marLeft w:val="0"/>
      <w:marRight w:val="0"/>
      <w:marTop w:val="100"/>
      <w:marBottom w:val="0"/>
      <w:divBdr>
        <w:top w:val="none" w:sz="0" w:space="0" w:color="auto"/>
        <w:left w:val="none" w:sz="0" w:space="0" w:color="auto"/>
        <w:bottom w:val="none" w:sz="0" w:space="0" w:color="auto"/>
        <w:right w:val="none" w:sz="0" w:space="0" w:color="auto"/>
      </w:divBdr>
    </w:div>
    <w:div w:id="627316843">
      <w:marLeft w:val="0"/>
      <w:marRight w:val="0"/>
      <w:marTop w:val="80"/>
      <w:marBottom w:val="0"/>
      <w:divBdr>
        <w:top w:val="none" w:sz="0" w:space="0" w:color="auto"/>
        <w:left w:val="none" w:sz="0" w:space="0" w:color="auto"/>
        <w:bottom w:val="none" w:sz="0" w:space="0" w:color="auto"/>
        <w:right w:val="none" w:sz="0" w:space="0" w:color="auto"/>
      </w:divBdr>
    </w:div>
    <w:div w:id="630480793">
      <w:marLeft w:val="0"/>
      <w:marRight w:val="0"/>
      <w:marTop w:val="100"/>
      <w:marBottom w:val="0"/>
      <w:divBdr>
        <w:top w:val="none" w:sz="0" w:space="0" w:color="auto"/>
        <w:left w:val="none" w:sz="0" w:space="0" w:color="auto"/>
        <w:bottom w:val="none" w:sz="0" w:space="0" w:color="auto"/>
        <w:right w:val="none" w:sz="0" w:space="0" w:color="auto"/>
      </w:divBdr>
    </w:div>
    <w:div w:id="635716983">
      <w:marLeft w:val="0"/>
      <w:marRight w:val="0"/>
      <w:marTop w:val="20"/>
      <w:marBottom w:val="0"/>
      <w:divBdr>
        <w:top w:val="none" w:sz="0" w:space="0" w:color="auto"/>
        <w:left w:val="none" w:sz="0" w:space="0" w:color="auto"/>
        <w:bottom w:val="none" w:sz="0" w:space="0" w:color="auto"/>
        <w:right w:val="none" w:sz="0" w:space="0" w:color="auto"/>
      </w:divBdr>
    </w:div>
    <w:div w:id="640186334">
      <w:marLeft w:val="0"/>
      <w:marRight w:val="0"/>
      <w:marTop w:val="100"/>
      <w:marBottom w:val="0"/>
      <w:divBdr>
        <w:top w:val="none" w:sz="0" w:space="0" w:color="auto"/>
        <w:left w:val="none" w:sz="0" w:space="0" w:color="auto"/>
        <w:bottom w:val="none" w:sz="0" w:space="0" w:color="auto"/>
        <w:right w:val="none" w:sz="0" w:space="0" w:color="auto"/>
      </w:divBdr>
    </w:div>
    <w:div w:id="650984593">
      <w:marLeft w:val="0"/>
      <w:marRight w:val="0"/>
      <w:marTop w:val="240"/>
      <w:marBottom w:val="0"/>
      <w:divBdr>
        <w:top w:val="none" w:sz="0" w:space="0" w:color="auto"/>
        <w:left w:val="none" w:sz="0" w:space="0" w:color="auto"/>
        <w:bottom w:val="none" w:sz="0" w:space="0" w:color="auto"/>
        <w:right w:val="none" w:sz="0" w:space="0" w:color="auto"/>
      </w:divBdr>
    </w:div>
    <w:div w:id="655184328">
      <w:marLeft w:val="0"/>
      <w:marRight w:val="0"/>
      <w:marTop w:val="240"/>
      <w:marBottom w:val="0"/>
      <w:divBdr>
        <w:top w:val="none" w:sz="0" w:space="0" w:color="auto"/>
        <w:left w:val="none" w:sz="0" w:space="0" w:color="auto"/>
        <w:bottom w:val="none" w:sz="0" w:space="0" w:color="auto"/>
        <w:right w:val="none" w:sz="0" w:space="0" w:color="auto"/>
      </w:divBdr>
    </w:div>
    <w:div w:id="657736291">
      <w:marLeft w:val="0"/>
      <w:marRight w:val="0"/>
      <w:marTop w:val="100"/>
      <w:marBottom w:val="0"/>
      <w:divBdr>
        <w:top w:val="none" w:sz="0" w:space="0" w:color="auto"/>
        <w:left w:val="none" w:sz="0" w:space="0" w:color="auto"/>
        <w:bottom w:val="none" w:sz="0" w:space="0" w:color="auto"/>
        <w:right w:val="none" w:sz="0" w:space="0" w:color="auto"/>
      </w:divBdr>
    </w:div>
    <w:div w:id="660081746">
      <w:marLeft w:val="0"/>
      <w:marRight w:val="0"/>
      <w:marTop w:val="100"/>
      <w:marBottom w:val="0"/>
      <w:divBdr>
        <w:top w:val="none" w:sz="0" w:space="0" w:color="auto"/>
        <w:left w:val="none" w:sz="0" w:space="0" w:color="auto"/>
        <w:bottom w:val="none" w:sz="0" w:space="0" w:color="auto"/>
        <w:right w:val="none" w:sz="0" w:space="0" w:color="auto"/>
      </w:divBdr>
    </w:div>
    <w:div w:id="664406861">
      <w:marLeft w:val="0"/>
      <w:marRight w:val="0"/>
      <w:marTop w:val="240"/>
      <w:marBottom w:val="0"/>
      <w:divBdr>
        <w:top w:val="none" w:sz="0" w:space="0" w:color="auto"/>
        <w:left w:val="none" w:sz="0" w:space="0" w:color="auto"/>
        <w:bottom w:val="none" w:sz="0" w:space="0" w:color="auto"/>
        <w:right w:val="none" w:sz="0" w:space="0" w:color="auto"/>
      </w:divBdr>
    </w:div>
    <w:div w:id="668823683">
      <w:marLeft w:val="0"/>
      <w:marRight w:val="0"/>
      <w:marTop w:val="240"/>
      <w:marBottom w:val="0"/>
      <w:divBdr>
        <w:top w:val="none" w:sz="0" w:space="0" w:color="auto"/>
        <w:left w:val="none" w:sz="0" w:space="0" w:color="auto"/>
        <w:bottom w:val="none" w:sz="0" w:space="0" w:color="auto"/>
        <w:right w:val="none" w:sz="0" w:space="0" w:color="auto"/>
      </w:divBdr>
    </w:div>
    <w:div w:id="670908452">
      <w:marLeft w:val="0"/>
      <w:marRight w:val="0"/>
      <w:marTop w:val="0"/>
      <w:marBottom w:val="0"/>
      <w:divBdr>
        <w:top w:val="none" w:sz="0" w:space="0" w:color="auto"/>
        <w:left w:val="none" w:sz="0" w:space="0" w:color="auto"/>
        <w:bottom w:val="none" w:sz="0" w:space="0" w:color="auto"/>
        <w:right w:val="none" w:sz="0" w:space="0" w:color="auto"/>
      </w:divBdr>
      <w:divsChild>
        <w:div w:id="1221408372">
          <w:marLeft w:val="0"/>
          <w:marRight w:val="0"/>
          <w:marTop w:val="0"/>
          <w:marBottom w:val="0"/>
          <w:divBdr>
            <w:top w:val="none" w:sz="0" w:space="0" w:color="auto"/>
            <w:left w:val="none" w:sz="0" w:space="0" w:color="auto"/>
            <w:bottom w:val="none" w:sz="0" w:space="0" w:color="auto"/>
            <w:right w:val="none" w:sz="0" w:space="0" w:color="auto"/>
          </w:divBdr>
        </w:div>
      </w:divsChild>
    </w:div>
    <w:div w:id="680623309">
      <w:marLeft w:val="0"/>
      <w:marRight w:val="0"/>
      <w:marTop w:val="0"/>
      <w:marBottom w:val="0"/>
      <w:divBdr>
        <w:top w:val="none" w:sz="0" w:space="0" w:color="auto"/>
        <w:left w:val="none" w:sz="0" w:space="0" w:color="auto"/>
        <w:bottom w:val="none" w:sz="0" w:space="0" w:color="auto"/>
        <w:right w:val="none" w:sz="0" w:space="0" w:color="auto"/>
      </w:divBdr>
      <w:divsChild>
        <w:div w:id="533884186">
          <w:marLeft w:val="0"/>
          <w:marRight w:val="0"/>
          <w:marTop w:val="0"/>
          <w:marBottom w:val="0"/>
          <w:divBdr>
            <w:top w:val="none" w:sz="0" w:space="0" w:color="auto"/>
            <w:left w:val="none" w:sz="0" w:space="0" w:color="auto"/>
            <w:bottom w:val="none" w:sz="0" w:space="0" w:color="auto"/>
            <w:right w:val="none" w:sz="0" w:space="0" w:color="auto"/>
          </w:divBdr>
        </w:div>
      </w:divsChild>
    </w:div>
    <w:div w:id="687830757">
      <w:marLeft w:val="0"/>
      <w:marRight w:val="0"/>
      <w:marTop w:val="100"/>
      <w:marBottom w:val="0"/>
      <w:divBdr>
        <w:top w:val="none" w:sz="0" w:space="0" w:color="auto"/>
        <w:left w:val="none" w:sz="0" w:space="0" w:color="auto"/>
        <w:bottom w:val="none" w:sz="0" w:space="0" w:color="auto"/>
        <w:right w:val="none" w:sz="0" w:space="0" w:color="auto"/>
      </w:divBdr>
    </w:div>
    <w:div w:id="702369433">
      <w:marLeft w:val="0"/>
      <w:marRight w:val="0"/>
      <w:marTop w:val="100"/>
      <w:marBottom w:val="0"/>
      <w:divBdr>
        <w:top w:val="none" w:sz="0" w:space="0" w:color="auto"/>
        <w:left w:val="none" w:sz="0" w:space="0" w:color="auto"/>
        <w:bottom w:val="none" w:sz="0" w:space="0" w:color="auto"/>
        <w:right w:val="none" w:sz="0" w:space="0" w:color="auto"/>
      </w:divBdr>
    </w:div>
    <w:div w:id="703755239">
      <w:marLeft w:val="0"/>
      <w:marRight w:val="0"/>
      <w:marTop w:val="100"/>
      <w:marBottom w:val="0"/>
      <w:divBdr>
        <w:top w:val="none" w:sz="0" w:space="0" w:color="auto"/>
        <w:left w:val="none" w:sz="0" w:space="0" w:color="auto"/>
        <w:bottom w:val="none" w:sz="0" w:space="0" w:color="auto"/>
        <w:right w:val="none" w:sz="0" w:space="0" w:color="auto"/>
      </w:divBdr>
    </w:div>
    <w:div w:id="708381545">
      <w:marLeft w:val="0"/>
      <w:marRight w:val="0"/>
      <w:marTop w:val="60"/>
      <w:marBottom w:val="0"/>
      <w:divBdr>
        <w:top w:val="none" w:sz="0" w:space="0" w:color="auto"/>
        <w:left w:val="none" w:sz="0" w:space="0" w:color="auto"/>
        <w:bottom w:val="none" w:sz="0" w:space="0" w:color="auto"/>
        <w:right w:val="none" w:sz="0" w:space="0" w:color="auto"/>
      </w:divBdr>
    </w:div>
    <w:div w:id="715472500">
      <w:marLeft w:val="0"/>
      <w:marRight w:val="0"/>
      <w:marTop w:val="0"/>
      <w:marBottom w:val="0"/>
      <w:divBdr>
        <w:top w:val="none" w:sz="0" w:space="0" w:color="auto"/>
        <w:left w:val="none" w:sz="0" w:space="0" w:color="auto"/>
        <w:bottom w:val="none" w:sz="0" w:space="0" w:color="auto"/>
        <w:right w:val="none" w:sz="0" w:space="0" w:color="auto"/>
      </w:divBdr>
      <w:divsChild>
        <w:div w:id="649602705">
          <w:marLeft w:val="0"/>
          <w:marRight w:val="0"/>
          <w:marTop w:val="0"/>
          <w:marBottom w:val="0"/>
          <w:divBdr>
            <w:top w:val="none" w:sz="0" w:space="0" w:color="auto"/>
            <w:left w:val="none" w:sz="0" w:space="0" w:color="auto"/>
            <w:bottom w:val="none" w:sz="0" w:space="0" w:color="auto"/>
            <w:right w:val="none" w:sz="0" w:space="0" w:color="auto"/>
          </w:divBdr>
        </w:div>
      </w:divsChild>
    </w:div>
    <w:div w:id="720904426">
      <w:marLeft w:val="0"/>
      <w:marRight w:val="0"/>
      <w:marTop w:val="0"/>
      <w:marBottom w:val="0"/>
      <w:divBdr>
        <w:top w:val="none" w:sz="0" w:space="0" w:color="auto"/>
        <w:left w:val="none" w:sz="0" w:space="0" w:color="auto"/>
        <w:bottom w:val="none" w:sz="0" w:space="0" w:color="auto"/>
        <w:right w:val="none" w:sz="0" w:space="0" w:color="auto"/>
      </w:divBdr>
      <w:divsChild>
        <w:div w:id="1905334128">
          <w:marLeft w:val="0"/>
          <w:marRight w:val="0"/>
          <w:marTop w:val="0"/>
          <w:marBottom w:val="0"/>
          <w:divBdr>
            <w:top w:val="none" w:sz="0" w:space="0" w:color="auto"/>
            <w:left w:val="none" w:sz="0" w:space="0" w:color="auto"/>
            <w:bottom w:val="none" w:sz="0" w:space="0" w:color="auto"/>
            <w:right w:val="none" w:sz="0" w:space="0" w:color="auto"/>
          </w:divBdr>
        </w:div>
      </w:divsChild>
    </w:div>
    <w:div w:id="730620300">
      <w:marLeft w:val="0"/>
      <w:marRight w:val="0"/>
      <w:marTop w:val="100"/>
      <w:marBottom w:val="0"/>
      <w:divBdr>
        <w:top w:val="none" w:sz="0" w:space="0" w:color="auto"/>
        <w:left w:val="none" w:sz="0" w:space="0" w:color="auto"/>
        <w:bottom w:val="none" w:sz="0" w:space="0" w:color="auto"/>
        <w:right w:val="none" w:sz="0" w:space="0" w:color="auto"/>
      </w:divBdr>
    </w:div>
    <w:div w:id="730808136">
      <w:marLeft w:val="0"/>
      <w:marRight w:val="0"/>
      <w:marTop w:val="240"/>
      <w:marBottom w:val="0"/>
      <w:divBdr>
        <w:top w:val="none" w:sz="0" w:space="0" w:color="auto"/>
        <w:left w:val="none" w:sz="0" w:space="0" w:color="auto"/>
        <w:bottom w:val="none" w:sz="0" w:space="0" w:color="auto"/>
        <w:right w:val="none" w:sz="0" w:space="0" w:color="auto"/>
      </w:divBdr>
    </w:div>
    <w:div w:id="731541849">
      <w:marLeft w:val="0"/>
      <w:marRight w:val="0"/>
      <w:marTop w:val="240"/>
      <w:marBottom w:val="0"/>
      <w:divBdr>
        <w:top w:val="none" w:sz="0" w:space="0" w:color="auto"/>
        <w:left w:val="none" w:sz="0" w:space="0" w:color="auto"/>
        <w:bottom w:val="none" w:sz="0" w:space="0" w:color="auto"/>
        <w:right w:val="none" w:sz="0" w:space="0" w:color="auto"/>
      </w:divBdr>
    </w:div>
    <w:div w:id="733818453">
      <w:marLeft w:val="0"/>
      <w:marRight w:val="0"/>
      <w:marTop w:val="100"/>
      <w:marBottom w:val="0"/>
      <w:divBdr>
        <w:top w:val="none" w:sz="0" w:space="0" w:color="auto"/>
        <w:left w:val="none" w:sz="0" w:space="0" w:color="auto"/>
        <w:bottom w:val="none" w:sz="0" w:space="0" w:color="auto"/>
        <w:right w:val="none" w:sz="0" w:space="0" w:color="auto"/>
      </w:divBdr>
    </w:div>
    <w:div w:id="734473276">
      <w:marLeft w:val="0"/>
      <w:marRight w:val="0"/>
      <w:marTop w:val="100"/>
      <w:marBottom w:val="0"/>
      <w:divBdr>
        <w:top w:val="none" w:sz="0" w:space="0" w:color="auto"/>
        <w:left w:val="none" w:sz="0" w:space="0" w:color="auto"/>
        <w:bottom w:val="none" w:sz="0" w:space="0" w:color="auto"/>
        <w:right w:val="none" w:sz="0" w:space="0" w:color="auto"/>
      </w:divBdr>
    </w:div>
    <w:div w:id="741757376">
      <w:marLeft w:val="0"/>
      <w:marRight w:val="0"/>
      <w:marTop w:val="0"/>
      <w:marBottom w:val="200"/>
      <w:divBdr>
        <w:top w:val="none" w:sz="0" w:space="0" w:color="auto"/>
        <w:left w:val="none" w:sz="0" w:space="0" w:color="auto"/>
        <w:bottom w:val="none" w:sz="0" w:space="0" w:color="auto"/>
        <w:right w:val="none" w:sz="0" w:space="0" w:color="auto"/>
      </w:divBdr>
    </w:div>
    <w:div w:id="753891880">
      <w:marLeft w:val="0"/>
      <w:marRight w:val="0"/>
      <w:marTop w:val="100"/>
      <w:marBottom w:val="0"/>
      <w:divBdr>
        <w:top w:val="none" w:sz="0" w:space="0" w:color="auto"/>
        <w:left w:val="none" w:sz="0" w:space="0" w:color="auto"/>
        <w:bottom w:val="none" w:sz="0" w:space="0" w:color="auto"/>
        <w:right w:val="none" w:sz="0" w:space="0" w:color="auto"/>
      </w:divBdr>
    </w:div>
    <w:div w:id="761220605">
      <w:marLeft w:val="0"/>
      <w:marRight w:val="0"/>
      <w:marTop w:val="240"/>
      <w:marBottom w:val="0"/>
      <w:divBdr>
        <w:top w:val="none" w:sz="0" w:space="0" w:color="auto"/>
        <w:left w:val="none" w:sz="0" w:space="0" w:color="auto"/>
        <w:bottom w:val="none" w:sz="0" w:space="0" w:color="auto"/>
        <w:right w:val="none" w:sz="0" w:space="0" w:color="auto"/>
      </w:divBdr>
    </w:div>
    <w:div w:id="763499189">
      <w:marLeft w:val="0"/>
      <w:marRight w:val="0"/>
      <w:marTop w:val="0"/>
      <w:marBottom w:val="0"/>
      <w:divBdr>
        <w:top w:val="none" w:sz="0" w:space="0" w:color="auto"/>
        <w:left w:val="none" w:sz="0" w:space="0" w:color="auto"/>
        <w:bottom w:val="none" w:sz="0" w:space="0" w:color="auto"/>
        <w:right w:val="none" w:sz="0" w:space="0" w:color="auto"/>
      </w:divBdr>
      <w:divsChild>
        <w:div w:id="1170412416">
          <w:marLeft w:val="0"/>
          <w:marRight w:val="0"/>
          <w:marTop w:val="0"/>
          <w:marBottom w:val="0"/>
          <w:divBdr>
            <w:top w:val="none" w:sz="0" w:space="0" w:color="auto"/>
            <w:left w:val="none" w:sz="0" w:space="0" w:color="auto"/>
            <w:bottom w:val="none" w:sz="0" w:space="0" w:color="auto"/>
            <w:right w:val="none" w:sz="0" w:space="0" w:color="auto"/>
          </w:divBdr>
        </w:div>
      </w:divsChild>
    </w:div>
    <w:div w:id="765033408">
      <w:marLeft w:val="0"/>
      <w:marRight w:val="0"/>
      <w:marTop w:val="1000"/>
      <w:marBottom w:val="0"/>
      <w:divBdr>
        <w:top w:val="none" w:sz="0" w:space="0" w:color="auto"/>
        <w:left w:val="none" w:sz="0" w:space="0" w:color="auto"/>
        <w:bottom w:val="none" w:sz="0" w:space="0" w:color="auto"/>
        <w:right w:val="none" w:sz="0" w:space="0" w:color="auto"/>
      </w:divBdr>
    </w:div>
    <w:div w:id="767583107">
      <w:marLeft w:val="0"/>
      <w:marRight w:val="0"/>
      <w:marTop w:val="240"/>
      <w:marBottom w:val="0"/>
      <w:divBdr>
        <w:top w:val="none" w:sz="0" w:space="0" w:color="auto"/>
        <w:left w:val="none" w:sz="0" w:space="0" w:color="auto"/>
        <w:bottom w:val="none" w:sz="0" w:space="0" w:color="auto"/>
        <w:right w:val="none" w:sz="0" w:space="0" w:color="auto"/>
      </w:divBdr>
    </w:div>
    <w:div w:id="774447538">
      <w:marLeft w:val="0"/>
      <w:marRight w:val="0"/>
      <w:marTop w:val="0"/>
      <w:marBottom w:val="0"/>
      <w:divBdr>
        <w:top w:val="none" w:sz="0" w:space="0" w:color="auto"/>
        <w:left w:val="none" w:sz="0" w:space="0" w:color="auto"/>
        <w:bottom w:val="none" w:sz="0" w:space="0" w:color="auto"/>
        <w:right w:val="none" w:sz="0" w:space="0" w:color="auto"/>
      </w:divBdr>
      <w:divsChild>
        <w:div w:id="1887066109">
          <w:marLeft w:val="0"/>
          <w:marRight w:val="0"/>
          <w:marTop w:val="0"/>
          <w:marBottom w:val="0"/>
          <w:divBdr>
            <w:top w:val="none" w:sz="0" w:space="0" w:color="auto"/>
            <w:left w:val="none" w:sz="0" w:space="0" w:color="auto"/>
            <w:bottom w:val="none" w:sz="0" w:space="0" w:color="auto"/>
            <w:right w:val="none" w:sz="0" w:space="0" w:color="auto"/>
          </w:divBdr>
        </w:div>
      </w:divsChild>
    </w:div>
    <w:div w:id="785201278">
      <w:marLeft w:val="0"/>
      <w:marRight w:val="0"/>
      <w:marTop w:val="100"/>
      <w:marBottom w:val="0"/>
      <w:divBdr>
        <w:top w:val="none" w:sz="0" w:space="0" w:color="auto"/>
        <w:left w:val="none" w:sz="0" w:space="0" w:color="auto"/>
        <w:bottom w:val="none" w:sz="0" w:space="0" w:color="auto"/>
        <w:right w:val="none" w:sz="0" w:space="0" w:color="auto"/>
      </w:divBdr>
    </w:div>
    <w:div w:id="788546967">
      <w:marLeft w:val="0"/>
      <w:marRight w:val="0"/>
      <w:marTop w:val="100"/>
      <w:marBottom w:val="0"/>
      <w:divBdr>
        <w:top w:val="none" w:sz="0" w:space="0" w:color="auto"/>
        <w:left w:val="none" w:sz="0" w:space="0" w:color="auto"/>
        <w:bottom w:val="none" w:sz="0" w:space="0" w:color="auto"/>
        <w:right w:val="none" w:sz="0" w:space="0" w:color="auto"/>
      </w:divBdr>
    </w:div>
    <w:div w:id="789275608">
      <w:marLeft w:val="0"/>
      <w:marRight w:val="0"/>
      <w:marTop w:val="0"/>
      <w:marBottom w:val="0"/>
      <w:divBdr>
        <w:top w:val="none" w:sz="0" w:space="0" w:color="auto"/>
        <w:left w:val="none" w:sz="0" w:space="0" w:color="auto"/>
        <w:bottom w:val="none" w:sz="0" w:space="0" w:color="auto"/>
        <w:right w:val="none" w:sz="0" w:space="0" w:color="auto"/>
      </w:divBdr>
      <w:divsChild>
        <w:div w:id="57556147">
          <w:marLeft w:val="0"/>
          <w:marRight w:val="0"/>
          <w:marTop w:val="0"/>
          <w:marBottom w:val="0"/>
          <w:divBdr>
            <w:top w:val="none" w:sz="0" w:space="0" w:color="auto"/>
            <w:left w:val="none" w:sz="0" w:space="0" w:color="auto"/>
            <w:bottom w:val="none" w:sz="0" w:space="0" w:color="auto"/>
            <w:right w:val="none" w:sz="0" w:space="0" w:color="auto"/>
          </w:divBdr>
        </w:div>
      </w:divsChild>
    </w:div>
    <w:div w:id="797576932">
      <w:marLeft w:val="0"/>
      <w:marRight w:val="0"/>
      <w:marTop w:val="100"/>
      <w:marBottom w:val="0"/>
      <w:divBdr>
        <w:top w:val="none" w:sz="0" w:space="0" w:color="auto"/>
        <w:left w:val="none" w:sz="0" w:space="0" w:color="auto"/>
        <w:bottom w:val="none" w:sz="0" w:space="0" w:color="auto"/>
        <w:right w:val="none" w:sz="0" w:space="0" w:color="auto"/>
      </w:divBdr>
    </w:div>
    <w:div w:id="800198032">
      <w:marLeft w:val="0"/>
      <w:marRight w:val="0"/>
      <w:marTop w:val="0"/>
      <w:marBottom w:val="0"/>
      <w:divBdr>
        <w:top w:val="none" w:sz="0" w:space="0" w:color="auto"/>
        <w:left w:val="none" w:sz="0" w:space="0" w:color="auto"/>
        <w:bottom w:val="none" w:sz="0" w:space="0" w:color="auto"/>
        <w:right w:val="none" w:sz="0" w:space="0" w:color="auto"/>
      </w:divBdr>
      <w:divsChild>
        <w:div w:id="1968386566">
          <w:marLeft w:val="0"/>
          <w:marRight w:val="0"/>
          <w:marTop w:val="0"/>
          <w:marBottom w:val="0"/>
          <w:divBdr>
            <w:top w:val="none" w:sz="0" w:space="0" w:color="auto"/>
            <w:left w:val="none" w:sz="0" w:space="0" w:color="auto"/>
            <w:bottom w:val="none" w:sz="0" w:space="0" w:color="auto"/>
            <w:right w:val="none" w:sz="0" w:space="0" w:color="auto"/>
          </w:divBdr>
        </w:div>
      </w:divsChild>
    </w:div>
    <w:div w:id="811141121">
      <w:marLeft w:val="0"/>
      <w:marRight w:val="0"/>
      <w:marTop w:val="100"/>
      <w:marBottom w:val="0"/>
      <w:divBdr>
        <w:top w:val="none" w:sz="0" w:space="0" w:color="auto"/>
        <w:left w:val="none" w:sz="0" w:space="0" w:color="auto"/>
        <w:bottom w:val="none" w:sz="0" w:space="0" w:color="auto"/>
        <w:right w:val="none" w:sz="0" w:space="0" w:color="auto"/>
      </w:divBdr>
    </w:div>
    <w:div w:id="822310915">
      <w:marLeft w:val="0"/>
      <w:marRight w:val="0"/>
      <w:marTop w:val="100"/>
      <w:marBottom w:val="0"/>
      <w:divBdr>
        <w:top w:val="none" w:sz="0" w:space="0" w:color="auto"/>
        <w:left w:val="none" w:sz="0" w:space="0" w:color="auto"/>
        <w:bottom w:val="none" w:sz="0" w:space="0" w:color="auto"/>
        <w:right w:val="none" w:sz="0" w:space="0" w:color="auto"/>
      </w:divBdr>
      <w:divsChild>
        <w:div w:id="127015016">
          <w:marLeft w:val="0"/>
          <w:marRight w:val="0"/>
          <w:marTop w:val="0"/>
          <w:marBottom w:val="0"/>
          <w:divBdr>
            <w:top w:val="none" w:sz="0" w:space="0" w:color="auto"/>
            <w:left w:val="none" w:sz="0" w:space="0" w:color="auto"/>
            <w:bottom w:val="none" w:sz="0" w:space="0" w:color="auto"/>
            <w:right w:val="none" w:sz="0" w:space="0" w:color="auto"/>
          </w:divBdr>
        </w:div>
        <w:div w:id="1286889975">
          <w:marLeft w:val="0"/>
          <w:marRight w:val="0"/>
          <w:marTop w:val="0"/>
          <w:marBottom w:val="0"/>
          <w:divBdr>
            <w:top w:val="none" w:sz="0" w:space="0" w:color="auto"/>
            <w:left w:val="none" w:sz="0" w:space="0" w:color="auto"/>
            <w:bottom w:val="none" w:sz="0" w:space="0" w:color="auto"/>
            <w:right w:val="none" w:sz="0" w:space="0" w:color="auto"/>
          </w:divBdr>
        </w:div>
        <w:div w:id="1959338971">
          <w:marLeft w:val="0"/>
          <w:marRight w:val="0"/>
          <w:marTop w:val="0"/>
          <w:marBottom w:val="0"/>
          <w:divBdr>
            <w:top w:val="none" w:sz="0" w:space="0" w:color="auto"/>
            <w:left w:val="none" w:sz="0" w:space="0" w:color="auto"/>
            <w:bottom w:val="none" w:sz="0" w:space="0" w:color="auto"/>
            <w:right w:val="none" w:sz="0" w:space="0" w:color="auto"/>
          </w:divBdr>
        </w:div>
        <w:div w:id="277031922">
          <w:marLeft w:val="0"/>
          <w:marRight w:val="0"/>
          <w:marTop w:val="0"/>
          <w:marBottom w:val="0"/>
          <w:divBdr>
            <w:top w:val="none" w:sz="0" w:space="0" w:color="auto"/>
            <w:left w:val="none" w:sz="0" w:space="0" w:color="auto"/>
            <w:bottom w:val="none" w:sz="0" w:space="0" w:color="auto"/>
            <w:right w:val="none" w:sz="0" w:space="0" w:color="auto"/>
          </w:divBdr>
        </w:div>
        <w:div w:id="1692142844">
          <w:marLeft w:val="0"/>
          <w:marRight w:val="0"/>
          <w:marTop w:val="0"/>
          <w:marBottom w:val="0"/>
          <w:divBdr>
            <w:top w:val="none" w:sz="0" w:space="0" w:color="auto"/>
            <w:left w:val="none" w:sz="0" w:space="0" w:color="auto"/>
            <w:bottom w:val="none" w:sz="0" w:space="0" w:color="auto"/>
            <w:right w:val="none" w:sz="0" w:space="0" w:color="auto"/>
          </w:divBdr>
        </w:div>
        <w:div w:id="580606908">
          <w:marLeft w:val="0"/>
          <w:marRight w:val="0"/>
          <w:marTop w:val="0"/>
          <w:marBottom w:val="0"/>
          <w:divBdr>
            <w:top w:val="none" w:sz="0" w:space="0" w:color="auto"/>
            <w:left w:val="none" w:sz="0" w:space="0" w:color="auto"/>
            <w:bottom w:val="none" w:sz="0" w:space="0" w:color="auto"/>
            <w:right w:val="none" w:sz="0" w:space="0" w:color="auto"/>
          </w:divBdr>
        </w:div>
        <w:div w:id="1403334134">
          <w:marLeft w:val="0"/>
          <w:marRight w:val="0"/>
          <w:marTop w:val="0"/>
          <w:marBottom w:val="0"/>
          <w:divBdr>
            <w:top w:val="none" w:sz="0" w:space="0" w:color="auto"/>
            <w:left w:val="none" w:sz="0" w:space="0" w:color="auto"/>
            <w:bottom w:val="none" w:sz="0" w:space="0" w:color="auto"/>
            <w:right w:val="none" w:sz="0" w:space="0" w:color="auto"/>
          </w:divBdr>
        </w:div>
      </w:divsChild>
    </w:div>
    <w:div w:id="824395301">
      <w:marLeft w:val="0"/>
      <w:marRight w:val="0"/>
      <w:marTop w:val="0"/>
      <w:marBottom w:val="100"/>
      <w:divBdr>
        <w:top w:val="none" w:sz="0" w:space="0" w:color="auto"/>
        <w:left w:val="none" w:sz="0" w:space="0" w:color="auto"/>
        <w:bottom w:val="none" w:sz="0" w:space="0" w:color="auto"/>
        <w:right w:val="none" w:sz="0" w:space="0" w:color="auto"/>
      </w:divBdr>
    </w:div>
    <w:div w:id="826673446">
      <w:marLeft w:val="0"/>
      <w:marRight w:val="0"/>
      <w:marTop w:val="240"/>
      <w:marBottom w:val="0"/>
      <w:divBdr>
        <w:top w:val="none" w:sz="0" w:space="0" w:color="auto"/>
        <w:left w:val="none" w:sz="0" w:space="0" w:color="auto"/>
        <w:bottom w:val="none" w:sz="0" w:space="0" w:color="auto"/>
        <w:right w:val="none" w:sz="0" w:space="0" w:color="auto"/>
      </w:divBdr>
    </w:div>
    <w:div w:id="835917905">
      <w:marLeft w:val="0"/>
      <w:marRight w:val="0"/>
      <w:marTop w:val="100"/>
      <w:marBottom w:val="0"/>
      <w:divBdr>
        <w:top w:val="none" w:sz="0" w:space="0" w:color="auto"/>
        <w:left w:val="none" w:sz="0" w:space="0" w:color="auto"/>
        <w:bottom w:val="none" w:sz="0" w:space="0" w:color="auto"/>
        <w:right w:val="none" w:sz="0" w:space="0" w:color="auto"/>
      </w:divBdr>
    </w:div>
    <w:div w:id="837382264">
      <w:marLeft w:val="0"/>
      <w:marRight w:val="0"/>
      <w:marTop w:val="0"/>
      <w:marBottom w:val="0"/>
      <w:divBdr>
        <w:top w:val="none" w:sz="0" w:space="0" w:color="auto"/>
        <w:left w:val="none" w:sz="0" w:space="0" w:color="auto"/>
        <w:bottom w:val="none" w:sz="0" w:space="0" w:color="auto"/>
        <w:right w:val="none" w:sz="0" w:space="0" w:color="auto"/>
      </w:divBdr>
      <w:divsChild>
        <w:div w:id="104272305">
          <w:marLeft w:val="0"/>
          <w:marRight w:val="0"/>
          <w:marTop w:val="0"/>
          <w:marBottom w:val="0"/>
          <w:divBdr>
            <w:top w:val="none" w:sz="0" w:space="0" w:color="auto"/>
            <w:left w:val="none" w:sz="0" w:space="0" w:color="auto"/>
            <w:bottom w:val="none" w:sz="0" w:space="0" w:color="auto"/>
            <w:right w:val="none" w:sz="0" w:space="0" w:color="auto"/>
          </w:divBdr>
        </w:div>
      </w:divsChild>
    </w:div>
    <w:div w:id="841893518">
      <w:marLeft w:val="0"/>
      <w:marRight w:val="0"/>
      <w:marTop w:val="100"/>
      <w:marBottom w:val="0"/>
      <w:divBdr>
        <w:top w:val="none" w:sz="0" w:space="0" w:color="auto"/>
        <w:left w:val="none" w:sz="0" w:space="0" w:color="auto"/>
        <w:bottom w:val="none" w:sz="0" w:space="0" w:color="auto"/>
        <w:right w:val="none" w:sz="0" w:space="0" w:color="auto"/>
      </w:divBdr>
    </w:div>
    <w:div w:id="842159938">
      <w:marLeft w:val="0"/>
      <w:marRight w:val="0"/>
      <w:marTop w:val="0"/>
      <w:marBottom w:val="0"/>
      <w:divBdr>
        <w:top w:val="none" w:sz="0" w:space="0" w:color="auto"/>
        <w:left w:val="none" w:sz="0" w:space="0" w:color="auto"/>
        <w:bottom w:val="none" w:sz="0" w:space="0" w:color="auto"/>
        <w:right w:val="none" w:sz="0" w:space="0" w:color="auto"/>
      </w:divBdr>
      <w:divsChild>
        <w:div w:id="1146313866">
          <w:marLeft w:val="0"/>
          <w:marRight w:val="0"/>
          <w:marTop w:val="0"/>
          <w:marBottom w:val="0"/>
          <w:divBdr>
            <w:top w:val="none" w:sz="0" w:space="0" w:color="auto"/>
            <w:left w:val="none" w:sz="0" w:space="0" w:color="auto"/>
            <w:bottom w:val="none" w:sz="0" w:space="0" w:color="auto"/>
            <w:right w:val="none" w:sz="0" w:space="0" w:color="auto"/>
          </w:divBdr>
        </w:div>
      </w:divsChild>
    </w:div>
    <w:div w:id="844245972">
      <w:marLeft w:val="0"/>
      <w:marRight w:val="0"/>
      <w:marTop w:val="100"/>
      <w:marBottom w:val="0"/>
      <w:divBdr>
        <w:top w:val="none" w:sz="0" w:space="0" w:color="auto"/>
        <w:left w:val="none" w:sz="0" w:space="0" w:color="auto"/>
        <w:bottom w:val="none" w:sz="0" w:space="0" w:color="auto"/>
        <w:right w:val="none" w:sz="0" w:space="0" w:color="auto"/>
      </w:divBdr>
    </w:div>
    <w:div w:id="848370308">
      <w:marLeft w:val="0"/>
      <w:marRight w:val="0"/>
      <w:marTop w:val="0"/>
      <w:marBottom w:val="0"/>
      <w:divBdr>
        <w:top w:val="none" w:sz="0" w:space="0" w:color="auto"/>
        <w:left w:val="none" w:sz="0" w:space="0" w:color="auto"/>
        <w:bottom w:val="none" w:sz="0" w:space="0" w:color="auto"/>
        <w:right w:val="none" w:sz="0" w:space="0" w:color="auto"/>
      </w:divBdr>
      <w:divsChild>
        <w:div w:id="472529485">
          <w:marLeft w:val="0"/>
          <w:marRight w:val="0"/>
          <w:marTop w:val="0"/>
          <w:marBottom w:val="0"/>
          <w:divBdr>
            <w:top w:val="none" w:sz="0" w:space="0" w:color="auto"/>
            <w:left w:val="none" w:sz="0" w:space="0" w:color="auto"/>
            <w:bottom w:val="none" w:sz="0" w:space="0" w:color="auto"/>
            <w:right w:val="none" w:sz="0" w:space="0" w:color="auto"/>
          </w:divBdr>
        </w:div>
      </w:divsChild>
    </w:div>
    <w:div w:id="854344401">
      <w:marLeft w:val="0"/>
      <w:marRight w:val="0"/>
      <w:marTop w:val="100"/>
      <w:marBottom w:val="0"/>
      <w:divBdr>
        <w:top w:val="none" w:sz="0" w:space="0" w:color="auto"/>
        <w:left w:val="none" w:sz="0" w:space="0" w:color="auto"/>
        <w:bottom w:val="none" w:sz="0" w:space="0" w:color="auto"/>
        <w:right w:val="none" w:sz="0" w:space="0" w:color="auto"/>
      </w:divBdr>
    </w:div>
    <w:div w:id="860356963">
      <w:marLeft w:val="0"/>
      <w:marRight w:val="0"/>
      <w:marTop w:val="60"/>
      <w:marBottom w:val="0"/>
      <w:divBdr>
        <w:top w:val="none" w:sz="0" w:space="0" w:color="auto"/>
        <w:left w:val="none" w:sz="0" w:space="0" w:color="auto"/>
        <w:bottom w:val="none" w:sz="0" w:space="0" w:color="auto"/>
        <w:right w:val="none" w:sz="0" w:space="0" w:color="auto"/>
      </w:divBdr>
    </w:div>
    <w:div w:id="877083767">
      <w:marLeft w:val="0"/>
      <w:marRight w:val="0"/>
      <w:marTop w:val="100"/>
      <w:marBottom w:val="0"/>
      <w:divBdr>
        <w:top w:val="none" w:sz="0" w:space="0" w:color="auto"/>
        <w:left w:val="none" w:sz="0" w:space="0" w:color="auto"/>
        <w:bottom w:val="none" w:sz="0" w:space="0" w:color="auto"/>
        <w:right w:val="none" w:sz="0" w:space="0" w:color="auto"/>
      </w:divBdr>
    </w:div>
    <w:div w:id="877856340">
      <w:marLeft w:val="0"/>
      <w:marRight w:val="0"/>
      <w:marTop w:val="280"/>
      <w:marBottom w:val="0"/>
      <w:divBdr>
        <w:top w:val="none" w:sz="0" w:space="0" w:color="auto"/>
        <w:left w:val="none" w:sz="0" w:space="0" w:color="auto"/>
        <w:bottom w:val="none" w:sz="0" w:space="0" w:color="auto"/>
        <w:right w:val="none" w:sz="0" w:space="0" w:color="auto"/>
      </w:divBdr>
    </w:div>
    <w:div w:id="882716534">
      <w:marLeft w:val="0"/>
      <w:marRight w:val="0"/>
      <w:marTop w:val="100"/>
      <w:marBottom w:val="0"/>
      <w:divBdr>
        <w:top w:val="none" w:sz="0" w:space="0" w:color="auto"/>
        <w:left w:val="none" w:sz="0" w:space="0" w:color="auto"/>
        <w:bottom w:val="none" w:sz="0" w:space="0" w:color="auto"/>
        <w:right w:val="none" w:sz="0" w:space="0" w:color="auto"/>
      </w:divBdr>
      <w:divsChild>
        <w:div w:id="1118569666">
          <w:marLeft w:val="0"/>
          <w:marRight w:val="0"/>
          <w:marTop w:val="0"/>
          <w:marBottom w:val="0"/>
          <w:divBdr>
            <w:top w:val="none" w:sz="0" w:space="0" w:color="auto"/>
            <w:left w:val="none" w:sz="0" w:space="0" w:color="auto"/>
            <w:bottom w:val="none" w:sz="0" w:space="0" w:color="auto"/>
            <w:right w:val="none" w:sz="0" w:space="0" w:color="auto"/>
          </w:divBdr>
        </w:div>
        <w:div w:id="219830842">
          <w:marLeft w:val="0"/>
          <w:marRight w:val="0"/>
          <w:marTop w:val="0"/>
          <w:marBottom w:val="0"/>
          <w:divBdr>
            <w:top w:val="none" w:sz="0" w:space="0" w:color="auto"/>
            <w:left w:val="none" w:sz="0" w:space="0" w:color="auto"/>
            <w:bottom w:val="none" w:sz="0" w:space="0" w:color="auto"/>
            <w:right w:val="none" w:sz="0" w:space="0" w:color="auto"/>
          </w:divBdr>
        </w:div>
        <w:div w:id="1951665345">
          <w:marLeft w:val="0"/>
          <w:marRight w:val="0"/>
          <w:marTop w:val="0"/>
          <w:marBottom w:val="0"/>
          <w:divBdr>
            <w:top w:val="none" w:sz="0" w:space="0" w:color="auto"/>
            <w:left w:val="none" w:sz="0" w:space="0" w:color="auto"/>
            <w:bottom w:val="none" w:sz="0" w:space="0" w:color="auto"/>
            <w:right w:val="none" w:sz="0" w:space="0" w:color="auto"/>
          </w:divBdr>
        </w:div>
        <w:div w:id="1229418641">
          <w:marLeft w:val="0"/>
          <w:marRight w:val="0"/>
          <w:marTop w:val="0"/>
          <w:marBottom w:val="0"/>
          <w:divBdr>
            <w:top w:val="none" w:sz="0" w:space="0" w:color="auto"/>
            <w:left w:val="none" w:sz="0" w:space="0" w:color="auto"/>
            <w:bottom w:val="none" w:sz="0" w:space="0" w:color="auto"/>
            <w:right w:val="none" w:sz="0" w:space="0" w:color="auto"/>
          </w:divBdr>
        </w:div>
      </w:divsChild>
    </w:div>
    <w:div w:id="888147138">
      <w:marLeft w:val="0"/>
      <w:marRight w:val="0"/>
      <w:marTop w:val="0"/>
      <w:marBottom w:val="0"/>
      <w:divBdr>
        <w:top w:val="none" w:sz="0" w:space="0" w:color="auto"/>
        <w:left w:val="none" w:sz="0" w:space="0" w:color="auto"/>
        <w:bottom w:val="none" w:sz="0" w:space="0" w:color="auto"/>
        <w:right w:val="none" w:sz="0" w:space="0" w:color="auto"/>
      </w:divBdr>
      <w:divsChild>
        <w:div w:id="947155610">
          <w:marLeft w:val="0"/>
          <w:marRight w:val="0"/>
          <w:marTop w:val="0"/>
          <w:marBottom w:val="0"/>
          <w:divBdr>
            <w:top w:val="none" w:sz="0" w:space="0" w:color="auto"/>
            <w:left w:val="none" w:sz="0" w:space="0" w:color="auto"/>
            <w:bottom w:val="none" w:sz="0" w:space="0" w:color="auto"/>
            <w:right w:val="none" w:sz="0" w:space="0" w:color="auto"/>
          </w:divBdr>
        </w:div>
      </w:divsChild>
    </w:div>
    <w:div w:id="891116827">
      <w:marLeft w:val="0"/>
      <w:marRight w:val="0"/>
      <w:marTop w:val="0"/>
      <w:marBottom w:val="0"/>
      <w:divBdr>
        <w:top w:val="none" w:sz="0" w:space="0" w:color="auto"/>
        <w:left w:val="none" w:sz="0" w:space="0" w:color="auto"/>
        <w:bottom w:val="none" w:sz="0" w:space="0" w:color="auto"/>
        <w:right w:val="none" w:sz="0" w:space="0" w:color="auto"/>
      </w:divBdr>
      <w:divsChild>
        <w:div w:id="1447045698">
          <w:marLeft w:val="0"/>
          <w:marRight w:val="0"/>
          <w:marTop w:val="0"/>
          <w:marBottom w:val="0"/>
          <w:divBdr>
            <w:top w:val="none" w:sz="0" w:space="0" w:color="auto"/>
            <w:left w:val="none" w:sz="0" w:space="0" w:color="auto"/>
            <w:bottom w:val="none" w:sz="0" w:space="0" w:color="auto"/>
            <w:right w:val="none" w:sz="0" w:space="0" w:color="auto"/>
          </w:divBdr>
        </w:div>
      </w:divsChild>
    </w:div>
    <w:div w:id="895357535">
      <w:marLeft w:val="0"/>
      <w:marRight w:val="0"/>
      <w:marTop w:val="240"/>
      <w:marBottom w:val="0"/>
      <w:divBdr>
        <w:top w:val="none" w:sz="0" w:space="0" w:color="auto"/>
        <w:left w:val="none" w:sz="0" w:space="0" w:color="auto"/>
        <w:bottom w:val="none" w:sz="0" w:space="0" w:color="auto"/>
        <w:right w:val="none" w:sz="0" w:space="0" w:color="auto"/>
      </w:divBdr>
    </w:div>
    <w:div w:id="910313393">
      <w:marLeft w:val="0"/>
      <w:marRight w:val="0"/>
      <w:marTop w:val="100"/>
      <w:marBottom w:val="0"/>
      <w:divBdr>
        <w:top w:val="none" w:sz="0" w:space="0" w:color="auto"/>
        <w:left w:val="none" w:sz="0" w:space="0" w:color="auto"/>
        <w:bottom w:val="none" w:sz="0" w:space="0" w:color="auto"/>
        <w:right w:val="none" w:sz="0" w:space="0" w:color="auto"/>
      </w:divBdr>
    </w:div>
    <w:div w:id="914389800">
      <w:marLeft w:val="0"/>
      <w:marRight w:val="0"/>
      <w:marTop w:val="40"/>
      <w:marBottom w:val="0"/>
      <w:divBdr>
        <w:top w:val="none" w:sz="0" w:space="0" w:color="auto"/>
        <w:left w:val="none" w:sz="0" w:space="0" w:color="auto"/>
        <w:bottom w:val="none" w:sz="0" w:space="0" w:color="auto"/>
        <w:right w:val="none" w:sz="0" w:space="0" w:color="auto"/>
      </w:divBdr>
    </w:div>
    <w:div w:id="925724206">
      <w:marLeft w:val="0"/>
      <w:marRight w:val="0"/>
      <w:marTop w:val="20"/>
      <w:marBottom w:val="0"/>
      <w:divBdr>
        <w:top w:val="none" w:sz="0" w:space="0" w:color="auto"/>
        <w:left w:val="none" w:sz="0" w:space="0" w:color="auto"/>
        <w:bottom w:val="none" w:sz="0" w:space="0" w:color="auto"/>
        <w:right w:val="none" w:sz="0" w:space="0" w:color="auto"/>
      </w:divBdr>
    </w:div>
    <w:div w:id="941377108">
      <w:marLeft w:val="0"/>
      <w:marRight w:val="0"/>
      <w:marTop w:val="100"/>
      <w:marBottom w:val="0"/>
      <w:divBdr>
        <w:top w:val="none" w:sz="0" w:space="0" w:color="auto"/>
        <w:left w:val="none" w:sz="0" w:space="0" w:color="auto"/>
        <w:bottom w:val="none" w:sz="0" w:space="0" w:color="auto"/>
        <w:right w:val="none" w:sz="0" w:space="0" w:color="auto"/>
      </w:divBdr>
    </w:div>
    <w:div w:id="948973921">
      <w:marLeft w:val="0"/>
      <w:marRight w:val="0"/>
      <w:marTop w:val="240"/>
      <w:marBottom w:val="0"/>
      <w:divBdr>
        <w:top w:val="none" w:sz="0" w:space="0" w:color="auto"/>
        <w:left w:val="none" w:sz="0" w:space="0" w:color="auto"/>
        <w:bottom w:val="none" w:sz="0" w:space="0" w:color="auto"/>
        <w:right w:val="none" w:sz="0" w:space="0" w:color="auto"/>
      </w:divBdr>
    </w:div>
    <w:div w:id="950361327">
      <w:marLeft w:val="0"/>
      <w:marRight w:val="0"/>
      <w:marTop w:val="0"/>
      <w:marBottom w:val="0"/>
      <w:divBdr>
        <w:top w:val="none" w:sz="0" w:space="0" w:color="auto"/>
        <w:left w:val="none" w:sz="0" w:space="0" w:color="auto"/>
        <w:bottom w:val="none" w:sz="0" w:space="0" w:color="auto"/>
        <w:right w:val="none" w:sz="0" w:space="0" w:color="auto"/>
      </w:divBdr>
      <w:divsChild>
        <w:div w:id="1814834411">
          <w:marLeft w:val="0"/>
          <w:marRight w:val="0"/>
          <w:marTop w:val="0"/>
          <w:marBottom w:val="0"/>
          <w:divBdr>
            <w:top w:val="none" w:sz="0" w:space="0" w:color="auto"/>
            <w:left w:val="none" w:sz="0" w:space="0" w:color="auto"/>
            <w:bottom w:val="none" w:sz="0" w:space="0" w:color="auto"/>
            <w:right w:val="none" w:sz="0" w:space="0" w:color="auto"/>
          </w:divBdr>
        </w:div>
      </w:divsChild>
    </w:div>
    <w:div w:id="964847929">
      <w:marLeft w:val="0"/>
      <w:marRight w:val="0"/>
      <w:marTop w:val="240"/>
      <w:marBottom w:val="0"/>
      <w:divBdr>
        <w:top w:val="none" w:sz="0" w:space="0" w:color="auto"/>
        <w:left w:val="none" w:sz="0" w:space="0" w:color="auto"/>
        <w:bottom w:val="none" w:sz="0" w:space="0" w:color="auto"/>
        <w:right w:val="none" w:sz="0" w:space="0" w:color="auto"/>
      </w:divBdr>
    </w:div>
    <w:div w:id="967903925">
      <w:marLeft w:val="0"/>
      <w:marRight w:val="0"/>
      <w:marTop w:val="100"/>
      <w:marBottom w:val="0"/>
      <w:divBdr>
        <w:top w:val="none" w:sz="0" w:space="0" w:color="auto"/>
        <w:left w:val="none" w:sz="0" w:space="0" w:color="auto"/>
        <w:bottom w:val="none" w:sz="0" w:space="0" w:color="auto"/>
        <w:right w:val="none" w:sz="0" w:space="0" w:color="auto"/>
      </w:divBdr>
    </w:div>
    <w:div w:id="986594733">
      <w:marLeft w:val="0"/>
      <w:marRight w:val="0"/>
      <w:marTop w:val="0"/>
      <w:marBottom w:val="0"/>
      <w:divBdr>
        <w:top w:val="none" w:sz="0" w:space="0" w:color="auto"/>
        <w:left w:val="none" w:sz="0" w:space="0" w:color="auto"/>
        <w:bottom w:val="none" w:sz="0" w:space="0" w:color="auto"/>
        <w:right w:val="none" w:sz="0" w:space="0" w:color="auto"/>
      </w:divBdr>
    </w:div>
    <w:div w:id="987052744">
      <w:marLeft w:val="0"/>
      <w:marRight w:val="0"/>
      <w:marTop w:val="100"/>
      <w:marBottom w:val="0"/>
      <w:divBdr>
        <w:top w:val="none" w:sz="0" w:space="0" w:color="auto"/>
        <w:left w:val="none" w:sz="0" w:space="0" w:color="auto"/>
        <w:bottom w:val="none" w:sz="0" w:space="0" w:color="auto"/>
        <w:right w:val="none" w:sz="0" w:space="0" w:color="auto"/>
      </w:divBdr>
    </w:div>
    <w:div w:id="994263926">
      <w:marLeft w:val="0"/>
      <w:marRight w:val="0"/>
      <w:marTop w:val="280"/>
      <w:marBottom w:val="0"/>
      <w:divBdr>
        <w:top w:val="none" w:sz="0" w:space="0" w:color="auto"/>
        <w:left w:val="none" w:sz="0" w:space="0" w:color="auto"/>
        <w:bottom w:val="none" w:sz="0" w:space="0" w:color="auto"/>
        <w:right w:val="none" w:sz="0" w:space="0" w:color="auto"/>
      </w:divBdr>
      <w:divsChild>
        <w:div w:id="1206985894">
          <w:marLeft w:val="0"/>
          <w:marRight w:val="0"/>
          <w:marTop w:val="0"/>
          <w:marBottom w:val="0"/>
          <w:divBdr>
            <w:top w:val="none" w:sz="0" w:space="0" w:color="auto"/>
            <w:left w:val="none" w:sz="0" w:space="0" w:color="auto"/>
            <w:bottom w:val="none" w:sz="0" w:space="0" w:color="auto"/>
            <w:right w:val="none" w:sz="0" w:space="0" w:color="auto"/>
          </w:divBdr>
        </w:div>
        <w:div w:id="2022003956">
          <w:marLeft w:val="0"/>
          <w:marRight w:val="0"/>
          <w:marTop w:val="0"/>
          <w:marBottom w:val="0"/>
          <w:divBdr>
            <w:top w:val="none" w:sz="0" w:space="0" w:color="auto"/>
            <w:left w:val="none" w:sz="0" w:space="0" w:color="auto"/>
            <w:bottom w:val="none" w:sz="0" w:space="0" w:color="auto"/>
            <w:right w:val="none" w:sz="0" w:space="0" w:color="auto"/>
          </w:divBdr>
        </w:div>
        <w:div w:id="935600286">
          <w:marLeft w:val="0"/>
          <w:marRight w:val="0"/>
          <w:marTop w:val="0"/>
          <w:marBottom w:val="0"/>
          <w:divBdr>
            <w:top w:val="none" w:sz="0" w:space="0" w:color="auto"/>
            <w:left w:val="none" w:sz="0" w:space="0" w:color="auto"/>
            <w:bottom w:val="none" w:sz="0" w:space="0" w:color="auto"/>
            <w:right w:val="none" w:sz="0" w:space="0" w:color="auto"/>
          </w:divBdr>
        </w:div>
        <w:div w:id="1449621863">
          <w:marLeft w:val="0"/>
          <w:marRight w:val="0"/>
          <w:marTop w:val="0"/>
          <w:marBottom w:val="0"/>
          <w:divBdr>
            <w:top w:val="none" w:sz="0" w:space="0" w:color="auto"/>
            <w:left w:val="none" w:sz="0" w:space="0" w:color="auto"/>
            <w:bottom w:val="none" w:sz="0" w:space="0" w:color="auto"/>
            <w:right w:val="none" w:sz="0" w:space="0" w:color="auto"/>
          </w:divBdr>
        </w:div>
        <w:div w:id="479926699">
          <w:marLeft w:val="0"/>
          <w:marRight w:val="0"/>
          <w:marTop w:val="0"/>
          <w:marBottom w:val="0"/>
          <w:divBdr>
            <w:top w:val="none" w:sz="0" w:space="0" w:color="auto"/>
            <w:left w:val="none" w:sz="0" w:space="0" w:color="auto"/>
            <w:bottom w:val="none" w:sz="0" w:space="0" w:color="auto"/>
            <w:right w:val="none" w:sz="0" w:space="0" w:color="auto"/>
          </w:divBdr>
        </w:div>
        <w:div w:id="907695320">
          <w:marLeft w:val="0"/>
          <w:marRight w:val="0"/>
          <w:marTop w:val="0"/>
          <w:marBottom w:val="0"/>
          <w:divBdr>
            <w:top w:val="none" w:sz="0" w:space="0" w:color="auto"/>
            <w:left w:val="none" w:sz="0" w:space="0" w:color="auto"/>
            <w:bottom w:val="none" w:sz="0" w:space="0" w:color="auto"/>
            <w:right w:val="none" w:sz="0" w:space="0" w:color="auto"/>
          </w:divBdr>
        </w:div>
        <w:div w:id="335117293">
          <w:marLeft w:val="0"/>
          <w:marRight w:val="0"/>
          <w:marTop w:val="0"/>
          <w:marBottom w:val="0"/>
          <w:divBdr>
            <w:top w:val="none" w:sz="0" w:space="0" w:color="auto"/>
            <w:left w:val="none" w:sz="0" w:space="0" w:color="auto"/>
            <w:bottom w:val="none" w:sz="0" w:space="0" w:color="auto"/>
            <w:right w:val="none" w:sz="0" w:space="0" w:color="auto"/>
          </w:divBdr>
        </w:div>
        <w:div w:id="1699349321">
          <w:marLeft w:val="0"/>
          <w:marRight w:val="0"/>
          <w:marTop w:val="0"/>
          <w:marBottom w:val="0"/>
          <w:divBdr>
            <w:top w:val="none" w:sz="0" w:space="0" w:color="auto"/>
            <w:left w:val="none" w:sz="0" w:space="0" w:color="auto"/>
            <w:bottom w:val="none" w:sz="0" w:space="0" w:color="auto"/>
            <w:right w:val="none" w:sz="0" w:space="0" w:color="auto"/>
          </w:divBdr>
        </w:div>
        <w:div w:id="571426171">
          <w:marLeft w:val="0"/>
          <w:marRight w:val="0"/>
          <w:marTop w:val="0"/>
          <w:marBottom w:val="0"/>
          <w:divBdr>
            <w:top w:val="none" w:sz="0" w:space="0" w:color="auto"/>
            <w:left w:val="none" w:sz="0" w:space="0" w:color="auto"/>
            <w:bottom w:val="none" w:sz="0" w:space="0" w:color="auto"/>
            <w:right w:val="none" w:sz="0" w:space="0" w:color="auto"/>
          </w:divBdr>
        </w:div>
        <w:div w:id="499544845">
          <w:marLeft w:val="0"/>
          <w:marRight w:val="0"/>
          <w:marTop w:val="0"/>
          <w:marBottom w:val="0"/>
          <w:divBdr>
            <w:top w:val="none" w:sz="0" w:space="0" w:color="auto"/>
            <w:left w:val="none" w:sz="0" w:space="0" w:color="auto"/>
            <w:bottom w:val="none" w:sz="0" w:space="0" w:color="auto"/>
            <w:right w:val="none" w:sz="0" w:space="0" w:color="auto"/>
          </w:divBdr>
        </w:div>
        <w:div w:id="1879511582">
          <w:marLeft w:val="0"/>
          <w:marRight w:val="0"/>
          <w:marTop w:val="0"/>
          <w:marBottom w:val="0"/>
          <w:divBdr>
            <w:top w:val="none" w:sz="0" w:space="0" w:color="auto"/>
            <w:left w:val="none" w:sz="0" w:space="0" w:color="auto"/>
            <w:bottom w:val="none" w:sz="0" w:space="0" w:color="auto"/>
            <w:right w:val="none" w:sz="0" w:space="0" w:color="auto"/>
          </w:divBdr>
        </w:div>
        <w:div w:id="577904715">
          <w:marLeft w:val="0"/>
          <w:marRight w:val="0"/>
          <w:marTop w:val="0"/>
          <w:marBottom w:val="0"/>
          <w:divBdr>
            <w:top w:val="none" w:sz="0" w:space="0" w:color="auto"/>
            <w:left w:val="none" w:sz="0" w:space="0" w:color="auto"/>
            <w:bottom w:val="none" w:sz="0" w:space="0" w:color="auto"/>
            <w:right w:val="none" w:sz="0" w:space="0" w:color="auto"/>
          </w:divBdr>
        </w:div>
        <w:div w:id="1624968468">
          <w:marLeft w:val="0"/>
          <w:marRight w:val="0"/>
          <w:marTop w:val="0"/>
          <w:marBottom w:val="0"/>
          <w:divBdr>
            <w:top w:val="none" w:sz="0" w:space="0" w:color="auto"/>
            <w:left w:val="none" w:sz="0" w:space="0" w:color="auto"/>
            <w:bottom w:val="none" w:sz="0" w:space="0" w:color="auto"/>
            <w:right w:val="none" w:sz="0" w:space="0" w:color="auto"/>
          </w:divBdr>
        </w:div>
        <w:div w:id="1018242091">
          <w:marLeft w:val="0"/>
          <w:marRight w:val="0"/>
          <w:marTop w:val="0"/>
          <w:marBottom w:val="0"/>
          <w:divBdr>
            <w:top w:val="none" w:sz="0" w:space="0" w:color="auto"/>
            <w:left w:val="none" w:sz="0" w:space="0" w:color="auto"/>
            <w:bottom w:val="none" w:sz="0" w:space="0" w:color="auto"/>
            <w:right w:val="none" w:sz="0" w:space="0" w:color="auto"/>
          </w:divBdr>
        </w:div>
        <w:div w:id="459030607">
          <w:marLeft w:val="0"/>
          <w:marRight w:val="0"/>
          <w:marTop w:val="0"/>
          <w:marBottom w:val="0"/>
          <w:divBdr>
            <w:top w:val="none" w:sz="0" w:space="0" w:color="auto"/>
            <w:left w:val="none" w:sz="0" w:space="0" w:color="auto"/>
            <w:bottom w:val="none" w:sz="0" w:space="0" w:color="auto"/>
            <w:right w:val="none" w:sz="0" w:space="0" w:color="auto"/>
          </w:divBdr>
        </w:div>
      </w:divsChild>
    </w:div>
    <w:div w:id="1007633795">
      <w:marLeft w:val="0"/>
      <w:marRight w:val="0"/>
      <w:marTop w:val="240"/>
      <w:marBottom w:val="0"/>
      <w:divBdr>
        <w:top w:val="none" w:sz="0" w:space="0" w:color="auto"/>
        <w:left w:val="none" w:sz="0" w:space="0" w:color="auto"/>
        <w:bottom w:val="none" w:sz="0" w:space="0" w:color="auto"/>
        <w:right w:val="none" w:sz="0" w:space="0" w:color="auto"/>
      </w:divBdr>
    </w:div>
    <w:div w:id="1017121520">
      <w:marLeft w:val="0"/>
      <w:marRight w:val="0"/>
      <w:marTop w:val="100"/>
      <w:marBottom w:val="0"/>
      <w:divBdr>
        <w:top w:val="none" w:sz="0" w:space="0" w:color="auto"/>
        <w:left w:val="none" w:sz="0" w:space="0" w:color="auto"/>
        <w:bottom w:val="none" w:sz="0" w:space="0" w:color="auto"/>
        <w:right w:val="none" w:sz="0" w:space="0" w:color="auto"/>
      </w:divBdr>
    </w:div>
    <w:div w:id="1020665298">
      <w:marLeft w:val="0"/>
      <w:marRight w:val="0"/>
      <w:marTop w:val="100"/>
      <w:marBottom w:val="0"/>
      <w:divBdr>
        <w:top w:val="none" w:sz="0" w:space="0" w:color="auto"/>
        <w:left w:val="none" w:sz="0" w:space="0" w:color="auto"/>
        <w:bottom w:val="none" w:sz="0" w:space="0" w:color="auto"/>
        <w:right w:val="none" w:sz="0" w:space="0" w:color="auto"/>
      </w:divBdr>
    </w:div>
    <w:div w:id="1032458458">
      <w:marLeft w:val="0"/>
      <w:marRight w:val="0"/>
      <w:marTop w:val="100"/>
      <w:marBottom w:val="0"/>
      <w:divBdr>
        <w:top w:val="none" w:sz="0" w:space="0" w:color="auto"/>
        <w:left w:val="none" w:sz="0" w:space="0" w:color="auto"/>
        <w:bottom w:val="none" w:sz="0" w:space="0" w:color="auto"/>
        <w:right w:val="none" w:sz="0" w:space="0" w:color="auto"/>
      </w:divBdr>
    </w:div>
    <w:div w:id="1034497830">
      <w:marLeft w:val="0"/>
      <w:marRight w:val="0"/>
      <w:marTop w:val="100"/>
      <w:marBottom w:val="0"/>
      <w:divBdr>
        <w:top w:val="none" w:sz="0" w:space="0" w:color="auto"/>
        <w:left w:val="none" w:sz="0" w:space="0" w:color="auto"/>
        <w:bottom w:val="none" w:sz="0" w:space="0" w:color="auto"/>
        <w:right w:val="none" w:sz="0" w:space="0" w:color="auto"/>
      </w:divBdr>
    </w:div>
    <w:div w:id="1043137658">
      <w:marLeft w:val="0"/>
      <w:marRight w:val="0"/>
      <w:marTop w:val="100"/>
      <w:marBottom w:val="0"/>
      <w:divBdr>
        <w:top w:val="none" w:sz="0" w:space="0" w:color="auto"/>
        <w:left w:val="none" w:sz="0" w:space="0" w:color="auto"/>
        <w:bottom w:val="none" w:sz="0" w:space="0" w:color="auto"/>
        <w:right w:val="none" w:sz="0" w:space="0" w:color="auto"/>
      </w:divBdr>
    </w:div>
    <w:div w:id="1045567343">
      <w:marLeft w:val="0"/>
      <w:marRight w:val="0"/>
      <w:marTop w:val="100"/>
      <w:marBottom w:val="0"/>
      <w:divBdr>
        <w:top w:val="none" w:sz="0" w:space="0" w:color="auto"/>
        <w:left w:val="none" w:sz="0" w:space="0" w:color="auto"/>
        <w:bottom w:val="none" w:sz="0" w:space="0" w:color="auto"/>
        <w:right w:val="none" w:sz="0" w:space="0" w:color="auto"/>
      </w:divBdr>
    </w:div>
    <w:div w:id="1052539545">
      <w:marLeft w:val="0"/>
      <w:marRight w:val="0"/>
      <w:marTop w:val="100"/>
      <w:marBottom w:val="0"/>
      <w:divBdr>
        <w:top w:val="none" w:sz="0" w:space="0" w:color="auto"/>
        <w:left w:val="none" w:sz="0" w:space="0" w:color="auto"/>
        <w:bottom w:val="none" w:sz="0" w:space="0" w:color="auto"/>
        <w:right w:val="none" w:sz="0" w:space="0" w:color="auto"/>
      </w:divBdr>
    </w:div>
    <w:div w:id="1061055930">
      <w:marLeft w:val="0"/>
      <w:marRight w:val="0"/>
      <w:marTop w:val="100"/>
      <w:marBottom w:val="0"/>
      <w:divBdr>
        <w:top w:val="none" w:sz="0" w:space="0" w:color="auto"/>
        <w:left w:val="none" w:sz="0" w:space="0" w:color="auto"/>
        <w:bottom w:val="none" w:sz="0" w:space="0" w:color="auto"/>
        <w:right w:val="none" w:sz="0" w:space="0" w:color="auto"/>
      </w:divBdr>
    </w:div>
    <w:div w:id="1063215922">
      <w:marLeft w:val="0"/>
      <w:marRight w:val="0"/>
      <w:marTop w:val="240"/>
      <w:marBottom w:val="0"/>
      <w:divBdr>
        <w:top w:val="none" w:sz="0" w:space="0" w:color="auto"/>
        <w:left w:val="none" w:sz="0" w:space="0" w:color="auto"/>
        <w:bottom w:val="none" w:sz="0" w:space="0" w:color="auto"/>
        <w:right w:val="none" w:sz="0" w:space="0" w:color="auto"/>
      </w:divBdr>
    </w:div>
    <w:div w:id="1066563787">
      <w:marLeft w:val="0"/>
      <w:marRight w:val="0"/>
      <w:marTop w:val="240"/>
      <w:marBottom w:val="0"/>
      <w:divBdr>
        <w:top w:val="none" w:sz="0" w:space="0" w:color="auto"/>
        <w:left w:val="none" w:sz="0" w:space="0" w:color="auto"/>
        <w:bottom w:val="none" w:sz="0" w:space="0" w:color="auto"/>
        <w:right w:val="none" w:sz="0" w:space="0" w:color="auto"/>
      </w:divBdr>
    </w:div>
    <w:div w:id="1072000013">
      <w:marLeft w:val="0"/>
      <w:marRight w:val="0"/>
      <w:marTop w:val="240"/>
      <w:marBottom w:val="0"/>
      <w:divBdr>
        <w:top w:val="none" w:sz="0" w:space="0" w:color="auto"/>
        <w:left w:val="none" w:sz="0" w:space="0" w:color="auto"/>
        <w:bottom w:val="none" w:sz="0" w:space="0" w:color="auto"/>
        <w:right w:val="none" w:sz="0" w:space="0" w:color="auto"/>
      </w:divBdr>
    </w:div>
    <w:div w:id="1074470173">
      <w:marLeft w:val="0"/>
      <w:marRight w:val="0"/>
      <w:marTop w:val="100"/>
      <w:marBottom w:val="0"/>
      <w:divBdr>
        <w:top w:val="none" w:sz="0" w:space="0" w:color="auto"/>
        <w:left w:val="none" w:sz="0" w:space="0" w:color="auto"/>
        <w:bottom w:val="none" w:sz="0" w:space="0" w:color="auto"/>
        <w:right w:val="none" w:sz="0" w:space="0" w:color="auto"/>
      </w:divBdr>
    </w:div>
    <w:div w:id="1084184199">
      <w:marLeft w:val="0"/>
      <w:marRight w:val="0"/>
      <w:marTop w:val="240"/>
      <w:marBottom w:val="0"/>
      <w:divBdr>
        <w:top w:val="none" w:sz="0" w:space="0" w:color="auto"/>
        <w:left w:val="none" w:sz="0" w:space="0" w:color="auto"/>
        <w:bottom w:val="none" w:sz="0" w:space="0" w:color="auto"/>
        <w:right w:val="none" w:sz="0" w:space="0" w:color="auto"/>
      </w:divBdr>
    </w:div>
    <w:div w:id="1090463498">
      <w:marLeft w:val="0"/>
      <w:marRight w:val="0"/>
      <w:marTop w:val="100"/>
      <w:marBottom w:val="0"/>
      <w:divBdr>
        <w:top w:val="none" w:sz="0" w:space="0" w:color="auto"/>
        <w:left w:val="none" w:sz="0" w:space="0" w:color="auto"/>
        <w:bottom w:val="none" w:sz="0" w:space="0" w:color="auto"/>
        <w:right w:val="none" w:sz="0" w:space="0" w:color="auto"/>
      </w:divBdr>
    </w:div>
    <w:div w:id="1091043652">
      <w:marLeft w:val="0"/>
      <w:marRight w:val="0"/>
      <w:marTop w:val="100"/>
      <w:marBottom w:val="0"/>
      <w:divBdr>
        <w:top w:val="none" w:sz="0" w:space="0" w:color="auto"/>
        <w:left w:val="none" w:sz="0" w:space="0" w:color="auto"/>
        <w:bottom w:val="none" w:sz="0" w:space="0" w:color="auto"/>
        <w:right w:val="none" w:sz="0" w:space="0" w:color="auto"/>
      </w:divBdr>
    </w:div>
    <w:div w:id="1092505169">
      <w:marLeft w:val="0"/>
      <w:marRight w:val="0"/>
      <w:marTop w:val="0"/>
      <w:marBottom w:val="0"/>
      <w:divBdr>
        <w:top w:val="none" w:sz="0" w:space="0" w:color="auto"/>
        <w:left w:val="none" w:sz="0" w:space="0" w:color="auto"/>
        <w:bottom w:val="none" w:sz="0" w:space="0" w:color="auto"/>
        <w:right w:val="none" w:sz="0" w:space="0" w:color="auto"/>
      </w:divBdr>
      <w:divsChild>
        <w:div w:id="1219051059">
          <w:marLeft w:val="0"/>
          <w:marRight w:val="0"/>
          <w:marTop w:val="0"/>
          <w:marBottom w:val="0"/>
          <w:divBdr>
            <w:top w:val="none" w:sz="0" w:space="0" w:color="auto"/>
            <w:left w:val="none" w:sz="0" w:space="0" w:color="auto"/>
            <w:bottom w:val="none" w:sz="0" w:space="0" w:color="auto"/>
            <w:right w:val="none" w:sz="0" w:space="0" w:color="auto"/>
          </w:divBdr>
        </w:div>
      </w:divsChild>
    </w:div>
    <w:div w:id="1092894506">
      <w:marLeft w:val="0"/>
      <w:marRight w:val="0"/>
      <w:marTop w:val="100"/>
      <w:marBottom w:val="0"/>
      <w:divBdr>
        <w:top w:val="none" w:sz="0" w:space="0" w:color="auto"/>
        <w:left w:val="none" w:sz="0" w:space="0" w:color="auto"/>
        <w:bottom w:val="none" w:sz="0" w:space="0" w:color="auto"/>
        <w:right w:val="none" w:sz="0" w:space="0" w:color="auto"/>
      </w:divBdr>
    </w:div>
    <w:div w:id="1108768027">
      <w:marLeft w:val="0"/>
      <w:marRight w:val="0"/>
      <w:marTop w:val="280"/>
      <w:marBottom w:val="0"/>
      <w:divBdr>
        <w:top w:val="none" w:sz="0" w:space="0" w:color="auto"/>
        <w:left w:val="none" w:sz="0" w:space="0" w:color="auto"/>
        <w:bottom w:val="none" w:sz="0" w:space="0" w:color="auto"/>
        <w:right w:val="none" w:sz="0" w:space="0" w:color="auto"/>
      </w:divBdr>
    </w:div>
    <w:div w:id="1110857962">
      <w:marLeft w:val="0"/>
      <w:marRight w:val="0"/>
      <w:marTop w:val="100"/>
      <w:marBottom w:val="0"/>
      <w:divBdr>
        <w:top w:val="none" w:sz="0" w:space="0" w:color="auto"/>
        <w:left w:val="none" w:sz="0" w:space="0" w:color="auto"/>
        <w:bottom w:val="none" w:sz="0" w:space="0" w:color="auto"/>
        <w:right w:val="none" w:sz="0" w:space="0" w:color="auto"/>
      </w:divBdr>
    </w:div>
    <w:div w:id="1116675470">
      <w:marLeft w:val="0"/>
      <w:marRight w:val="0"/>
      <w:marTop w:val="100"/>
      <w:marBottom w:val="0"/>
      <w:divBdr>
        <w:top w:val="none" w:sz="0" w:space="0" w:color="auto"/>
        <w:left w:val="none" w:sz="0" w:space="0" w:color="auto"/>
        <w:bottom w:val="none" w:sz="0" w:space="0" w:color="auto"/>
        <w:right w:val="none" w:sz="0" w:space="0" w:color="auto"/>
      </w:divBdr>
    </w:div>
    <w:div w:id="1118379870">
      <w:marLeft w:val="0"/>
      <w:marRight w:val="0"/>
      <w:marTop w:val="240"/>
      <w:marBottom w:val="0"/>
      <w:divBdr>
        <w:top w:val="none" w:sz="0" w:space="0" w:color="auto"/>
        <w:left w:val="none" w:sz="0" w:space="0" w:color="auto"/>
        <w:bottom w:val="none" w:sz="0" w:space="0" w:color="auto"/>
        <w:right w:val="none" w:sz="0" w:space="0" w:color="auto"/>
      </w:divBdr>
    </w:div>
    <w:div w:id="1118915816">
      <w:marLeft w:val="0"/>
      <w:marRight w:val="0"/>
      <w:marTop w:val="240"/>
      <w:marBottom w:val="0"/>
      <w:divBdr>
        <w:top w:val="none" w:sz="0" w:space="0" w:color="auto"/>
        <w:left w:val="none" w:sz="0" w:space="0" w:color="auto"/>
        <w:bottom w:val="none" w:sz="0" w:space="0" w:color="auto"/>
        <w:right w:val="none" w:sz="0" w:space="0" w:color="auto"/>
      </w:divBdr>
    </w:div>
    <w:div w:id="1120152879">
      <w:marLeft w:val="0"/>
      <w:marRight w:val="0"/>
      <w:marTop w:val="100"/>
      <w:marBottom w:val="0"/>
      <w:divBdr>
        <w:top w:val="none" w:sz="0" w:space="0" w:color="auto"/>
        <w:left w:val="none" w:sz="0" w:space="0" w:color="auto"/>
        <w:bottom w:val="none" w:sz="0" w:space="0" w:color="auto"/>
        <w:right w:val="none" w:sz="0" w:space="0" w:color="auto"/>
      </w:divBdr>
    </w:div>
    <w:div w:id="1128165390">
      <w:marLeft w:val="0"/>
      <w:marRight w:val="0"/>
      <w:marTop w:val="100"/>
      <w:marBottom w:val="0"/>
      <w:divBdr>
        <w:top w:val="none" w:sz="0" w:space="0" w:color="auto"/>
        <w:left w:val="none" w:sz="0" w:space="0" w:color="auto"/>
        <w:bottom w:val="none" w:sz="0" w:space="0" w:color="auto"/>
        <w:right w:val="none" w:sz="0" w:space="0" w:color="auto"/>
      </w:divBdr>
    </w:div>
    <w:div w:id="1130435959">
      <w:marLeft w:val="0"/>
      <w:marRight w:val="0"/>
      <w:marTop w:val="280"/>
      <w:marBottom w:val="0"/>
      <w:divBdr>
        <w:top w:val="none" w:sz="0" w:space="0" w:color="auto"/>
        <w:left w:val="none" w:sz="0" w:space="0" w:color="auto"/>
        <w:bottom w:val="none" w:sz="0" w:space="0" w:color="auto"/>
        <w:right w:val="none" w:sz="0" w:space="0" w:color="auto"/>
      </w:divBdr>
    </w:div>
    <w:div w:id="1134057246">
      <w:marLeft w:val="0"/>
      <w:marRight w:val="0"/>
      <w:marTop w:val="100"/>
      <w:marBottom w:val="0"/>
      <w:divBdr>
        <w:top w:val="none" w:sz="0" w:space="0" w:color="auto"/>
        <w:left w:val="none" w:sz="0" w:space="0" w:color="auto"/>
        <w:bottom w:val="none" w:sz="0" w:space="0" w:color="auto"/>
        <w:right w:val="none" w:sz="0" w:space="0" w:color="auto"/>
      </w:divBdr>
    </w:div>
    <w:div w:id="1134980716">
      <w:marLeft w:val="0"/>
      <w:marRight w:val="0"/>
      <w:marTop w:val="0"/>
      <w:marBottom w:val="0"/>
      <w:divBdr>
        <w:top w:val="none" w:sz="0" w:space="0" w:color="auto"/>
        <w:left w:val="none" w:sz="0" w:space="0" w:color="auto"/>
        <w:bottom w:val="none" w:sz="0" w:space="0" w:color="auto"/>
        <w:right w:val="none" w:sz="0" w:space="0" w:color="auto"/>
      </w:divBdr>
      <w:divsChild>
        <w:div w:id="428627555">
          <w:marLeft w:val="0"/>
          <w:marRight w:val="0"/>
          <w:marTop w:val="0"/>
          <w:marBottom w:val="0"/>
          <w:divBdr>
            <w:top w:val="none" w:sz="0" w:space="0" w:color="auto"/>
            <w:left w:val="none" w:sz="0" w:space="0" w:color="auto"/>
            <w:bottom w:val="none" w:sz="0" w:space="0" w:color="auto"/>
            <w:right w:val="none" w:sz="0" w:space="0" w:color="auto"/>
          </w:divBdr>
        </w:div>
      </w:divsChild>
    </w:div>
    <w:div w:id="1136918798">
      <w:marLeft w:val="0"/>
      <w:marRight w:val="0"/>
      <w:marTop w:val="240"/>
      <w:marBottom w:val="0"/>
      <w:divBdr>
        <w:top w:val="none" w:sz="0" w:space="0" w:color="auto"/>
        <w:left w:val="none" w:sz="0" w:space="0" w:color="auto"/>
        <w:bottom w:val="none" w:sz="0" w:space="0" w:color="auto"/>
        <w:right w:val="none" w:sz="0" w:space="0" w:color="auto"/>
      </w:divBdr>
    </w:div>
    <w:div w:id="1164054777">
      <w:marLeft w:val="0"/>
      <w:marRight w:val="0"/>
      <w:marTop w:val="100"/>
      <w:marBottom w:val="0"/>
      <w:divBdr>
        <w:top w:val="none" w:sz="0" w:space="0" w:color="auto"/>
        <w:left w:val="none" w:sz="0" w:space="0" w:color="auto"/>
        <w:bottom w:val="none" w:sz="0" w:space="0" w:color="auto"/>
        <w:right w:val="none" w:sz="0" w:space="0" w:color="auto"/>
      </w:divBdr>
    </w:div>
    <w:div w:id="1169178405">
      <w:marLeft w:val="0"/>
      <w:marRight w:val="0"/>
      <w:marTop w:val="100"/>
      <w:marBottom w:val="0"/>
      <w:divBdr>
        <w:top w:val="none" w:sz="0" w:space="0" w:color="auto"/>
        <w:left w:val="none" w:sz="0" w:space="0" w:color="auto"/>
        <w:bottom w:val="none" w:sz="0" w:space="0" w:color="auto"/>
        <w:right w:val="none" w:sz="0" w:space="0" w:color="auto"/>
      </w:divBdr>
    </w:div>
    <w:div w:id="1169248461">
      <w:marLeft w:val="0"/>
      <w:marRight w:val="0"/>
      <w:marTop w:val="100"/>
      <w:marBottom w:val="0"/>
      <w:divBdr>
        <w:top w:val="none" w:sz="0" w:space="0" w:color="auto"/>
        <w:left w:val="none" w:sz="0" w:space="0" w:color="auto"/>
        <w:bottom w:val="none" w:sz="0" w:space="0" w:color="auto"/>
        <w:right w:val="none" w:sz="0" w:space="0" w:color="auto"/>
      </w:divBdr>
    </w:div>
    <w:div w:id="1170758200">
      <w:marLeft w:val="0"/>
      <w:marRight w:val="0"/>
      <w:marTop w:val="100"/>
      <w:marBottom w:val="0"/>
      <w:divBdr>
        <w:top w:val="none" w:sz="0" w:space="0" w:color="auto"/>
        <w:left w:val="none" w:sz="0" w:space="0" w:color="auto"/>
        <w:bottom w:val="none" w:sz="0" w:space="0" w:color="auto"/>
        <w:right w:val="none" w:sz="0" w:space="0" w:color="auto"/>
      </w:divBdr>
    </w:div>
    <w:div w:id="1171334472">
      <w:marLeft w:val="0"/>
      <w:marRight w:val="0"/>
      <w:marTop w:val="100"/>
      <w:marBottom w:val="0"/>
      <w:divBdr>
        <w:top w:val="none" w:sz="0" w:space="0" w:color="auto"/>
        <w:left w:val="none" w:sz="0" w:space="0" w:color="auto"/>
        <w:bottom w:val="none" w:sz="0" w:space="0" w:color="auto"/>
        <w:right w:val="none" w:sz="0" w:space="0" w:color="auto"/>
      </w:divBdr>
    </w:div>
    <w:div w:id="1177188511">
      <w:marLeft w:val="0"/>
      <w:marRight w:val="0"/>
      <w:marTop w:val="100"/>
      <w:marBottom w:val="0"/>
      <w:divBdr>
        <w:top w:val="none" w:sz="0" w:space="0" w:color="auto"/>
        <w:left w:val="none" w:sz="0" w:space="0" w:color="auto"/>
        <w:bottom w:val="none" w:sz="0" w:space="0" w:color="auto"/>
        <w:right w:val="none" w:sz="0" w:space="0" w:color="auto"/>
      </w:divBdr>
    </w:div>
    <w:div w:id="1194077679">
      <w:marLeft w:val="0"/>
      <w:marRight w:val="0"/>
      <w:marTop w:val="100"/>
      <w:marBottom w:val="0"/>
      <w:divBdr>
        <w:top w:val="none" w:sz="0" w:space="0" w:color="auto"/>
        <w:left w:val="none" w:sz="0" w:space="0" w:color="auto"/>
        <w:bottom w:val="none" w:sz="0" w:space="0" w:color="auto"/>
        <w:right w:val="none" w:sz="0" w:space="0" w:color="auto"/>
      </w:divBdr>
    </w:div>
    <w:div w:id="1194490473">
      <w:marLeft w:val="0"/>
      <w:marRight w:val="0"/>
      <w:marTop w:val="240"/>
      <w:marBottom w:val="0"/>
      <w:divBdr>
        <w:top w:val="none" w:sz="0" w:space="0" w:color="auto"/>
        <w:left w:val="none" w:sz="0" w:space="0" w:color="auto"/>
        <w:bottom w:val="none" w:sz="0" w:space="0" w:color="auto"/>
        <w:right w:val="none" w:sz="0" w:space="0" w:color="auto"/>
      </w:divBdr>
    </w:div>
    <w:div w:id="1197695119">
      <w:marLeft w:val="0"/>
      <w:marRight w:val="0"/>
      <w:marTop w:val="240"/>
      <w:marBottom w:val="0"/>
      <w:divBdr>
        <w:top w:val="none" w:sz="0" w:space="0" w:color="auto"/>
        <w:left w:val="none" w:sz="0" w:space="0" w:color="auto"/>
        <w:bottom w:val="none" w:sz="0" w:space="0" w:color="auto"/>
        <w:right w:val="none" w:sz="0" w:space="0" w:color="auto"/>
      </w:divBdr>
    </w:div>
    <w:div w:id="1206719516">
      <w:marLeft w:val="0"/>
      <w:marRight w:val="0"/>
      <w:marTop w:val="100"/>
      <w:marBottom w:val="0"/>
      <w:divBdr>
        <w:top w:val="none" w:sz="0" w:space="0" w:color="auto"/>
        <w:left w:val="none" w:sz="0" w:space="0" w:color="auto"/>
        <w:bottom w:val="none" w:sz="0" w:space="0" w:color="auto"/>
        <w:right w:val="none" w:sz="0" w:space="0" w:color="auto"/>
      </w:divBdr>
    </w:div>
    <w:div w:id="1226835604">
      <w:marLeft w:val="0"/>
      <w:marRight w:val="0"/>
      <w:marTop w:val="240"/>
      <w:marBottom w:val="0"/>
      <w:divBdr>
        <w:top w:val="none" w:sz="0" w:space="0" w:color="auto"/>
        <w:left w:val="none" w:sz="0" w:space="0" w:color="auto"/>
        <w:bottom w:val="none" w:sz="0" w:space="0" w:color="auto"/>
        <w:right w:val="none" w:sz="0" w:space="0" w:color="auto"/>
      </w:divBdr>
    </w:div>
    <w:div w:id="1229653545">
      <w:marLeft w:val="0"/>
      <w:marRight w:val="0"/>
      <w:marTop w:val="100"/>
      <w:marBottom w:val="0"/>
      <w:divBdr>
        <w:top w:val="none" w:sz="0" w:space="0" w:color="auto"/>
        <w:left w:val="none" w:sz="0" w:space="0" w:color="auto"/>
        <w:bottom w:val="none" w:sz="0" w:space="0" w:color="auto"/>
        <w:right w:val="none" w:sz="0" w:space="0" w:color="auto"/>
      </w:divBdr>
    </w:div>
    <w:div w:id="1235122134">
      <w:marLeft w:val="0"/>
      <w:marRight w:val="0"/>
      <w:marTop w:val="100"/>
      <w:marBottom w:val="0"/>
      <w:divBdr>
        <w:top w:val="none" w:sz="0" w:space="0" w:color="auto"/>
        <w:left w:val="none" w:sz="0" w:space="0" w:color="auto"/>
        <w:bottom w:val="none" w:sz="0" w:space="0" w:color="auto"/>
        <w:right w:val="none" w:sz="0" w:space="0" w:color="auto"/>
      </w:divBdr>
    </w:div>
    <w:div w:id="1235971484">
      <w:marLeft w:val="0"/>
      <w:marRight w:val="0"/>
      <w:marTop w:val="100"/>
      <w:marBottom w:val="60"/>
      <w:divBdr>
        <w:top w:val="none" w:sz="0" w:space="0" w:color="auto"/>
        <w:left w:val="none" w:sz="0" w:space="0" w:color="auto"/>
        <w:bottom w:val="none" w:sz="0" w:space="0" w:color="auto"/>
        <w:right w:val="none" w:sz="0" w:space="0" w:color="auto"/>
      </w:divBdr>
      <w:divsChild>
        <w:div w:id="615407504">
          <w:marLeft w:val="0"/>
          <w:marRight w:val="0"/>
          <w:marTop w:val="0"/>
          <w:marBottom w:val="0"/>
          <w:divBdr>
            <w:top w:val="none" w:sz="0" w:space="0" w:color="auto"/>
            <w:left w:val="none" w:sz="0" w:space="0" w:color="auto"/>
            <w:bottom w:val="none" w:sz="0" w:space="0" w:color="auto"/>
            <w:right w:val="none" w:sz="0" w:space="0" w:color="auto"/>
          </w:divBdr>
        </w:div>
      </w:divsChild>
    </w:div>
    <w:div w:id="1237663414">
      <w:marLeft w:val="0"/>
      <w:marRight w:val="0"/>
      <w:marTop w:val="240"/>
      <w:marBottom w:val="0"/>
      <w:divBdr>
        <w:top w:val="none" w:sz="0" w:space="0" w:color="auto"/>
        <w:left w:val="none" w:sz="0" w:space="0" w:color="auto"/>
        <w:bottom w:val="none" w:sz="0" w:space="0" w:color="auto"/>
        <w:right w:val="none" w:sz="0" w:space="0" w:color="auto"/>
      </w:divBdr>
    </w:div>
    <w:div w:id="1239317935">
      <w:marLeft w:val="0"/>
      <w:marRight w:val="0"/>
      <w:marTop w:val="40"/>
      <w:marBottom w:val="0"/>
      <w:divBdr>
        <w:top w:val="none" w:sz="0" w:space="0" w:color="auto"/>
        <w:left w:val="none" w:sz="0" w:space="0" w:color="auto"/>
        <w:bottom w:val="none" w:sz="0" w:space="0" w:color="auto"/>
        <w:right w:val="none" w:sz="0" w:space="0" w:color="auto"/>
      </w:divBdr>
    </w:div>
    <w:div w:id="1242982476">
      <w:marLeft w:val="0"/>
      <w:marRight w:val="0"/>
      <w:marTop w:val="240"/>
      <w:marBottom w:val="0"/>
      <w:divBdr>
        <w:top w:val="none" w:sz="0" w:space="0" w:color="auto"/>
        <w:left w:val="none" w:sz="0" w:space="0" w:color="auto"/>
        <w:bottom w:val="none" w:sz="0" w:space="0" w:color="auto"/>
        <w:right w:val="none" w:sz="0" w:space="0" w:color="auto"/>
      </w:divBdr>
    </w:div>
    <w:div w:id="1245459203">
      <w:marLeft w:val="0"/>
      <w:marRight w:val="0"/>
      <w:marTop w:val="100"/>
      <w:marBottom w:val="0"/>
      <w:divBdr>
        <w:top w:val="none" w:sz="0" w:space="0" w:color="auto"/>
        <w:left w:val="none" w:sz="0" w:space="0" w:color="auto"/>
        <w:bottom w:val="none" w:sz="0" w:space="0" w:color="auto"/>
        <w:right w:val="none" w:sz="0" w:space="0" w:color="auto"/>
      </w:divBdr>
    </w:div>
    <w:div w:id="1252545778">
      <w:marLeft w:val="0"/>
      <w:marRight w:val="0"/>
      <w:marTop w:val="100"/>
      <w:marBottom w:val="0"/>
      <w:divBdr>
        <w:top w:val="none" w:sz="0" w:space="0" w:color="auto"/>
        <w:left w:val="none" w:sz="0" w:space="0" w:color="auto"/>
        <w:bottom w:val="none" w:sz="0" w:space="0" w:color="auto"/>
        <w:right w:val="none" w:sz="0" w:space="0" w:color="auto"/>
      </w:divBdr>
    </w:div>
    <w:div w:id="1252854113">
      <w:marLeft w:val="0"/>
      <w:marRight w:val="0"/>
      <w:marTop w:val="100"/>
      <w:marBottom w:val="0"/>
      <w:divBdr>
        <w:top w:val="none" w:sz="0" w:space="0" w:color="auto"/>
        <w:left w:val="none" w:sz="0" w:space="0" w:color="auto"/>
        <w:bottom w:val="none" w:sz="0" w:space="0" w:color="auto"/>
        <w:right w:val="none" w:sz="0" w:space="0" w:color="auto"/>
      </w:divBdr>
    </w:div>
    <w:div w:id="1256355402">
      <w:marLeft w:val="0"/>
      <w:marRight w:val="0"/>
      <w:marTop w:val="240"/>
      <w:marBottom w:val="0"/>
      <w:divBdr>
        <w:top w:val="none" w:sz="0" w:space="0" w:color="auto"/>
        <w:left w:val="none" w:sz="0" w:space="0" w:color="auto"/>
        <w:bottom w:val="none" w:sz="0" w:space="0" w:color="auto"/>
        <w:right w:val="none" w:sz="0" w:space="0" w:color="auto"/>
      </w:divBdr>
    </w:div>
    <w:div w:id="1271818403">
      <w:marLeft w:val="0"/>
      <w:marRight w:val="0"/>
      <w:marTop w:val="0"/>
      <w:marBottom w:val="0"/>
      <w:divBdr>
        <w:top w:val="none" w:sz="0" w:space="0" w:color="auto"/>
        <w:left w:val="none" w:sz="0" w:space="0" w:color="auto"/>
        <w:bottom w:val="none" w:sz="0" w:space="0" w:color="auto"/>
        <w:right w:val="none" w:sz="0" w:space="0" w:color="auto"/>
      </w:divBdr>
    </w:div>
    <w:div w:id="1277373546">
      <w:marLeft w:val="0"/>
      <w:marRight w:val="0"/>
      <w:marTop w:val="240"/>
      <w:marBottom w:val="0"/>
      <w:divBdr>
        <w:top w:val="none" w:sz="0" w:space="0" w:color="auto"/>
        <w:left w:val="none" w:sz="0" w:space="0" w:color="auto"/>
        <w:bottom w:val="none" w:sz="0" w:space="0" w:color="auto"/>
        <w:right w:val="none" w:sz="0" w:space="0" w:color="auto"/>
      </w:divBdr>
    </w:div>
    <w:div w:id="1279026560">
      <w:marLeft w:val="0"/>
      <w:marRight w:val="0"/>
      <w:marTop w:val="0"/>
      <w:marBottom w:val="0"/>
      <w:divBdr>
        <w:top w:val="none" w:sz="0" w:space="0" w:color="auto"/>
        <w:left w:val="none" w:sz="0" w:space="0" w:color="auto"/>
        <w:bottom w:val="none" w:sz="0" w:space="0" w:color="auto"/>
        <w:right w:val="none" w:sz="0" w:space="0" w:color="auto"/>
      </w:divBdr>
      <w:divsChild>
        <w:div w:id="198203303">
          <w:marLeft w:val="0"/>
          <w:marRight w:val="0"/>
          <w:marTop w:val="0"/>
          <w:marBottom w:val="0"/>
          <w:divBdr>
            <w:top w:val="none" w:sz="0" w:space="0" w:color="auto"/>
            <w:left w:val="none" w:sz="0" w:space="0" w:color="auto"/>
            <w:bottom w:val="none" w:sz="0" w:space="0" w:color="auto"/>
            <w:right w:val="none" w:sz="0" w:space="0" w:color="auto"/>
          </w:divBdr>
        </w:div>
      </w:divsChild>
    </w:div>
    <w:div w:id="1280797071">
      <w:marLeft w:val="0"/>
      <w:marRight w:val="0"/>
      <w:marTop w:val="0"/>
      <w:marBottom w:val="0"/>
      <w:divBdr>
        <w:top w:val="none" w:sz="0" w:space="0" w:color="auto"/>
        <w:left w:val="none" w:sz="0" w:space="0" w:color="auto"/>
        <w:bottom w:val="none" w:sz="0" w:space="0" w:color="auto"/>
        <w:right w:val="none" w:sz="0" w:space="0" w:color="auto"/>
      </w:divBdr>
      <w:divsChild>
        <w:div w:id="1800685201">
          <w:marLeft w:val="0"/>
          <w:marRight w:val="0"/>
          <w:marTop w:val="0"/>
          <w:marBottom w:val="0"/>
          <w:divBdr>
            <w:top w:val="none" w:sz="0" w:space="0" w:color="auto"/>
            <w:left w:val="none" w:sz="0" w:space="0" w:color="auto"/>
            <w:bottom w:val="none" w:sz="0" w:space="0" w:color="auto"/>
            <w:right w:val="none" w:sz="0" w:space="0" w:color="auto"/>
          </w:divBdr>
        </w:div>
      </w:divsChild>
    </w:div>
    <w:div w:id="1285191283">
      <w:marLeft w:val="0"/>
      <w:marRight w:val="0"/>
      <w:marTop w:val="0"/>
      <w:marBottom w:val="0"/>
      <w:divBdr>
        <w:top w:val="none" w:sz="0" w:space="0" w:color="auto"/>
        <w:left w:val="none" w:sz="0" w:space="0" w:color="auto"/>
        <w:bottom w:val="none" w:sz="0" w:space="0" w:color="auto"/>
        <w:right w:val="none" w:sz="0" w:space="0" w:color="auto"/>
      </w:divBdr>
      <w:divsChild>
        <w:div w:id="1475174796">
          <w:marLeft w:val="0"/>
          <w:marRight w:val="0"/>
          <w:marTop w:val="0"/>
          <w:marBottom w:val="0"/>
          <w:divBdr>
            <w:top w:val="none" w:sz="0" w:space="0" w:color="auto"/>
            <w:left w:val="none" w:sz="0" w:space="0" w:color="auto"/>
            <w:bottom w:val="none" w:sz="0" w:space="0" w:color="auto"/>
            <w:right w:val="none" w:sz="0" w:space="0" w:color="auto"/>
          </w:divBdr>
        </w:div>
      </w:divsChild>
    </w:div>
    <w:div w:id="1295142349">
      <w:marLeft w:val="0"/>
      <w:marRight w:val="0"/>
      <w:marTop w:val="100"/>
      <w:marBottom w:val="0"/>
      <w:divBdr>
        <w:top w:val="none" w:sz="0" w:space="0" w:color="auto"/>
        <w:left w:val="none" w:sz="0" w:space="0" w:color="auto"/>
        <w:bottom w:val="none" w:sz="0" w:space="0" w:color="auto"/>
        <w:right w:val="none" w:sz="0" w:space="0" w:color="auto"/>
      </w:divBdr>
    </w:div>
    <w:div w:id="1297032737">
      <w:marLeft w:val="0"/>
      <w:marRight w:val="0"/>
      <w:marTop w:val="100"/>
      <w:marBottom w:val="0"/>
      <w:divBdr>
        <w:top w:val="none" w:sz="0" w:space="0" w:color="auto"/>
        <w:left w:val="none" w:sz="0" w:space="0" w:color="auto"/>
        <w:bottom w:val="none" w:sz="0" w:space="0" w:color="auto"/>
        <w:right w:val="none" w:sz="0" w:space="0" w:color="auto"/>
      </w:divBdr>
    </w:div>
    <w:div w:id="1298877616">
      <w:marLeft w:val="0"/>
      <w:marRight w:val="0"/>
      <w:marTop w:val="240"/>
      <w:marBottom w:val="0"/>
      <w:divBdr>
        <w:top w:val="none" w:sz="0" w:space="0" w:color="auto"/>
        <w:left w:val="none" w:sz="0" w:space="0" w:color="auto"/>
        <w:bottom w:val="none" w:sz="0" w:space="0" w:color="auto"/>
        <w:right w:val="none" w:sz="0" w:space="0" w:color="auto"/>
      </w:divBdr>
    </w:div>
    <w:div w:id="1303653568">
      <w:marLeft w:val="0"/>
      <w:marRight w:val="0"/>
      <w:marTop w:val="100"/>
      <w:marBottom w:val="0"/>
      <w:divBdr>
        <w:top w:val="none" w:sz="0" w:space="0" w:color="auto"/>
        <w:left w:val="none" w:sz="0" w:space="0" w:color="auto"/>
        <w:bottom w:val="none" w:sz="0" w:space="0" w:color="auto"/>
        <w:right w:val="none" w:sz="0" w:space="0" w:color="auto"/>
      </w:divBdr>
    </w:div>
    <w:div w:id="1310020115">
      <w:marLeft w:val="0"/>
      <w:marRight w:val="0"/>
      <w:marTop w:val="100"/>
      <w:marBottom w:val="0"/>
      <w:divBdr>
        <w:top w:val="none" w:sz="0" w:space="0" w:color="auto"/>
        <w:left w:val="none" w:sz="0" w:space="0" w:color="auto"/>
        <w:bottom w:val="none" w:sz="0" w:space="0" w:color="auto"/>
        <w:right w:val="none" w:sz="0" w:space="0" w:color="auto"/>
      </w:divBdr>
    </w:div>
    <w:div w:id="1310595480">
      <w:marLeft w:val="0"/>
      <w:marRight w:val="0"/>
      <w:marTop w:val="100"/>
      <w:marBottom w:val="0"/>
      <w:divBdr>
        <w:top w:val="none" w:sz="0" w:space="0" w:color="auto"/>
        <w:left w:val="none" w:sz="0" w:space="0" w:color="auto"/>
        <w:bottom w:val="none" w:sz="0" w:space="0" w:color="auto"/>
        <w:right w:val="none" w:sz="0" w:space="0" w:color="auto"/>
      </w:divBdr>
    </w:div>
    <w:div w:id="1312443852">
      <w:marLeft w:val="0"/>
      <w:marRight w:val="0"/>
      <w:marTop w:val="100"/>
      <w:marBottom w:val="0"/>
      <w:divBdr>
        <w:top w:val="none" w:sz="0" w:space="0" w:color="auto"/>
        <w:left w:val="none" w:sz="0" w:space="0" w:color="auto"/>
        <w:bottom w:val="none" w:sz="0" w:space="0" w:color="auto"/>
        <w:right w:val="none" w:sz="0" w:space="0" w:color="auto"/>
      </w:divBdr>
    </w:div>
    <w:div w:id="1313024512">
      <w:marLeft w:val="0"/>
      <w:marRight w:val="0"/>
      <w:marTop w:val="180"/>
      <w:marBottom w:val="0"/>
      <w:divBdr>
        <w:top w:val="none" w:sz="0" w:space="0" w:color="auto"/>
        <w:left w:val="none" w:sz="0" w:space="0" w:color="auto"/>
        <w:bottom w:val="none" w:sz="0" w:space="0" w:color="auto"/>
        <w:right w:val="none" w:sz="0" w:space="0" w:color="auto"/>
      </w:divBdr>
    </w:div>
    <w:div w:id="1313175208">
      <w:marLeft w:val="0"/>
      <w:marRight w:val="0"/>
      <w:marTop w:val="0"/>
      <w:marBottom w:val="0"/>
      <w:divBdr>
        <w:top w:val="none" w:sz="0" w:space="0" w:color="auto"/>
        <w:left w:val="none" w:sz="0" w:space="0" w:color="auto"/>
        <w:bottom w:val="none" w:sz="0" w:space="0" w:color="auto"/>
        <w:right w:val="none" w:sz="0" w:space="0" w:color="auto"/>
      </w:divBdr>
      <w:divsChild>
        <w:div w:id="813647282">
          <w:marLeft w:val="0"/>
          <w:marRight w:val="0"/>
          <w:marTop w:val="0"/>
          <w:marBottom w:val="0"/>
          <w:divBdr>
            <w:top w:val="none" w:sz="0" w:space="0" w:color="auto"/>
            <w:left w:val="none" w:sz="0" w:space="0" w:color="auto"/>
            <w:bottom w:val="none" w:sz="0" w:space="0" w:color="auto"/>
            <w:right w:val="none" w:sz="0" w:space="0" w:color="auto"/>
          </w:divBdr>
        </w:div>
      </w:divsChild>
    </w:div>
    <w:div w:id="1313682357">
      <w:marLeft w:val="0"/>
      <w:marRight w:val="0"/>
      <w:marTop w:val="100"/>
      <w:marBottom w:val="0"/>
      <w:divBdr>
        <w:top w:val="none" w:sz="0" w:space="0" w:color="auto"/>
        <w:left w:val="none" w:sz="0" w:space="0" w:color="auto"/>
        <w:bottom w:val="none" w:sz="0" w:space="0" w:color="auto"/>
        <w:right w:val="none" w:sz="0" w:space="0" w:color="auto"/>
      </w:divBdr>
      <w:divsChild>
        <w:div w:id="2105682068">
          <w:marLeft w:val="0"/>
          <w:marRight w:val="0"/>
          <w:marTop w:val="0"/>
          <w:marBottom w:val="0"/>
          <w:divBdr>
            <w:top w:val="none" w:sz="0" w:space="0" w:color="auto"/>
            <w:left w:val="none" w:sz="0" w:space="0" w:color="auto"/>
            <w:bottom w:val="none" w:sz="0" w:space="0" w:color="auto"/>
            <w:right w:val="none" w:sz="0" w:space="0" w:color="auto"/>
          </w:divBdr>
        </w:div>
      </w:divsChild>
    </w:div>
    <w:div w:id="1315991221">
      <w:marLeft w:val="0"/>
      <w:marRight w:val="0"/>
      <w:marTop w:val="240"/>
      <w:marBottom w:val="0"/>
      <w:divBdr>
        <w:top w:val="none" w:sz="0" w:space="0" w:color="auto"/>
        <w:left w:val="none" w:sz="0" w:space="0" w:color="auto"/>
        <w:bottom w:val="none" w:sz="0" w:space="0" w:color="auto"/>
        <w:right w:val="none" w:sz="0" w:space="0" w:color="auto"/>
      </w:divBdr>
    </w:div>
    <w:div w:id="1317420369">
      <w:marLeft w:val="0"/>
      <w:marRight w:val="0"/>
      <w:marTop w:val="100"/>
      <w:marBottom w:val="0"/>
      <w:divBdr>
        <w:top w:val="none" w:sz="0" w:space="0" w:color="auto"/>
        <w:left w:val="none" w:sz="0" w:space="0" w:color="auto"/>
        <w:bottom w:val="none" w:sz="0" w:space="0" w:color="auto"/>
        <w:right w:val="none" w:sz="0" w:space="0" w:color="auto"/>
      </w:divBdr>
    </w:div>
    <w:div w:id="1322538641">
      <w:marLeft w:val="0"/>
      <w:marRight w:val="0"/>
      <w:marTop w:val="240"/>
      <w:marBottom w:val="0"/>
      <w:divBdr>
        <w:top w:val="none" w:sz="0" w:space="0" w:color="auto"/>
        <w:left w:val="none" w:sz="0" w:space="0" w:color="auto"/>
        <w:bottom w:val="none" w:sz="0" w:space="0" w:color="auto"/>
        <w:right w:val="none" w:sz="0" w:space="0" w:color="auto"/>
      </w:divBdr>
    </w:div>
    <w:div w:id="1328437657">
      <w:marLeft w:val="0"/>
      <w:marRight w:val="0"/>
      <w:marTop w:val="100"/>
      <w:marBottom w:val="0"/>
      <w:divBdr>
        <w:top w:val="none" w:sz="0" w:space="0" w:color="auto"/>
        <w:left w:val="none" w:sz="0" w:space="0" w:color="auto"/>
        <w:bottom w:val="none" w:sz="0" w:space="0" w:color="auto"/>
        <w:right w:val="none" w:sz="0" w:space="0" w:color="auto"/>
      </w:divBdr>
    </w:div>
    <w:div w:id="1344088426">
      <w:marLeft w:val="0"/>
      <w:marRight w:val="0"/>
      <w:marTop w:val="240"/>
      <w:marBottom w:val="0"/>
      <w:divBdr>
        <w:top w:val="none" w:sz="0" w:space="0" w:color="auto"/>
        <w:left w:val="none" w:sz="0" w:space="0" w:color="auto"/>
        <w:bottom w:val="none" w:sz="0" w:space="0" w:color="auto"/>
        <w:right w:val="none" w:sz="0" w:space="0" w:color="auto"/>
      </w:divBdr>
    </w:div>
    <w:div w:id="1348095496">
      <w:marLeft w:val="0"/>
      <w:marRight w:val="0"/>
      <w:marTop w:val="0"/>
      <w:marBottom w:val="0"/>
      <w:divBdr>
        <w:top w:val="none" w:sz="0" w:space="0" w:color="auto"/>
        <w:left w:val="none" w:sz="0" w:space="0" w:color="auto"/>
        <w:bottom w:val="none" w:sz="0" w:space="0" w:color="auto"/>
        <w:right w:val="none" w:sz="0" w:space="0" w:color="auto"/>
      </w:divBdr>
      <w:divsChild>
        <w:div w:id="1184516440">
          <w:marLeft w:val="0"/>
          <w:marRight w:val="0"/>
          <w:marTop w:val="0"/>
          <w:marBottom w:val="0"/>
          <w:divBdr>
            <w:top w:val="none" w:sz="0" w:space="0" w:color="auto"/>
            <w:left w:val="none" w:sz="0" w:space="0" w:color="auto"/>
            <w:bottom w:val="none" w:sz="0" w:space="0" w:color="auto"/>
            <w:right w:val="none" w:sz="0" w:space="0" w:color="auto"/>
          </w:divBdr>
        </w:div>
      </w:divsChild>
    </w:div>
    <w:div w:id="1352486576">
      <w:marLeft w:val="0"/>
      <w:marRight w:val="0"/>
      <w:marTop w:val="100"/>
      <w:marBottom w:val="0"/>
      <w:divBdr>
        <w:top w:val="none" w:sz="0" w:space="0" w:color="auto"/>
        <w:left w:val="none" w:sz="0" w:space="0" w:color="auto"/>
        <w:bottom w:val="none" w:sz="0" w:space="0" w:color="auto"/>
        <w:right w:val="none" w:sz="0" w:space="0" w:color="auto"/>
      </w:divBdr>
      <w:divsChild>
        <w:div w:id="871311297">
          <w:marLeft w:val="0"/>
          <w:marRight w:val="0"/>
          <w:marTop w:val="0"/>
          <w:marBottom w:val="0"/>
          <w:divBdr>
            <w:top w:val="none" w:sz="0" w:space="0" w:color="auto"/>
            <w:left w:val="none" w:sz="0" w:space="0" w:color="auto"/>
            <w:bottom w:val="none" w:sz="0" w:space="0" w:color="auto"/>
            <w:right w:val="none" w:sz="0" w:space="0" w:color="auto"/>
          </w:divBdr>
        </w:div>
        <w:div w:id="844712111">
          <w:marLeft w:val="0"/>
          <w:marRight w:val="0"/>
          <w:marTop w:val="0"/>
          <w:marBottom w:val="0"/>
          <w:divBdr>
            <w:top w:val="none" w:sz="0" w:space="0" w:color="auto"/>
            <w:left w:val="none" w:sz="0" w:space="0" w:color="auto"/>
            <w:bottom w:val="none" w:sz="0" w:space="0" w:color="auto"/>
            <w:right w:val="none" w:sz="0" w:space="0" w:color="auto"/>
          </w:divBdr>
        </w:div>
      </w:divsChild>
    </w:div>
    <w:div w:id="1367872789">
      <w:marLeft w:val="0"/>
      <w:marRight w:val="0"/>
      <w:marTop w:val="100"/>
      <w:marBottom w:val="0"/>
      <w:divBdr>
        <w:top w:val="none" w:sz="0" w:space="0" w:color="auto"/>
        <w:left w:val="none" w:sz="0" w:space="0" w:color="auto"/>
        <w:bottom w:val="none" w:sz="0" w:space="0" w:color="auto"/>
        <w:right w:val="none" w:sz="0" w:space="0" w:color="auto"/>
      </w:divBdr>
    </w:div>
    <w:div w:id="1371226378">
      <w:marLeft w:val="0"/>
      <w:marRight w:val="0"/>
      <w:marTop w:val="60"/>
      <w:marBottom w:val="0"/>
      <w:divBdr>
        <w:top w:val="none" w:sz="0" w:space="0" w:color="auto"/>
        <w:left w:val="none" w:sz="0" w:space="0" w:color="auto"/>
        <w:bottom w:val="none" w:sz="0" w:space="0" w:color="auto"/>
        <w:right w:val="none" w:sz="0" w:space="0" w:color="auto"/>
      </w:divBdr>
    </w:div>
    <w:div w:id="1372993757">
      <w:marLeft w:val="0"/>
      <w:marRight w:val="0"/>
      <w:marTop w:val="100"/>
      <w:marBottom w:val="0"/>
      <w:divBdr>
        <w:top w:val="none" w:sz="0" w:space="0" w:color="auto"/>
        <w:left w:val="none" w:sz="0" w:space="0" w:color="auto"/>
        <w:bottom w:val="none" w:sz="0" w:space="0" w:color="auto"/>
        <w:right w:val="none" w:sz="0" w:space="0" w:color="auto"/>
      </w:divBdr>
    </w:div>
    <w:div w:id="1400443138">
      <w:marLeft w:val="0"/>
      <w:marRight w:val="0"/>
      <w:marTop w:val="240"/>
      <w:marBottom w:val="0"/>
      <w:divBdr>
        <w:top w:val="none" w:sz="0" w:space="0" w:color="auto"/>
        <w:left w:val="none" w:sz="0" w:space="0" w:color="auto"/>
        <w:bottom w:val="none" w:sz="0" w:space="0" w:color="auto"/>
        <w:right w:val="none" w:sz="0" w:space="0" w:color="auto"/>
      </w:divBdr>
    </w:div>
    <w:div w:id="1408116882">
      <w:marLeft w:val="0"/>
      <w:marRight w:val="0"/>
      <w:marTop w:val="100"/>
      <w:marBottom w:val="0"/>
      <w:divBdr>
        <w:top w:val="none" w:sz="0" w:space="0" w:color="auto"/>
        <w:left w:val="none" w:sz="0" w:space="0" w:color="auto"/>
        <w:bottom w:val="none" w:sz="0" w:space="0" w:color="auto"/>
        <w:right w:val="none" w:sz="0" w:space="0" w:color="auto"/>
      </w:divBdr>
    </w:div>
    <w:div w:id="1408654606">
      <w:marLeft w:val="0"/>
      <w:marRight w:val="0"/>
      <w:marTop w:val="240"/>
      <w:marBottom w:val="0"/>
      <w:divBdr>
        <w:top w:val="none" w:sz="0" w:space="0" w:color="auto"/>
        <w:left w:val="none" w:sz="0" w:space="0" w:color="auto"/>
        <w:bottom w:val="none" w:sz="0" w:space="0" w:color="auto"/>
        <w:right w:val="none" w:sz="0" w:space="0" w:color="auto"/>
      </w:divBdr>
    </w:div>
    <w:div w:id="1412774995">
      <w:marLeft w:val="0"/>
      <w:marRight w:val="0"/>
      <w:marTop w:val="100"/>
      <w:marBottom w:val="0"/>
      <w:divBdr>
        <w:top w:val="none" w:sz="0" w:space="0" w:color="auto"/>
        <w:left w:val="none" w:sz="0" w:space="0" w:color="auto"/>
        <w:bottom w:val="none" w:sz="0" w:space="0" w:color="auto"/>
        <w:right w:val="none" w:sz="0" w:space="0" w:color="auto"/>
      </w:divBdr>
    </w:div>
    <w:div w:id="1414006799">
      <w:marLeft w:val="0"/>
      <w:marRight w:val="0"/>
      <w:marTop w:val="0"/>
      <w:marBottom w:val="0"/>
      <w:divBdr>
        <w:top w:val="none" w:sz="0" w:space="0" w:color="auto"/>
        <w:left w:val="none" w:sz="0" w:space="0" w:color="auto"/>
        <w:bottom w:val="none" w:sz="0" w:space="0" w:color="auto"/>
        <w:right w:val="none" w:sz="0" w:space="0" w:color="auto"/>
      </w:divBdr>
    </w:div>
    <w:div w:id="1423334459">
      <w:marLeft w:val="0"/>
      <w:marRight w:val="0"/>
      <w:marTop w:val="40"/>
      <w:marBottom w:val="0"/>
      <w:divBdr>
        <w:top w:val="none" w:sz="0" w:space="0" w:color="auto"/>
        <w:left w:val="none" w:sz="0" w:space="0" w:color="auto"/>
        <w:bottom w:val="none" w:sz="0" w:space="0" w:color="auto"/>
        <w:right w:val="none" w:sz="0" w:space="0" w:color="auto"/>
      </w:divBdr>
    </w:div>
    <w:div w:id="1424450948">
      <w:marLeft w:val="0"/>
      <w:marRight w:val="0"/>
      <w:marTop w:val="100"/>
      <w:marBottom w:val="0"/>
      <w:divBdr>
        <w:top w:val="none" w:sz="0" w:space="0" w:color="auto"/>
        <w:left w:val="none" w:sz="0" w:space="0" w:color="auto"/>
        <w:bottom w:val="none" w:sz="0" w:space="0" w:color="auto"/>
        <w:right w:val="none" w:sz="0" w:space="0" w:color="auto"/>
      </w:divBdr>
    </w:div>
    <w:div w:id="1425953695">
      <w:marLeft w:val="0"/>
      <w:marRight w:val="0"/>
      <w:marTop w:val="100"/>
      <w:marBottom w:val="0"/>
      <w:divBdr>
        <w:top w:val="none" w:sz="0" w:space="0" w:color="auto"/>
        <w:left w:val="none" w:sz="0" w:space="0" w:color="auto"/>
        <w:bottom w:val="none" w:sz="0" w:space="0" w:color="auto"/>
        <w:right w:val="none" w:sz="0" w:space="0" w:color="auto"/>
      </w:divBdr>
    </w:div>
    <w:div w:id="1426146626">
      <w:marLeft w:val="0"/>
      <w:marRight w:val="0"/>
      <w:marTop w:val="100"/>
      <w:marBottom w:val="0"/>
      <w:divBdr>
        <w:top w:val="none" w:sz="0" w:space="0" w:color="auto"/>
        <w:left w:val="none" w:sz="0" w:space="0" w:color="auto"/>
        <w:bottom w:val="none" w:sz="0" w:space="0" w:color="auto"/>
        <w:right w:val="none" w:sz="0" w:space="0" w:color="auto"/>
      </w:divBdr>
    </w:div>
    <w:div w:id="1426420743">
      <w:marLeft w:val="0"/>
      <w:marRight w:val="0"/>
      <w:marTop w:val="100"/>
      <w:marBottom w:val="0"/>
      <w:divBdr>
        <w:top w:val="none" w:sz="0" w:space="0" w:color="auto"/>
        <w:left w:val="none" w:sz="0" w:space="0" w:color="auto"/>
        <w:bottom w:val="none" w:sz="0" w:space="0" w:color="auto"/>
        <w:right w:val="none" w:sz="0" w:space="0" w:color="auto"/>
      </w:divBdr>
    </w:div>
    <w:div w:id="1434587669">
      <w:marLeft w:val="0"/>
      <w:marRight w:val="0"/>
      <w:marTop w:val="0"/>
      <w:marBottom w:val="0"/>
      <w:divBdr>
        <w:top w:val="none" w:sz="0" w:space="0" w:color="auto"/>
        <w:left w:val="none" w:sz="0" w:space="0" w:color="auto"/>
        <w:bottom w:val="none" w:sz="0" w:space="0" w:color="auto"/>
        <w:right w:val="none" w:sz="0" w:space="0" w:color="auto"/>
      </w:divBdr>
    </w:div>
    <w:div w:id="1437628945">
      <w:marLeft w:val="0"/>
      <w:marRight w:val="0"/>
      <w:marTop w:val="100"/>
      <w:marBottom w:val="0"/>
      <w:divBdr>
        <w:top w:val="none" w:sz="0" w:space="0" w:color="auto"/>
        <w:left w:val="none" w:sz="0" w:space="0" w:color="auto"/>
        <w:bottom w:val="none" w:sz="0" w:space="0" w:color="auto"/>
        <w:right w:val="none" w:sz="0" w:space="0" w:color="auto"/>
      </w:divBdr>
    </w:div>
    <w:div w:id="1440687530">
      <w:marLeft w:val="0"/>
      <w:marRight w:val="0"/>
      <w:marTop w:val="240"/>
      <w:marBottom w:val="0"/>
      <w:divBdr>
        <w:top w:val="none" w:sz="0" w:space="0" w:color="auto"/>
        <w:left w:val="none" w:sz="0" w:space="0" w:color="auto"/>
        <w:bottom w:val="none" w:sz="0" w:space="0" w:color="auto"/>
        <w:right w:val="none" w:sz="0" w:space="0" w:color="auto"/>
      </w:divBdr>
    </w:div>
    <w:div w:id="1452359083">
      <w:marLeft w:val="0"/>
      <w:marRight w:val="0"/>
      <w:marTop w:val="0"/>
      <w:marBottom w:val="0"/>
      <w:divBdr>
        <w:top w:val="none" w:sz="0" w:space="0" w:color="auto"/>
        <w:left w:val="none" w:sz="0" w:space="0" w:color="auto"/>
        <w:bottom w:val="none" w:sz="0" w:space="0" w:color="auto"/>
        <w:right w:val="none" w:sz="0" w:space="0" w:color="auto"/>
      </w:divBdr>
      <w:divsChild>
        <w:div w:id="334697876">
          <w:marLeft w:val="0"/>
          <w:marRight w:val="0"/>
          <w:marTop w:val="0"/>
          <w:marBottom w:val="0"/>
          <w:divBdr>
            <w:top w:val="none" w:sz="0" w:space="0" w:color="auto"/>
            <w:left w:val="none" w:sz="0" w:space="0" w:color="auto"/>
            <w:bottom w:val="none" w:sz="0" w:space="0" w:color="auto"/>
            <w:right w:val="none" w:sz="0" w:space="0" w:color="auto"/>
          </w:divBdr>
        </w:div>
      </w:divsChild>
    </w:div>
    <w:div w:id="1458451797">
      <w:marLeft w:val="0"/>
      <w:marRight w:val="0"/>
      <w:marTop w:val="100"/>
      <w:marBottom w:val="0"/>
      <w:divBdr>
        <w:top w:val="none" w:sz="0" w:space="0" w:color="auto"/>
        <w:left w:val="none" w:sz="0" w:space="0" w:color="auto"/>
        <w:bottom w:val="none" w:sz="0" w:space="0" w:color="auto"/>
        <w:right w:val="none" w:sz="0" w:space="0" w:color="auto"/>
      </w:divBdr>
    </w:div>
    <w:div w:id="1459184196">
      <w:marLeft w:val="0"/>
      <w:marRight w:val="0"/>
      <w:marTop w:val="240"/>
      <w:marBottom w:val="0"/>
      <w:divBdr>
        <w:top w:val="none" w:sz="0" w:space="0" w:color="auto"/>
        <w:left w:val="none" w:sz="0" w:space="0" w:color="auto"/>
        <w:bottom w:val="none" w:sz="0" w:space="0" w:color="auto"/>
        <w:right w:val="none" w:sz="0" w:space="0" w:color="auto"/>
      </w:divBdr>
    </w:div>
    <w:div w:id="1460220917">
      <w:marLeft w:val="0"/>
      <w:marRight w:val="0"/>
      <w:marTop w:val="240"/>
      <w:marBottom w:val="0"/>
      <w:divBdr>
        <w:top w:val="none" w:sz="0" w:space="0" w:color="auto"/>
        <w:left w:val="none" w:sz="0" w:space="0" w:color="auto"/>
        <w:bottom w:val="none" w:sz="0" w:space="0" w:color="auto"/>
        <w:right w:val="none" w:sz="0" w:space="0" w:color="auto"/>
      </w:divBdr>
    </w:div>
    <w:div w:id="1463037804">
      <w:marLeft w:val="0"/>
      <w:marRight w:val="0"/>
      <w:marTop w:val="0"/>
      <w:marBottom w:val="0"/>
      <w:divBdr>
        <w:top w:val="none" w:sz="0" w:space="0" w:color="auto"/>
        <w:left w:val="none" w:sz="0" w:space="0" w:color="auto"/>
        <w:bottom w:val="none" w:sz="0" w:space="0" w:color="auto"/>
        <w:right w:val="none" w:sz="0" w:space="0" w:color="auto"/>
      </w:divBdr>
      <w:divsChild>
        <w:div w:id="584847093">
          <w:marLeft w:val="0"/>
          <w:marRight w:val="0"/>
          <w:marTop w:val="0"/>
          <w:marBottom w:val="0"/>
          <w:divBdr>
            <w:top w:val="none" w:sz="0" w:space="0" w:color="auto"/>
            <w:left w:val="none" w:sz="0" w:space="0" w:color="auto"/>
            <w:bottom w:val="none" w:sz="0" w:space="0" w:color="auto"/>
            <w:right w:val="none" w:sz="0" w:space="0" w:color="auto"/>
          </w:divBdr>
        </w:div>
      </w:divsChild>
    </w:div>
    <w:div w:id="1464930037">
      <w:marLeft w:val="0"/>
      <w:marRight w:val="0"/>
      <w:marTop w:val="0"/>
      <w:marBottom w:val="0"/>
      <w:divBdr>
        <w:top w:val="none" w:sz="0" w:space="0" w:color="auto"/>
        <w:left w:val="none" w:sz="0" w:space="0" w:color="auto"/>
        <w:bottom w:val="none" w:sz="0" w:space="0" w:color="auto"/>
        <w:right w:val="none" w:sz="0" w:space="0" w:color="auto"/>
      </w:divBdr>
      <w:divsChild>
        <w:div w:id="1592086526">
          <w:marLeft w:val="0"/>
          <w:marRight w:val="0"/>
          <w:marTop w:val="0"/>
          <w:marBottom w:val="0"/>
          <w:divBdr>
            <w:top w:val="none" w:sz="0" w:space="0" w:color="auto"/>
            <w:left w:val="none" w:sz="0" w:space="0" w:color="auto"/>
            <w:bottom w:val="none" w:sz="0" w:space="0" w:color="auto"/>
            <w:right w:val="none" w:sz="0" w:space="0" w:color="auto"/>
          </w:divBdr>
        </w:div>
      </w:divsChild>
    </w:div>
    <w:div w:id="1470592705">
      <w:marLeft w:val="0"/>
      <w:marRight w:val="0"/>
      <w:marTop w:val="60"/>
      <w:marBottom w:val="0"/>
      <w:divBdr>
        <w:top w:val="none" w:sz="0" w:space="0" w:color="auto"/>
        <w:left w:val="none" w:sz="0" w:space="0" w:color="auto"/>
        <w:bottom w:val="none" w:sz="0" w:space="0" w:color="auto"/>
        <w:right w:val="none" w:sz="0" w:space="0" w:color="auto"/>
      </w:divBdr>
    </w:div>
    <w:div w:id="1485974715">
      <w:marLeft w:val="0"/>
      <w:marRight w:val="0"/>
      <w:marTop w:val="100"/>
      <w:marBottom w:val="0"/>
      <w:divBdr>
        <w:top w:val="none" w:sz="0" w:space="0" w:color="auto"/>
        <w:left w:val="none" w:sz="0" w:space="0" w:color="auto"/>
        <w:bottom w:val="none" w:sz="0" w:space="0" w:color="auto"/>
        <w:right w:val="none" w:sz="0" w:space="0" w:color="auto"/>
      </w:divBdr>
    </w:div>
    <w:div w:id="1486705749">
      <w:marLeft w:val="0"/>
      <w:marRight w:val="0"/>
      <w:marTop w:val="280"/>
      <w:marBottom w:val="0"/>
      <w:divBdr>
        <w:top w:val="none" w:sz="0" w:space="0" w:color="auto"/>
        <w:left w:val="none" w:sz="0" w:space="0" w:color="auto"/>
        <w:bottom w:val="none" w:sz="0" w:space="0" w:color="auto"/>
        <w:right w:val="none" w:sz="0" w:space="0" w:color="auto"/>
      </w:divBdr>
    </w:div>
    <w:div w:id="1487279763">
      <w:marLeft w:val="0"/>
      <w:marRight w:val="0"/>
      <w:marTop w:val="240"/>
      <w:marBottom w:val="0"/>
      <w:divBdr>
        <w:top w:val="none" w:sz="0" w:space="0" w:color="auto"/>
        <w:left w:val="none" w:sz="0" w:space="0" w:color="auto"/>
        <w:bottom w:val="none" w:sz="0" w:space="0" w:color="auto"/>
        <w:right w:val="none" w:sz="0" w:space="0" w:color="auto"/>
      </w:divBdr>
    </w:div>
    <w:div w:id="1491215163">
      <w:marLeft w:val="0"/>
      <w:marRight w:val="0"/>
      <w:marTop w:val="100"/>
      <w:marBottom w:val="0"/>
      <w:divBdr>
        <w:top w:val="none" w:sz="0" w:space="0" w:color="auto"/>
        <w:left w:val="none" w:sz="0" w:space="0" w:color="auto"/>
        <w:bottom w:val="none" w:sz="0" w:space="0" w:color="auto"/>
        <w:right w:val="none" w:sz="0" w:space="0" w:color="auto"/>
      </w:divBdr>
    </w:div>
    <w:div w:id="1497527954">
      <w:marLeft w:val="0"/>
      <w:marRight w:val="0"/>
      <w:marTop w:val="100"/>
      <w:marBottom w:val="0"/>
      <w:divBdr>
        <w:top w:val="none" w:sz="0" w:space="0" w:color="auto"/>
        <w:left w:val="none" w:sz="0" w:space="0" w:color="auto"/>
        <w:bottom w:val="none" w:sz="0" w:space="0" w:color="auto"/>
        <w:right w:val="none" w:sz="0" w:space="0" w:color="auto"/>
      </w:divBdr>
    </w:div>
    <w:div w:id="1501508436">
      <w:marLeft w:val="0"/>
      <w:marRight w:val="0"/>
      <w:marTop w:val="100"/>
      <w:marBottom w:val="0"/>
      <w:divBdr>
        <w:top w:val="none" w:sz="0" w:space="0" w:color="auto"/>
        <w:left w:val="none" w:sz="0" w:space="0" w:color="auto"/>
        <w:bottom w:val="none" w:sz="0" w:space="0" w:color="auto"/>
        <w:right w:val="none" w:sz="0" w:space="0" w:color="auto"/>
      </w:divBdr>
    </w:div>
    <w:div w:id="1503161638">
      <w:marLeft w:val="0"/>
      <w:marRight w:val="0"/>
      <w:marTop w:val="60"/>
      <w:marBottom w:val="0"/>
      <w:divBdr>
        <w:top w:val="none" w:sz="0" w:space="0" w:color="auto"/>
        <w:left w:val="none" w:sz="0" w:space="0" w:color="auto"/>
        <w:bottom w:val="none" w:sz="0" w:space="0" w:color="auto"/>
        <w:right w:val="none" w:sz="0" w:space="0" w:color="auto"/>
      </w:divBdr>
    </w:div>
    <w:div w:id="1519350345">
      <w:marLeft w:val="0"/>
      <w:marRight w:val="0"/>
      <w:marTop w:val="100"/>
      <w:marBottom w:val="0"/>
      <w:divBdr>
        <w:top w:val="none" w:sz="0" w:space="0" w:color="auto"/>
        <w:left w:val="none" w:sz="0" w:space="0" w:color="auto"/>
        <w:bottom w:val="none" w:sz="0" w:space="0" w:color="auto"/>
        <w:right w:val="none" w:sz="0" w:space="0" w:color="auto"/>
      </w:divBdr>
    </w:div>
    <w:div w:id="1524706973">
      <w:marLeft w:val="0"/>
      <w:marRight w:val="0"/>
      <w:marTop w:val="0"/>
      <w:marBottom w:val="0"/>
      <w:divBdr>
        <w:top w:val="none" w:sz="0" w:space="0" w:color="auto"/>
        <w:left w:val="none" w:sz="0" w:space="0" w:color="auto"/>
        <w:bottom w:val="none" w:sz="0" w:space="0" w:color="auto"/>
        <w:right w:val="none" w:sz="0" w:space="0" w:color="auto"/>
      </w:divBdr>
      <w:divsChild>
        <w:div w:id="342324898">
          <w:marLeft w:val="0"/>
          <w:marRight w:val="0"/>
          <w:marTop w:val="0"/>
          <w:marBottom w:val="0"/>
          <w:divBdr>
            <w:top w:val="none" w:sz="0" w:space="0" w:color="auto"/>
            <w:left w:val="none" w:sz="0" w:space="0" w:color="auto"/>
            <w:bottom w:val="none" w:sz="0" w:space="0" w:color="auto"/>
            <w:right w:val="none" w:sz="0" w:space="0" w:color="auto"/>
          </w:divBdr>
        </w:div>
      </w:divsChild>
    </w:div>
    <w:div w:id="1527909023">
      <w:marLeft w:val="0"/>
      <w:marRight w:val="0"/>
      <w:marTop w:val="240"/>
      <w:marBottom w:val="0"/>
      <w:divBdr>
        <w:top w:val="none" w:sz="0" w:space="0" w:color="auto"/>
        <w:left w:val="none" w:sz="0" w:space="0" w:color="auto"/>
        <w:bottom w:val="none" w:sz="0" w:space="0" w:color="auto"/>
        <w:right w:val="none" w:sz="0" w:space="0" w:color="auto"/>
      </w:divBdr>
    </w:div>
    <w:div w:id="1530216283">
      <w:marLeft w:val="0"/>
      <w:marRight w:val="0"/>
      <w:marTop w:val="100"/>
      <w:marBottom w:val="0"/>
      <w:divBdr>
        <w:top w:val="none" w:sz="0" w:space="0" w:color="auto"/>
        <w:left w:val="none" w:sz="0" w:space="0" w:color="auto"/>
        <w:bottom w:val="none" w:sz="0" w:space="0" w:color="auto"/>
        <w:right w:val="none" w:sz="0" w:space="0" w:color="auto"/>
      </w:divBdr>
    </w:div>
    <w:div w:id="1530411573">
      <w:marLeft w:val="0"/>
      <w:marRight w:val="0"/>
      <w:marTop w:val="100"/>
      <w:marBottom w:val="0"/>
      <w:divBdr>
        <w:top w:val="none" w:sz="0" w:space="0" w:color="auto"/>
        <w:left w:val="none" w:sz="0" w:space="0" w:color="auto"/>
        <w:bottom w:val="none" w:sz="0" w:space="0" w:color="auto"/>
        <w:right w:val="none" w:sz="0" w:space="0" w:color="auto"/>
      </w:divBdr>
    </w:div>
    <w:div w:id="1534800942">
      <w:marLeft w:val="0"/>
      <w:marRight w:val="0"/>
      <w:marTop w:val="60"/>
      <w:marBottom w:val="0"/>
      <w:divBdr>
        <w:top w:val="none" w:sz="0" w:space="0" w:color="auto"/>
        <w:left w:val="none" w:sz="0" w:space="0" w:color="auto"/>
        <w:bottom w:val="none" w:sz="0" w:space="0" w:color="auto"/>
        <w:right w:val="none" w:sz="0" w:space="0" w:color="auto"/>
      </w:divBdr>
    </w:div>
    <w:div w:id="1536312960">
      <w:marLeft w:val="0"/>
      <w:marRight w:val="0"/>
      <w:marTop w:val="100"/>
      <w:marBottom w:val="0"/>
      <w:divBdr>
        <w:top w:val="none" w:sz="0" w:space="0" w:color="auto"/>
        <w:left w:val="none" w:sz="0" w:space="0" w:color="auto"/>
        <w:bottom w:val="none" w:sz="0" w:space="0" w:color="auto"/>
        <w:right w:val="none" w:sz="0" w:space="0" w:color="auto"/>
      </w:divBdr>
    </w:div>
    <w:div w:id="1542283449">
      <w:marLeft w:val="0"/>
      <w:marRight w:val="0"/>
      <w:marTop w:val="0"/>
      <w:marBottom w:val="0"/>
      <w:divBdr>
        <w:top w:val="none" w:sz="0" w:space="0" w:color="auto"/>
        <w:left w:val="none" w:sz="0" w:space="0" w:color="auto"/>
        <w:bottom w:val="none" w:sz="0" w:space="0" w:color="auto"/>
        <w:right w:val="none" w:sz="0" w:space="0" w:color="auto"/>
      </w:divBdr>
      <w:divsChild>
        <w:div w:id="2057851045">
          <w:marLeft w:val="0"/>
          <w:marRight w:val="0"/>
          <w:marTop w:val="0"/>
          <w:marBottom w:val="0"/>
          <w:divBdr>
            <w:top w:val="none" w:sz="0" w:space="0" w:color="auto"/>
            <w:left w:val="none" w:sz="0" w:space="0" w:color="auto"/>
            <w:bottom w:val="none" w:sz="0" w:space="0" w:color="auto"/>
            <w:right w:val="none" w:sz="0" w:space="0" w:color="auto"/>
          </w:divBdr>
        </w:div>
      </w:divsChild>
    </w:div>
    <w:div w:id="1545405858">
      <w:marLeft w:val="0"/>
      <w:marRight w:val="0"/>
      <w:marTop w:val="100"/>
      <w:marBottom w:val="0"/>
      <w:divBdr>
        <w:top w:val="none" w:sz="0" w:space="0" w:color="auto"/>
        <w:left w:val="none" w:sz="0" w:space="0" w:color="auto"/>
        <w:bottom w:val="none" w:sz="0" w:space="0" w:color="auto"/>
        <w:right w:val="none" w:sz="0" w:space="0" w:color="auto"/>
      </w:divBdr>
    </w:div>
    <w:div w:id="1551913635">
      <w:marLeft w:val="0"/>
      <w:marRight w:val="0"/>
      <w:marTop w:val="0"/>
      <w:marBottom w:val="0"/>
      <w:divBdr>
        <w:top w:val="none" w:sz="0" w:space="0" w:color="auto"/>
        <w:left w:val="none" w:sz="0" w:space="0" w:color="auto"/>
        <w:bottom w:val="none" w:sz="0" w:space="0" w:color="auto"/>
        <w:right w:val="none" w:sz="0" w:space="0" w:color="auto"/>
      </w:divBdr>
      <w:divsChild>
        <w:div w:id="1473138979">
          <w:marLeft w:val="0"/>
          <w:marRight w:val="0"/>
          <w:marTop w:val="0"/>
          <w:marBottom w:val="0"/>
          <w:divBdr>
            <w:top w:val="none" w:sz="0" w:space="0" w:color="auto"/>
            <w:left w:val="none" w:sz="0" w:space="0" w:color="auto"/>
            <w:bottom w:val="none" w:sz="0" w:space="0" w:color="auto"/>
            <w:right w:val="none" w:sz="0" w:space="0" w:color="auto"/>
          </w:divBdr>
        </w:div>
      </w:divsChild>
    </w:div>
    <w:div w:id="1555655243">
      <w:marLeft w:val="0"/>
      <w:marRight w:val="0"/>
      <w:marTop w:val="100"/>
      <w:marBottom w:val="0"/>
      <w:divBdr>
        <w:top w:val="none" w:sz="0" w:space="0" w:color="auto"/>
        <w:left w:val="none" w:sz="0" w:space="0" w:color="auto"/>
        <w:bottom w:val="none" w:sz="0" w:space="0" w:color="auto"/>
        <w:right w:val="none" w:sz="0" w:space="0" w:color="auto"/>
      </w:divBdr>
    </w:div>
    <w:div w:id="1562785456">
      <w:marLeft w:val="0"/>
      <w:marRight w:val="0"/>
      <w:marTop w:val="100"/>
      <w:marBottom w:val="0"/>
      <w:divBdr>
        <w:top w:val="none" w:sz="0" w:space="0" w:color="auto"/>
        <w:left w:val="none" w:sz="0" w:space="0" w:color="auto"/>
        <w:bottom w:val="none" w:sz="0" w:space="0" w:color="auto"/>
        <w:right w:val="none" w:sz="0" w:space="0" w:color="auto"/>
      </w:divBdr>
    </w:div>
    <w:div w:id="1570457577">
      <w:marLeft w:val="0"/>
      <w:marRight w:val="0"/>
      <w:marTop w:val="100"/>
      <w:marBottom w:val="0"/>
      <w:divBdr>
        <w:top w:val="none" w:sz="0" w:space="0" w:color="auto"/>
        <w:left w:val="none" w:sz="0" w:space="0" w:color="auto"/>
        <w:bottom w:val="none" w:sz="0" w:space="0" w:color="auto"/>
        <w:right w:val="none" w:sz="0" w:space="0" w:color="auto"/>
      </w:divBdr>
    </w:div>
    <w:div w:id="1571034261">
      <w:marLeft w:val="0"/>
      <w:marRight w:val="0"/>
      <w:marTop w:val="100"/>
      <w:marBottom w:val="0"/>
      <w:divBdr>
        <w:top w:val="none" w:sz="0" w:space="0" w:color="auto"/>
        <w:left w:val="none" w:sz="0" w:space="0" w:color="auto"/>
        <w:bottom w:val="none" w:sz="0" w:space="0" w:color="auto"/>
        <w:right w:val="none" w:sz="0" w:space="0" w:color="auto"/>
      </w:divBdr>
    </w:div>
    <w:div w:id="1572498772">
      <w:marLeft w:val="0"/>
      <w:marRight w:val="0"/>
      <w:marTop w:val="100"/>
      <w:marBottom w:val="0"/>
      <w:divBdr>
        <w:top w:val="none" w:sz="0" w:space="0" w:color="auto"/>
        <w:left w:val="none" w:sz="0" w:space="0" w:color="auto"/>
        <w:bottom w:val="none" w:sz="0" w:space="0" w:color="auto"/>
        <w:right w:val="none" w:sz="0" w:space="0" w:color="auto"/>
      </w:divBdr>
    </w:div>
    <w:div w:id="1580676431">
      <w:marLeft w:val="0"/>
      <w:marRight w:val="0"/>
      <w:marTop w:val="240"/>
      <w:marBottom w:val="0"/>
      <w:divBdr>
        <w:top w:val="none" w:sz="0" w:space="0" w:color="auto"/>
        <w:left w:val="none" w:sz="0" w:space="0" w:color="auto"/>
        <w:bottom w:val="none" w:sz="0" w:space="0" w:color="auto"/>
        <w:right w:val="none" w:sz="0" w:space="0" w:color="auto"/>
      </w:divBdr>
    </w:div>
    <w:div w:id="1582786999">
      <w:marLeft w:val="0"/>
      <w:marRight w:val="0"/>
      <w:marTop w:val="100"/>
      <w:marBottom w:val="0"/>
      <w:divBdr>
        <w:top w:val="none" w:sz="0" w:space="0" w:color="auto"/>
        <w:left w:val="none" w:sz="0" w:space="0" w:color="auto"/>
        <w:bottom w:val="none" w:sz="0" w:space="0" w:color="auto"/>
        <w:right w:val="none" w:sz="0" w:space="0" w:color="auto"/>
      </w:divBdr>
    </w:div>
    <w:div w:id="1585381604">
      <w:marLeft w:val="0"/>
      <w:marRight w:val="0"/>
      <w:marTop w:val="160"/>
      <w:marBottom w:val="0"/>
      <w:divBdr>
        <w:top w:val="none" w:sz="0" w:space="0" w:color="auto"/>
        <w:left w:val="none" w:sz="0" w:space="0" w:color="auto"/>
        <w:bottom w:val="none" w:sz="0" w:space="0" w:color="auto"/>
        <w:right w:val="none" w:sz="0" w:space="0" w:color="auto"/>
      </w:divBdr>
    </w:div>
    <w:div w:id="1604263432">
      <w:marLeft w:val="0"/>
      <w:marRight w:val="0"/>
      <w:marTop w:val="100"/>
      <w:marBottom w:val="0"/>
      <w:divBdr>
        <w:top w:val="none" w:sz="0" w:space="0" w:color="auto"/>
        <w:left w:val="none" w:sz="0" w:space="0" w:color="auto"/>
        <w:bottom w:val="none" w:sz="0" w:space="0" w:color="auto"/>
        <w:right w:val="none" w:sz="0" w:space="0" w:color="auto"/>
      </w:divBdr>
    </w:div>
    <w:div w:id="1605383462">
      <w:marLeft w:val="0"/>
      <w:marRight w:val="0"/>
      <w:marTop w:val="0"/>
      <w:marBottom w:val="0"/>
      <w:divBdr>
        <w:top w:val="none" w:sz="0" w:space="0" w:color="auto"/>
        <w:left w:val="none" w:sz="0" w:space="0" w:color="auto"/>
        <w:bottom w:val="none" w:sz="0" w:space="0" w:color="auto"/>
        <w:right w:val="none" w:sz="0" w:space="0" w:color="auto"/>
      </w:divBdr>
      <w:divsChild>
        <w:div w:id="258104012">
          <w:marLeft w:val="0"/>
          <w:marRight w:val="0"/>
          <w:marTop w:val="0"/>
          <w:marBottom w:val="0"/>
          <w:divBdr>
            <w:top w:val="none" w:sz="0" w:space="0" w:color="auto"/>
            <w:left w:val="none" w:sz="0" w:space="0" w:color="auto"/>
            <w:bottom w:val="none" w:sz="0" w:space="0" w:color="auto"/>
            <w:right w:val="none" w:sz="0" w:space="0" w:color="auto"/>
          </w:divBdr>
        </w:div>
      </w:divsChild>
    </w:div>
    <w:div w:id="1608270331">
      <w:marLeft w:val="0"/>
      <w:marRight w:val="0"/>
      <w:marTop w:val="0"/>
      <w:marBottom w:val="0"/>
      <w:divBdr>
        <w:top w:val="none" w:sz="0" w:space="0" w:color="auto"/>
        <w:left w:val="none" w:sz="0" w:space="0" w:color="auto"/>
        <w:bottom w:val="none" w:sz="0" w:space="0" w:color="auto"/>
        <w:right w:val="none" w:sz="0" w:space="0" w:color="auto"/>
      </w:divBdr>
      <w:divsChild>
        <w:div w:id="700479322">
          <w:marLeft w:val="0"/>
          <w:marRight w:val="0"/>
          <w:marTop w:val="0"/>
          <w:marBottom w:val="0"/>
          <w:divBdr>
            <w:top w:val="none" w:sz="0" w:space="0" w:color="auto"/>
            <w:left w:val="none" w:sz="0" w:space="0" w:color="auto"/>
            <w:bottom w:val="none" w:sz="0" w:space="0" w:color="auto"/>
            <w:right w:val="none" w:sz="0" w:space="0" w:color="auto"/>
          </w:divBdr>
        </w:div>
      </w:divsChild>
    </w:div>
    <w:div w:id="1612735739">
      <w:marLeft w:val="0"/>
      <w:marRight w:val="0"/>
      <w:marTop w:val="240"/>
      <w:marBottom w:val="0"/>
      <w:divBdr>
        <w:top w:val="none" w:sz="0" w:space="0" w:color="auto"/>
        <w:left w:val="none" w:sz="0" w:space="0" w:color="auto"/>
        <w:bottom w:val="none" w:sz="0" w:space="0" w:color="auto"/>
        <w:right w:val="none" w:sz="0" w:space="0" w:color="auto"/>
      </w:divBdr>
    </w:div>
    <w:div w:id="1613709343">
      <w:marLeft w:val="0"/>
      <w:marRight w:val="0"/>
      <w:marTop w:val="100"/>
      <w:marBottom w:val="0"/>
      <w:divBdr>
        <w:top w:val="none" w:sz="0" w:space="0" w:color="auto"/>
        <w:left w:val="none" w:sz="0" w:space="0" w:color="auto"/>
        <w:bottom w:val="none" w:sz="0" w:space="0" w:color="auto"/>
        <w:right w:val="none" w:sz="0" w:space="0" w:color="auto"/>
      </w:divBdr>
    </w:div>
    <w:div w:id="1615744031">
      <w:marLeft w:val="0"/>
      <w:marRight w:val="0"/>
      <w:marTop w:val="0"/>
      <w:marBottom w:val="0"/>
      <w:divBdr>
        <w:top w:val="none" w:sz="0" w:space="0" w:color="auto"/>
        <w:left w:val="none" w:sz="0" w:space="0" w:color="auto"/>
        <w:bottom w:val="none" w:sz="0" w:space="0" w:color="auto"/>
        <w:right w:val="none" w:sz="0" w:space="0" w:color="auto"/>
      </w:divBdr>
      <w:divsChild>
        <w:div w:id="1294167527">
          <w:marLeft w:val="0"/>
          <w:marRight w:val="0"/>
          <w:marTop w:val="0"/>
          <w:marBottom w:val="0"/>
          <w:divBdr>
            <w:top w:val="none" w:sz="0" w:space="0" w:color="auto"/>
            <w:left w:val="none" w:sz="0" w:space="0" w:color="auto"/>
            <w:bottom w:val="none" w:sz="0" w:space="0" w:color="auto"/>
            <w:right w:val="none" w:sz="0" w:space="0" w:color="auto"/>
          </w:divBdr>
        </w:div>
      </w:divsChild>
    </w:div>
    <w:div w:id="1623615099">
      <w:marLeft w:val="0"/>
      <w:marRight w:val="0"/>
      <w:marTop w:val="100"/>
      <w:marBottom w:val="0"/>
      <w:divBdr>
        <w:top w:val="none" w:sz="0" w:space="0" w:color="auto"/>
        <w:left w:val="none" w:sz="0" w:space="0" w:color="auto"/>
        <w:bottom w:val="none" w:sz="0" w:space="0" w:color="auto"/>
        <w:right w:val="none" w:sz="0" w:space="0" w:color="auto"/>
      </w:divBdr>
    </w:div>
    <w:div w:id="1628467005">
      <w:marLeft w:val="0"/>
      <w:marRight w:val="0"/>
      <w:marTop w:val="100"/>
      <w:marBottom w:val="0"/>
      <w:divBdr>
        <w:top w:val="none" w:sz="0" w:space="0" w:color="auto"/>
        <w:left w:val="none" w:sz="0" w:space="0" w:color="auto"/>
        <w:bottom w:val="none" w:sz="0" w:space="0" w:color="auto"/>
        <w:right w:val="none" w:sz="0" w:space="0" w:color="auto"/>
      </w:divBdr>
    </w:div>
    <w:div w:id="1636178048">
      <w:marLeft w:val="0"/>
      <w:marRight w:val="0"/>
      <w:marTop w:val="100"/>
      <w:marBottom w:val="0"/>
      <w:divBdr>
        <w:top w:val="none" w:sz="0" w:space="0" w:color="auto"/>
        <w:left w:val="none" w:sz="0" w:space="0" w:color="auto"/>
        <w:bottom w:val="none" w:sz="0" w:space="0" w:color="auto"/>
        <w:right w:val="none" w:sz="0" w:space="0" w:color="auto"/>
      </w:divBdr>
    </w:div>
    <w:div w:id="1640302430">
      <w:marLeft w:val="0"/>
      <w:marRight w:val="0"/>
      <w:marTop w:val="0"/>
      <w:marBottom w:val="0"/>
      <w:divBdr>
        <w:top w:val="none" w:sz="0" w:space="0" w:color="auto"/>
        <w:left w:val="none" w:sz="0" w:space="0" w:color="auto"/>
        <w:bottom w:val="none" w:sz="0" w:space="0" w:color="auto"/>
        <w:right w:val="none" w:sz="0" w:space="0" w:color="auto"/>
      </w:divBdr>
      <w:divsChild>
        <w:div w:id="1623227837">
          <w:marLeft w:val="0"/>
          <w:marRight w:val="0"/>
          <w:marTop w:val="0"/>
          <w:marBottom w:val="0"/>
          <w:divBdr>
            <w:top w:val="none" w:sz="0" w:space="0" w:color="auto"/>
            <w:left w:val="none" w:sz="0" w:space="0" w:color="auto"/>
            <w:bottom w:val="none" w:sz="0" w:space="0" w:color="auto"/>
            <w:right w:val="none" w:sz="0" w:space="0" w:color="auto"/>
          </w:divBdr>
        </w:div>
      </w:divsChild>
    </w:div>
    <w:div w:id="1641184949">
      <w:marLeft w:val="0"/>
      <w:marRight w:val="0"/>
      <w:marTop w:val="100"/>
      <w:marBottom w:val="0"/>
      <w:divBdr>
        <w:top w:val="none" w:sz="0" w:space="0" w:color="auto"/>
        <w:left w:val="none" w:sz="0" w:space="0" w:color="auto"/>
        <w:bottom w:val="none" w:sz="0" w:space="0" w:color="auto"/>
        <w:right w:val="none" w:sz="0" w:space="0" w:color="auto"/>
      </w:divBdr>
    </w:div>
    <w:div w:id="1661734368">
      <w:marLeft w:val="0"/>
      <w:marRight w:val="0"/>
      <w:marTop w:val="100"/>
      <w:marBottom w:val="0"/>
      <w:divBdr>
        <w:top w:val="none" w:sz="0" w:space="0" w:color="auto"/>
        <w:left w:val="none" w:sz="0" w:space="0" w:color="auto"/>
        <w:bottom w:val="none" w:sz="0" w:space="0" w:color="auto"/>
        <w:right w:val="none" w:sz="0" w:space="0" w:color="auto"/>
      </w:divBdr>
    </w:div>
    <w:div w:id="1663049232">
      <w:marLeft w:val="0"/>
      <w:marRight w:val="0"/>
      <w:marTop w:val="100"/>
      <w:marBottom w:val="0"/>
      <w:divBdr>
        <w:top w:val="none" w:sz="0" w:space="0" w:color="auto"/>
        <w:left w:val="none" w:sz="0" w:space="0" w:color="auto"/>
        <w:bottom w:val="none" w:sz="0" w:space="0" w:color="auto"/>
        <w:right w:val="none" w:sz="0" w:space="0" w:color="auto"/>
      </w:divBdr>
    </w:div>
    <w:div w:id="1669553064">
      <w:marLeft w:val="0"/>
      <w:marRight w:val="0"/>
      <w:marTop w:val="100"/>
      <w:marBottom w:val="0"/>
      <w:divBdr>
        <w:top w:val="none" w:sz="0" w:space="0" w:color="auto"/>
        <w:left w:val="none" w:sz="0" w:space="0" w:color="auto"/>
        <w:bottom w:val="none" w:sz="0" w:space="0" w:color="auto"/>
        <w:right w:val="none" w:sz="0" w:space="0" w:color="auto"/>
      </w:divBdr>
    </w:div>
    <w:div w:id="1670058218">
      <w:marLeft w:val="0"/>
      <w:marRight w:val="0"/>
      <w:marTop w:val="0"/>
      <w:marBottom w:val="0"/>
      <w:divBdr>
        <w:top w:val="none" w:sz="0" w:space="0" w:color="auto"/>
        <w:left w:val="none" w:sz="0" w:space="0" w:color="auto"/>
        <w:bottom w:val="none" w:sz="0" w:space="0" w:color="auto"/>
        <w:right w:val="none" w:sz="0" w:space="0" w:color="auto"/>
      </w:divBdr>
      <w:divsChild>
        <w:div w:id="124353390">
          <w:marLeft w:val="0"/>
          <w:marRight w:val="0"/>
          <w:marTop w:val="0"/>
          <w:marBottom w:val="0"/>
          <w:divBdr>
            <w:top w:val="none" w:sz="0" w:space="0" w:color="auto"/>
            <w:left w:val="none" w:sz="0" w:space="0" w:color="auto"/>
            <w:bottom w:val="none" w:sz="0" w:space="0" w:color="auto"/>
            <w:right w:val="none" w:sz="0" w:space="0" w:color="auto"/>
          </w:divBdr>
        </w:div>
      </w:divsChild>
    </w:div>
    <w:div w:id="1673021558">
      <w:marLeft w:val="0"/>
      <w:marRight w:val="0"/>
      <w:marTop w:val="0"/>
      <w:marBottom w:val="0"/>
      <w:divBdr>
        <w:top w:val="none" w:sz="0" w:space="0" w:color="auto"/>
        <w:left w:val="none" w:sz="0" w:space="0" w:color="auto"/>
        <w:bottom w:val="none" w:sz="0" w:space="0" w:color="auto"/>
        <w:right w:val="none" w:sz="0" w:space="0" w:color="auto"/>
      </w:divBdr>
      <w:divsChild>
        <w:div w:id="1396932209">
          <w:marLeft w:val="0"/>
          <w:marRight w:val="0"/>
          <w:marTop w:val="0"/>
          <w:marBottom w:val="0"/>
          <w:divBdr>
            <w:top w:val="none" w:sz="0" w:space="0" w:color="auto"/>
            <w:left w:val="none" w:sz="0" w:space="0" w:color="auto"/>
            <w:bottom w:val="none" w:sz="0" w:space="0" w:color="auto"/>
            <w:right w:val="none" w:sz="0" w:space="0" w:color="auto"/>
          </w:divBdr>
        </w:div>
      </w:divsChild>
    </w:div>
    <w:div w:id="1678922930">
      <w:marLeft w:val="0"/>
      <w:marRight w:val="0"/>
      <w:marTop w:val="0"/>
      <w:marBottom w:val="0"/>
      <w:divBdr>
        <w:top w:val="none" w:sz="0" w:space="0" w:color="auto"/>
        <w:left w:val="none" w:sz="0" w:space="0" w:color="auto"/>
        <w:bottom w:val="none" w:sz="0" w:space="0" w:color="auto"/>
        <w:right w:val="none" w:sz="0" w:space="0" w:color="auto"/>
      </w:divBdr>
      <w:divsChild>
        <w:div w:id="1750686609">
          <w:marLeft w:val="0"/>
          <w:marRight w:val="0"/>
          <w:marTop w:val="0"/>
          <w:marBottom w:val="0"/>
          <w:divBdr>
            <w:top w:val="none" w:sz="0" w:space="0" w:color="auto"/>
            <w:left w:val="none" w:sz="0" w:space="0" w:color="auto"/>
            <w:bottom w:val="none" w:sz="0" w:space="0" w:color="auto"/>
            <w:right w:val="none" w:sz="0" w:space="0" w:color="auto"/>
          </w:divBdr>
        </w:div>
      </w:divsChild>
    </w:div>
    <w:div w:id="1695106655">
      <w:marLeft w:val="0"/>
      <w:marRight w:val="0"/>
      <w:marTop w:val="0"/>
      <w:marBottom w:val="0"/>
      <w:divBdr>
        <w:top w:val="none" w:sz="0" w:space="0" w:color="auto"/>
        <w:left w:val="none" w:sz="0" w:space="0" w:color="auto"/>
        <w:bottom w:val="none" w:sz="0" w:space="0" w:color="auto"/>
        <w:right w:val="none" w:sz="0" w:space="0" w:color="auto"/>
      </w:divBdr>
    </w:div>
    <w:div w:id="1698895127">
      <w:marLeft w:val="0"/>
      <w:marRight w:val="0"/>
      <w:marTop w:val="240"/>
      <w:marBottom w:val="0"/>
      <w:divBdr>
        <w:top w:val="none" w:sz="0" w:space="0" w:color="auto"/>
        <w:left w:val="none" w:sz="0" w:space="0" w:color="auto"/>
        <w:bottom w:val="none" w:sz="0" w:space="0" w:color="auto"/>
        <w:right w:val="none" w:sz="0" w:space="0" w:color="auto"/>
      </w:divBdr>
    </w:div>
    <w:div w:id="1701588874">
      <w:marLeft w:val="0"/>
      <w:marRight w:val="0"/>
      <w:marTop w:val="100"/>
      <w:marBottom w:val="0"/>
      <w:divBdr>
        <w:top w:val="none" w:sz="0" w:space="0" w:color="auto"/>
        <w:left w:val="none" w:sz="0" w:space="0" w:color="auto"/>
        <w:bottom w:val="none" w:sz="0" w:space="0" w:color="auto"/>
        <w:right w:val="none" w:sz="0" w:space="0" w:color="auto"/>
      </w:divBdr>
    </w:div>
    <w:div w:id="1702048287">
      <w:marLeft w:val="0"/>
      <w:marRight w:val="0"/>
      <w:marTop w:val="100"/>
      <w:marBottom w:val="0"/>
      <w:divBdr>
        <w:top w:val="none" w:sz="0" w:space="0" w:color="auto"/>
        <w:left w:val="none" w:sz="0" w:space="0" w:color="auto"/>
        <w:bottom w:val="none" w:sz="0" w:space="0" w:color="auto"/>
        <w:right w:val="none" w:sz="0" w:space="0" w:color="auto"/>
      </w:divBdr>
    </w:div>
    <w:div w:id="1712265525">
      <w:marLeft w:val="0"/>
      <w:marRight w:val="0"/>
      <w:marTop w:val="240"/>
      <w:marBottom w:val="0"/>
      <w:divBdr>
        <w:top w:val="none" w:sz="0" w:space="0" w:color="auto"/>
        <w:left w:val="none" w:sz="0" w:space="0" w:color="auto"/>
        <w:bottom w:val="none" w:sz="0" w:space="0" w:color="auto"/>
        <w:right w:val="none" w:sz="0" w:space="0" w:color="auto"/>
      </w:divBdr>
    </w:div>
    <w:div w:id="1713071420">
      <w:marLeft w:val="0"/>
      <w:marRight w:val="0"/>
      <w:marTop w:val="100"/>
      <w:marBottom w:val="0"/>
      <w:divBdr>
        <w:top w:val="none" w:sz="0" w:space="0" w:color="auto"/>
        <w:left w:val="none" w:sz="0" w:space="0" w:color="auto"/>
        <w:bottom w:val="none" w:sz="0" w:space="0" w:color="auto"/>
        <w:right w:val="none" w:sz="0" w:space="0" w:color="auto"/>
      </w:divBdr>
    </w:div>
    <w:div w:id="1719233909">
      <w:marLeft w:val="0"/>
      <w:marRight w:val="0"/>
      <w:marTop w:val="100"/>
      <w:marBottom w:val="0"/>
      <w:divBdr>
        <w:top w:val="none" w:sz="0" w:space="0" w:color="auto"/>
        <w:left w:val="none" w:sz="0" w:space="0" w:color="auto"/>
        <w:bottom w:val="none" w:sz="0" w:space="0" w:color="auto"/>
        <w:right w:val="none" w:sz="0" w:space="0" w:color="auto"/>
      </w:divBdr>
    </w:div>
    <w:div w:id="1721123926">
      <w:marLeft w:val="0"/>
      <w:marRight w:val="0"/>
      <w:marTop w:val="100"/>
      <w:marBottom w:val="0"/>
      <w:divBdr>
        <w:top w:val="none" w:sz="0" w:space="0" w:color="auto"/>
        <w:left w:val="none" w:sz="0" w:space="0" w:color="auto"/>
        <w:bottom w:val="none" w:sz="0" w:space="0" w:color="auto"/>
        <w:right w:val="none" w:sz="0" w:space="0" w:color="auto"/>
      </w:divBdr>
    </w:div>
    <w:div w:id="1723211189">
      <w:marLeft w:val="0"/>
      <w:marRight w:val="0"/>
      <w:marTop w:val="240"/>
      <w:marBottom w:val="0"/>
      <w:divBdr>
        <w:top w:val="none" w:sz="0" w:space="0" w:color="auto"/>
        <w:left w:val="none" w:sz="0" w:space="0" w:color="auto"/>
        <w:bottom w:val="none" w:sz="0" w:space="0" w:color="auto"/>
        <w:right w:val="none" w:sz="0" w:space="0" w:color="auto"/>
      </w:divBdr>
    </w:div>
    <w:div w:id="1728724324">
      <w:marLeft w:val="0"/>
      <w:marRight w:val="0"/>
      <w:marTop w:val="100"/>
      <w:marBottom w:val="0"/>
      <w:divBdr>
        <w:top w:val="none" w:sz="0" w:space="0" w:color="auto"/>
        <w:left w:val="none" w:sz="0" w:space="0" w:color="auto"/>
        <w:bottom w:val="none" w:sz="0" w:space="0" w:color="auto"/>
        <w:right w:val="none" w:sz="0" w:space="0" w:color="auto"/>
      </w:divBdr>
    </w:div>
    <w:div w:id="1735197044">
      <w:marLeft w:val="0"/>
      <w:marRight w:val="0"/>
      <w:marTop w:val="0"/>
      <w:marBottom w:val="0"/>
      <w:divBdr>
        <w:top w:val="none" w:sz="0" w:space="0" w:color="auto"/>
        <w:left w:val="none" w:sz="0" w:space="0" w:color="auto"/>
        <w:bottom w:val="none" w:sz="0" w:space="0" w:color="auto"/>
        <w:right w:val="none" w:sz="0" w:space="0" w:color="auto"/>
      </w:divBdr>
      <w:divsChild>
        <w:div w:id="1450902387">
          <w:marLeft w:val="0"/>
          <w:marRight w:val="0"/>
          <w:marTop w:val="0"/>
          <w:marBottom w:val="0"/>
          <w:divBdr>
            <w:top w:val="none" w:sz="0" w:space="0" w:color="auto"/>
            <w:left w:val="none" w:sz="0" w:space="0" w:color="auto"/>
            <w:bottom w:val="none" w:sz="0" w:space="0" w:color="auto"/>
            <w:right w:val="none" w:sz="0" w:space="0" w:color="auto"/>
          </w:divBdr>
        </w:div>
      </w:divsChild>
    </w:div>
    <w:div w:id="1738431370">
      <w:marLeft w:val="0"/>
      <w:marRight w:val="0"/>
      <w:marTop w:val="100"/>
      <w:marBottom w:val="0"/>
      <w:divBdr>
        <w:top w:val="none" w:sz="0" w:space="0" w:color="auto"/>
        <w:left w:val="none" w:sz="0" w:space="0" w:color="auto"/>
        <w:bottom w:val="none" w:sz="0" w:space="0" w:color="auto"/>
        <w:right w:val="none" w:sz="0" w:space="0" w:color="auto"/>
      </w:divBdr>
    </w:div>
    <w:div w:id="1738938457">
      <w:marLeft w:val="0"/>
      <w:marRight w:val="0"/>
      <w:marTop w:val="100"/>
      <w:marBottom w:val="0"/>
      <w:divBdr>
        <w:top w:val="none" w:sz="0" w:space="0" w:color="auto"/>
        <w:left w:val="none" w:sz="0" w:space="0" w:color="auto"/>
        <w:bottom w:val="none" w:sz="0" w:space="0" w:color="auto"/>
        <w:right w:val="none" w:sz="0" w:space="0" w:color="auto"/>
      </w:divBdr>
    </w:div>
    <w:div w:id="1757095897">
      <w:marLeft w:val="0"/>
      <w:marRight w:val="0"/>
      <w:marTop w:val="240"/>
      <w:marBottom w:val="0"/>
      <w:divBdr>
        <w:top w:val="none" w:sz="0" w:space="0" w:color="auto"/>
        <w:left w:val="none" w:sz="0" w:space="0" w:color="auto"/>
        <w:bottom w:val="none" w:sz="0" w:space="0" w:color="auto"/>
        <w:right w:val="none" w:sz="0" w:space="0" w:color="auto"/>
      </w:divBdr>
    </w:div>
    <w:div w:id="1761949593">
      <w:marLeft w:val="0"/>
      <w:marRight w:val="0"/>
      <w:marTop w:val="100"/>
      <w:marBottom w:val="0"/>
      <w:divBdr>
        <w:top w:val="none" w:sz="0" w:space="0" w:color="auto"/>
        <w:left w:val="none" w:sz="0" w:space="0" w:color="auto"/>
        <w:bottom w:val="none" w:sz="0" w:space="0" w:color="auto"/>
        <w:right w:val="none" w:sz="0" w:space="0" w:color="auto"/>
      </w:divBdr>
      <w:divsChild>
        <w:div w:id="387655932">
          <w:marLeft w:val="0"/>
          <w:marRight w:val="0"/>
          <w:marTop w:val="0"/>
          <w:marBottom w:val="0"/>
          <w:divBdr>
            <w:top w:val="none" w:sz="0" w:space="0" w:color="auto"/>
            <w:left w:val="none" w:sz="0" w:space="0" w:color="auto"/>
            <w:bottom w:val="none" w:sz="0" w:space="0" w:color="auto"/>
            <w:right w:val="none" w:sz="0" w:space="0" w:color="auto"/>
          </w:divBdr>
        </w:div>
      </w:divsChild>
    </w:div>
    <w:div w:id="1768185270">
      <w:marLeft w:val="0"/>
      <w:marRight w:val="0"/>
      <w:marTop w:val="0"/>
      <w:marBottom w:val="0"/>
      <w:divBdr>
        <w:top w:val="none" w:sz="0" w:space="0" w:color="auto"/>
        <w:left w:val="none" w:sz="0" w:space="0" w:color="auto"/>
        <w:bottom w:val="none" w:sz="0" w:space="0" w:color="auto"/>
        <w:right w:val="none" w:sz="0" w:space="0" w:color="auto"/>
      </w:divBdr>
      <w:divsChild>
        <w:div w:id="930547241">
          <w:marLeft w:val="0"/>
          <w:marRight w:val="0"/>
          <w:marTop w:val="0"/>
          <w:marBottom w:val="0"/>
          <w:divBdr>
            <w:top w:val="none" w:sz="0" w:space="0" w:color="auto"/>
            <w:left w:val="none" w:sz="0" w:space="0" w:color="auto"/>
            <w:bottom w:val="none" w:sz="0" w:space="0" w:color="auto"/>
            <w:right w:val="none" w:sz="0" w:space="0" w:color="auto"/>
          </w:divBdr>
        </w:div>
      </w:divsChild>
    </w:div>
    <w:div w:id="1784811602">
      <w:marLeft w:val="0"/>
      <w:marRight w:val="0"/>
      <w:marTop w:val="0"/>
      <w:marBottom w:val="0"/>
      <w:divBdr>
        <w:top w:val="none" w:sz="0" w:space="0" w:color="auto"/>
        <w:left w:val="none" w:sz="0" w:space="0" w:color="auto"/>
        <w:bottom w:val="none" w:sz="0" w:space="0" w:color="auto"/>
        <w:right w:val="none" w:sz="0" w:space="0" w:color="auto"/>
      </w:divBdr>
      <w:divsChild>
        <w:div w:id="1274244009">
          <w:marLeft w:val="0"/>
          <w:marRight w:val="0"/>
          <w:marTop w:val="0"/>
          <w:marBottom w:val="0"/>
          <w:divBdr>
            <w:top w:val="none" w:sz="0" w:space="0" w:color="auto"/>
            <w:left w:val="none" w:sz="0" w:space="0" w:color="auto"/>
            <w:bottom w:val="none" w:sz="0" w:space="0" w:color="auto"/>
            <w:right w:val="none" w:sz="0" w:space="0" w:color="auto"/>
          </w:divBdr>
        </w:div>
      </w:divsChild>
    </w:div>
    <w:div w:id="1787040429">
      <w:marLeft w:val="0"/>
      <w:marRight w:val="0"/>
      <w:marTop w:val="40"/>
      <w:marBottom w:val="0"/>
      <w:divBdr>
        <w:top w:val="none" w:sz="0" w:space="0" w:color="auto"/>
        <w:left w:val="none" w:sz="0" w:space="0" w:color="auto"/>
        <w:bottom w:val="none" w:sz="0" w:space="0" w:color="auto"/>
        <w:right w:val="none" w:sz="0" w:space="0" w:color="auto"/>
      </w:divBdr>
    </w:div>
    <w:div w:id="1796294827">
      <w:marLeft w:val="0"/>
      <w:marRight w:val="0"/>
      <w:marTop w:val="100"/>
      <w:marBottom w:val="0"/>
      <w:divBdr>
        <w:top w:val="none" w:sz="0" w:space="0" w:color="auto"/>
        <w:left w:val="none" w:sz="0" w:space="0" w:color="auto"/>
        <w:bottom w:val="none" w:sz="0" w:space="0" w:color="auto"/>
        <w:right w:val="none" w:sz="0" w:space="0" w:color="auto"/>
      </w:divBdr>
    </w:div>
    <w:div w:id="1796674820">
      <w:marLeft w:val="0"/>
      <w:marRight w:val="0"/>
      <w:marTop w:val="100"/>
      <w:marBottom w:val="0"/>
      <w:divBdr>
        <w:top w:val="none" w:sz="0" w:space="0" w:color="auto"/>
        <w:left w:val="none" w:sz="0" w:space="0" w:color="auto"/>
        <w:bottom w:val="none" w:sz="0" w:space="0" w:color="auto"/>
        <w:right w:val="none" w:sz="0" w:space="0" w:color="auto"/>
      </w:divBdr>
    </w:div>
    <w:div w:id="1810826605">
      <w:marLeft w:val="0"/>
      <w:marRight w:val="0"/>
      <w:marTop w:val="240"/>
      <w:marBottom w:val="0"/>
      <w:divBdr>
        <w:top w:val="none" w:sz="0" w:space="0" w:color="auto"/>
        <w:left w:val="none" w:sz="0" w:space="0" w:color="auto"/>
        <w:bottom w:val="none" w:sz="0" w:space="0" w:color="auto"/>
        <w:right w:val="none" w:sz="0" w:space="0" w:color="auto"/>
      </w:divBdr>
    </w:div>
    <w:div w:id="1819955692">
      <w:marLeft w:val="0"/>
      <w:marRight w:val="0"/>
      <w:marTop w:val="100"/>
      <w:marBottom w:val="0"/>
      <w:divBdr>
        <w:top w:val="none" w:sz="0" w:space="0" w:color="auto"/>
        <w:left w:val="none" w:sz="0" w:space="0" w:color="auto"/>
        <w:bottom w:val="none" w:sz="0" w:space="0" w:color="auto"/>
        <w:right w:val="none" w:sz="0" w:space="0" w:color="auto"/>
      </w:divBdr>
    </w:div>
    <w:div w:id="1822501487">
      <w:marLeft w:val="0"/>
      <w:marRight w:val="0"/>
      <w:marTop w:val="100"/>
      <w:marBottom w:val="0"/>
      <w:divBdr>
        <w:top w:val="none" w:sz="0" w:space="0" w:color="auto"/>
        <w:left w:val="none" w:sz="0" w:space="0" w:color="auto"/>
        <w:bottom w:val="none" w:sz="0" w:space="0" w:color="auto"/>
        <w:right w:val="none" w:sz="0" w:space="0" w:color="auto"/>
      </w:divBdr>
    </w:div>
    <w:div w:id="1825507695">
      <w:marLeft w:val="0"/>
      <w:marRight w:val="0"/>
      <w:marTop w:val="100"/>
      <w:marBottom w:val="0"/>
      <w:divBdr>
        <w:top w:val="none" w:sz="0" w:space="0" w:color="auto"/>
        <w:left w:val="none" w:sz="0" w:space="0" w:color="auto"/>
        <w:bottom w:val="none" w:sz="0" w:space="0" w:color="auto"/>
        <w:right w:val="none" w:sz="0" w:space="0" w:color="auto"/>
      </w:divBdr>
    </w:div>
    <w:div w:id="1828395962">
      <w:marLeft w:val="0"/>
      <w:marRight w:val="0"/>
      <w:marTop w:val="240"/>
      <w:marBottom w:val="0"/>
      <w:divBdr>
        <w:top w:val="none" w:sz="0" w:space="0" w:color="auto"/>
        <w:left w:val="none" w:sz="0" w:space="0" w:color="auto"/>
        <w:bottom w:val="none" w:sz="0" w:space="0" w:color="auto"/>
        <w:right w:val="none" w:sz="0" w:space="0" w:color="auto"/>
      </w:divBdr>
    </w:div>
    <w:div w:id="1842232718">
      <w:marLeft w:val="0"/>
      <w:marRight w:val="0"/>
      <w:marTop w:val="0"/>
      <w:marBottom w:val="0"/>
      <w:divBdr>
        <w:top w:val="none" w:sz="0" w:space="0" w:color="auto"/>
        <w:left w:val="none" w:sz="0" w:space="0" w:color="auto"/>
        <w:bottom w:val="none" w:sz="0" w:space="0" w:color="auto"/>
        <w:right w:val="none" w:sz="0" w:space="0" w:color="auto"/>
      </w:divBdr>
      <w:divsChild>
        <w:div w:id="558709270">
          <w:marLeft w:val="0"/>
          <w:marRight w:val="0"/>
          <w:marTop w:val="0"/>
          <w:marBottom w:val="0"/>
          <w:divBdr>
            <w:top w:val="none" w:sz="0" w:space="0" w:color="auto"/>
            <w:left w:val="none" w:sz="0" w:space="0" w:color="auto"/>
            <w:bottom w:val="none" w:sz="0" w:space="0" w:color="auto"/>
            <w:right w:val="none" w:sz="0" w:space="0" w:color="auto"/>
          </w:divBdr>
        </w:div>
      </w:divsChild>
    </w:div>
    <w:div w:id="1850217652">
      <w:marLeft w:val="0"/>
      <w:marRight w:val="0"/>
      <w:marTop w:val="100"/>
      <w:marBottom w:val="0"/>
      <w:divBdr>
        <w:top w:val="none" w:sz="0" w:space="0" w:color="auto"/>
        <w:left w:val="none" w:sz="0" w:space="0" w:color="auto"/>
        <w:bottom w:val="none" w:sz="0" w:space="0" w:color="auto"/>
        <w:right w:val="none" w:sz="0" w:space="0" w:color="auto"/>
      </w:divBdr>
    </w:div>
    <w:div w:id="1857688449">
      <w:marLeft w:val="0"/>
      <w:marRight w:val="0"/>
      <w:marTop w:val="100"/>
      <w:marBottom w:val="0"/>
      <w:divBdr>
        <w:top w:val="none" w:sz="0" w:space="0" w:color="auto"/>
        <w:left w:val="none" w:sz="0" w:space="0" w:color="auto"/>
        <w:bottom w:val="none" w:sz="0" w:space="0" w:color="auto"/>
        <w:right w:val="none" w:sz="0" w:space="0" w:color="auto"/>
      </w:divBdr>
    </w:div>
    <w:div w:id="1868175798">
      <w:marLeft w:val="0"/>
      <w:marRight w:val="0"/>
      <w:marTop w:val="0"/>
      <w:marBottom w:val="0"/>
      <w:divBdr>
        <w:top w:val="none" w:sz="0" w:space="0" w:color="auto"/>
        <w:left w:val="none" w:sz="0" w:space="0" w:color="auto"/>
        <w:bottom w:val="none" w:sz="0" w:space="0" w:color="auto"/>
        <w:right w:val="none" w:sz="0" w:space="0" w:color="auto"/>
      </w:divBdr>
      <w:divsChild>
        <w:div w:id="1250313397">
          <w:marLeft w:val="0"/>
          <w:marRight w:val="0"/>
          <w:marTop w:val="0"/>
          <w:marBottom w:val="0"/>
          <w:divBdr>
            <w:top w:val="none" w:sz="0" w:space="0" w:color="auto"/>
            <w:left w:val="none" w:sz="0" w:space="0" w:color="auto"/>
            <w:bottom w:val="none" w:sz="0" w:space="0" w:color="auto"/>
            <w:right w:val="none" w:sz="0" w:space="0" w:color="auto"/>
          </w:divBdr>
        </w:div>
      </w:divsChild>
    </w:div>
    <w:div w:id="1870338291">
      <w:marLeft w:val="0"/>
      <w:marRight w:val="0"/>
      <w:marTop w:val="120"/>
      <w:marBottom w:val="20"/>
      <w:divBdr>
        <w:top w:val="none" w:sz="0" w:space="0" w:color="auto"/>
        <w:left w:val="none" w:sz="0" w:space="0" w:color="auto"/>
        <w:bottom w:val="none" w:sz="0" w:space="0" w:color="auto"/>
        <w:right w:val="none" w:sz="0" w:space="0" w:color="auto"/>
      </w:divBdr>
      <w:divsChild>
        <w:div w:id="1017733356">
          <w:marLeft w:val="0"/>
          <w:marRight w:val="0"/>
          <w:marTop w:val="0"/>
          <w:marBottom w:val="0"/>
          <w:divBdr>
            <w:top w:val="none" w:sz="0" w:space="0" w:color="auto"/>
            <w:left w:val="none" w:sz="0" w:space="0" w:color="auto"/>
            <w:bottom w:val="none" w:sz="0" w:space="0" w:color="auto"/>
            <w:right w:val="none" w:sz="0" w:space="0" w:color="auto"/>
          </w:divBdr>
        </w:div>
      </w:divsChild>
    </w:div>
    <w:div w:id="1883590388">
      <w:marLeft w:val="0"/>
      <w:marRight w:val="0"/>
      <w:marTop w:val="0"/>
      <w:marBottom w:val="0"/>
      <w:divBdr>
        <w:top w:val="none" w:sz="0" w:space="0" w:color="auto"/>
        <w:left w:val="none" w:sz="0" w:space="0" w:color="auto"/>
        <w:bottom w:val="none" w:sz="0" w:space="0" w:color="auto"/>
        <w:right w:val="none" w:sz="0" w:space="0" w:color="auto"/>
      </w:divBdr>
      <w:divsChild>
        <w:div w:id="1011032056">
          <w:marLeft w:val="0"/>
          <w:marRight w:val="0"/>
          <w:marTop w:val="0"/>
          <w:marBottom w:val="0"/>
          <w:divBdr>
            <w:top w:val="none" w:sz="0" w:space="0" w:color="auto"/>
            <w:left w:val="none" w:sz="0" w:space="0" w:color="auto"/>
            <w:bottom w:val="none" w:sz="0" w:space="0" w:color="auto"/>
            <w:right w:val="none" w:sz="0" w:space="0" w:color="auto"/>
          </w:divBdr>
        </w:div>
      </w:divsChild>
    </w:div>
    <w:div w:id="1883592801">
      <w:marLeft w:val="0"/>
      <w:marRight w:val="0"/>
      <w:marTop w:val="100"/>
      <w:marBottom w:val="20"/>
      <w:divBdr>
        <w:top w:val="none" w:sz="0" w:space="0" w:color="auto"/>
        <w:left w:val="none" w:sz="0" w:space="0" w:color="auto"/>
        <w:bottom w:val="none" w:sz="0" w:space="0" w:color="auto"/>
        <w:right w:val="none" w:sz="0" w:space="0" w:color="auto"/>
      </w:divBdr>
    </w:div>
    <w:div w:id="1884900265">
      <w:marLeft w:val="0"/>
      <w:marRight w:val="0"/>
      <w:marTop w:val="100"/>
      <w:marBottom w:val="0"/>
      <w:divBdr>
        <w:top w:val="none" w:sz="0" w:space="0" w:color="auto"/>
        <w:left w:val="none" w:sz="0" w:space="0" w:color="auto"/>
        <w:bottom w:val="none" w:sz="0" w:space="0" w:color="auto"/>
        <w:right w:val="none" w:sz="0" w:space="0" w:color="auto"/>
      </w:divBdr>
    </w:div>
    <w:div w:id="1890648699">
      <w:marLeft w:val="0"/>
      <w:marRight w:val="0"/>
      <w:marTop w:val="100"/>
      <w:marBottom w:val="0"/>
      <w:divBdr>
        <w:top w:val="none" w:sz="0" w:space="0" w:color="auto"/>
        <w:left w:val="none" w:sz="0" w:space="0" w:color="auto"/>
        <w:bottom w:val="none" w:sz="0" w:space="0" w:color="auto"/>
        <w:right w:val="none" w:sz="0" w:space="0" w:color="auto"/>
      </w:divBdr>
    </w:div>
    <w:div w:id="1892695322">
      <w:marLeft w:val="0"/>
      <w:marRight w:val="0"/>
      <w:marTop w:val="100"/>
      <w:marBottom w:val="0"/>
      <w:divBdr>
        <w:top w:val="none" w:sz="0" w:space="0" w:color="auto"/>
        <w:left w:val="none" w:sz="0" w:space="0" w:color="auto"/>
        <w:bottom w:val="none" w:sz="0" w:space="0" w:color="auto"/>
        <w:right w:val="none" w:sz="0" w:space="0" w:color="auto"/>
      </w:divBdr>
    </w:div>
    <w:div w:id="1900169882">
      <w:marLeft w:val="0"/>
      <w:marRight w:val="0"/>
      <w:marTop w:val="100"/>
      <w:marBottom w:val="0"/>
      <w:divBdr>
        <w:top w:val="none" w:sz="0" w:space="0" w:color="auto"/>
        <w:left w:val="none" w:sz="0" w:space="0" w:color="auto"/>
        <w:bottom w:val="none" w:sz="0" w:space="0" w:color="auto"/>
        <w:right w:val="none" w:sz="0" w:space="0" w:color="auto"/>
      </w:divBdr>
      <w:divsChild>
        <w:div w:id="1213465438">
          <w:marLeft w:val="0"/>
          <w:marRight w:val="0"/>
          <w:marTop w:val="0"/>
          <w:marBottom w:val="0"/>
          <w:divBdr>
            <w:top w:val="none" w:sz="0" w:space="0" w:color="auto"/>
            <w:left w:val="none" w:sz="0" w:space="0" w:color="auto"/>
            <w:bottom w:val="none" w:sz="0" w:space="0" w:color="auto"/>
            <w:right w:val="none" w:sz="0" w:space="0" w:color="auto"/>
          </w:divBdr>
        </w:div>
      </w:divsChild>
    </w:div>
    <w:div w:id="1932470775">
      <w:marLeft w:val="0"/>
      <w:marRight w:val="0"/>
      <w:marTop w:val="0"/>
      <w:marBottom w:val="0"/>
      <w:divBdr>
        <w:top w:val="none" w:sz="0" w:space="0" w:color="auto"/>
        <w:left w:val="none" w:sz="0" w:space="0" w:color="auto"/>
        <w:bottom w:val="none" w:sz="0" w:space="0" w:color="auto"/>
        <w:right w:val="none" w:sz="0" w:space="0" w:color="auto"/>
      </w:divBdr>
      <w:divsChild>
        <w:div w:id="83192385">
          <w:marLeft w:val="0"/>
          <w:marRight w:val="0"/>
          <w:marTop w:val="0"/>
          <w:marBottom w:val="0"/>
          <w:divBdr>
            <w:top w:val="none" w:sz="0" w:space="0" w:color="auto"/>
            <w:left w:val="none" w:sz="0" w:space="0" w:color="auto"/>
            <w:bottom w:val="none" w:sz="0" w:space="0" w:color="auto"/>
            <w:right w:val="none" w:sz="0" w:space="0" w:color="auto"/>
          </w:divBdr>
        </w:div>
      </w:divsChild>
    </w:div>
    <w:div w:id="1937863708">
      <w:marLeft w:val="0"/>
      <w:marRight w:val="0"/>
      <w:marTop w:val="60"/>
      <w:marBottom w:val="0"/>
      <w:divBdr>
        <w:top w:val="none" w:sz="0" w:space="0" w:color="auto"/>
        <w:left w:val="none" w:sz="0" w:space="0" w:color="auto"/>
        <w:bottom w:val="none" w:sz="0" w:space="0" w:color="auto"/>
        <w:right w:val="none" w:sz="0" w:space="0" w:color="auto"/>
      </w:divBdr>
    </w:div>
    <w:div w:id="1940024367">
      <w:marLeft w:val="0"/>
      <w:marRight w:val="0"/>
      <w:marTop w:val="100"/>
      <w:marBottom w:val="0"/>
      <w:divBdr>
        <w:top w:val="none" w:sz="0" w:space="0" w:color="auto"/>
        <w:left w:val="none" w:sz="0" w:space="0" w:color="auto"/>
        <w:bottom w:val="none" w:sz="0" w:space="0" w:color="auto"/>
        <w:right w:val="none" w:sz="0" w:space="0" w:color="auto"/>
      </w:divBdr>
    </w:div>
    <w:div w:id="1940599163">
      <w:marLeft w:val="0"/>
      <w:marRight w:val="0"/>
      <w:marTop w:val="180"/>
      <w:marBottom w:val="0"/>
      <w:divBdr>
        <w:top w:val="none" w:sz="0" w:space="0" w:color="auto"/>
        <w:left w:val="none" w:sz="0" w:space="0" w:color="auto"/>
        <w:bottom w:val="none" w:sz="0" w:space="0" w:color="auto"/>
        <w:right w:val="none" w:sz="0" w:space="0" w:color="auto"/>
      </w:divBdr>
    </w:div>
    <w:div w:id="1949465304">
      <w:marLeft w:val="0"/>
      <w:marRight w:val="0"/>
      <w:marTop w:val="240"/>
      <w:marBottom w:val="0"/>
      <w:divBdr>
        <w:top w:val="none" w:sz="0" w:space="0" w:color="auto"/>
        <w:left w:val="none" w:sz="0" w:space="0" w:color="auto"/>
        <w:bottom w:val="none" w:sz="0" w:space="0" w:color="auto"/>
        <w:right w:val="none" w:sz="0" w:space="0" w:color="auto"/>
      </w:divBdr>
    </w:div>
    <w:div w:id="1954245150">
      <w:marLeft w:val="0"/>
      <w:marRight w:val="0"/>
      <w:marTop w:val="0"/>
      <w:marBottom w:val="0"/>
      <w:divBdr>
        <w:top w:val="none" w:sz="0" w:space="0" w:color="auto"/>
        <w:left w:val="none" w:sz="0" w:space="0" w:color="auto"/>
        <w:bottom w:val="none" w:sz="0" w:space="0" w:color="auto"/>
        <w:right w:val="none" w:sz="0" w:space="0" w:color="auto"/>
      </w:divBdr>
    </w:div>
    <w:div w:id="1968780974">
      <w:marLeft w:val="0"/>
      <w:marRight w:val="0"/>
      <w:marTop w:val="100"/>
      <w:marBottom w:val="0"/>
      <w:divBdr>
        <w:top w:val="none" w:sz="0" w:space="0" w:color="auto"/>
        <w:left w:val="none" w:sz="0" w:space="0" w:color="auto"/>
        <w:bottom w:val="none" w:sz="0" w:space="0" w:color="auto"/>
        <w:right w:val="none" w:sz="0" w:space="0" w:color="auto"/>
      </w:divBdr>
    </w:div>
    <w:div w:id="1971395684">
      <w:marLeft w:val="0"/>
      <w:marRight w:val="0"/>
      <w:marTop w:val="100"/>
      <w:marBottom w:val="0"/>
      <w:divBdr>
        <w:top w:val="none" w:sz="0" w:space="0" w:color="auto"/>
        <w:left w:val="none" w:sz="0" w:space="0" w:color="auto"/>
        <w:bottom w:val="none" w:sz="0" w:space="0" w:color="auto"/>
        <w:right w:val="none" w:sz="0" w:space="0" w:color="auto"/>
      </w:divBdr>
    </w:div>
    <w:div w:id="1982073486">
      <w:marLeft w:val="0"/>
      <w:marRight w:val="0"/>
      <w:marTop w:val="100"/>
      <w:marBottom w:val="0"/>
      <w:divBdr>
        <w:top w:val="none" w:sz="0" w:space="0" w:color="auto"/>
        <w:left w:val="none" w:sz="0" w:space="0" w:color="auto"/>
        <w:bottom w:val="none" w:sz="0" w:space="0" w:color="auto"/>
        <w:right w:val="none" w:sz="0" w:space="0" w:color="auto"/>
      </w:divBdr>
    </w:div>
    <w:div w:id="1984850403">
      <w:marLeft w:val="0"/>
      <w:marRight w:val="0"/>
      <w:marTop w:val="100"/>
      <w:marBottom w:val="0"/>
      <w:divBdr>
        <w:top w:val="none" w:sz="0" w:space="0" w:color="auto"/>
        <w:left w:val="none" w:sz="0" w:space="0" w:color="auto"/>
        <w:bottom w:val="none" w:sz="0" w:space="0" w:color="auto"/>
        <w:right w:val="none" w:sz="0" w:space="0" w:color="auto"/>
      </w:divBdr>
      <w:divsChild>
        <w:div w:id="365832633">
          <w:marLeft w:val="0"/>
          <w:marRight w:val="0"/>
          <w:marTop w:val="0"/>
          <w:marBottom w:val="0"/>
          <w:divBdr>
            <w:top w:val="none" w:sz="0" w:space="0" w:color="auto"/>
            <w:left w:val="none" w:sz="0" w:space="0" w:color="auto"/>
            <w:bottom w:val="none" w:sz="0" w:space="0" w:color="auto"/>
            <w:right w:val="none" w:sz="0" w:space="0" w:color="auto"/>
          </w:divBdr>
        </w:div>
      </w:divsChild>
    </w:div>
    <w:div w:id="1986279273">
      <w:marLeft w:val="0"/>
      <w:marRight w:val="0"/>
      <w:marTop w:val="0"/>
      <w:marBottom w:val="0"/>
      <w:divBdr>
        <w:top w:val="none" w:sz="0" w:space="0" w:color="auto"/>
        <w:left w:val="none" w:sz="0" w:space="0" w:color="auto"/>
        <w:bottom w:val="none" w:sz="0" w:space="0" w:color="auto"/>
        <w:right w:val="none" w:sz="0" w:space="0" w:color="auto"/>
      </w:divBdr>
      <w:divsChild>
        <w:div w:id="2084134872">
          <w:marLeft w:val="0"/>
          <w:marRight w:val="0"/>
          <w:marTop w:val="0"/>
          <w:marBottom w:val="0"/>
          <w:divBdr>
            <w:top w:val="none" w:sz="0" w:space="0" w:color="auto"/>
            <w:left w:val="none" w:sz="0" w:space="0" w:color="auto"/>
            <w:bottom w:val="none" w:sz="0" w:space="0" w:color="auto"/>
            <w:right w:val="none" w:sz="0" w:space="0" w:color="auto"/>
          </w:divBdr>
        </w:div>
      </w:divsChild>
    </w:div>
    <w:div w:id="1986736246">
      <w:marLeft w:val="0"/>
      <w:marRight w:val="0"/>
      <w:marTop w:val="100"/>
      <w:marBottom w:val="0"/>
      <w:divBdr>
        <w:top w:val="none" w:sz="0" w:space="0" w:color="auto"/>
        <w:left w:val="none" w:sz="0" w:space="0" w:color="auto"/>
        <w:bottom w:val="none" w:sz="0" w:space="0" w:color="auto"/>
        <w:right w:val="none" w:sz="0" w:space="0" w:color="auto"/>
      </w:divBdr>
    </w:div>
    <w:div w:id="1990360287">
      <w:marLeft w:val="0"/>
      <w:marRight w:val="0"/>
      <w:marTop w:val="60"/>
      <w:marBottom w:val="0"/>
      <w:divBdr>
        <w:top w:val="none" w:sz="0" w:space="0" w:color="auto"/>
        <w:left w:val="none" w:sz="0" w:space="0" w:color="auto"/>
        <w:bottom w:val="none" w:sz="0" w:space="0" w:color="auto"/>
        <w:right w:val="none" w:sz="0" w:space="0" w:color="auto"/>
      </w:divBdr>
    </w:div>
    <w:div w:id="1991250003">
      <w:marLeft w:val="0"/>
      <w:marRight w:val="0"/>
      <w:marTop w:val="100"/>
      <w:marBottom w:val="0"/>
      <w:divBdr>
        <w:top w:val="none" w:sz="0" w:space="0" w:color="auto"/>
        <w:left w:val="none" w:sz="0" w:space="0" w:color="auto"/>
        <w:bottom w:val="none" w:sz="0" w:space="0" w:color="auto"/>
        <w:right w:val="none" w:sz="0" w:space="0" w:color="auto"/>
      </w:divBdr>
    </w:div>
    <w:div w:id="1995445440">
      <w:marLeft w:val="0"/>
      <w:marRight w:val="0"/>
      <w:marTop w:val="100"/>
      <w:marBottom w:val="0"/>
      <w:divBdr>
        <w:top w:val="none" w:sz="0" w:space="0" w:color="auto"/>
        <w:left w:val="none" w:sz="0" w:space="0" w:color="auto"/>
        <w:bottom w:val="none" w:sz="0" w:space="0" w:color="auto"/>
        <w:right w:val="none" w:sz="0" w:space="0" w:color="auto"/>
      </w:divBdr>
    </w:div>
    <w:div w:id="1999730324">
      <w:marLeft w:val="0"/>
      <w:marRight w:val="0"/>
      <w:marTop w:val="120"/>
      <w:marBottom w:val="0"/>
      <w:divBdr>
        <w:top w:val="none" w:sz="0" w:space="0" w:color="auto"/>
        <w:left w:val="none" w:sz="0" w:space="0" w:color="auto"/>
        <w:bottom w:val="none" w:sz="0" w:space="0" w:color="auto"/>
        <w:right w:val="none" w:sz="0" w:space="0" w:color="auto"/>
      </w:divBdr>
    </w:div>
    <w:div w:id="2007438327">
      <w:marLeft w:val="0"/>
      <w:marRight w:val="0"/>
      <w:marTop w:val="100"/>
      <w:marBottom w:val="0"/>
      <w:divBdr>
        <w:top w:val="none" w:sz="0" w:space="0" w:color="auto"/>
        <w:left w:val="none" w:sz="0" w:space="0" w:color="auto"/>
        <w:bottom w:val="none" w:sz="0" w:space="0" w:color="auto"/>
        <w:right w:val="none" w:sz="0" w:space="0" w:color="auto"/>
      </w:divBdr>
    </w:div>
    <w:div w:id="2011524446">
      <w:marLeft w:val="0"/>
      <w:marRight w:val="0"/>
      <w:marTop w:val="0"/>
      <w:marBottom w:val="0"/>
      <w:divBdr>
        <w:top w:val="none" w:sz="0" w:space="0" w:color="auto"/>
        <w:left w:val="none" w:sz="0" w:space="0" w:color="auto"/>
        <w:bottom w:val="none" w:sz="0" w:space="0" w:color="auto"/>
        <w:right w:val="none" w:sz="0" w:space="0" w:color="auto"/>
      </w:divBdr>
      <w:divsChild>
        <w:div w:id="1768384462">
          <w:marLeft w:val="0"/>
          <w:marRight w:val="0"/>
          <w:marTop w:val="0"/>
          <w:marBottom w:val="0"/>
          <w:divBdr>
            <w:top w:val="none" w:sz="0" w:space="0" w:color="auto"/>
            <w:left w:val="none" w:sz="0" w:space="0" w:color="auto"/>
            <w:bottom w:val="none" w:sz="0" w:space="0" w:color="auto"/>
            <w:right w:val="none" w:sz="0" w:space="0" w:color="auto"/>
          </w:divBdr>
        </w:div>
      </w:divsChild>
    </w:div>
    <w:div w:id="2016805545">
      <w:marLeft w:val="0"/>
      <w:marRight w:val="0"/>
      <w:marTop w:val="100"/>
      <w:marBottom w:val="0"/>
      <w:divBdr>
        <w:top w:val="none" w:sz="0" w:space="0" w:color="auto"/>
        <w:left w:val="none" w:sz="0" w:space="0" w:color="auto"/>
        <w:bottom w:val="none" w:sz="0" w:space="0" w:color="auto"/>
        <w:right w:val="none" w:sz="0" w:space="0" w:color="auto"/>
      </w:divBdr>
      <w:divsChild>
        <w:div w:id="219946758">
          <w:marLeft w:val="0"/>
          <w:marRight w:val="0"/>
          <w:marTop w:val="0"/>
          <w:marBottom w:val="0"/>
          <w:divBdr>
            <w:top w:val="none" w:sz="0" w:space="0" w:color="auto"/>
            <w:left w:val="none" w:sz="0" w:space="0" w:color="auto"/>
            <w:bottom w:val="none" w:sz="0" w:space="0" w:color="auto"/>
            <w:right w:val="none" w:sz="0" w:space="0" w:color="auto"/>
          </w:divBdr>
        </w:div>
        <w:div w:id="1035809027">
          <w:marLeft w:val="0"/>
          <w:marRight w:val="0"/>
          <w:marTop w:val="0"/>
          <w:marBottom w:val="0"/>
          <w:divBdr>
            <w:top w:val="none" w:sz="0" w:space="0" w:color="auto"/>
            <w:left w:val="none" w:sz="0" w:space="0" w:color="auto"/>
            <w:bottom w:val="none" w:sz="0" w:space="0" w:color="auto"/>
            <w:right w:val="none" w:sz="0" w:space="0" w:color="auto"/>
          </w:divBdr>
        </w:div>
        <w:div w:id="1711681708">
          <w:marLeft w:val="0"/>
          <w:marRight w:val="0"/>
          <w:marTop w:val="0"/>
          <w:marBottom w:val="0"/>
          <w:divBdr>
            <w:top w:val="none" w:sz="0" w:space="0" w:color="auto"/>
            <w:left w:val="none" w:sz="0" w:space="0" w:color="auto"/>
            <w:bottom w:val="none" w:sz="0" w:space="0" w:color="auto"/>
            <w:right w:val="none" w:sz="0" w:space="0" w:color="auto"/>
          </w:divBdr>
        </w:div>
        <w:div w:id="1036734863">
          <w:marLeft w:val="0"/>
          <w:marRight w:val="0"/>
          <w:marTop w:val="0"/>
          <w:marBottom w:val="0"/>
          <w:divBdr>
            <w:top w:val="none" w:sz="0" w:space="0" w:color="auto"/>
            <w:left w:val="none" w:sz="0" w:space="0" w:color="auto"/>
            <w:bottom w:val="none" w:sz="0" w:space="0" w:color="auto"/>
            <w:right w:val="none" w:sz="0" w:space="0" w:color="auto"/>
          </w:divBdr>
        </w:div>
        <w:div w:id="1995254266">
          <w:marLeft w:val="0"/>
          <w:marRight w:val="0"/>
          <w:marTop w:val="0"/>
          <w:marBottom w:val="0"/>
          <w:divBdr>
            <w:top w:val="none" w:sz="0" w:space="0" w:color="auto"/>
            <w:left w:val="none" w:sz="0" w:space="0" w:color="auto"/>
            <w:bottom w:val="none" w:sz="0" w:space="0" w:color="auto"/>
            <w:right w:val="none" w:sz="0" w:space="0" w:color="auto"/>
          </w:divBdr>
        </w:div>
        <w:div w:id="2016877917">
          <w:marLeft w:val="0"/>
          <w:marRight w:val="0"/>
          <w:marTop w:val="0"/>
          <w:marBottom w:val="0"/>
          <w:divBdr>
            <w:top w:val="none" w:sz="0" w:space="0" w:color="auto"/>
            <w:left w:val="none" w:sz="0" w:space="0" w:color="auto"/>
            <w:bottom w:val="none" w:sz="0" w:space="0" w:color="auto"/>
            <w:right w:val="none" w:sz="0" w:space="0" w:color="auto"/>
          </w:divBdr>
        </w:div>
        <w:div w:id="252973663">
          <w:marLeft w:val="0"/>
          <w:marRight w:val="0"/>
          <w:marTop w:val="0"/>
          <w:marBottom w:val="0"/>
          <w:divBdr>
            <w:top w:val="none" w:sz="0" w:space="0" w:color="auto"/>
            <w:left w:val="none" w:sz="0" w:space="0" w:color="auto"/>
            <w:bottom w:val="none" w:sz="0" w:space="0" w:color="auto"/>
            <w:right w:val="none" w:sz="0" w:space="0" w:color="auto"/>
          </w:divBdr>
        </w:div>
        <w:div w:id="1088381856">
          <w:marLeft w:val="0"/>
          <w:marRight w:val="0"/>
          <w:marTop w:val="0"/>
          <w:marBottom w:val="0"/>
          <w:divBdr>
            <w:top w:val="none" w:sz="0" w:space="0" w:color="auto"/>
            <w:left w:val="none" w:sz="0" w:space="0" w:color="auto"/>
            <w:bottom w:val="none" w:sz="0" w:space="0" w:color="auto"/>
            <w:right w:val="none" w:sz="0" w:space="0" w:color="auto"/>
          </w:divBdr>
        </w:div>
        <w:div w:id="453714613">
          <w:marLeft w:val="0"/>
          <w:marRight w:val="0"/>
          <w:marTop w:val="0"/>
          <w:marBottom w:val="0"/>
          <w:divBdr>
            <w:top w:val="none" w:sz="0" w:space="0" w:color="auto"/>
            <w:left w:val="none" w:sz="0" w:space="0" w:color="auto"/>
            <w:bottom w:val="none" w:sz="0" w:space="0" w:color="auto"/>
            <w:right w:val="none" w:sz="0" w:space="0" w:color="auto"/>
          </w:divBdr>
        </w:div>
        <w:div w:id="114257017">
          <w:marLeft w:val="0"/>
          <w:marRight w:val="0"/>
          <w:marTop w:val="0"/>
          <w:marBottom w:val="0"/>
          <w:divBdr>
            <w:top w:val="none" w:sz="0" w:space="0" w:color="auto"/>
            <w:left w:val="none" w:sz="0" w:space="0" w:color="auto"/>
            <w:bottom w:val="none" w:sz="0" w:space="0" w:color="auto"/>
            <w:right w:val="none" w:sz="0" w:space="0" w:color="auto"/>
          </w:divBdr>
        </w:div>
        <w:div w:id="39940869">
          <w:marLeft w:val="0"/>
          <w:marRight w:val="0"/>
          <w:marTop w:val="0"/>
          <w:marBottom w:val="0"/>
          <w:divBdr>
            <w:top w:val="none" w:sz="0" w:space="0" w:color="auto"/>
            <w:left w:val="none" w:sz="0" w:space="0" w:color="auto"/>
            <w:bottom w:val="none" w:sz="0" w:space="0" w:color="auto"/>
            <w:right w:val="none" w:sz="0" w:space="0" w:color="auto"/>
          </w:divBdr>
        </w:div>
      </w:divsChild>
    </w:div>
    <w:div w:id="2017532278">
      <w:marLeft w:val="0"/>
      <w:marRight w:val="0"/>
      <w:marTop w:val="280"/>
      <w:marBottom w:val="0"/>
      <w:divBdr>
        <w:top w:val="none" w:sz="0" w:space="0" w:color="auto"/>
        <w:left w:val="none" w:sz="0" w:space="0" w:color="auto"/>
        <w:bottom w:val="none" w:sz="0" w:space="0" w:color="auto"/>
        <w:right w:val="none" w:sz="0" w:space="0" w:color="auto"/>
      </w:divBdr>
    </w:div>
    <w:div w:id="2021465331">
      <w:marLeft w:val="0"/>
      <w:marRight w:val="0"/>
      <w:marTop w:val="60"/>
      <w:marBottom w:val="0"/>
      <w:divBdr>
        <w:top w:val="none" w:sz="0" w:space="0" w:color="auto"/>
        <w:left w:val="none" w:sz="0" w:space="0" w:color="auto"/>
        <w:bottom w:val="none" w:sz="0" w:space="0" w:color="auto"/>
        <w:right w:val="none" w:sz="0" w:space="0" w:color="auto"/>
      </w:divBdr>
    </w:div>
    <w:div w:id="2026518853">
      <w:marLeft w:val="0"/>
      <w:marRight w:val="0"/>
      <w:marTop w:val="100"/>
      <w:marBottom w:val="0"/>
      <w:divBdr>
        <w:top w:val="none" w:sz="0" w:space="0" w:color="auto"/>
        <w:left w:val="none" w:sz="0" w:space="0" w:color="auto"/>
        <w:bottom w:val="none" w:sz="0" w:space="0" w:color="auto"/>
        <w:right w:val="none" w:sz="0" w:space="0" w:color="auto"/>
      </w:divBdr>
    </w:div>
    <w:div w:id="2031100004">
      <w:marLeft w:val="0"/>
      <w:marRight w:val="0"/>
      <w:marTop w:val="100"/>
      <w:marBottom w:val="0"/>
      <w:divBdr>
        <w:top w:val="none" w:sz="0" w:space="0" w:color="auto"/>
        <w:left w:val="none" w:sz="0" w:space="0" w:color="auto"/>
        <w:bottom w:val="none" w:sz="0" w:space="0" w:color="auto"/>
        <w:right w:val="none" w:sz="0" w:space="0" w:color="auto"/>
      </w:divBdr>
    </w:div>
    <w:div w:id="2042121349">
      <w:marLeft w:val="0"/>
      <w:marRight w:val="0"/>
      <w:marTop w:val="0"/>
      <w:marBottom w:val="0"/>
      <w:divBdr>
        <w:top w:val="none" w:sz="0" w:space="0" w:color="auto"/>
        <w:left w:val="none" w:sz="0" w:space="0" w:color="auto"/>
        <w:bottom w:val="none" w:sz="0" w:space="0" w:color="auto"/>
        <w:right w:val="none" w:sz="0" w:space="0" w:color="auto"/>
      </w:divBdr>
      <w:divsChild>
        <w:div w:id="1503856473">
          <w:marLeft w:val="0"/>
          <w:marRight w:val="0"/>
          <w:marTop w:val="0"/>
          <w:marBottom w:val="0"/>
          <w:divBdr>
            <w:top w:val="none" w:sz="0" w:space="0" w:color="auto"/>
            <w:left w:val="none" w:sz="0" w:space="0" w:color="auto"/>
            <w:bottom w:val="none" w:sz="0" w:space="0" w:color="auto"/>
            <w:right w:val="none" w:sz="0" w:space="0" w:color="auto"/>
          </w:divBdr>
        </w:div>
      </w:divsChild>
    </w:div>
    <w:div w:id="2044943324">
      <w:marLeft w:val="0"/>
      <w:marRight w:val="0"/>
      <w:marTop w:val="240"/>
      <w:marBottom w:val="0"/>
      <w:divBdr>
        <w:top w:val="none" w:sz="0" w:space="0" w:color="auto"/>
        <w:left w:val="none" w:sz="0" w:space="0" w:color="auto"/>
        <w:bottom w:val="none" w:sz="0" w:space="0" w:color="auto"/>
        <w:right w:val="none" w:sz="0" w:space="0" w:color="auto"/>
      </w:divBdr>
    </w:div>
    <w:div w:id="2056856684">
      <w:marLeft w:val="0"/>
      <w:marRight w:val="0"/>
      <w:marTop w:val="100"/>
      <w:marBottom w:val="0"/>
      <w:divBdr>
        <w:top w:val="none" w:sz="0" w:space="0" w:color="auto"/>
        <w:left w:val="none" w:sz="0" w:space="0" w:color="auto"/>
        <w:bottom w:val="none" w:sz="0" w:space="0" w:color="auto"/>
        <w:right w:val="none" w:sz="0" w:space="0" w:color="auto"/>
      </w:divBdr>
    </w:div>
    <w:div w:id="2081173152">
      <w:marLeft w:val="0"/>
      <w:marRight w:val="0"/>
      <w:marTop w:val="100"/>
      <w:marBottom w:val="0"/>
      <w:divBdr>
        <w:top w:val="none" w:sz="0" w:space="0" w:color="auto"/>
        <w:left w:val="none" w:sz="0" w:space="0" w:color="auto"/>
        <w:bottom w:val="none" w:sz="0" w:space="0" w:color="auto"/>
        <w:right w:val="none" w:sz="0" w:space="0" w:color="auto"/>
      </w:divBdr>
    </w:div>
    <w:div w:id="2086800619">
      <w:marLeft w:val="0"/>
      <w:marRight w:val="0"/>
      <w:marTop w:val="100"/>
      <w:marBottom w:val="0"/>
      <w:divBdr>
        <w:top w:val="none" w:sz="0" w:space="0" w:color="auto"/>
        <w:left w:val="none" w:sz="0" w:space="0" w:color="auto"/>
        <w:bottom w:val="none" w:sz="0" w:space="0" w:color="auto"/>
        <w:right w:val="none" w:sz="0" w:space="0" w:color="auto"/>
      </w:divBdr>
    </w:div>
    <w:div w:id="2113279819">
      <w:marLeft w:val="0"/>
      <w:marRight w:val="0"/>
      <w:marTop w:val="0"/>
      <w:marBottom w:val="0"/>
      <w:divBdr>
        <w:top w:val="none" w:sz="0" w:space="0" w:color="auto"/>
        <w:left w:val="none" w:sz="0" w:space="0" w:color="auto"/>
        <w:bottom w:val="none" w:sz="0" w:space="0" w:color="auto"/>
        <w:right w:val="none" w:sz="0" w:space="0" w:color="auto"/>
      </w:divBdr>
      <w:divsChild>
        <w:div w:id="680203896">
          <w:marLeft w:val="0"/>
          <w:marRight w:val="0"/>
          <w:marTop w:val="0"/>
          <w:marBottom w:val="0"/>
          <w:divBdr>
            <w:top w:val="none" w:sz="0" w:space="0" w:color="auto"/>
            <w:left w:val="none" w:sz="0" w:space="0" w:color="auto"/>
            <w:bottom w:val="none" w:sz="0" w:space="0" w:color="auto"/>
            <w:right w:val="none" w:sz="0" w:space="0" w:color="auto"/>
          </w:divBdr>
        </w:div>
      </w:divsChild>
    </w:div>
    <w:div w:id="2115400275">
      <w:marLeft w:val="0"/>
      <w:marRight w:val="0"/>
      <w:marTop w:val="240"/>
      <w:marBottom w:val="0"/>
      <w:divBdr>
        <w:top w:val="none" w:sz="0" w:space="0" w:color="auto"/>
        <w:left w:val="none" w:sz="0" w:space="0" w:color="auto"/>
        <w:bottom w:val="none" w:sz="0" w:space="0" w:color="auto"/>
        <w:right w:val="none" w:sz="0" w:space="0" w:color="auto"/>
      </w:divBdr>
    </w:div>
    <w:div w:id="2118596559">
      <w:marLeft w:val="0"/>
      <w:marRight w:val="0"/>
      <w:marTop w:val="240"/>
      <w:marBottom w:val="0"/>
      <w:divBdr>
        <w:top w:val="none" w:sz="0" w:space="0" w:color="auto"/>
        <w:left w:val="none" w:sz="0" w:space="0" w:color="auto"/>
        <w:bottom w:val="none" w:sz="0" w:space="0" w:color="auto"/>
        <w:right w:val="none" w:sz="0" w:space="0" w:color="auto"/>
      </w:divBdr>
    </w:div>
    <w:div w:id="2122411732">
      <w:marLeft w:val="0"/>
      <w:marRight w:val="0"/>
      <w:marTop w:val="0"/>
      <w:marBottom w:val="0"/>
      <w:divBdr>
        <w:top w:val="none" w:sz="0" w:space="0" w:color="auto"/>
        <w:left w:val="none" w:sz="0" w:space="0" w:color="auto"/>
        <w:bottom w:val="none" w:sz="0" w:space="0" w:color="auto"/>
        <w:right w:val="none" w:sz="0" w:space="0" w:color="auto"/>
      </w:divBdr>
      <w:divsChild>
        <w:div w:id="1877503444">
          <w:marLeft w:val="0"/>
          <w:marRight w:val="0"/>
          <w:marTop w:val="0"/>
          <w:marBottom w:val="0"/>
          <w:divBdr>
            <w:top w:val="none" w:sz="0" w:space="0" w:color="auto"/>
            <w:left w:val="none" w:sz="0" w:space="0" w:color="auto"/>
            <w:bottom w:val="none" w:sz="0" w:space="0" w:color="auto"/>
            <w:right w:val="none" w:sz="0" w:space="0" w:color="auto"/>
          </w:divBdr>
        </w:div>
      </w:divsChild>
    </w:div>
    <w:div w:id="2136672864">
      <w:marLeft w:val="0"/>
      <w:marRight w:val="0"/>
      <w:marTop w:val="100"/>
      <w:marBottom w:val="0"/>
      <w:divBdr>
        <w:top w:val="none" w:sz="0" w:space="0" w:color="auto"/>
        <w:left w:val="none" w:sz="0" w:space="0" w:color="auto"/>
        <w:bottom w:val="none" w:sz="0" w:space="0" w:color="auto"/>
        <w:right w:val="none" w:sz="0" w:space="0" w:color="auto"/>
      </w:divBdr>
    </w:div>
    <w:div w:id="2143234014">
      <w:marLeft w:val="0"/>
      <w:marRight w:val="0"/>
      <w:marTop w:val="120"/>
      <w:marBottom w:val="0"/>
      <w:divBdr>
        <w:top w:val="none" w:sz="0" w:space="0" w:color="auto"/>
        <w:left w:val="none" w:sz="0" w:space="0" w:color="auto"/>
        <w:bottom w:val="none" w:sz="0" w:space="0" w:color="auto"/>
        <w:right w:val="none" w:sz="0" w:space="0" w:color="auto"/>
      </w:divBdr>
    </w:div>
    <w:div w:id="2145343368">
      <w:marLeft w:val="0"/>
      <w:marRight w:val="0"/>
      <w:marTop w:val="24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ix?doc=/Archives/edgar/data/1158172/000115817222000011/scor-20211231.htm" TargetMode="External"/><Relationship Id="rId13" Type="http://schemas.openxmlformats.org/officeDocument/2006/relationships/hyperlink" Target="http://www.sec.gov/Archives/edgar/data/1158172/000119312517035566/d341700dex31.htm" TargetMode="External"/><Relationship Id="rId18" Type="http://schemas.openxmlformats.org/officeDocument/2006/relationships/hyperlink" Target="exhibit101-firstamendmentt.htm"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exhibit311-certificationof.htm" TargetMode="External"/><Relationship Id="rId7" Type="http://schemas.openxmlformats.org/officeDocument/2006/relationships/hyperlink" Target="https://www.sec.gov/ix?doc=/Archives/edgar/data/1158172/000115817222000011/scor-20211231.htm" TargetMode="External"/><Relationship Id="rId12" Type="http://schemas.openxmlformats.org/officeDocument/2006/relationships/hyperlink" Target="http://www.sec.gov/Archives/edgar/data/1158172/000115817218000091/certificateofamendmentauth.htm" TargetMode="External"/><Relationship Id="rId17" Type="http://schemas.openxmlformats.org/officeDocument/2006/relationships/hyperlink" Target="http://www.sec.gov/Archives/edgar/data/1158172/000115817218000160/exhibit32-amendedandrestat.htm" TargetMode="External"/><Relationship Id="rId25" Type="http://schemas.openxmlformats.org/officeDocument/2006/relationships/image" Target="file:///E:\projects\LLMs\new_data_collection\data_new\htm\COMSCORE,%20INC\scor-20220331_g1.jpg" TargetMode="External"/><Relationship Id="rId2" Type="http://schemas.openxmlformats.org/officeDocument/2006/relationships/settings" Target="settings.xml"/><Relationship Id="rId16" Type="http://schemas.openxmlformats.org/officeDocument/2006/relationships/hyperlink" Target="http://www.sec.gov/Archives/edgar/data/1158172/000119312521081567/d120882dex32.htm" TargetMode="External"/><Relationship Id="rId20" Type="http://schemas.openxmlformats.org/officeDocument/2006/relationships/hyperlink" Target="https://www.sec.gov/Archives/edgar/data/1158172/000115817222000006/exhibit102-transitionandse.htm" TargetMode="External"/><Relationship Id="rId1" Type="http://schemas.openxmlformats.org/officeDocument/2006/relationships/styles" Target="styles.xml"/><Relationship Id="rId6" Type="http://schemas.openxmlformats.org/officeDocument/2006/relationships/hyperlink" Target="https://www.sec.gov/ix?doc=/Archives/edgar/data/1158172/000115817222000011/scor-20211231.htm" TargetMode="External"/><Relationship Id="rId11" Type="http://schemas.openxmlformats.org/officeDocument/2006/relationships/hyperlink" Target="http://www.sec.gov/Archives/edgar/data/1158172/000095013307002643/x30988a3exv3w3.htm" TargetMode="External"/><Relationship Id="rId24" Type="http://schemas.openxmlformats.org/officeDocument/2006/relationships/hyperlink" Target="exhibit322-certificationof.htm" TargetMode="External"/><Relationship Id="rId5" Type="http://schemas.openxmlformats.org/officeDocument/2006/relationships/hyperlink" Target="https://www.sec.gov/ix?doc=/Archives/edgar/data/1158172/000115817222000011/scor-20211231.htm" TargetMode="External"/><Relationship Id="rId15" Type="http://schemas.openxmlformats.org/officeDocument/2006/relationships/hyperlink" Target="http://www.sec.gov/Archives/edgar/data/1158172/000119312521081567/d120882dex31.htm" TargetMode="External"/><Relationship Id="rId23" Type="http://schemas.openxmlformats.org/officeDocument/2006/relationships/hyperlink" Target="exhibit321-certificationof.htm" TargetMode="External"/><Relationship Id="rId10" Type="http://schemas.openxmlformats.org/officeDocument/2006/relationships/hyperlink" Target="https://www.sec.gov/ix?doc=/Archives/edgar/data/1158172/000115817222000011/scor-20211231.htm" TargetMode="External"/><Relationship Id="rId19" Type="http://schemas.openxmlformats.org/officeDocument/2006/relationships/hyperlink" Target="https://www.sec.gov/Archives/edgar/data/1158172/000115817222000006/exhibit101-firstamendmentt.htm" TargetMode="External"/><Relationship Id="rId4" Type="http://schemas.openxmlformats.org/officeDocument/2006/relationships/hyperlink" Target="https://www.sec.gov/ix?doc=/Archives/edgar/data/1158172/000115817222000011/scor-20211231.htm" TargetMode="External"/><Relationship Id="rId9" Type="http://schemas.openxmlformats.org/officeDocument/2006/relationships/hyperlink" Target="https://www.sec.gov/ix?doc=/Archives/edgar/data/1158172/000115817222000011/scor-20211231.htm" TargetMode="External"/><Relationship Id="rId14" Type="http://schemas.openxmlformats.org/officeDocument/2006/relationships/hyperlink" Target="http://www.sec.gov/Archives/edgar/data/1158172/000119312517303026/d458683dex31.htm" TargetMode="External"/><Relationship Id="rId22" Type="http://schemas.openxmlformats.org/officeDocument/2006/relationships/hyperlink" Target="exhibit312-certificationof.ht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21943</Words>
  <Characters>125076</Characters>
  <Application>Microsoft Office Word</Application>
  <DocSecurity>0</DocSecurity>
  <Lines>1042</Lines>
  <Paragraphs>293</Paragraphs>
  <ScaleCrop>false</ScaleCrop>
  <Company/>
  <LinksUpToDate>false</LinksUpToDate>
  <CharactersWithSpaces>146726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scor-20220331</dc:title>
  <dc:subject/>
  <dc:creator>Chongjian.Yue</dc:creator>
  <cp:keywords/>
  <dc:description/>
  <cp:lastModifiedBy>Yue Chongjian</cp:lastModifiedBy>
  <cp:revision>1</cp:revision>
  <dcterms:created xsi:type="dcterms:W3CDTF">2024-01-04T15:38:00Z</dcterms:created>
  <dcterms:modified xsi:type="dcterms:W3CDTF">2024-01-04T15:38:00Z</dcterms:modified>
</cp:coreProperties>
</file>